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F1D11" w14:textId="77777777" w:rsidR="000928CA" w:rsidRPr="004F572A" w:rsidRDefault="000928CA" w:rsidP="00615B94">
      <w:pPr>
        <w:pStyle w:val="Antrat2"/>
        <w:rPr>
          <w:lang w:val="lt-LT"/>
        </w:rPr>
      </w:pPr>
    </w:p>
    <w:p w14:paraId="38FB0CB0" w14:textId="77777777" w:rsidR="000928CA" w:rsidRPr="004F572A" w:rsidRDefault="000928CA" w:rsidP="000928CA">
      <w:pPr>
        <w:rPr>
          <w:b/>
          <w:sz w:val="22"/>
          <w:szCs w:val="22"/>
        </w:rPr>
      </w:pPr>
    </w:p>
    <w:p w14:paraId="12228AEA" w14:textId="77777777" w:rsidR="000928CA" w:rsidRPr="004F572A" w:rsidRDefault="000928CA" w:rsidP="000928CA">
      <w:pPr>
        <w:rPr>
          <w:b/>
          <w:sz w:val="22"/>
          <w:szCs w:val="22"/>
        </w:rPr>
      </w:pPr>
    </w:p>
    <w:p w14:paraId="5237F7B7" w14:textId="77777777" w:rsidR="000928CA" w:rsidRPr="004F572A" w:rsidRDefault="000928CA" w:rsidP="000928CA">
      <w:pPr>
        <w:rPr>
          <w:b/>
          <w:sz w:val="22"/>
          <w:szCs w:val="22"/>
        </w:rPr>
      </w:pPr>
    </w:p>
    <w:p w14:paraId="482716F9" w14:textId="77777777" w:rsidR="000928CA" w:rsidRPr="004F572A" w:rsidRDefault="000928CA" w:rsidP="000928CA">
      <w:pPr>
        <w:rPr>
          <w:b/>
          <w:sz w:val="22"/>
          <w:szCs w:val="22"/>
        </w:rPr>
      </w:pPr>
    </w:p>
    <w:p w14:paraId="1EA93317" w14:textId="77777777" w:rsidR="000928CA" w:rsidRPr="004F572A" w:rsidRDefault="000928CA" w:rsidP="000928CA">
      <w:pPr>
        <w:tabs>
          <w:tab w:val="clear" w:pos="567"/>
          <w:tab w:val="left" w:pos="-1440"/>
          <w:tab w:val="left" w:pos="-720"/>
        </w:tabs>
        <w:rPr>
          <w:b/>
          <w:sz w:val="22"/>
          <w:szCs w:val="22"/>
        </w:rPr>
      </w:pPr>
    </w:p>
    <w:p w14:paraId="5C19AAA8" w14:textId="77777777" w:rsidR="000928CA" w:rsidRPr="004F572A" w:rsidRDefault="000928CA" w:rsidP="000928CA">
      <w:pPr>
        <w:tabs>
          <w:tab w:val="clear" w:pos="567"/>
          <w:tab w:val="left" w:pos="-1440"/>
          <w:tab w:val="left" w:pos="-720"/>
        </w:tabs>
        <w:rPr>
          <w:b/>
          <w:sz w:val="22"/>
          <w:szCs w:val="22"/>
        </w:rPr>
      </w:pPr>
    </w:p>
    <w:p w14:paraId="5FB4DCCD" w14:textId="77777777" w:rsidR="000928CA" w:rsidRPr="004F572A" w:rsidRDefault="000928CA" w:rsidP="000928CA">
      <w:pPr>
        <w:tabs>
          <w:tab w:val="clear" w:pos="567"/>
          <w:tab w:val="left" w:pos="-1440"/>
          <w:tab w:val="left" w:pos="-720"/>
        </w:tabs>
        <w:rPr>
          <w:b/>
          <w:sz w:val="22"/>
          <w:szCs w:val="22"/>
        </w:rPr>
      </w:pPr>
    </w:p>
    <w:p w14:paraId="38878249" w14:textId="77777777" w:rsidR="000928CA" w:rsidRPr="004F572A" w:rsidRDefault="000928CA" w:rsidP="000928CA">
      <w:pPr>
        <w:tabs>
          <w:tab w:val="clear" w:pos="567"/>
          <w:tab w:val="left" w:pos="-1440"/>
          <w:tab w:val="left" w:pos="-720"/>
        </w:tabs>
        <w:rPr>
          <w:b/>
          <w:sz w:val="22"/>
          <w:szCs w:val="22"/>
        </w:rPr>
      </w:pPr>
    </w:p>
    <w:p w14:paraId="419DEDE1" w14:textId="77777777" w:rsidR="000928CA" w:rsidRPr="004F572A" w:rsidRDefault="000928CA" w:rsidP="000928CA">
      <w:pPr>
        <w:tabs>
          <w:tab w:val="clear" w:pos="567"/>
          <w:tab w:val="left" w:pos="-1440"/>
          <w:tab w:val="left" w:pos="-720"/>
        </w:tabs>
        <w:rPr>
          <w:b/>
          <w:sz w:val="22"/>
          <w:szCs w:val="22"/>
        </w:rPr>
      </w:pPr>
    </w:p>
    <w:p w14:paraId="62BBB5E4" w14:textId="77777777" w:rsidR="000928CA" w:rsidRPr="004F572A" w:rsidRDefault="000928CA" w:rsidP="000928CA">
      <w:pPr>
        <w:tabs>
          <w:tab w:val="clear" w:pos="567"/>
          <w:tab w:val="left" w:pos="-1440"/>
          <w:tab w:val="left" w:pos="-720"/>
        </w:tabs>
        <w:rPr>
          <w:b/>
          <w:sz w:val="22"/>
          <w:szCs w:val="22"/>
        </w:rPr>
      </w:pPr>
    </w:p>
    <w:p w14:paraId="563DCDE9" w14:textId="77777777" w:rsidR="000928CA" w:rsidRPr="004F572A" w:rsidRDefault="000928CA" w:rsidP="000928CA">
      <w:pPr>
        <w:tabs>
          <w:tab w:val="clear" w:pos="567"/>
          <w:tab w:val="left" w:pos="-1440"/>
          <w:tab w:val="left" w:pos="-720"/>
        </w:tabs>
        <w:rPr>
          <w:b/>
          <w:sz w:val="22"/>
          <w:szCs w:val="22"/>
        </w:rPr>
      </w:pPr>
    </w:p>
    <w:p w14:paraId="1C113492" w14:textId="77777777" w:rsidR="000928CA" w:rsidRPr="004F572A" w:rsidRDefault="000928CA" w:rsidP="000928CA">
      <w:pPr>
        <w:tabs>
          <w:tab w:val="clear" w:pos="567"/>
          <w:tab w:val="left" w:pos="-1440"/>
          <w:tab w:val="left" w:pos="-720"/>
        </w:tabs>
        <w:rPr>
          <w:b/>
          <w:sz w:val="22"/>
          <w:szCs w:val="22"/>
        </w:rPr>
      </w:pPr>
    </w:p>
    <w:p w14:paraId="5B1A7F1B" w14:textId="77777777" w:rsidR="000928CA" w:rsidRPr="004F572A" w:rsidRDefault="000928CA" w:rsidP="000928CA">
      <w:pPr>
        <w:tabs>
          <w:tab w:val="clear" w:pos="567"/>
          <w:tab w:val="left" w:pos="-1440"/>
          <w:tab w:val="left" w:pos="-720"/>
        </w:tabs>
        <w:rPr>
          <w:b/>
          <w:sz w:val="22"/>
          <w:szCs w:val="22"/>
        </w:rPr>
      </w:pPr>
    </w:p>
    <w:p w14:paraId="228B263F" w14:textId="77777777" w:rsidR="000928CA" w:rsidRPr="004F572A" w:rsidRDefault="000928CA" w:rsidP="000928CA">
      <w:pPr>
        <w:tabs>
          <w:tab w:val="clear" w:pos="567"/>
          <w:tab w:val="left" w:pos="-1440"/>
          <w:tab w:val="left" w:pos="-720"/>
        </w:tabs>
        <w:rPr>
          <w:b/>
          <w:sz w:val="22"/>
          <w:szCs w:val="22"/>
        </w:rPr>
      </w:pPr>
    </w:p>
    <w:p w14:paraId="4F4706E4" w14:textId="77777777" w:rsidR="000928CA" w:rsidRPr="004F572A" w:rsidRDefault="000928CA" w:rsidP="000928CA">
      <w:pPr>
        <w:tabs>
          <w:tab w:val="clear" w:pos="567"/>
          <w:tab w:val="left" w:pos="-1440"/>
          <w:tab w:val="left" w:pos="-720"/>
        </w:tabs>
        <w:rPr>
          <w:b/>
          <w:sz w:val="22"/>
          <w:szCs w:val="22"/>
        </w:rPr>
      </w:pPr>
    </w:p>
    <w:p w14:paraId="72E04805" w14:textId="77777777" w:rsidR="000928CA" w:rsidRPr="004F572A" w:rsidRDefault="000928CA" w:rsidP="000928CA">
      <w:pPr>
        <w:tabs>
          <w:tab w:val="clear" w:pos="567"/>
          <w:tab w:val="left" w:pos="-1440"/>
          <w:tab w:val="left" w:pos="-720"/>
        </w:tabs>
        <w:rPr>
          <w:b/>
          <w:sz w:val="22"/>
          <w:szCs w:val="22"/>
        </w:rPr>
      </w:pPr>
    </w:p>
    <w:p w14:paraId="2137D6F0" w14:textId="77777777" w:rsidR="000928CA" w:rsidRPr="004F572A" w:rsidRDefault="000928CA" w:rsidP="000928CA">
      <w:pPr>
        <w:tabs>
          <w:tab w:val="clear" w:pos="567"/>
          <w:tab w:val="left" w:pos="-1440"/>
          <w:tab w:val="left" w:pos="-720"/>
        </w:tabs>
        <w:rPr>
          <w:b/>
          <w:sz w:val="22"/>
          <w:szCs w:val="22"/>
        </w:rPr>
      </w:pPr>
    </w:p>
    <w:p w14:paraId="763D770C" w14:textId="77777777" w:rsidR="000928CA" w:rsidRPr="004F572A" w:rsidRDefault="000928CA" w:rsidP="000928CA">
      <w:pPr>
        <w:tabs>
          <w:tab w:val="clear" w:pos="567"/>
          <w:tab w:val="left" w:pos="-1440"/>
          <w:tab w:val="left" w:pos="-720"/>
        </w:tabs>
        <w:rPr>
          <w:b/>
          <w:sz w:val="22"/>
          <w:szCs w:val="22"/>
        </w:rPr>
      </w:pPr>
    </w:p>
    <w:p w14:paraId="2F0CFA9A" w14:textId="77777777" w:rsidR="000928CA" w:rsidRPr="004F572A" w:rsidRDefault="000928CA" w:rsidP="000928CA">
      <w:pPr>
        <w:tabs>
          <w:tab w:val="clear" w:pos="567"/>
          <w:tab w:val="left" w:pos="-1440"/>
          <w:tab w:val="left" w:pos="-720"/>
        </w:tabs>
        <w:rPr>
          <w:b/>
          <w:sz w:val="22"/>
          <w:szCs w:val="22"/>
        </w:rPr>
      </w:pPr>
    </w:p>
    <w:p w14:paraId="1FF6A783" w14:textId="77777777" w:rsidR="000928CA" w:rsidRPr="004F572A" w:rsidRDefault="000928CA" w:rsidP="000928CA">
      <w:pPr>
        <w:tabs>
          <w:tab w:val="clear" w:pos="567"/>
          <w:tab w:val="left" w:pos="-1440"/>
          <w:tab w:val="left" w:pos="-720"/>
        </w:tabs>
        <w:rPr>
          <w:b/>
          <w:sz w:val="22"/>
          <w:szCs w:val="22"/>
        </w:rPr>
      </w:pPr>
    </w:p>
    <w:p w14:paraId="5484FD98" w14:textId="77777777" w:rsidR="000928CA" w:rsidRPr="004F572A" w:rsidRDefault="000928CA" w:rsidP="000928CA">
      <w:pPr>
        <w:tabs>
          <w:tab w:val="clear" w:pos="567"/>
          <w:tab w:val="left" w:pos="-1440"/>
          <w:tab w:val="left" w:pos="-720"/>
        </w:tabs>
        <w:rPr>
          <w:b/>
          <w:sz w:val="22"/>
          <w:szCs w:val="22"/>
        </w:rPr>
      </w:pPr>
    </w:p>
    <w:p w14:paraId="0D01821E" w14:textId="77777777" w:rsidR="000928CA" w:rsidRPr="004F572A" w:rsidRDefault="000928CA" w:rsidP="000928CA">
      <w:pPr>
        <w:tabs>
          <w:tab w:val="clear" w:pos="567"/>
          <w:tab w:val="left" w:pos="-1440"/>
          <w:tab w:val="left" w:pos="-720"/>
        </w:tabs>
        <w:rPr>
          <w:b/>
          <w:sz w:val="22"/>
          <w:szCs w:val="22"/>
        </w:rPr>
      </w:pPr>
    </w:p>
    <w:p w14:paraId="0DE980D5" w14:textId="77777777" w:rsidR="000928CA" w:rsidRPr="004F572A" w:rsidRDefault="000928CA" w:rsidP="000928CA">
      <w:pPr>
        <w:pStyle w:val="Antrat2"/>
        <w:spacing w:before="0" w:after="0"/>
        <w:jc w:val="center"/>
        <w:rPr>
          <w:rFonts w:ascii="Times New Roman" w:hAnsi="Times New Roman"/>
          <w:sz w:val="22"/>
          <w:szCs w:val="22"/>
          <w:lang w:val="lt-LT"/>
        </w:rPr>
      </w:pPr>
      <w:r w:rsidRPr="004F572A">
        <w:rPr>
          <w:rFonts w:ascii="Times New Roman" w:hAnsi="Times New Roman" w:cs="Times New Roman"/>
          <w:i w:val="0"/>
          <w:sz w:val="22"/>
          <w:szCs w:val="22"/>
          <w:lang w:val="lt-LT"/>
        </w:rPr>
        <w:t>I PRIEDAS</w:t>
      </w:r>
    </w:p>
    <w:p w14:paraId="52002D3D" w14:textId="77777777" w:rsidR="000928CA" w:rsidRPr="004F572A" w:rsidRDefault="000928CA" w:rsidP="000928CA">
      <w:pPr>
        <w:rPr>
          <w:sz w:val="22"/>
          <w:szCs w:val="22"/>
        </w:rPr>
      </w:pPr>
    </w:p>
    <w:p w14:paraId="6BD47066" w14:textId="77777777" w:rsidR="000928CA" w:rsidRPr="004F572A" w:rsidRDefault="000928CA" w:rsidP="000928CA">
      <w:pPr>
        <w:tabs>
          <w:tab w:val="left" w:pos="-1440"/>
          <w:tab w:val="left" w:pos="-720"/>
        </w:tabs>
        <w:jc w:val="center"/>
        <w:rPr>
          <w:sz w:val="22"/>
          <w:szCs w:val="22"/>
        </w:rPr>
      </w:pPr>
      <w:r w:rsidRPr="004F572A">
        <w:rPr>
          <w:b/>
          <w:sz w:val="22"/>
          <w:szCs w:val="22"/>
        </w:rPr>
        <w:t>PREPARATO CHARAKTERISTIKŲ SANTRAUKA</w:t>
      </w:r>
    </w:p>
    <w:p w14:paraId="4FE8E0D4" w14:textId="762971DD" w:rsidR="0081091D" w:rsidRPr="004F572A" w:rsidRDefault="0081091D" w:rsidP="000928CA">
      <w:pPr>
        <w:tabs>
          <w:tab w:val="left" w:pos="-1440"/>
          <w:tab w:val="left" w:pos="-720"/>
        </w:tabs>
        <w:rPr>
          <w:sz w:val="22"/>
          <w:szCs w:val="22"/>
        </w:rPr>
      </w:pPr>
    </w:p>
    <w:p w14:paraId="419E8715" w14:textId="77777777" w:rsidR="0081091D" w:rsidRPr="004F572A" w:rsidRDefault="0081091D" w:rsidP="0081091D">
      <w:pPr>
        <w:rPr>
          <w:sz w:val="22"/>
          <w:szCs w:val="22"/>
        </w:rPr>
      </w:pPr>
    </w:p>
    <w:p w14:paraId="15E05DCF" w14:textId="77777777" w:rsidR="0081091D" w:rsidRPr="004F572A" w:rsidRDefault="0081091D" w:rsidP="0081091D">
      <w:pPr>
        <w:rPr>
          <w:sz w:val="22"/>
          <w:szCs w:val="22"/>
        </w:rPr>
      </w:pPr>
    </w:p>
    <w:p w14:paraId="2DEB0759" w14:textId="77777777" w:rsidR="0081091D" w:rsidRPr="004F572A" w:rsidRDefault="0081091D" w:rsidP="0081091D">
      <w:pPr>
        <w:rPr>
          <w:sz w:val="22"/>
          <w:szCs w:val="22"/>
        </w:rPr>
      </w:pPr>
    </w:p>
    <w:p w14:paraId="412393AD" w14:textId="77777777" w:rsidR="0081091D" w:rsidRPr="004F572A" w:rsidRDefault="0081091D" w:rsidP="0081091D">
      <w:pPr>
        <w:rPr>
          <w:sz w:val="22"/>
          <w:szCs w:val="22"/>
        </w:rPr>
      </w:pPr>
    </w:p>
    <w:p w14:paraId="4FD16234" w14:textId="77777777" w:rsidR="0081091D" w:rsidRPr="004F572A" w:rsidRDefault="0081091D" w:rsidP="0081091D">
      <w:pPr>
        <w:rPr>
          <w:sz w:val="22"/>
          <w:szCs w:val="22"/>
        </w:rPr>
      </w:pPr>
    </w:p>
    <w:p w14:paraId="60C8FD37" w14:textId="77777777" w:rsidR="0081091D" w:rsidRPr="004F572A" w:rsidRDefault="0081091D" w:rsidP="0081091D">
      <w:pPr>
        <w:rPr>
          <w:sz w:val="22"/>
          <w:szCs w:val="22"/>
        </w:rPr>
      </w:pPr>
    </w:p>
    <w:p w14:paraId="3AAB7DDD" w14:textId="77777777" w:rsidR="0081091D" w:rsidRPr="004F572A" w:rsidRDefault="0081091D" w:rsidP="0081091D">
      <w:pPr>
        <w:rPr>
          <w:sz w:val="22"/>
          <w:szCs w:val="22"/>
        </w:rPr>
      </w:pPr>
    </w:p>
    <w:p w14:paraId="38D124D9" w14:textId="77777777" w:rsidR="0081091D" w:rsidRPr="004F572A" w:rsidRDefault="0081091D" w:rsidP="0081091D">
      <w:pPr>
        <w:rPr>
          <w:sz w:val="22"/>
          <w:szCs w:val="22"/>
        </w:rPr>
      </w:pPr>
    </w:p>
    <w:p w14:paraId="12850E85" w14:textId="77777777" w:rsidR="0081091D" w:rsidRPr="004F572A" w:rsidRDefault="0081091D" w:rsidP="0081091D">
      <w:pPr>
        <w:rPr>
          <w:sz w:val="22"/>
          <w:szCs w:val="22"/>
        </w:rPr>
      </w:pPr>
    </w:p>
    <w:p w14:paraId="04C5636A" w14:textId="77777777" w:rsidR="0081091D" w:rsidRPr="004F572A" w:rsidRDefault="0081091D" w:rsidP="0081091D">
      <w:pPr>
        <w:rPr>
          <w:sz w:val="22"/>
          <w:szCs w:val="22"/>
        </w:rPr>
      </w:pPr>
    </w:p>
    <w:p w14:paraId="0973C955" w14:textId="77777777" w:rsidR="0081091D" w:rsidRPr="004F572A" w:rsidRDefault="0081091D" w:rsidP="0081091D">
      <w:pPr>
        <w:rPr>
          <w:sz w:val="22"/>
          <w:szCs w:val="22"/>
        </w:rPr>
      </w:pPr>
    </w:p>
    <w:p w14:paraId="1AC6F8E5" w14:textId="77777777" w:rsidR="0081091D" w:rsidRPr="004F572A" w:rsidRDefault="0081091D" w:rsidP="0081091D">
      <w:pPr>
        <w:rPr>
          <w:sz w:val="22"/>
          <w:szCs w:val="22"/>
        </w:rPr>
      </w:pPr>
    </w:p>
    <w:p w14:paraId="69547B98" w14:textId="77777777" w:rsidR="0081091D" w:rsidRPr="004F572A" w:rsidRDefault="0081091D" w:rsidP="0081091D">
      <w:pPr>
        <w:rPr>
          <w:sz w:val="22"/>
          <w:szCs w:val="22"/>
        </w:rPr>
      </w:pPr>
    </w:p>
    <w:p w14:paraId="18F8B664" w14:textId="77777777" w:rsidR="0081091D" w:rsidRPr="004F572A" w:rsidRDefault="0081091D" w:rsidP="0081091D">
      <w:pPr>
        <w:rPr>
          <w:sz w:val="22"/>
          <w:szCs w:val="22"/>
        </w:rPr>
      </w:pPr>
    </w:p>
    <w:p w14:paraId="144384BA" w14:textId="77777777" w:rsidR="0081091D" w:rsidRPr="004F572A" w:rsidRDefault="0081091D" w:rsidP="0081091D">
      <w:pPr>
        <w:rPr>
          <w:sz w:val="22"/>
          <w:szCs w:val="22"/>
        </w:rPr>
      </w:pPr>
    </w:p>
    <w:p w14:paraId="3C28C820" w14:textId="77777777" w:rsidR="0081091D" w:rsidRPr="004F572A" w:rsidRDefault="0081091D" w:rsidP="0081091D">
      <w:pPr>
        <w:rPr>
          <w:sz w:val="22"/>
          <w:szCs w:val="22"/>
        </w:rPr>
      </w:pPr>
    </w:p>
    <w:p w14:paraId="20115020" w14:textId="77777777" w:rsidR="0081091D" w:rsidRPr="004F572A" w:rsidRDefault="0081091D" w:rsidP="0081091D">
      <w:pPr>
        <w:rPr>
          <w:sz w:val="22"/>
          <w:szCs w:val="22"/>
        </w:rPr>
      </w:pPr>
    </w:p>
    <w:p w14:paraId="3400EFAA" w14:textId="77777777" w:rsidR="0081091D" w:rsidRPr="004F572A" w:rsidRDefault="0081091D" w:rsidP="0081091D">
      <w:pPr>
        <w:rPr>
          <w:sz w:val="22"/>
          <w:szCs w:val="22"/>
        </w:rPr>
      </w:pPr>
    </w:p>
    <w:p w14:paraId="7B4EF2C1" w14:textId="77777777" w:rsidR="0081091D" w:rsidRPr="004F572A" w:rsidRDefault="0081091D" w:rsidP="0081091D">
      <w:pPr>
        <w:rPr>
          <w:sz w:val="22"/>
          <w:szCs w:val="22"/>
        </w:rPr>
      </w:pPr>
    </w:p>
    <w:p w14:paraId="5AD0A9DC" w14:textId="77777777" w:rsidR="0081091D" w:rsidRPr="004F572A" w:rsidRDefault="0081091D" w:rsidP="0081091D">
      <w:pPr>
        <w:rPr>
          <w:sz w:val="22"/>
          <w:szCs w:val="22"/>
        </w:rPr>
      </w:pPr>
    </w:p>
    <w:p w14:paraId="3BEFABAC" w14:textId="77777777" w:rsidR="0081091D" w:rsidRPr="004F572A" w:rsidRDefault="0081091D" w:rsidP="0081091D">
      <w:pPr>
        <w:rPr>
          <w:sz w:val="22"/>
          <w:szCs w:val="22"/>
        </w:rPr>
      </w:pPr>
    </w:p>
    <w:p w14:paraId="497E82A0" w14:textId="77777777" w:rsidR="0081091D" w:rsidRPr="004F572A" w:rsidRDefault="0081091D" w:rsidP="0081091D">
      <w:pPr>
        <w:rPr>
          <w:sz w:val="22"/>
          <w:szCs w:val="22"/>
        </w:rPr>
      </w:pPr>
    </w:p>
    <w:p w14:paraId="0824038B" w14:textId="77777777" w:rsidR="0081091D" w:rsidRPr="004F572A" w:rsidRDefault="0081091D" w:rsidP="0081091D">
      <w:pPr>
        <w:rPr>
          <w:sz w:val="22"/>
          <w:szCs w:val="22"/>
        </w:rPr>
      </w:pPr>
    </w:p>
    <w:p w14:paraId="27B3CA75" w14:textId="77777777" w:rsidR="0081091D" w:rsidRPr="004F572A" w:rsidRDefault="0081091D" w:rsidP="0081091D">
      <w:pPr>
        <w:rPr>
          <w:sz w:val="22"/>
          <w:szCs w:val="22"/>
        </w:rPr>
      </w:pPr>
    </w:p>
    <w:p w14:paraId="2F023395" w14:textId="376AC159" w:rsidR="0081091D" w:rsidRPr="004F572A" w:rsidRDefault="0081091D" w:rsidP="0081091D">
      <w:pPr>
        <w:rPr>
          <w:sz w:val="22"/>
          <w:szCs w:val="22"/>
        </w:rPr>
      </w:pPr>
    </w:p>
    <w:p w14:paraId="45434935" w14:textId="77777777" w:rsidR="0081091D" w:rsidRPr="004F572A" w:rsidRDefault="0081091D" w:rsidP="0081091D">
      <w:pPr>
        <w:rPr>
          <w:sz w:val="22"/>
          <w:szCs w:val="22"/>
        </w:rPr>
      </w:pPr>
    </w:p>
    <w:p w14:paraId="15883AD1" w14:textId="415C5BC8" w:rsidR="0081091D" w:rsidRPr="004F572A" w:rsidRDefault="0081091D" w:rsidP="0081091D">
      <w:pPr>
        <w:rPr>
          <w:sz w:val="22"/>
          <w:szCs w:val="22"/>
        </w:rPr>
      </w:pPr>
    </w:p>
    <w:p w14:paraId="0F39E638" w14:textId="3B41AEA9" w:rsidR="000928CA" w:rsidRPr="004F572A" w:rsidRDefault="0081091D" w:rsidP="0081091D">
      <w:pPr>
        <w:tabs>
          <w:tab w:val="clear" w:pos="567"/>
          <w:tab w:val="left" w:pos="6075"/>
        </w:tabs>
        <w:rPr>
          <w:sz w:val="22"/>
          <w:szCs w:val="22"/>
        </w:rPr>
      </w:pPr>
      <w:r w:rsidRPr="004F572A">
        <w:rPr>
          <w:sz w:val="22"/>
          <w:szCs w:val="22"/>
        </w:rPr>
        <w:tab/>
      </w:r>
    </w:p>
    <w:p w14:paraId="340614E2" w14:textId="77777777" w:rsidR="000928CA" w:rsidRPr="004F572A" w:rsidRDefault="000928CA" w:rsidP="000928CA">
      <w:pPr>
        <w:pStyle w:val="Antrat3"/>
        <w:pageBreakBefore/>
        <w:spacing w:before="0" w:after="0"/>
        <w:rPr>
          <w:rFonts w:ascii="Times New Roman" w:hAnsi="Times New Roman"/>
          <w:sz w:val="22"/>
          <w:szCs w:val="22"/>
          <w:lang w:val="lt-LT"/>
        </w:rPr>
      </w:pPr>
      <w:r w:rsidRPr="004F572A">
        <w:rPr>
          <w:rFonts w:ascii="Times New Roman" w:hAnsi="Times New Roman" w:cs="Times New Roman"/>
          <w:sz w:val="22"/>
          <w:szCs w:val="22"/>
          <w:lang w:val="lt-LT"/>
        </w:rPr>
        <w:lastRenderedPageBreak/>
        <w:t>1.</w:t>
      </w:r>
      <w:r w:rsidRPr="004F572A">
        <w:rPr>
          <w:rFonts w:ascii="Times New Roman" w:hAnsi="Times New Roman" w:cs="Times New Roman"/>
          <w:sz w:val="22"/>
          <w:szCs w:val="22"/>
          <w:lang w:val="lt-LT"/>
        </w:rPr>
        <w:tab/>
        <w:t>VAISTINIO PREPARATO PAVADINIMAS</w:t>
      </w:r>
    </w:p>
    <w:p w14:paraId="685C0335" w14:textId="77777777" w:rsidR="000928CA" w:rsidRPr="004F572A" w:rsidRDefault="000928CA" w:rsidP="000928CA">
      <w:pPr>
        <w:rPr>
          <w:sz w:val="22"/>
          <w:szCs w:val="22"/>
        </w:rPr>
      </w:pPr>
    </w:p>
    <w:p w14:paraId="2CF3F1AE" w14:textId="43C5C748" w:rsidR="000928CA" w:rsidRPr="004F572A" w:rsidRDefault="000A3AA7" w:rsidP="000A3AA7">
      <w:pPr>
        <w:ind w:right="3670"/>
        <w:rPr>
          <w:spacing w:val="-1"/>
          <w:sz w:val="22"/>
          <w:szCs w:val="22"/>
        </w:rPr>
      </w:pPr>
      <w:bookmarkStart w:id="0" w:name="_Hlk195347564"/>
      <w:proofErr w:type="spellStart"/>
      <w:r w:rsidRPr="004F572A">
        <w:rPr>
          <w:spacing w:val="-1"/>
          <w:sz w:val="22"/>
          <w:szCs w:val="22"/>
        </w:rPr>
        <w:t>Lenvatinib</w:t>
      </w:r>
      <w:proofErr w:type="spellEnd"/>
      <w:r w:rsidRPr="004F572A">
        <w:rPr>
          <w:spacing w:val="-1"/>
          <w:sz w:val="22"/>
          <w:szCs w:val="22"/>
        </w:rPr>
        <w:t xml:space="preserve"> </w:t>
      </w:r>
      <w:proofErr w:type="spellStart"/>
      <w:r w:rsidRPr="004F572A">
        <w:rPr>
          <w:spacing w:val="-1"/>
          <w:sz w:val="22"/>
          <w:szCs w:val="22"/>
        </w:rPr>
        <w:t>Sandoz</w:t>
      </w:r>
      <w:proofErr w:type="spellEnd"/>
      <w:r w:rsidR="000928CA" w:rsidRPr="004F572A">
        <w:rPr>
          <w:spacing w:val="-1"/>
          <w:sz w:val="22"/>
          <w:szCs w:val="22"/>
        </w:rPr>
        <w:t xml:space="preserve"> </w:t>
      </w:r>
      <w:r w:rsidRPr="004F572A">
        <w:rPr>
          <w:spacing w:val="-1"/>
          <w:sz w:val="22"/>
          <w:szCs w:val="22"/>
        </w:rPr>
        <w:t xml:space="preserve">4 mg </w:t>
      </w:r>
      <w:r w:rsidR="000928CA" w:rsidRPr="004F572A">
        <w:rPr>
          <w:spacing w:val="-1"/>
          <w:sz w:val="22"/>
          <w:szCs w:val="22"/>
        </w:rPr>
        <w:t>kietosios kapsulės</w:t>
      </w:r>
    </w:p>
    <w:bookmarkEnd w:id="0"/>
    <w:p w14:paraId="0A3DE186" w14:textId="2A58342C" w:rsidR="000A3AA7" w:rsidRPr="004F572A" w:rsidRDefault="000A3AA7" w:rsidP="000A3AA7">
      <w:pPr>
        <w:ind w:right="3670"/>
        <w:rPr>
          <w:spacing w:val="-1"/>
          <w:sz w:val="22"/>
          <w:szCs w:val="22"/>
        </w:rPr>
      </w:pPr>
      <w:proofErr w:type="spellStart"/>
      <w:r w:rsidRPr="004F572A">
        <w:rPr>
          <w:spacing w:val="-1"/>
          <w:sz w:val="22"/>
          <w:szCs w:val="22"/>
        </w:rPr>
        <w:t>Lenvatinib</w:t>
      </w:r>
      <w:proofErr w:type="spellEnd"/>
      <w:r w:rsidRPr="004F572A">
        <w:rPr>
          <w:spacing w:val="-1"/>
          <w:sz w:val="22"/>
          <w:szCs w:val="22"/>
        </w:rPr>
        <w:t xml:space="preserve"> </w:t>
      </w:r>
      <w:proofErr w:type="spellStart"/>
      <w:r w:rsidRPr="004F572A">
        <w:rPr>
          <w:spacing w:val="-1"/>
          <w:sz w:val="22"/>
          <w:szCs w:val="22"/>
        </w:rPr>
        <w:t>Sandoz</w:t>
      </w:r>
      <w:proofErr w:type="spellEnd"/>
      <w:r w:rsidRPr="004F572A">
        <w:rPr>
          <w:spacing w:val="-1"/>
          <w:sz w:val="22"/>
          <w:szCs w:val="22"/>
        </w:rPr>
        <w:t xml:space="preserve"> 10 mg kietosios kapsulės</w:t>
      </w:r>
    </w:p>
    <w:p w14:paraId="2C9441C4" w14:textId="77777777" w:rsidR="000928CA" w:rsidRPr="004F572A" w:rsidRDefault="000928CA" w:rsidP="000928CA">
      <w:pPr>
        <w:rPr>
          <w:sz w:val="22"/>
          <w:szCs w:val="22"/>
        </w:rPr>
      </w:pPr>
    </w:p>
    <w:p w14:paraId="4EABBCB7" w14:textId="77777777" w:rsidR="000928CA" w:rsidRPr="004F572A" w:rsidRDefault="000928CA" w:rsidP="000928CA">
      <w:pPr>
        <w:rPr>
          <w:sz w:val="22"/>
          <w:szCs w:val="22"/>
        </w:rPr>
      </w:pPr>
    </w:p>
    <w:p w14:paraId="2D73A162" w14:textId="77777777" w:rsidR="000928CA" w:rsidRPr="004F572A" w:rsidRDefault="000928CA" w:rsidP="000928CA">
      <w:pPr>
        <w:pStyle w:val="Antrat3"/>
        <w:spacing w:before="0" w:after="0"/>
        <w:rPr>
          <w:rFonts w:ascii="Times New Roman" w:hAnsi="Times New Roman"/>
          <w:sz w:val="22"/>
          <w:szCs w:val="22"/>
          <w:lang w:val="lt-LT"/>
        </w:rPr>
      </w:pPr>
      <w:r w:rsidRPr="004F572A">
        <w:rPr>
          <w:rFonts w:ascii="Times New Roman" w:hAnsi="Times New Roman" w:cs="Times New Roman"/>
          <w:sz w:val="22"/>
          <w:szCs w:val="22"/>
          <w:lang w:val="lt-LT"/>
        </w:rPr>
        <w:t>2.</w:t>
      </w:r>
      <w:r w:rsidRPr="004F572A">
        <w:rPr>
          <w:rFonts w:ascii="Times New Roman" w:hAnsi="Times New Roman" w:cs="Times New Roman"/>
          <w:sz w:val="22"/>
          <w:szCs w:val="22"/>
          <w:lang w:val="lt-LT"/>
        </w:rPr>
        <w:tab/>
        <w:t>KOKYBINĖ IR KIEKYBINĖ SUDĖTIS</w:t>
      </w:r>
    </w:p>
    <w:p w14:paraId="4802EB77" w14:textId="77777777" w:rsidR="000928CA" w:rsidRPr="004F572A" w:rsidRDefault="000928CA" w:rsidP="000928CA">
      <w:pPr>
        <w:rPr>
          <w:sz w:val="22"/>
          <w:szCs w:val="22"/>
        </w:rPr>
      </w:pPr>
    </w:p>
    <w:p w14:paraId="48D7D74E" w14:textId="77777777" w:rsidR="000A3AA7" w:rsidRPr="004F572A" w:rsidRDefault="000A3AA7" w:rsidP="000A3AA7">
      <w:pPr>
        <w:ind w:right="3670"/>
        <w:rPr>
          <w:spacing w:val="-1"/>
          <w:sz w:val="22"/>
          <w:szCs w:val="22"/>
          <w:u w:val="single"/>
        </w:rPr>
      </w:pPr>
      <w:proofErr w:type="spellStart"/>
      <w:r w:rsidRPr="004F572A">
        <w:rPr>
          <w:spacing w:val="-1"/>
          <w:sz w:val="22"/>
          <w:szCs w:val="22"/>
          <w:u w:val="single"/>
        </w:rPr>
        <w:t>Lenvatinib</w:t>
      </w:r>
      <w:proofErr w:type="spellEnd"/>
      <w:r w:rsidRPr="004F572A">
        <w:rPr>
          <w:spacing w:val="-1"/>
          <w:sz w:val="22"/>
          <w:szCs w:val="22"/>
          <w:u w:val="single"/>
        </w:rPr>
        <w:t xml:space="preserve"> </w:t>
      </w:r>
      <w:proofErr w:type="spellStart"/>
      <w:r w:rsidRPr="004F572A">
        <w:rPr>
          <w:spacing w:val="-1"/>
          <w:sz w:val="22"/>
          <w:szCs w:val="22"/>
          <w:u w:val="single"/>
        </w:rPr>
        <w:t>Sandoz</w:t>
      </w:r>
      <w:proofErr w:type="spellEnd"/>
      <w:r w:rsidRPr="004F572A">
        <w:rPr>
          <w:spacing w:val="-1"/>
          <w:sz w:val="22"/>
          <w:szCs w:val="22"/>
          <w:u w:val="single"/>
        </w:rPr>
        <w:t xml:space="preserve"> 4 mg kietosios kapsulės</w:t>
      </w:r>
    </w:p>
    <w:p w14:paraId="3EAFF41D" w14:textId="77777777" w:rsidR="000A3AA7" w:rsidRPr="004F572A" w:rsidRDefault="000A3AA7" w:rsidP="000928CA">
      <w:pPr>
        <w:widowControl w:val="0"/>
        <w:tabs>
          <w:tab w:val="clear" w:pos="567"/>
        </w:tabs>
        <w:ind w:right="151"/>
        <w:rPr>
          <w:spacing w:val="-1"/>
          <w:sz w:val="22"/>
          <w:szCs w:val="22"/>
        </w:rPr>
      </w:pPr>
    </w:p>
    <w:p w14:paraId="33101D48" w14:textId="65AB68DE" w:rsidR="000928CA" w:rsidRPr="004F572A" w:rsidRDefault="000928CA" w:rsidP="000928CA">
      <w:pPr>
        <w:widowControl w:val="0"/>
        <w:tabs>
          <w:tab w:val="clear" w:pos="567"/>
        </w:tabs>
        <w:ind w:right="151"/>
        <w:rPr>
          <w:spacing w:val="-1"/>
          <w:sz w:val="22"/>
          <w:szCs w:val="22"/>
        </w:rPr>
      </w:pPr>
      <w:r w:rsidRPr="004F572A">
        <w:rPr>
          <w:spacing w:val="-1"/>
          <w:sz w:val="22"/>
          <w:szCs w:val="22"/>
        </w:rPr>
        <w:t xml:space="preserve">Kiekvienoje kietojoje kapsulėje yra </w:t>
      </w:r>
      <w:proofErr w:type="spellStart"/>
      <w:r w:rsidR="004F572A" w:rsidRPr="004F572A">
        <w:rPr>
          <w:spacing w:val="-1"/>
          <w:sz w:val="22"/>
          <w:szCs w:val="22"/>
        </w:rPr>
        <w:t>lenvatinibo</w:t>
      </w:r>
      <w:proofErr w:type="spellEnd"/>
      <w:r w:rsidR="004F572A" w:rsidRPr="004F572A">
        <w:rPr>
          <w:spacing w:val="-1"/>
          <w:sz w:val="22"/>
          <w:szCs w:val="22"/>
        </w:rPr>
        <w:t xml:space="preserve"> </w:t>
      </w:r>
      <w:proofErr w:type="spellStart"/>
      <w:r w:rsidR="004F572A" w:rsidRPr="004F572A">
        <w:rPr>
          <w:spacing w:val="-1"/>
          <w:sz w:val="22"/>
          <w:szCs w:val="22"/>
        </w:rPr>
        <w:t>besilato</w:t>
      </w:r>
      <w:proofErr w:type="spellEnd"/>
      <w:r w:rsidR="004F572A" w:rsidRPr="004F572A">
        <w:rPr>
          <w:spacing w:val="-1"/>
          <w:sz w:val="22"/>
          <w:szCs w:val="22"/>
        </w:rPr>
        <w:t xml:space="preserve">, atitinkančio </w:t>
      </w:r>
      <w:r w:rsidR="000A3AA7" w:rsidRPr="004F572A">
        <w:rPr>
          <w:spacing w:val="-1"/>
          <w:sz w:val="22"/>
          <w:szCs w:val="22"/>
        </w:rPr>
        <w:t>4</w:t>
      </w:r>
      <w:r w:rsidRPr="004F572A">
        <w:rPr>
          <w:spacing w:val="-1"/>
          <w:sz w:val="22"/>
          <w:szCs w:val="22"/>
        </w:rPr>
        <w:t xml:space="preserve"> mg </w:t>
      </w:r>
      <w:proofErr w:type="spellStart"/>
      <w:r w:rsidR="000A3AA7" w:rsidRPr="004F572A">
        <w:rPr>
          <w:spacing w:val="-1"/>
          <w:sz w:val="22"/>
          <w:szCs w:val="22"/>
        </w:rPr>
        <w:t>lenvatinibo</w:t>
      </w:r>
      <w:proofErr w:type="spellEnd"/>
      <w:r w:rsidRPr="004F572A">
        <w:rPr>
          <w:spacing w:val="-1"/>
          <w:sz w:val="22"/>
          <w:szCs w:val="22"/>
        </w:rPr>
        <w:t>.</w:t>
      </w:r>
    </w:p>
    <w:p w14:paraId="27ADF52D" w14:textId="77777777" w:rsidR="000A3AA7" w:rsidRPr="004F572A" w:rsidRDefault="000A3AA7" w:rsidP="000A3AA7">
      <w:pPr>
        <w:ind w:right="3670"/>
        <w:rPr>
          <w:spacing w:val="-1"/>
          <w:sz w:val="22"/>
          <w:szCs w:val="22"/>
          <w:u w:val="single"/>
        </w:rPr>
      </w:pPr>
    </w:p>
    <w:p w14:paraId="7ABEC02D" w14:textId="347E5FF3" w:rsidR="000A3AA7" w:rsidRPr="004F572A" w:rsidRDefault="000A3AA7" w:rsidP="000A3AA7">
      <w:pPr>
        <w:ind w:right="3670"/>
        <w:rPr>
          <w:spacing w:val="-1"/>
          <w:sz w:val="22"/>
          <w:szCs w:val="22"/>
          <w:u w:val="single"/>
        </w:rPr>
      </w:pPr>
      <w:proofErr w:type="spellStart"/>
      <w:r w:rsidRPr="004F572A">
        <w:rPr>
          <w:spacing w:val="-1"/>
          <w:sz w:val="22"/>
          <w:szCs w:val="22"/>
          <w:u w:val="single"/>
        </w:rPr>
        <w:t>Lenvatinib</w:t>
      </w:r>
      <w:proofErr w:type="spellEnd"/>
      <w:r w:rsidRPr="004F572A">
        <w:rPr>
          <w:spacing w:val="-1"/>
          <w:sz w:val="22"/>
          <w:szCs w:val="22"/>
          <w:u w:val="single"/>
        </w:rPr>
        <w:t xml:space="preserve"> </w:t>
      </w:r>
      <w:proofErr w:type="spellStart"/>
      <w:r w:rsidRPr="004F572A">
        <w:rPr>
          <w:spacing w:val="-1"/>
          <w:sz w:val="22"/>
          <w:szCs w:val="22"/>
          <w:u w:val="single"/>
        </w:rPr>
        <w:t>Sandoz</w:t>
      </w:r>
      <w:proofErr w:type="spellEnd"/>
      <w:r w:rsidRPr="004F572A">
        <w:rPr>
          <w:spacing w:val="-1"/>
          <w:sz w:val="22"/>
          <w:szCs w:val="22"/>
          <w:u w:val="single"/>
        </w:rPr>
        <w:t xml:space="preserve"> 10 mg kietosios kapsulės</w:t>
      </w:r>
    </w:p>
    <w:p w14:paraId="02DF8659" w14:textId="77777777" w:rsidR="000A3AA7" w:rsidRPr="004F572A" w:rsidRDefault="000A3AA7" w:rsidP="000A3AA7">
      <w:pPr>
        <w:widowControl w:val="0"/>
        <w:tabs>
          <w:tab w:val="clear" w:pos="567"/>
        </w:tabs>
        <w:ind w:right="151"/>
        <w:rPr>
          <w:spacing w:val="-1"/>
          <w:sz w:val="22"/>
          <w:szCs w:val="22"/>
        </w:rPr>
      </w:pPr>
    </w:p>
    <w:p w14:paraId="5431AB85" w14:textId="7BE2F53F" w:rsidR="000A3AA7" w:rsidRPr="004F572A" w:rsidRDefault="000A3AA7" w:rsidP="000A3AA7">
      <w:pPr>
        <w:widowControl w:val="0"/>
        <w:tabs>
          <w:tab w:val="clear" w:pos="567"/>
        </w:tabs>
        <w:ind w:right="151"/>
        <w:rPr>
          <w:spacing w:val="-1"/>
          <w:sz w:val="22"/>
          <w:szCs w:val="22"/>
        </w:rPr>
      </w:pPr>
      <w:r w:rsidRPr="004F572A">
        <w:rPr>
          <w:spacing w:val="-1"/>
          <w:sz w:val="22"/>
          <w:szCs w:val="22"/>
        </w:rPr>
        <w:t xml:space="preserve">Kiekvienoje kietojoje kapsulėje yra </w:t>
      </w:r>
      <w:proofErr w:type="spellStart"/>
      <w:r w:rsidR="004F572A" w:rsidRPr="004F572A">
        <w:rPr>
          <w:spacing w:val="-1"/>
          <w:sz w:val="22"/>
          <w:szCs w:val="22"/>
        </w:rPr>
        <w:t>lenvatinibo</w:t>
      </w:r>
      <w:proofErr w:type="spellEnd"/>
      <w:r w:rsidR="004F572A" w:rsidRPr="004F572A">
        <w:rPr>
          <w:spacing w:val="-1"/>
          <w:sz w:val="22"/>
          <w:szCs w:val="22"/>
        </w:rPr>
        <w:t xml:space="preserve"> </w:t>
      </w:r>
      <w:proofErr w:type="spellStart"/>
      <w:r w:rsidR="004F572A" w:rsidRPr="004F572A">
        <w:rPr>
          <w:spacing w:val="-1"/>
          <w:sz w:val="22"/>
          <w:szCs w:val="22"/>
        </w:rPr>
        <w:t>besilato</w:t>
      </w:r>
      <w:proofErr w:type="spellEnd"/>
      <w:r w:rsidR="004F572A" w:rsidRPr="004F572A">
        <w:rPr>
          <w:spacing w:val="-1"/>
          <w:sz w:val="22"/>
          <w:szCs w:val="22"/>
        </w:rPr>
        <w:t xml:space="preserve">, atitinkančio </w:t>
      </w:r>
      <w:r w:rsidRPr="004F572A">
        <w:rPr>
          <w:spacing w:val="-1"/>
          <w:sz w:val="22"/>
          <w:szCs w:val="22"/>
        </w:rPr>
        <w:t xml:space="preserve">10 mg </w:t>
      </w:r>
      <w:proofErr w:type="spellStart"/>
      <w:r w:rsidRPr="004F572A">
        <w:rPr>
          <w:spacing w:val="-1"/>
          <w:sz w:val="22"/>
          <w:szCs w:val="22"/>
        </w:rPr>
        <w:t>lenvatinibo</w:t>
      </w:r>
      <w:proofErr w:type="spellEnd"/>
      <w:r w:rsidRPr="004F572A">
        <w:rPr>
          <w:spacing w:val="-1"/>
          <w:sz w:val="22"/>
          <w:szCs w:val="22"/>
        </w:rPr>
        <w:t>.</w:t>
      </w:r>
    </w:p>
    <w:p w14:paraId="3356BA9C" w14:textId="77777777" w:rsidR="000928CA" w:rsidRPr="004F572A" w:rsidRDefault="000928CA" w:rsidP="000928CA">
      <w:pPr>
        <w:widowControl w:val="0"/>
        <w:tabs>
          <w:tab w:val="clear" w:pos="567"/>
        </w:tabs>
        <w:ind w:right="151"/>
        <w:rPr>
          <w:sz w:val="22"/>
          <w:szCs w:val="22"/>
        </w:rPr>
      </w:pPr>
    </w:p>
    <w:p w14:paraId="2141CB50" w14:textId="0A5F4C13" w:rsidR="000928CA" w:rsidRPr="004F572A" w:rsidRDefault="000928CA" w:rsidP="000928CA">
      <w:pPr>
        <w:rPr>
          <w:sz w:val="22"/>
          <w:szCs w:val="22"/>
        </w:rPr>
      </w:pPr>
      <w:r w:rsidRPr="004F572A">
        <w:rPr>
          <w:sz w:val="22"/>
          <w:szCs w:val="22"/>
        </w:rPr>
        <w:t>Visos pagalbinės medžiagos išvardytos 6.1</w:t>
      </w:r>
      <w:r w:rsidR="00B27D6E" w:rsidRPr="004F572A">
        <w:rPr>
          <w:sz w:val="22"/>
          <w:szCs w:val="22"/>
        </w:rPr>
        <w:t> </w:t>
      </w:r>
      <w:r w:rsidRPr="004F572A">
        <w:rPr>
          <w:sz w:val="22"/>
          <w:szCs w:val="22"/>
        </w:rPr>
        <w:t>skyriuje.</w:t>
      </w:r>
    </w:p>
    <w:p w14:paraId="74219154" w14:textId="77777777" w:rsidR="000928CA" w:rsidRPr="004F572A" w:rsidRDefault="000928CA" w:rsidP="000928CA">
      <w:pPr>
        <w:rPr>
          <w:sz w:val="22"/>
          <w:szCs w:val="22"/>
        </w:rPr>
      </w:pPr>
    </w:p>
    <w:p w14:paraId="46D1387B" w14:textId="77777777" w:rsidR="000928CA" w:rsidRPr="004F572A" w:rsidRDefault="000928CA" w:rsidP="000928CA">
      <w:pPr>
        <w:rPr>
          <w:sz w:val="22"/>
          <w:szCs w:val="22"/>
        </w:rPr>
      </w:pPr>
    </w:p>
    <w:p w14:paraId="63708EFD" w14:textId="77777777" w:rsidR="000928CA" w:rsidRPr="004F572A" w:rsidRDefault="000928CA" w:rsidP="000928CA">
      <w:pPr>
        <w:pStyle w:val="Antrat3"/>
        <w:spacing w:before="0" w:after="0"/>
        <w:rPr>
          <w:rFonts w:ascii="Times New Roman" w:hAnsi="Times New Roman"/>
          <w:sz w:val="22"/>
          <w:szCs w:val="22"/>
          <w:lang w:val="lt-LT"/>
        </w:rPr>
      </w:pPr>
      <w:r w:rsidRPr="004F572A">
        <w:rPr>
          <w:rFonts w:ascii="Times New Roman" w:hAnsi="Times New Roman" w:cs="Times New Roman"/>
          <w:sz w:val="22"/>
          <w:szCs w:val="22"/>
          <w:lang w:val="lt-LT"/>
        </w:rPr>
        <w:t>3.</w:t>
      </w:r>
      <w:r w:rsidRPr="004F572A">
        <w:rPr>
          <w:rFonts w:ascii="Times New Roman" w:hAnsi="Times New Roman" w:cs="Times New Roman"/>
          <w:sz w:val="22"/>
          <w:szCs w:val="22"/>
          <w:lang w:val="lt-LT"/>
        </w:rPr>
        <w:tab/>
        <w:t>FARMACINĖ FORMA</w:t>
      </w:r>
    </w:p>
    <w:p w14:paraId="702A649C" w14:textId="77777777" w:rsidR="000928CA" w:rsidRPr="004F572A" w:rsidRDefault="000928CA" w:rsidP="000928CA">
      <w:pPr>
        <w:rPr>
          <w:sz w:val="22"/>
          <w:szCs w:val="22"/>
        </w:rPr>
      </w:pPr>
    </w:p>
    <w:p w14:paraId="2562B9AC" w14:textId="64CF3106" w:rsidR="000928CA" w:rsidRPr="004F572A" w:rsidRDefault="00C05395" w:rsidP="000928CA">
      <w:pPr>
        <w:rPr>
          <w:spacing w:val="-1"/>
          <w:sz w:val="22"/>
          <w:szCs w:val="22"/>
        </w:rPr>
      </w:pPr>
      <w:r w:rsidRPr="004F572A">
        <w:rPr>
          <w:spacing w:val="-1"/>
          <w:sz w:val="22"/>
          <w:szCs w:val="22"/>
        </w:rPr>
        <w:t>K</w:t>
      </w:r>
      <w:r w:rsidR="000928CA" w:rsidRPr="004F572A">
        <w:rPr>
          <w:spacing w:val="-1"/>
          <w:sz w:val="22"/>
          <w:szCs w:val="22"/>
        </w:rPr>
        <w:t>ietoji kapsulė</w:t>
      </w:r>
      <w:r w:rsidRPr="004F572A">
        <w:rPr>
          <w:spacing w:val="-1"/>
          <w:sz w:val="22"/>
          <w:szCs w:val="22"/>
        </w:rPr>
        <w:t xml:space="preserve"> (kapsulė)</w:t>
      </w:r>
      <w:r w:rsidR="000928CA" w:rsidRPr="004F572A">
        <w:rPr>
          <w:spacing w:val="-1"/>
          <w:sz w:val="22"/>
          <w:szCs w:val="22"/>
        </w:rPr>
        <w:t>.</w:t>
      </w:r>
    </w:p>
    <w:p w14:paraId="5779BED8" w14:textId="77777777" w:rsidR="000928CA" w:rsidRPr="004F572A" w:rsidRDefault="000928CA" w:rsidP="000928CA">
      <w:pPr>
        <w:rPr>
          <w:spacing w:val="-1"/>
          <w:sz w:val="22"/>
          <w:szCs w:val="22"/>
        </w:rPr>
      </w:pPr>
    </w:p>
    <w:p w14:paraId="6C1D35F4" w14:textId="77777777" w:rsidR="00C05395" w:rsidRPr="004F572A" w:rsidRDefault="00C05395" w:rsidP="00C05395">
      <w:pPr>
        <w:ind w:right="3670"/>
        <w:rPr>
          <w:spacing w:val="-1"/>
          <w:sz w:val="22"/>
          <w:szCs w:val="22"/>
          <w:u w:val="single"/>
        </w:rPr>
      </w:pPr>
      <w:proofErr w:type="spellStart"/>
      <w:r w:rsidRPr="004F572A">
        <w:rPr>
          <w:spacing w:val="-1"/>
          <w:sz w:val="22"/>
          <w:szCs w:val="22"/>
          <w:u w:val="single"/>
        </w:rPr>
        <w:t>Lenvatinib</w:t>
      </w:r>
      <w:proofErr w:type="spellEnd"/>
      <w:r w:rsidRPr="004F572A">
        <w:rPr>
          <w:spacing w:val="-1"/>
          <w:sz w:val="22"/>
          <w:szCs w:val="22"/>
          <w:u w:val="single"/>
        </w:rPr>
        <w:t xml:space="preserve"> </w:t>
      </w:r>
      <w:proofErr w:type="spellStart"/>
      <w:r w:rsidRPr="004F572A">
        <w:rPr>
          <w:spacing w:val="-1"/>
          <w:sz w:val="22"/>
          <w:szCs w:val="22"/>
          <w:u w:val="single"/>
        </w:rPr>
        <w:t>Sandoz</w:t>
      </w:r>
      <w:proofErr w:type="spellEnd"/>
      <w:r w:rsidRPr="004F572A">
        <w:rPr>
          <w:spacing w:val="-1"/>
          <w:sz w:val="22"/>
          <w:szCs w:val="22"/>
          <w:u w:val="single"/>
        </w:rPr>
        <w:t xml:space="preserve"> 4 mg kietosios kapsulės</w:t>
      </w:r>
    </w:p>
    <w:p w14:paraId="37ABCA5A" w14:textId="77777777" w:rsidR="00C05395" w:rsidRPr="004F572A" w:rsidRDefault="00C05395" w:rsidP="00C05395">
      <w:pPr>
        <w:widowControl w:val="0"/>
        <w:tabs>
          <w:tab w:val="clear" w:pos="567"/>
        </w:tabs>
        <w:ind w:right="151"/>
        <w:rPr>
          <w:spacing w:val="-1"/>
          <w:sz w:val="22"/>
          <w:szCs w:val="22"/>
        </w:rPr>
      </w:pPr>
    </w:p>
    <w:p w14:paraId="547EAA26" w14:textId="6D8ECABB" w:rsidR="00C05395" w:rsidRPr="004F572A" w:rsidRDefault="00EB6840" w:rsidP="00C05395">
      <w:pPr>
        <w:widowControl w:val="0"/>
        <w:tabs>
          <w:tab w:val="clear" w:pos="567"/>
        </w:tabs>
        <w:ind w:right="151"/>
        <w:rPr>
          <w:spacing w:val="-1"/>
          <w:sz w:val="22"/>
          <w:szCs w:val="22"/>
        </w:rPr>
      </w:pPr>
      <w:r w:rsidRPr="004F572A">
        <w:rPr>
          <w:spacing w:val="-1"/>
          <w:sz w:val="22"/>
          <w:szCs w:val="22"/>
        </w:rPr>
        <w:t>K</w:t>
      </w:r>
      <w:r w:rsidR="00C05395" w:rsidRPr="004F572A">
        <w:rPr>
          <w:spacing w:val="-1"/>
          <w:sz w:val="22"/>
          <w:szCs w:val="22"/>
        </w:rPr>
        <w:t>ietosios kapsulės</w:t>
      </w:r>
      <w:r w:rsidRPr="004F572A">
        <w:rPr>
          <w:spacing w:val="-1"/>
          <w:sz w:val="22"/>
          <w:szCs w:val="22"/>
        </w:rPr>
        <w:t xml:space="preserve"> (maždaug 14,3 mm</w:t>
      </w:r>
      <w:r w:rsidR="004F5C2E">
        <w:rPr>
          <w:spacing w:val="-1"/>
          <w:sz w:val="22"/>
          <w:szCs w:val="22"/>
        </w:rPr>
        <w:t xml:space="preserve"> ilgio</w:t>
      </w:r>
      <w:r w:rsidRPr="004F572A">
        <w:rPr>
          <w:spacing w:val="-1"/>
          <w:sz w:val="22"/>
          <w:szCs w:val="22"/>
        </w:rPr>
        <w:t>)</w:t>
      </w:r>
      <w:r w:rsidR="004F5C2E">
        <w:rPr>
          <w:spacing w:val="-1"/>
          <w:sz w:val="22"/>
          <w:szCs w:val="22"/>
        </w:rPr>
        <w:t xml:space="preserve"> su</w:t>
      </w:r>
      <w:r w:rsidR="00C05395" w:rsidRPr="004F572A">
        <w:rPr>
          <w:spacing w:val="-1"/>
          <w:sz w:val="22"/>
          <w:szCs w:val="22"/>
        </w:rPr>
        <w:t xml:space="preserve"> karamel</w:t>
      </w:r>
      <w:r w:rsidR="004F5C2E">
        <w:rPr>
          <w:spacing w:val="-1"/>
          <w:sz w:val="22"/>
          <w:szCs w:val="22"/>
        </w:rPr>
        <w:t>ės spalvos</w:t>
      </w:r>
      <w:r w:rsidR="00C05395" w:rsidRPr="004F572A">
        <w:rPr>
          <w:spacing w:val="-1"/>
          <w:sz w:val="22"/>
          <w:szCs w:val="22"/>
        </w:rPr>
        <w:t xml:space="preserve"> nepermatom</w:t>
      </w:r>
      <w:r w:rsidR="004F5C2E">
        <w:rPr>
          <w:spacing w:val="-1"/>
          <w:sz w:val="22"/>
          <w:szCs w:val="22"/>
        </w:rPr>
        <w:t>u</w:t>
      </w:r>
      <w:r w:rsidR="00C05395" w:rsidRPr="004F572A">
        <w:rPr>
          <w:spacing w:val="-1"/>
          <w:sz w:val="22"/>
          <w:szCs w:val="22"/>
        </w:rPr>
        <w:t xml:space="preserve"> korpus</w:t>
      </w:r>
      <w:r w:rsidR="004F5C2E">
        <w:rPr>
          <w:spacing w:val="-1"/>
          <w:sz w:val="22"/>
          <w:szCs w:val="22"/>
        </w:rPr>
        <w:t>u</w:t>
      </w:r>
      <w:r w:rsidR="00C05395" w:rsidRPr="004F572A">
        <w:rPr>
          <w:spacing w:val="-1"/>
          <w:sz w:val="22"/>
          <w:szCs w:val="22"/>
        </w:rPr>
        <w:t xml:space="preserve"> ir karamelin</w:t>
      </w:r>
      <w:r w:rsidR="004F5C2E">
        <w:rPr>
          <w:spacing w:val="-1"/>
          <w:sz w:val="22"/>
          <w:szCs w:val="22"/>
        </w:rPr>
        <w:t>ės spalvos</w:t>
      </w:r>
      <w:r w:rsidR="00C05395" w:rsidRPr="004F572A">
        <w:rPr>
          <w:spacing w:val="-1"/>
          <w:sz w:val="22"/>
          <w:szCs w:val="22"/>
        </w:rPr>
        <w:t xml:space="preserve"> nepermatom</w:t>
      </w:r>
      <w:r w:rsidR="004F5C2E">
        <w:rPr>
          <w:spacing w:val="-1"/>
          <w:sz w:val="22"/>
          <w:szCs w:val="22"/>
        </w:rPr>
        <w:t>u</w:t>
      </w:r>
      <w:r w:rsidR="00C05395" w:rsidRPr="004F572A">
        <w:rPr>
          <w:spacing w:val="-1"/>
          <w:sz w:val="22"/>
          <w:szCs w:val="22"/>
        </w:rPr>
        <w:t xml:space="preserve"> dangteli</w:t>
      </w:r>
      <w:r w:rsidR="004F5C2E">
        <w:rPr>
          <w:spacing w:val="-1"/>
          <w:sz w:val="22"/>
          <w:szCs w:val="22"/>
        </w:rPr>
        <w:t>u</w:t>
      </w:r>
      <w:r w:rsidR="00C05395" w:rsidRPr="004F572A">
        <w:rPr>
          <w:spacing w:val="-1"/>
          <w:sz w:val="22"/>
          <w:szCs w:val="22"/>
        </w:rPr>
        <w:t xml:space="preserve">, </w:t>
      </w:r>
      <w:bookmarkStart w:id="1" w:name="_Hlk204606573"/>
      <w:r w:rsidR="004F5C2E">
        <w:rPr>
          <w:spacing w:val="-1"/>
          <w:sz w:val="22"/>
          <w:szCs w:val="22"/>
        </w:rPr>
        <w:t xml:space="preserve">ant kurio </w:t>
      </w:r>
      <w:r w:rsidR="004F5C2E" w:rsidRPr="004F572A">
        <w:rPr>
          <w:spacing w:val="-1"/>
          <w:sz w:val="22"/>
          <w:szCs w:val="22"/>
        </w:rPr>
        <w:t>virš „4“</w:t>
      </w:r>
      <w:bookmarkEnd w:id="1"/>
      <w:r w:rsidR="00C05395" w:rsidRPr="004F572A">
        <w:rPr>
          <w:spacing w:val="-1"/>
          <w:sz w:val="22"/>
          <w:szCs w:val="22"/>
        </w:rPr>
        <w:t xml:space="preserve"> įspaust</w:t>
      </w:r>
      <w:r w:rsidR="004F5C2E">
        <w:rPr>
          <w:spacing w:val="-1"/>
          <w:sz w:val="22"/>
          <w:szCs w:val="22"/>
        </w:rPr>
        <w:t>as</w:t>
      </w:r>
      <w:r w:rsidR="00C05395" w:rsidRPr="004F572A">
        <w:rPr>
          <w:spacing w:val="-1"/>
          <w:sz w:val="22"/>
          <w:szCs w:val="22"/>
        </w:rPr>
        <w:t xml:space="preserve"> užraš</w:t>
      </w:r>
      <w:r w:rsidR="004F5C2E">
        <w:rPr>
          <w:spacing w:val="-1"/>
          <w:sz w:val="22"/>
          <w:szCs w:val="22"/>
        </w:rPr>
        <w:t>as</w:t>
      </w:r>
      <w:r w:rsidR="00C05395" w:rsidRPr="004F572A">
        <w:rPr>
          <w:spacing w:val="-1"/>
          <w:sz w:val="22"/>
          <w:szCs w:val="22"/>
        </w:rPr>
        <w:t xml:space="preserve"> „L7VB“</w:t>
      </w:r>
      <w:r w:rsidR="004F5C2E">
        <w:rPr>
          <w:spacing w:val="-1"/>
          <w:sz w:val="22"/>
          <w:szCs w:val="22"/>
        </w:rPr>
        <w:t>.</w:t>
      </w:r>
    </w:p>
    <w:p w14:paraId="1A524A46" w14:textId="77777777" w:rsidR="00C05395" w:rsidRPr="004F572A" w:rsidRDefault="00C05395" w:rsidP="00C05395">
      <w:pPr>
        <w:ind w:right="3670"/>
        <w:rPr>
          <w:spacing w:val="-1"/>
          <w:sz w:val="22"/>
          <w:szCs w:val="22"/>
          <w:u w:val="single"/>
        </w:rPr>
      </w:pPr>
    </w:p>
    <w:p w14:paraId="61F82A6E" w14:textId="77777777" w:rsidR="00C05395" w:rsidRPr="004F572A" w:rsidRDefault="00C05395" w:rsidP="00C05395">
      <w:pPr>
        <w:ind w:right="3670"/>
        <w:rPr>
          <w:spacing w:val="-1"/>
          <w:sz w:val="22"/>
          <w:szCs w:val="22"/>
          <w:u w:val="single"/>
        </w:rPr>
      </w:pPr>
      <w:proofErr w:type="spellStart"/>
      <w:r w:rsidRPr="004F572A">
        <w:rPr>
          <w:spacing w:val="-1"/>
          <w:sz w:val="22"/>
          <w:szCs w:val="22"/>
          <w:u w:val="single"/>
        </w:rPr>
        <w:t>Lenvatinib</w:t>
      </w:r>
      <w:proofErr w:type="spellEnd"/>
      <w:r w:rsidRPr="004F572A">
        <w:rPr>
          <w:spacing w:val="-1"/>
          <w:sz w:val="22"/>
          <w:szCs w:val="22"/>
          <w:u w:val="single"/>
        </w:rPr>
        <w:t xml:space="preserve"> </w:t>
      </w:r>
      <w:proofErr w:type="spellStart"/>
      <w:r w:rsidRPr="004F572A">
        <w:rPr>
          <w:spacing w:val="-1"/>
          <w:sz w:val="22"/>
          <w:szCs w:val="22"/>
          <w:u w:val="single"/>
        </w:rPr>
        <w:t>Sandoz</w:t>
      </w:r>
      <w:proofErr w:type="spellEnd"/>
      <w:r w:rsidRPr="004F572A">
        <w:rPr>
          <w:spacing w:val="-1"/>
          <w:sz w:val="22"/>
          <w:szCs w:val="22"/>
          <w:u w:val="single"/>
        </w:rPr>
        <w:t xml:space="preserve"> 10 mg kietosios kapsulės</w:t>
      </w:r>
    </w:p>
    <w:p w14:paraId="47DCFD7B" w14:textId="77777777" w:rsidR="00AC6F66" w:rsidRDefault="00AC6F66" w:rsidP="00D446EB">
      <w:pPr>
        <w:widowControl w:val="0"/>
        <w:tabs>
          <w:tab w:val="clear" w:pos="567"/>
        </w:tabs>
        <w:ind w:right="151"/>
        <w:rPr>
          <w:spacing w:val="-1"/>
          <w:sz w:val="22"/>
          <w:szCs w:val="22"/>
        </w:rPr>
      </w:pPr>
    </w:p>
    <w:p w14:paraId="387A0B25" w14:textId="367F784A" w:rsidR="00D446EB" w:rsidRPr="004F572A" w:rsidRDefault="00EB6840" w:rsidP="00D446EB">
      <w:pPr>
        <w:widowControl w:val="0"/>
        <w:tabs>
          <w:tab w:val="clear" w:pos="567"/>
        </w:tabs>
        <w:ind w:right="151"/>
        <w:rPr>
          <w:spacing w:val="-1"/>
          <w:sz w:val="22"/>
          <w:szCs w:val="22"/>
        </w:rPr>
      </w:pPr>
      <w:r w:rsidRPr="004F572A">
        <w:rPr>
          <w:spacing w:val="-1"/>
          <w:sz w:val="22"/>
          <w:szCs w:val="22"/>
        </w:rPr>
        <w:t>K</w:t>
      </w:r>
      <w:r w:rsidR="00D446EB" w:rsidRPr="004F572A">
        <w:rPr>
          <w:spacing w:val="-1"/>
          <w:sz w:val="22"/>
          <w:szCs w:val="22"/>
        </w:rPr>
        <w:t>ietosios kapsulės</w:t>
      </w:r>
      <w:r w:rsidRPr="004F572A">
        <w:rPr>
          <w:spacing w:val="-1"/>
          <w:sz w:val="22"/>
          <w:szCs w:val="22"/>
        </w:rPr>
        <w:t xml:space="preserve"> (maždaug 14,3 mm</w:t>
      </w:r>
      <w:r w:rsidR="004F5C2E">
        <w:rPr>
          <w:spacing w:val="-1"/>
          <w:sz w:val="22"/>
          <w:szCs w:val="22"/>
        </w:rPr>
        <w:t xml:space="preserve"> ilgio</w:t>
      </w:r>
      <w:r w:rsidRPr="004F572A">
        <w:rPr>
          <w:spacing w:val="-1"/>
          <w:sz w:val="22"/>
          <w:szCs w:val="22"/>
        </w:rPr>
        <w:t>)</w:t>
      </w:r>
      <w:r w:rsidR="004F5C2E">
        <w:rPr>
          <w:spacing w:val="-1"/>
          <w:sz w:val="22"/>
          <w:szCs w:val="22"/>
        </w:rPr>
        <w:t xml:space="preserve"> su</w:t>
      </w:r>
      <w:r w:rsidR="00D446EB" w:rsidRPr="004F572A">
        <w:rPr>
          <w:spacing w:val="-1"/>
          <w:sz w:val="22"/>
          <w:szCs w:val="22"/>
        </w:rPr>
        <w:t xml:space="preserve"> </w:t>
      </w:r>
      <w:r w:rsidR="004F572A" w:rsidRPr="004F572A">
        <w:rPr>
          <w:spacing w:val="-1"/>
          <w:sz w:val="22"/>
          <w:szCs w:val="22"/>
        </w:rPr>
        <w:t>sodriai gelton</w:t>
      </w:r>
      <w:r w:rsidR="004F5C2E">
        <w:rPr>
          <w:spacing w:val="-1"/>
          <w:sz w:val="22"/>
          <w:szCs w:val="22"/>
        </w:rPr>
        <w:t>u</w:t>
      </w:r>
      <w:r w:rsidR="004F572A" w:rsidRPr="004F572A">
        <w:rPr>
          <w:spacing w:val="-1"/>
          <w:sz w:val="22"/>
          <w:szCs w:val="22"/>
        </w:rPr>
        <w:t xml:space="preserve"> </w:t>
      </w:r>
      <w:r w:rsidR="00D446EB" w:rsidRPr="004F572A">
        <w:rPr>
          <w:spacing w:val="-1"/>
          <w:sz w:val="22"/>
          <w:szCs w:val="22"/>
        </w:rPr>
        <w:t>nepermatom</w:t>
      </w:r>
      <w:r w:rsidR="004F5C2E">
        <w:rPr>
          <w:spacing w:val="-1"/>
          <w:sz w:val="22"/>
          <w:szCs w:val="22"/>
        </w:rPr>
        <w:t>u</w:t>
      </w:r>
      <w:r w:rsidR="00D446EB" w:rsidRPr="004F572A">
        <w:rPr>
          <w:spacing w:val="-1"/>
          <w:sz w:val="22"/>
          <w:szCs w:val="22"/>
        </w:rPr>
        <w:t xml:space="preserve"> korpus</w:t>
      </w:r>
      <w:r w:rsidR="004F5C2E">
        <w:rPr>
          <w:spacing w:val="-1"/>
          <w:sz w:val="22"/>
          <w:szCs w:val="22"/>
        </w:rPr>
        <w:t>u</w:t>
      </w:r>
      <w:r w:rsidR="00D446EB" w:rsidRPr="004F572A">
        <w:rPr>
          <w:spacing w:val="-1"/>
          <w:sz w:val="22"/>
          <w:szCs w:val="22"/>
        </w:rPr>
        <w:t xml:space="preserve"> ir karamel</w:t>
      </w:r>
      <w:r w:rsidR="004F5C2E">
        <w:rPr>
          <w:spacing w:val="-1"/>
          <w:sz w:val="22"/>
          <w:szCs w:val="22"/>
        </w:rPr>
        <w:t>ės spalvos</w:t>
      </w:r>
      <w:r w:rsidR="00D446EB" w:rsidRPr="004F572A">
        <w:rPr>
          <w:spacing w:val="-1"/>
          <w:sz w:val="22"/>
          <w:szCs w:val="22"/>
        </w:rPr>
        <w:t xml:space="preserve"> nepermatom</w:t>
      </w:r>
      <w:r w:rsidR="004F5C2E">
        <w:rPr>
          <w:spacing w:val="-1"/>
          <w:sz w:val="22"/>
          <w:szCs w:val="22"/>
        </w:rPr>
        <w:t>u</w:t>
      </w:r>
      <w:r w:rsidR="00D446EB" w:rsidRPr="004F572A">
        <w:rPr>
          <w:spacing w:val="-1"/>
          <w:sz w:val="22"/>
          <w:szCs w:val="22"/>
        </w:rPr>
        <w:t xml:space="preserve"> dangteli</w:t>
      </w:r>
      <w:r w:rsidR="004F5C2E">
        <w:rPr>
          <w:spacing w:val="-1"/>
          <w:sz w:val="22"/>
          <w:szCs w:val="22"/>
        </w:rPr>
        <w:t>u</w:t>
      </w:r>
      <w:r w:rsidR="00D446EB" w:rsidRPr="004F572A">
        <w:rPr>
          <w:spacing w:val="-1"/>
          <w:sz w:val="22"/>
          <w:szCs w:val="22"/>
        </w:rPr>
        <w:t xml:space="preserve">, </w:t>
      </w:r>
      <w:r w:rsidR="004F5C2E">
        <w:rPr>
          <w:spacing w:val="-1"/>
          <w:sz w:val="22"/>
          <w:szCs w:val="22"/>
        </w:rPr>
        <w:t xml:space="preserve">ant kurio </w:t>
      </w:r>
      <w:r w:rsidR="004F5C2E" w:rsidRPr="004F572A">
        <w:rPr>
          <w:spacing w:val="-1"/>
          <w:sz w:val="22"/>
          <w:szCs w:val="22"/>
        </w:rPr>
        <w:t>virš „</w:t>
      </w:r>
      <w:r w:rsidR="004F5C2E">
        <w:rPr>
          <w:spacing w:val="-1"/>
          <w:sz w:val="22"/>
          <w:szCs w:val="22"/>
        </w:rPr>
        <w:t>10</w:t>
      </w:r>
      <w:r w:rsidR="004F5C2E" w:rsidRPr="004F572A">
        <w:rPr>
          <w:spacing w:val="-1"/>
          <w:sz w:val="22"/>
          <w:szCs w:val="22"/>
        </w:rPr>
        <w:t>“</w:t>
      </w:r>
      <w:r w:rsidR="00D446EB" w:rsidRPr="004F572A">
        <w:rPr>
          <w:spacing w:val="-1"/>
          <w:sz w:val="22"/>
          <w:szCs w:val="22"/>
        </w:rPr>
        <w:t xml:space="preserve"> įspaust</w:t>
      </w:r>
      <w:r w:rsidR="004F5C2E">
        <w:rPr>
          <w:spacing w:val="-1"/>
          <w:sz w:val="22"/>
          <w:szCs w:val="22"/>
        </w:rPr>
        <w:t>as</w:t>
      </w:r>
      <w:r w:rsidR="00D446EB" w:rsidRPr="004F572A">
        <w:rPr>
          <w:spacing w:val="-1"/>
          <w:sz w:val="22"/>
          <w:szCs w:val="22"/>
        </w:rPr>
        <w:t xml:space="preserve"> užraš</w:t>
      </w:r>
      <w:r w:rsidR="004F5C2E">
        <w:rPr>
          <w:spacing w:val="-1"/>
          <w:sz w:val="22"/>
          <w:szCs w:val="22"/>
        </w:rPr>
        <w:t>as</w:t>
      </w:r>
      <w:r w:rsidR="00D446EB" w:rsidRPr="004F572A">
        <w:rPr>
          <w:spacing w:val="-1"/>
          <w:sz w:val="22"/>
          <w:szCs w:val="22"/>
        </w:rPr>
        <w:t xml:space="preserve"> „L7VB“.</w:t>
      </w:r>
    </w:p>
    <w:p w14:paraId="3D0A6BB3" w14:textId="77777777" w:rsidR="00D446EB" w:rsidRPr="004F572A" w:rsidRDefault="00D446EB" w:rsidP="00D446EB">
      <w:pPr>
        <w:ind w:right="3670"/>
        <w:rPr>
          <w:spacing w:val="-1"/>
          <w:sz w:val="22"/>
          <w:szCs w:val="22"/>
          <w:u w:val="single"/>
        </w:rPr>
      </w:pPr>
    </w:p>
    <w:p w14:paraId="24857CCE" w14:textId="77777777" w:rsidR="000928CA" w:rsidRPr="004F572A" w:rsidRDefault="000928CA" w:rsidP="000928CA">
      <w:pPr>
        <w:rPr>
          <w:sz w:val="22"/>
          <w:szCs w:val="22"/>
        </w:rPr>
      </w:pPr>
    </w:p>
    <w:p w14:paraId="3011AD00" w14:textId="77777777" w:rsidR="000928CA" w:rsidRPr="004F572A" w:rsidRDefault="000928CA" w:rsidP="000928CA">
      <w:pPr>
        <w:pStyle w:val="Antrat3"/>
        <w:spacing w:before="0" w:after="0"/>
        <w:rPr>
          <w:rFonts w:ascii="Times New Roman" w:hAnsi="Times New Roman"/>
          <w:sz w:val="22"/>
          <w:szCs w:val="22"/>
          <w:lang w:val="lt-LT"/>
        </w:rPr>
      </w:pPr>
      <w:r w:rsidRPr="004F572A">
        <w:rPr>
          <w:rFonts w:ascii="Times New Roman" w:hAnsi="Times New Roman" w:cs="Times New Roman"/>
          <w:sz w:val="22"/>
          <w:szCs w:val="22"/>
          <w:lang w:val="lt-LT"/>
        </w:rPr>
        <w:t>4.</w:t>
      </w:r>
      <w:r w:rsidRPr="004F572A">
        <w:rPr>
          <w:rFonts w:ascii="Times New Roman" w:hAnsi="Times New Roman" w:cs="Times New Roman"/>
          <w:sz w:val="22"/>
          <w:szCs w:val="22"/>
          <w:lang w:val="lt-LT"/>
        </w:rPr>
        <w:tab/>
        <w:t>KLINIKINĖ INFORMACIJA</w:t>
      </w:r>
    </w:p>
    <w:p w14:paraId="31269B63" w14:textId="77777777" w:rsidR="000928CA" w:rsidRPr="004F572A" w:rsidRDefault="000928CA" w:rsidP="000928CA">
      <w:pPr>
        <w:rPr>
          <w:sz w:val="22"/>
          <w:szCs w:val="22"/>
        </w:rPr>
      </w:pPr>
    </w:p>
    <w:p w14:paraId="3123FC42" w14:textId="77777777" w:rsidR="000928CA" w:rsidRPr="004F572A" w:rsidRDefault="000928CA" w:rsidP="000928CA">
      <w:pPr>
        <w:pStyle w:val="Antrat4"/>
        <w:rPr>
          <w:rFonts w:ascii="Times New Roman" w:hAnsi="Times New Roman"/>
          <w:sz w:val="22"/>
          <w:szCs w:val="22"/>
          <w:lang w:val="lt-LT"/>
        </w:rPr>
      </w:pPr>
      <w:r w:rsidRPr="004F572A">
        <w:rPr>
          <w:rFonts w:ascii="Times New Roman" w:hAnsi="Times New Roman" w:cs="Times New Roman"/>
          <w:sz w:val="22"/>
          <w:szCs w:val="22"/>
          <w:lang w:val="lt-LT"/>
        </w:rPr>
        <w:t xml:space="preserve">4.1 </w:t>
      </w:r>
      <w:r w:rsidRPr="004F572A">
        <w:rPr>
          <w:rFonts w:ascii="Times New Roman" w:hAnsi="Times New Roman" w:cs="Times New Roman"/>
          <w:sz w:val="22"/>
          <w:szCs w:val="22"/>
          <w:lang w:val="lt-LT"/>
        </w:rPr>
        <w:tab/>
        <w:t>Terapinės indikacijos</w:t>
      </w:r>
    </w:p>
    <w:p w14:paraId="4C913AE8" w14:textId="77777777" w:rsidR="000928CA" w:rsidRPr="004F572A" w:rsidRDefault="000928CA" w:rsidP="000928CA">
      <w:pPr>
        <w:rPr>
          <w:sz w:val="22"/>
          <w:szCs w:val="22"/>
        </w:rPr>
      </w:pPr>
    </w:p>
    <w:p w14:paraId="55199D82" w14:textId="77777777" w:rsidR="00082433" w:rsidRPr="00E27691" w:rsidRDefault="00082433" w:rsidP="000928CA">
      <w:pPr>
        <w:rPr>
          <w:rFonts w:eastAsia="Calibri"/>
          <w:sz w:val="22"/>
          <w:szCs w:val="22"/>
          <w:u w:val="single"/>
        </w:rPr>
      </w:pPr>
      <w:r w:rsidRPr="00E27691">
        <w:rPr>
          <w:rFonts w:eastAsia="Calibri"/>
          <w:sz w:val="22"/>
          <w:szCs w:val="22"/>
          <w:u w:val="single"/>
        </w:rPr>
        <w:t>Diferencijuota skydliaukės karcinoma (DSK)</w:t>
      </w:r>
    </w:p>
    <w:p w14:paraId="5887B4E8" w14:textId="77777777" w:rsidR="00082433" w:rsidRPr="004F572A" w:rsidRDefault="00082433" w:rsidP="000928CA">
      <w:pPr>
        <w:rPr>
          <w:rFonts w:eastAsia="Calibri"/>
          <w:sz w:val="22"/>
          <w:szCs w:val="22"/>
        </w:rPr>
      </w:pPr>
    </w:p>
    <w:p w14:paraId="63A665B5" w14:textId="6A901C43" w:rsidR="00725ADA" w:rsidRPr="004F572A" w:rsidRDefault="00082433" w:rsidP="000928CA">
      <w:pPr>
        <w:rPr>
          <w:rFonts w:eastAsia="Calibri"/>
          <w:sz w:val="22"/>
          <w:szCs w:val="22"/>
        </w:rPr>
      </w:pPr>
      <w:proofErr w:type="spellStart"/>
      <w:r w:rsidRPr="004F572A">
        <w:rPr>
          <w:rFonts w:eastAsia="Calibri"/>
          <w:sz w:val="22"/>
          <w:szCs w:val="22"/>
        </w:rPr>
        <w:t>Lenvatinib</w:t>
      </w:r>
      <w:proofErr w:type="spellEnd"/>
      <w:r w:rsidRPr="004F572A">
        <w:rPr>
          <w:rFonts w:eastAsia="Calibri"/>
          <w:sz w:val="22"/>
          <w:szCs w:val="22"/>
        </w:rPr>
        <w:t xml:space="preserve"> </w:t>
      </w:r>
      <w:proofErr w:type="spellStart"/>
      <w:r w:rsidRPr="004F572A">
        <w:rPr>
          <w:rFonts w:eastAsia="Calibri"/>
          <w:sz w:val="22"/>
          <w:szCs w:val="22"/>
        </w:rPr>
        <w:t>Sandoz</w:t>
      </w:r>
      <w:proofErr w:type="spellEnd"/>
      <w:r w:rsidRPr="004F572A">
        <w:rPr>
          <w:rFonts w:eastAsia="Calibri"/>
          <w:sz w:val="22"/>
          <w:szCs w:val="22"/>
        </w:rPr>
        <w:t xml:space="preserve">, kaip </w:t>
      </w:r>
      <w:proofErr w:type="spellStart"/>
      <w:r w:rsidRPr="004F572A">
        <w:rPr>
          <w:rFonts w:eastAsia="Calibri"/>
          <w:sz w:val="22"/>
          <w:szCs w:val="22"/>
        </w:rPr>
        <w:t>monoterapija</w:t>
      </w:r>
      <w:proofErr w:type="spellEnd"/>
      <w:r w:rsidRPr="004F572A">
        <w:rPr>
          <w:rFonts w:eastAsia="Calibri"/>
          <w:sz w:val="22"/>
          <w:szCs w:val="22"/>
        </w:rPr>
        <w:t>,</w:t>
      </w:r>
      <w:r w:rsidR="00AC6F66" w:rsidRPr="00AC6F66">
        <w:rPr>
          <w:rFonts w:eastAsia="Calibri"/>
          <w:sz w:val="22"/>
          <w:szCs w:val="22"/>
        </w:rPr>
        <w:t xml:space="preserve"> skirtas suaugusių pacientų progresavusios, lokaliai progresavusios arba </w:t>
      </w:r>
      <w:proofErr w:type="spellStart"/>
      <w:r w:rsidR="00AC6F66" w:rsidRPr="00AC6F66">
        <w:rPr>
          <w:rFonts w:eastAsia="Calibri"/>
          <w:sz w:val="22"/>
          <w:szCs w:val="22"/>
        </w:rPr>
        <w:t>metastazinės</w:t>
      </w:r>
      <w:proofErr w:type="spellEnd"/>
      <w:r w:rsidR="00AC6F66" w:rsidRPr="00AC6F66">
        <w:rPr>
          <w:rFonts w:eastAsia="Calibri"/>
          <w:sz w:val="22"/>
          <w:szCs w:val="22"/>
        </w:rPr>
        <w:t>, diferencijuotos (</w:t>
      </w:r>
      <w:proofErr w:type="spellStart"/>
      <w:r w:rsidR="00AC6F66" w:rsidRPr="00AC6F66">
        <w:rPr>
          <w:rFonts w:eastAsia="Calibri"/>
          <w:sz w:val="22"/>
          <w:szCs w:val="22"/>
        </w:rPr>
        <w:t>papilinės</w:t>
      </w:r>
      <w:proofErr w:type="spellEnd"/>
      <w:r w:rsidR="00AC6F66" w:rsidRPr="00AC6F66">
        <w:rPr>
          <w:rFonts w:eastAsia="Calibri"/>
          <w:sz w:val="22"/>
          <w:szCs w:val="22"/>
        </w:rPr>
        <w:t xml:space="preserve"> / folikulinės / </w:t>
      </w:r>
      <w:proofErr w:type="spellStart"/>
      <w:r w:rsidR="00AC6F66" w:rsidRPr="00E27691">
        <w:rPr>
          <w:rFonts w:eastAsia="Calibri"/>
          <w:i/>
          <w:iCs/>
          <w:sz w:val="22"/>
          <w:szCs w:val="22"/>
        </w:rPr>
        <w:t>Hürthle</w:t>
      </w:r>
      <w:proofErr w:type="spellEnd"/>
      <w:r w:rsidR="00AC6F66" w:rsidRPr="00AC6F66">
        <w:rPr>
          <w:rFonts w:eastAsia="Calibri"/>
          <w:sz w:val="22"/>
          <w:szCs w:val="22"/>
        </w:rPr>
        <w:t xml:space="preserve"> ląstelių) skydliaukės karcinomos (DSK), nepaveikiamos gydymo radioaktyviuoju jodu (RAJ), gydymui</w:t>
      </w:r>
      <w:r w:rsidR="00725ADA" w:rsidRPr="004F572A">
        <w:rPr>
          <w:rFonts w:eastAsia="Calibri"/>
          <w:sz w:val="22"/>
          <w:szCs w:val="22"/>
        </w:rPr>
        <w:t>.</w:t>
      </w:r>
      <w:r w:rsidRPr="004F572A">
        <w:rPr>
          <w:rFonts w:eastAsia="Calibri"/>
          <w:sz w:val="22"/>
          <w:szCs w:val="22"/>
        </w:rPr>
        <w:t xml:space="preserve"> </w:t>
      </w:r>
    </w:p>
    <w:p w14:paraId="16F25539" w14:textId="77777777" w:rsidR="00725ADA" w:rsidRPr="004F572A" w:rsidRDefault="00725ADA" w:rsidP="000928CA">
      <w:pPr>
        <w:rPr>
          <w:rFonts w:eastAsia="Calibri"/>
          <w:sz w:val="22"/>
          <w:szCs w:val="22"/>
        </w:rPr>
      </w:pPr>
    </w:p>
    <w:p w14:paraId="4CC52997" w14:textId="77777777" w:rsidR="00725ADA" w:rsidRPr="004F572A" w:rsidRDefault="00082433" w:rsidP="000928CA">
      <w:pPr>
        <w:rPr>
          <w:rFonts w:eastAsia="Calibri"/>
          <w:sz w:val="22"/>
          <w:szCs w:val="22"/>
          <w:u w:val="single"/>
        </w:rPr>
      </w:pPr>
      <w:proofErr w:type="spellStart"/>
      <w:r w:rsidRPr="004F572A">
        <w:rPr>
          <w:rFonts w:eastAsia="Calibri"/>
          <w:sz w:val="22"/>
          <w:szCs w:val="22"/>
          <w:u w:val="single"/>
        </w:rPr>
        <w:t>Hepatoceliulinė</w:t>
      </w:r>
      <w:proofErr w:type="spellEnd"/>
      <w:r w:rsidRPr="004F572A">
        <w:rPr>
          <w:rFonts w:eastAsia="Calibri"/>
          <w:sz w:val="22"/>
          <w:szCs w:val="22"/>
          <w:u w:val="single"/>
        </w:rPr>
        <w:t xml:space="preserve"> karcinoma (HCK)</w:t>
      </w:r>
    </w:p>
    <w:p w14:paraId="35D5960F" w14:textId="77777777" w:rsidR="00725ADA" w:rsidRPr="004F572A" w:rsidRDefault="00725ADA" w:rsidP="000928CA">
      <w:pPr>
        <w:rPr>
          <w:rFonts w:eastAsia="Calibri"/>
          <w:sz w:val="22"/>
          <w:szCs w:val="22"/>
        </w:rPr>
      </w:pPr>
    </w:p>
    <w:p w14:paraId="658CEE0A" w14:textId="67EA62E3" w:rsidR="00420F71" w:rsidRPr="004F572A" w:rsidRDefault="00725ADA" w:rsidP="000928CA">
      <w:pPr>
        <w:rPr>
          <w:rFonts w:eastAsia="Calibri"/>
          <w:sz w:val="22"/>
          <w:szCs w:val="22"/>
        </w:rPr>
      </w:pPr>
      <w:proofErr w:type="spellStart"/>
      <w:r w:rsidRPr="004F572A">
        <w:rPr>
          <w:rFonts w:eastAsia="Calibri"/>
          <w:sz w:val="22"/>
          <w:szCs w:val="22"/>
        </w:rPr>
        <w:t>Lenvatinib</w:t>
      </w:r>
      <w:proofErr w:type="spellEnd"/>
      <w:r w:rsidRPr="004F572A">
        <w:rPr>
          <w:rFonts w:eastAsia="Calibri"/>
          <w:sz w:val="22"/>
          <w:szCs w:val="22"/>
        </w:rPr>
        <w:t xml:space="preserve"> </w:t>
      </w:r>
      <w:proofErr w:type="spellStart"/>
      <w:r w:rsidRPr="004F572A">
        <w:rPr>
          <w:rFonts w:eastAsia="Calibri"/>
          <w:sz w:val="22"/>
          <w:szCs w:val="22"/>
        </w:rPr>
        <w:t>Sandoz</w:t>
      </w:r>
      <w:proofErr w:type="spellEnd"/>
      <w:r w:rsidRPr="004F572A">
        <w:rPr>
          <w:rFonts w:eastAsia="Calibri"/>
          <w:sz w:val="22"/>
          <w:szCs w:val="22"/>
        </w:rPr>
        <w:t xml:space="preserve">, kaip </w:t>
      </w:r>
      <w:proofErr w:type="spellStart"/>
      <w:r w:rsidRPr="004F572A">
        <w:rPr>
          <w:rFonts w:eastAsia="Calibri"/>
          <w:sz w:val="22"/>
          <w:szCs w:val="22"/>
        </w:rPr>
        <w:t>monoterapija</w:t>
      </w:r>
      <w:proofErr w:type="spellEnd"/>
      <w:r w:rsidRPr="004F572A">
        <w:rPr>
          <w:rFonts w:eastAsia="Calibri"/>
          <w:sz w:val="22"/>
          <w:szCs w:val="22"/>
        </w:rPr>
        <w:t>,</w:t>
      </w:r>
      <w:r w:rsidR="00082433" w:rsidRPr="004F572A">
        <w:rPr>
          <w:rFonts w:eastAsia="Calibri"/>
          <w:sz w:val="22"/>
          <w:szCs w:val="22"/>
        </w:rPr>
        <w:t xml:space="preserve"> skirtas gydyti suaugus</w:t>
      </w:r>
      <w:r w:rsidR="00420F71" w:rsidRPr="004F572A">
        <w:rPr>
          <w:rFonts w:eastAsia="Calibri"/>
          <w:sz w:val="22"/>
          <w:szCs w:val="22"/>
        </w:rPr>
        <w:t>i</w:t>
      </w:r>
      <w:r w:rsidR="00AC6F66">
        <w:rPr>
          <w:rFonts w:eastAsia="Calibri"/>
          <w:sz w:val="22"/>
          <w:szCs w:val="22"/>
        </w:rPr>
        <w:t>us</w:t>
      </w:r>
      <w:r w:rsidR="00082433" w:rsidRPr="004F572A">
        <w:rPr>
          <w:rFonts w:eastAsia="Calibri"/>
          <w:sz w:val="22"/>
          <w:szCs w:val="22"/>
        </w:rPr>
        <w:t xml:space="preserve"> pacient</w:t>
      </w:r>
      <w:r w:rsidR="00AC6F66">
        <w:rPr>
          <w:rFonts w:eastAsia="Calibri"/>
          <w:sz w:val="22"/>
          <w:szCs w:val="22"/>
        </w:rPr>
        <w:t>us</w:t>
      </w:r>
      <w:r w:rsidR="00082433" w:rsidRPr="004F572A">
        <w:rPr>
          <w:rFonts w:eastAsia="Calibri"/>
          <w:sz w:val="22"/>
          <w:szCs w:val="22"/>
        </w:rPr>
        <w:t>, sergan</w:t>
      </w:r>
      <w:r w:rsidR="00AC6F66">
        <w:rPr>
          <w:rFonts w:eastAsia="Calibri"/>
          <w:sz w:val="22"/>
          <w:szCs w:val="22"/>
        </w:rPr>
        <w:t>čiu</w:t>
      </w:r>
      <w:r w:rsidR="00082433" w:rsidRPr="004F572A">
        <w:rPr>
          <w:rFonts w:eastAsia="Calibri"/>
          <w:sz w:val="22"/>
          <w:szCs w:val="22"/>
        </w:rPr>
        <w:t xml:space="preserve"> išplitusia ar neoperuotina </w:t>
      </w:r>
      <w:proofErr w:type="spellStart"/>
      <w:r w:rsidR="00082433" w:rsidRPr="004F572A">
        <w:rPr>
          <w:rFonts w:eastAsia="Calibri"/>
          <w:sz w:val="22"/>
          <w:szCs w:val="22"/>
        </w:rPr>
        <w:t>hepatoceliuline</w:t>
      </w:r>
      <w:proofErr w:type="spellEnd"/>
      <w:r w:rsidR="00082433" w:rsidRPr="004F572A">
        <w:rPr>
          <w:rFonts w:eastAsia="Calibri"/>
          <w:sz w:val="22"/>
          <w:szCs w:val="22"/>
        </w:rPr>
        <w:t xml:space="preserve"> karcinoma (HCK), kuriems netaikytas sistemini</w:t>
      </w:r>
      <w:r w:rsidR="001B4E0E">
        <w:rPr>
          <w:rFonts w:eastAsia="Calibri"/>
          <w:sz w:val="22"/>
          <w:szCs w:val="22"/>
        </w:rPr>
        <w:t>o poveikio</w:t>
      </w:r>
      <w:r w:rsidR="00420F71" w:rsidRPr="004F572A">
        <w:rPr>
          <w:rFonts w:eastAsia="Calibri"/>
          <w:sz w:val="22"/>
          <w:szCs w:val="22"/>
        </w:rPr>
        <w:t xml:space="preserve"> gydymas</w:t>
      </w:r>
      <w:r w:rsidR="00082433" w:rsidRPr="004F572A">
        <w:rPr>
          <w:rFonts w:eastAsia="Calibri"/>
          <w:sz w:val="22"/>
          <w:szCs w:val="22"/>
        </w:rPr>
        <w:t xml:space="preserve"> (žr. 5.1 skyrių). </w:t>
      </w:r>
    </w:p>
    <w:p w14:paraId="13DA6CC3" w14:textId="77777777" w:rsidR="00420F71" w:rsidRPr="004F572A" w:rsidRDefault="00420F71" w:rsidP="000928CA">
      <w:pPr>
        <w:rPr>
          <w:rFonts w:eastAsia="Calibri"/>
          <w:sz w:val="22"/>
          <w:szCs w:val="22"/>
        </w:rPr>
      </w:pPr>
    </w:p>
    <w:p w14:paraId="543DC3DE" w14:textId="77777777" w:rsidR="00420F71" w:rsidRPr="004F572A" w:rsidRDefault="00082433" w:rsidP="000928CA">
      <w:pPr>
        <w:rPr>
          <w:rFonts w:eastAsia="Calibri"/>
          <w:sz w:val="22"/>
          <w:szCs w:val="22"/>
          <w:u w:val="single"/>
        </w:rPr>
      </w:pPr>
      <w:proofErr w:type="spellStart"/>
      <w:r w:rsidRPr="004F572A">
        <w:rPr>
          <w:rFonts w:eastAsia="Calibri"/>
          <w:sz w:val="22"/>
          <w:szCs w:val="22"/>
          <w:u w:val="single"/>
        </w:rPr>
        <w:t>Endometriumo</w:t>
      </w:r>
      <w:proofErr w:type="spellEnd"/>
      <w:r w:rsidRPr="004F572A">
        <w:rPr>
          <w:rFonts w:eastAsia="Calibri"/>
          <w:sz w:val="22"/>
          <w:szCs w:val="22"/>
          <w:u w:val="single"/>
        </w:rPr>
        <w:t xml:space="preserve"> karcinoma (EK)</w:t>
      </w:r>
    </w:p>
    <w:p w14:paraId="1845CD1B" w14:textId="7BD5787F" w:rsidR="00420F71" w:rsidRPr="004F572A" w:rsidRDefault="00420F71" w:rsidP="000928CA">
      <w:pPr>
        <w:rPr>
          <w:rFonts w:eastAsia="Calibri"/>
          <w:sz w:val="22"/>
          <w:szCs w:val="22"/>
        </w:rPr>
      </w:pPr>
    </w:p>
    <w:p w14:paraId="2B42FEA4" w14:textId="4E252E54" w:rsidR="000928CA" w:rsidRPr="004F572A" w:rsidRDefault="00420F71" w:rsidP="000928CA">
      <w:pPr>
        <w:rPr>
          <w:rFonts w:eastAsia="Calibri"/>
          <w:sz w:val="22"/>
          <w:szCs w:val="22"/>
        </w:rPr>
      </w:pPr>
      <w:proofErr w:type="spellStart"/>
      <w:r w:rsidRPr="004F572A">
        <w:rPr>
          <w:rFonts w:eastAsia="Calibri"/>
          <w:sz w:val="22"/>
          <w:szCs w:val="22"/>
        </w:rPr>
        <w:t>Lenvatinib</w:t>
      </w:r>
      <w:proofErr w:type="spellEnd"/>
      <w:r w:rsidRPr="004F572A">
        <w:rPr>
          <w:rFonts w:eastAsia="Calibri"/>
          <w:sz w:val="22"/>
          <w:szCs w:val="22"/>
        </w:rPr>
        <w:t xml:space="preserve"> </w:t>
      </w:r>
      <w:proofErr w:type="spellStart"/>
      <w:r w:rsidRPr="004F572A">
        <w:rPr>
          <w:rFonts w:eastAsia="Calibri"/>
          <w:sz w:val="22"/>
          <w:szCs w:val="22"/>
        </w:rPr>
        <w:t>Sandoz</w:t>
      </w:r>
      <w:proofErr w:type="spellEnd"/>
      <w:r w:rsidR="00082433" w:rsidRPr="004F572A">
        <w:rPr>
          <w:rFonts w:eastAsia="Calibri"/>
          <w:sz w:val="22"/>
          <w:szCs w:val="22"/>
        </w:rPr>
        <w:t xml:space="preserve"> kartu su </w:t>
      </w:r>
      <w:proofErr w:type="spellStart"/>
      <w:r w:rsidR="00082433" w:rsidRPr="004F572A">
        <w:rPr>
          <w:rFonts w:eastAsia="Calibri"/>
          <w:sz w:val="22"/>
          <w:szCs w:val="22"/>
        </w:rPr>
        <w:t>pembrolizumabu</w:t>
      </w:r>
      <w:proofErr w:type="spellEnd"/>
      <w:r w:rsidR="00082433" w:rsidRPr="004F572A">
        <w:rPr>
          <w:rFonts w:eastAsia="Calibri"/>
          <w:sz w:val="22"/>
          <w:szCs w:val="22"/>
        </w:rPr>
        <w:t xml:space="preserve"> skirtas suaugusioms pacientėms, sergančioms išplitusia ar </w:t>
      </w:r>
      <w:proofErr w:type="spellStart"/>
      <w:r w:rsidR="00082433" w:rsidRPr="004F572A">
        <w:rPr>
          <w:rFonts w:eastAsia="Calibri"/>
          <w:sz w:val="22"/>
          <w:szCs w:val="22"/>
        </w:rPr>
        <w:t>recidyvavusia</w:t>
      </w:r>
      <w:proofErr w:type="spellEnd"/>
      <w:r w:rsidR="00082433" w:rsidRPr="004F572A">
        <w:rPr>
          <w:rFonts w:eastAsia="Calibri"/>
          <w:sz w:val="22"/>
          <w:szCs w:val="22"/>
        </w:rPr>
        <w:t xml:space="preserve"> </w:t>
      </w:r>
      <w:proofErr w:type="spellStart"/>
      <w:r w:rsidR="00082433" w:rsidRPr="004F572A">
        <w:rPr>
          <w:rFonts w:eastAsia="Calibri"/>
          <w:sz w:val="22"/>
          <w:szCs w:val="22"/>
        </w:rPr>
        <w:t>endometriumo</w:t>
      </w:r>
      <w:proofErr w:type="spellEnd"/>
      <w:r w:rsidR="00082433" w:rsidRPr="004F572A">
        <w:rPr>
          <w:rFonts w:eastAsia="Calibri"/>
          <w:sz w:val="22"/>
          <w:szCs w:val="22"/>
        </w:rPr>
        <w:t xml:space="preserve"> karcinoma (EK), kurioms liga progres</w:t>
      </w:r>
      <w:r w:rsidR="001B4E0E">
        <w:rPr>
          <w:rFonts w:eastAsia="Calibri"/>
          <w:sz w:val="22"/>
          <w:szCs w:val="22"/>
        </w:rPr>
        <w:t>uoja</w:t>
      </w:r>
      <w:r w:rsidR="00082433" w:rsidRPr="004F572A">
        <w:rPr>
          <w:rFonts w:eastAsia="Calibri"/>
          <w:sz w:val="22"/>
          <w:szCs w:val="22"/>
        </w:rPr>
        <w:t xml:space="preserve"> </w:t>
      </w:r>
      <w:r w:rsidR="001B4E0E">
        <w:rPr>
          <w:rFonts w:eastAsia="Calibri"/>
          <w:sz w:val="22"/>
          <w:szCs w:val="22"/>
        </w:rPr>
        <w:t>skiriant</w:t>
      </w:r>
      <w:r w:rsidR="00082433" w:rsidRPr="004F572A">
        <w:rPr>
          <w:rFonts w:eastAsia="Calibri"/>
          <w:sz w:val="22"/>
          <w:szCs w:val="22"/>
        </w:rPr>
        <w:t xml:space="preserve"> gydymą</w:t>
      </w:r>
      <w:r w:rsidR="005361CC" w:rsidRPr="004F572A">
        <w:rPr>
          <w:rFonts w:eastAsia="Calibri"/>
          <w:sz w:val="22"/>
          <w:szCs w:val="22"/>
        </w:rPr>
        <w:t xml:space="preserve"> </w:t>
      </w:r>
      <w:r w:rsidR="001B4E0E">
        <w:rPr>
          <w:rFonts w:eastAsia="Calibri"/>
          <w:sz w:val="22"/>
          <w:szCs w:val="22"/>
        </w:rPr>
        <w:t>platinos preparatais</w:t>
      </w:r>
      <w:r w:rsidR="00082433" w:rsidRPr="004F572A">
        <w:rPr>
          <w:rFonts w:eastAsia="Calibri"/>
          <w:sz w:val="22"/>
          <w:szCs w:val="22"/>
        </w:rPr>
        <w:t xml:space="preserve"> arba po jo ir kurioms negalima </w:t>
      </w:r>
      <w:r w:rsidR="001B4E0E">
        <w:rPr>
          <w:rFonts w:eastAsia="Calibri"/>
          <w:sz w:val="22"/>
          <w:szCs w:val="22"/>
        </w:rPr>
        <w:t>atlikti radikalių operacijų ar skirti radioterapijos</w:t>
      </w:r>
      <w:r w:rsidR="00082433" w:rsidRPr="004F572A">
        <w:rPr>
          <w:rFonts w:eastAsia="Calibri"/>
          <w:sz w:val="22"/>
          <w:szCs w:val="22"/>
        </w:rPr>
        <w:t>.</w:t>
      </w:r>
    </w:p>
    <w:p w14:paraId="4B082F21" w14:textId="77777777" w:rsidR="00420F71" w:rsidRPr="004F572A" w:rsidRDefault="00420F71" w:rsidP="000928CA">
      <w:pPr>
        <w:rPr>
          <w:sz w:val="22"/>
          <w:szCs w:val="22"/>
        </w:rPr>
      </w:pPr>
    </w:p>
    <w:p w14:paraId="442F98E5" w14:textId="77777777" w:rsidR="000928CA" w:rsidRPr="004F572A" w:rsidRDefault="000928CA" w:rsidP="000928CA">
      <w:pPr>
        <w:pStyle w:val="Antrat4"/>
        <w:rPr>
          <w:rFonts w:ascii="Times New Roman" w:hAnsi="Times New Roman"/>
          <w:sz w:val="22"/>
          <w:szCs w:val="22"/>
          <w:lang w:val="lt-LT"/>
        </w:rPr>
      </w:pPr>
      <w:r w:rsidRPr="004F572A">
        <w:rPr>
          <w:rFonts w:ascii="Times New Roman" w:hAnsi="Times New Roman" w:cs="Times New Roman"/>
          <w:sz w:val="22"/>
          <w:szCs w:val="22"/>
          <w:lang w:val="lt-LT"/>
        </w:rPr>
        <w:lastRenderedPageBreak/>
        <w:t xml:space="preserve">4.2 </w:t>
      </w:r>
      <w:r w:rsidRPr="004F572A">
        <w:rPr>
          <w:rFonts w:ascii="Times New Roman" w:hAnsi="Times New Roman" w:cs="Times New Roman"/>
          <w:sz w:val="22"/>
          <w:szCs w:val="22"/>
          <w:lang w:val="lt-LT"/>
        </w:rPr>
        <w:tab/>
        <w:t>Dozavimas ir vartojimo metodas</w:t>
      </w:r>
    </w:p>
    <w:p w14:paraId="40016EC3" w14:textId="77777777" w:rsidR="00AD54F5" w:rsidRPr="004F572A" w:rsidRDefault="00AD54F5" w:rsidP="000928CA">
      <w:pPr>
        <w:rPr>
          <w:sz w:val="22"/>
          <w:szCs w:val="22"/>
        </w:rPr>
      </w:pPr>
    </w:p>
    <w:p w14:paraId="4E93CE93" w14:textId="77777777" w:rsidR="00C5556A" w:rsidRPr="004F572A" w:rsidRDefault="00AD54F5" w:rsidP="000928CA">
      <w:pPr>
        <w:rPr>
          <w:sz w:val="22"/>
          <w:szCs w:val="22"/>
        </w:rPr>
      </w:pPr>
      <w:r w:rsidRPr="004F572A">
        <w:rPr>
          <w:sz w:val="22"/>
          <w:szCs w:val="22"/>
        </w:rPr>
        <w:t xml:space="preserve">Gydymą </w:t>
      </w:r>
      <w:proofErr w:type="spellStart"/>
      <w:r w:rsidRPr="004F572A">
        <w:rPr>
          <w:rFonts w:eastAsia="Calibri"/>
          <w:sz w:val="22"/>
          <w:szCs w:val="22"/>
        </w:rPr>
        <w:t>Lenvatinib</w:t>
      </w:r>
      <w:proofErr w:type="spellEnd"/>
      <w:r w:rsidRPr="004F572A">
        <w:rPr>
          <w:rFonts w:eastAsia="Calibri"/>
          <w:sz w:val="22"/>
          <w:szCs w:val="22"/>
        </w:rPr>
        <w:t xml:space="preserve"> </w:t>
      </w:r>
      <w:proofErr w:type="spellStart"/>
      <w:r w:rsidRPr="004F572A">
        <w:rPr>
          <w:rFonts w:eastAsia="Calibri"/>
          <w:sz w:val="22"/>
          <w:szCs w:val="22"/>
        </w:rPr>
        <w:t>Sandoz</w:t>
      </w:r>
      <w:proofErr w:type="spellEnd"/>
      <w:r w:rsidRPr="004F572A">
        <w:rPr>
          <w:sz w:val="22"/>
          <w:szCs w:val="22"/>
        </w:rPr>
        <w:t xml:space="preserve"> turi pradėti ir prižiūrėti sveikatos priežiūros specialistas, turintis gydymo priešvėžiniais preparatais patirties. </w:t>
      </w:r>
    </w:p>
    <w:p w14:paraId="44DF1CF2" w14:textId="77777777" w:rsidR="00C5556A" w:rsidRPr="004F572A" w:rsidRDefault="00C5556A" w:rsidP="000928CA">
      <w:pPr>
        <w:rPr>
          <w:sz w:val="22"/>
          <w:szCs w:val="22"/>
        </w:rPr>
      </w:pPr>
    </w:p>
    <w:p w14:paraId="6A165C40" w14:textId="5DF0C355" w:rsidR="00C5556A" w:rsidRPr="004F572A" w:rsidRDefault="00AD54F5" w:rsidP="000928CA">
      <w:pPr>
        <w:rPr>
          <w:sz w:val="22"/>
          <w:szCs w:val="22"/>
        </w:rPr>
      </w:pPr>
      <w:r w:rsidRPr="004F572A">
        <w:rPr>
          <w:sz w:val="22"/>
          <w:szCs w:val="22"/>
        </w:rPr>
        <w:t xml:space="preserve">Prieš </w:t>
      </w:r>
      <w:r w:rsidR="001B4E0E">
        <w:rPr>
          <w:sz w:val="22"/>
          <w:szCs w:val="22"/>
        </w:rPr>
        <w:t>laikinai sustabdant</w:t>
      </w:r>
      <w:r w:rsidR="00C5556A" w:rsidRPr="004F572A">
        <w:rPr>
          <w:sz w:val="22"/>
          <w:szCs w:val="22"/>
        </w:rPr>
        <w:t xml:space="preserve"> </w:t>
      </w:r>
      <w:proofErr w:type="spellStart"/>
      <w:r w:rsidRPr="004F572A">
        <w:rPr>
          <w:sz w:val="22"/>
          <w:szCs w:val="22"/>
        </w:rPr>
        <w:t>lenvatinibo</w:t>
      </w:r>
      <w:proofErr w:type="spellEnd"/>
      <w:r w:rsidRPr="004F572A">
        <w:rPr>
          <w:sz w:val="22"/>
          <w:szCs w:val="22"/>
        </w:rPr>
        <w:t xml:space="preserve"> vartojim</w:t>
      </w:r>
      <w:r w:rsidR="001B4E0E">
        <w:rPr>
          <w:sz w:val="22"/>
          <w:szCs w:val="22"/>
        </w:rPr>
        <w:t>ą arba sumažinant dozę, reikia</w:t>
      </w:r>
      <w:r w:rsidR="00C5556A" w:rsidRPr="004F572A">
        <w:rPr>
          <w:sz w:val="22"/>
          <w:szCs w:val="22"/>
        </w:rPr>
        <w:t xml:space="preserve"> prad</w:t>
      </w:r>
      <w:r w:rsidR="001B4E0E">
        <w:rPr>
          <w:sz w:val="22"/>
          <w:szCs w:val="22"/>
        </w:rPr>
        <w:t>ėti</w:t>
      </w:r>
      <w:r w:rsidRPr="004F572A">
        <w:rPr>
          <w:sz w:val="22"/>
          <w:szCs w:val="22"/>
        </w:rPr>
        <w:t xml:space="preserve"> optimal</w:t>
      </w:r>
      <w:r w:rsidR="001B4E0E">
        <w:rPr>
          <w:sz w:val="22"/>
          <w:szCs w:val="22"/>
        </w:rPr>
        <w:t>ų</w:t>
      </w:r>
      <w:r w:rsidRPr="004F572A">
        <w:rPr>
          <w:sz w:val="22"/>
          <w:szCs w:val="22"/>
        </w:rPr>
        <w:t xml:space="preserve"> medicinin</w:t>
      </w:r>
      <w:r w:rsidR="001B4E0E">
        <w:rPr>
          <w:sz w:val="22"/>
          <w:szCs w:val="22"/>
        </w:rPr>
        <w:t>į</w:t>
      </w:r>
      <w:r w:rsidRPr="004F572A">
        <w:rPr>
          <w:sz w:val="22"/>
          <w:szCs w:val="22"/>
        </w:rPr>
        <w:t xml:space="preserve"> pykinimo, vėmimo ir viduriavimo gydym</w:t>
      </w:r>
      <w:r w:rsidR="001B4E0E">
        <w:rPr>
          <w:sz w:val="22"/>
          <w:szCs w:val="22"/>
        </w:rPr>
        <w:t>ą, reikia aktyviai gydyti toksinį poveikį virškinimo traktui,</w:t>
      </w:r>
      <w:r w:rsidR="00C5556A" w:rsidRPr="004F572A">
        <w:rPr>
          <w:sz w:val="22"/>
          <w:szCs w:val="22"/>
        </w:rPr>
        <w:t xml:space="preserve"> siekiant sumažinti inkstų funkcijos sutrikimo ar nepakankamumo riziką </w:t>
      </w:r>
      <w:r w:rsidRPr="004F572A">
        <w:rPr>
          <w:sz w:val="22"/>
          <w:szCs w:val="22"/>
        </w:rPr>
        <w:t>(žr. 4.4 skyrių).</w:t>
      </w:r>
    </w:p>
    <w:p w14:paraId="1F704E98" w14:textId="77777777" w:rsidR="00C5556A" w:rsidRPr="004F572A" w:rsidRDefault="00C5556A" w:rsidP="000928CA">
      <w:pPr>
        <w:rPr>
          <w:sz w:val="22"/>
          <w:szCs w:val="22"/>
        </w:rPr>
      </w:pPr>
    </w:p>
    <w:p w14:paraId="20623E97" w14:textId="77777777" w:rsidR="00C5556A" w:rsidRPr="004F572A" w:rsidRDefault="00AD54F5" w:rsidP="000928CA">
      <w:pPr>
        <w:rPr>
          <w:sz w:val="22"/>
          <w:szCs w:val="22"/>
          <w:u w:val="single"/>
        </w:rPr>
      </w:pPr>
      <w:r w:rsidRPr="004F572A">
        <w:rPr>
          <w:sz w:val="22"/>
          <w:szCs w:val="22"/>
          <w:u w:val="single"/>
        </w:rPr>
        <w:t>Dozavimas</w:t>
      </w:r>
    </w:p>
    <w:p w14:paraId="0CC351A0" w14:textId="77777777" w:rsidR="00C5556A" w:rsidRPr="004F572A" w:rsidRDefault="00C5556A" w:rsidP="000928CA">
      <w:pPr>
        <w:rPr>
          <w:sz w:val="22"/>
          <w:szCs w:val="22"/>
        </w:rPr>
      </w:pPr>
    </w:p>
    <w:p w14:paraId="28DA8179" w14:textId="0C64EA47" w:rsidR="00774A96" w:rsidRPr="004F572A" w:rsidRDefault="00AD54F5" w:rsidP="000928CA">
      <w:pPr>
        <w:rPr>
          <w:sz w:val="22"/>
          <w:szCs w:val="22"/>
        </w:rPr>
      </w:pPr>
      <w:r w:rsidRPr="004F572A">
        <w:rPr>
          <w:sz w:val="22"/>
          <w:szCs w:val="22"/>
        </w:rPr>
        <w:t>Jeigu pacientas praleido dozę ir j</w:t>
      </w:r>
      <w:r w:rsidR="001B4E0E">
        <w:rPr>
          <w:sz w:val="22"/>
          <w:szCs w:val="22"/>
        </w:rPr>
        <w:t>os</w:t>
      </w:r>
      <w:r w:rsidR="00C5556A" w:rsidRPr="004F572A">
        <w:rPr>
          <w:sz w:val="22"/>
          <w:szCs w:val="22"/>
        </w:rPr>
        <w:t xml:space="preserve"> negali</w:t>
      </w:r>
      <w:r w:rsidR="001B4E0E">
        <w:rPr>
          <w:sz w:val="22"/>
          <w:szCs w:val="22"/>
        </w:rPr>
        <w:t>ma vartoti</w:t>
      </w:r>
      <w:r w:rsidRPr="004F572A">
        <w:rPr>
          <w:sz w:val="22"/>
          <w:szCs w:val="22"/>
        </w:rPr>
        <w:t xml:space="preserve"> per 12</w:t>
      </w:r>
      <w:r w:rsidR="00DE3C81">
        <w:rPr>
          <w:sz w:val="22"/>
          <w:szCs w:val="22"/>
        </w:rPr>
        <w:t> </w:t>
      </w:r>
      <w:r w:rsidRPr="004F572A">
        <w:rPr>
          <w:sz w:val="22"/>
          <w:szCs w:val="22"/>
        </w:rPr>
        <w:t xml:space="preserve">valandų, </w:t>
      </w:r>
      <w:r w:rsidR="001B4E0E">
        <w:rPr>
          <w:sz w:val="22"/>
          <w:szCs w:val="22"/>
        </w:rPr>
        <w:t>tada</w:t>
      </w:r>
      <w:r w:rsidR="00C5556A" w:rsidRPr="004F572A">
        <w:rPr>
          <w:sz w:val="22"/>
          <w:szCs w:val="22"/>
        </w:rPr>
        <w:t xml:space="preserve"> </w:t>
      </w:r>
      <w:r w:rsidRPr="004F572A">
        <w:rPr>
          <w:sz w:val="22"/>
          <w:szCs w:val="22"/>
        </w:rPr>
        <w:t xml:space="preserve">reikia praleisti </w:t>
      </w:r>
      <w:r w:rsidR="001B4E0E">
        <w:rPr>
          <w:sz w:val="22"/>
          <w:szCs w:val="22"/>
        </w:rPr>
        <w:t xml:space="preserve">tą dozę </w:t>
      </w:r>
      <w:r w:rsidRPr="004F572A">
        <w:rPr>
          <w:sz w:val="22"/>
          <w:szCs w:val="22"/>
        </w:rPr>
        <w:t xml:space="preserve">ir </w:t>
      </w:r>
      <w:r w:rsidR="00774A96" w:rsidRPr="004F572A">
        <w:rPr>
          <w:sz w:val="22"/>
          <w:szCs w:val="22"/>
        </w:rPr>
        <w:t xml:space="preserve">vartoti </w:t>
      </w:r>
      <w:r w:rsidR="001B4E0E" w:rsidRPr="004F572A">
        <w:rPr>
          <w:sz w:val="22"/>
          <w:szCs w:val="22"/>
        </w:rPr>
        <w:t xml:space="preserve">kitą dozę </w:t>
      </w:r>
      <w:r w:rsidRPr="004F572A">
        <w:rPr>
          <w:sz w:val="22"/>
          <w:szCs w:val="22"/>
        </w:rPr>
        <w:t xml:space="preserve">įprastu vartojimo laiku. </w:t>
      </w:r>
    </w:p>
    <w:p w14:paraId="50C00E5F" w14:textId="167C6616" w:rsidR="00774A96" w:rsidRPr="004F572A" w:rsidRDefault="00AD54F5" w:rsidP="000928CA">
      <w:pPr>
        <w:rPr>
          <w:sz w:val="22"/>
          <w:szCs w:val="22"/>
        </w:rPr>
      </w:pPr>
      <w:r w:rsidRPr="004F572A">
        <w:rPr>
          <w:sz w:val="22"/>
          <w:szCs w:val="22"/>
        </w:rPr>
        <w:t>Gydym</w:t>
      </w:r>
      <w:r w:rsidR="001B4E0E">
        <w:rPr>
          <w:sz w:val="22"/>
          <w:szCs w:val="22"/>
        </w:rPr>
        <w:t>ą reikia tęsti</w:t>
      </w:r>
      <w:r w:rsidR="00774A96" w:rsidRPr="004F572A">
        <w:rPr>
          <w:sz w:val="22"/>
          <w:szCs w:val="22"/>
        </w:rPr>
        <w:t>,</w:t>
      </w:r>
      <w:r w:rsidRPr="004F572A">
        <w:rPr>
          <w:sz w:val="22"/>
          <w:szCs w:val="22"/>
        </w:rPr>
        <w:t xml:space="preserve"> kol stebima klinikinė nauda arba kol pasireiškia nepriimtinas toksinis poveikis. </w:t>
      </w:r>
    </w:p>
    <w:p w14:paraId="31BE037B" w14:textId="77777777" w:rsidR="00774A96" w:rsidRPr="004F572A" w:rsidRDefault="00774A96" w:rsidP="000928CA">
      <w:pPr>
        <w:rPr>
          <w:sz w:val="22"/>
          <w:szCs w:val="22"/>
        </w:rPr>
      </w:pPr>
    </w:p>
    <w:p w14:paraId="0FBF2017" w14:textId="77777777" w:rsidR="00774A96" w:rsidRPr="004F572A" w:rsidRDefault="00AD54F5" w:rsidP="000928CA">
      <w:pPr>
        <w:rPr>
          <w:i/>
          <w:iCs/>
          <w:sz w:val="22"/>
          <w:szCs w:val="22"/>
          <w:u w:val="single"/>
        </w:rPr>
      </w:pPr>
      <w:r w:rsidRPr="004F572A">
        <w:rPr>
          <w:i/>
          <w:iCs/>
          <w:sz w:val="22"/>
          <w:szCs w:val="22"/>
          <w:u w:val="single"/>
        </w:rPr>
        <w:t xml:space="preserve">Diferencijuota skydliaukės karcinoma (DSK) </w:t>
      </w:r>
    </w:p>
    <w:p w14:paraId="34C733CE" w14:textId="77777777" w:rsidR="00774A96" w:rsidRPr="004F572A" w:rsidRDefault="00774A96" w:rsidP="000928CA">
      <w:pPr>
        <w:rPr>
          <w:sz w:val="22"/>
          <w:szCs w:val="22"/>
        </w:rPr>
      </w:pPr>
    </w:p>
    <w:p w14:paraId="375444B4" w14:textId="036F26A9" w:rsidR="00373E06" w:rsidRPr="004F572A" w:rsidRDefault="00AD54F5" w:rsidP="000928CA">
      <w:pPr>
        <w:rPr>
          <w:sz w:val="22"/>
          <w:szCs w:val="22"/>
        </w:rPr>
      </w:pPr>
      <w:r w:rsidRPr="004F572A">
        <w:rPr>
          <w:sz w:val="22"/>
          <w:szCs w:val="22"/>
        </w:rPr>
        <w:t xml:space="preserve">Rekomenduojama </w:t>
      </w:r>
      <w:proofErr w:type="spellStart"/>
      <w:r w:rsidRPr="004F572A">
        <w:rPr>
          <w:sz w:val="22"/>
          <w:szCs w:val="22"/>
        </w:rPr>
        <w:t>lenvatinibo</w:t>
      </w:r>
      <w:proofErr w:type="spellEnd"/>
      <w:r w:rsidRPr="004F572A">
        <w:rPr>
          <w:sz w:val="22"/>
          <w:szCs w:val="22"/>
        </w:rPr>
        <w:t xml:space="preserve"> paros dozė yra 24</w:t>
      </w:r>
      <w:r w:rsidR="00373E06" w:rsidRPr="004F572A">
        <w:rPr>
          <w:sz w:val="22"/>
          <w:szCs w:val="22"/>
        </w:rPr>
        <w:t> </w:t>
      </w:r>
      <w:r w:rsidRPr="004F572A">
        <w:rPr>
          <w:sz w:val="22"/>
          <w:szCs w:val="22"/>
        </w:rPr>
        <w:t>mg (dvi 10</w:t>
      </w:r>
      <w:r w:rsidR="00373E06" w:rsidRPr="004F572A">
        <w:rPr>
          <w:sz w:val="22"/>
          <w:szCs w:val="22"/>
        </w:rPr>
        <w:t> </w:t>
      </w:r>
      <w:r w:rsidRPr="004F572A">
        <w:rPr>
          <w:sz w:val="22"/>
          <w:szCs w:val="22"/>
        </w:rPr>
        <w:t>mg kapsulės ir viena 4</w:t>
      </w:r>
      <w:r w:rsidR="00373E06" w:rsidRPr="004F572A">
        <w:rPr>
          <w:sz w:val="22"/>
          <w:szCs w:val="22"/>
        </w:rPr>
        <w:t> </w:t>
      </w:r>
      <w:r w:rsidRPr="004F572A">
        <w:rPr>
          <w:sz w:val="22"/>
          <w:szCs w:val="22"/>
        </w:rPr>
        <w:t xml:space="preserve">mg kapsulė) vieną kartą per parą. </w:t>
      </w:r>
      <w:r w:rsidR="00280DBF">
        <w:rPr>
          <w:sz w:val="22"/>
          <w:szCs w:val="22"/>
        </w:rPr>
        <w:t>Jei re</w:t>
      </w:r>
      <w:r w:rsidR="00A72D4F">
        <w:rPr>
          <w:sz w:val="22"/>
          <w:szCs w:val="22"/>
        </w:rPr>
        <w:t>i</w:t>
      </w:r>
      <w:r w:rsidR="00280DBF">
        <w:rPr>
          <w:sz w:val="22"/>
          <w:szCs w:val="22"/>
        </w:rPr>
        <w:t>kia,</w:t>
      </w:r>
      <w:r w:rsidRPr="004F572A">
        <w:rPr>
          <w:sz w:val="22"/>
          <w:szCs w:val="22"/>
        </w:rPr>
        <w:t xml:space="preserve"> paros dozę reikia koreguoti pagal dozės ar toksinio poveikio valdymo planą. </w:t>
      </w:r>
    </w:p>
    <w:p w14:paraId="40FA57D1" w14:textId="77777777" w:rsidR="00373E06" w:rsidRPr="004F572A" w:rsidRDefault="00373E06" w:rsidP="000928CA">
      <w:pPr>
        <w:rPr>
          <w:sz w:val="22"/>
          <w:szCs w:val="22"/>
        </w:rPr>
      </w:pPr>
    </w:p>
    <w:p w14:paraId="322E89F9" w14:textId="7063BFC4" w:rsidR="00373E06" w:rsidRPr="004F572A" w:rsidRDefault="00AD54F5" w:rsidP="000928CA">
      <w:pPr>
        <w:rPr>
          <w:i/>
          <w:iCs/>
          <w:sz w:val="22"/>
          <w:szCs w:val="22"/>
        </w:rPr>
      </w:pPr>
      <w:r w:rsidRPr="004F572A">
        <w:rPr>
          <w:i/>
          <w:iCs/>
          <w:sz w:val="22"/>
          <w:szCs w:val="22"/>
        </w:rPr>
        <w:t>Dozės koregavimas ir vaist</w:t>
      </w:r>
      <w:r w:rsidR="00280DBF">
        <w:rPr>
          <w:i/>
          <w:iCs/>
          <w:sz w:val="22"/>
          <w:szCs w:val="22"/>
        </w:rPr>
        <w:t>inio preparat</w:t>
      </w:r>
      <w:r w:rsidRPr="004F572A">
        <w:rPr>
          <w:i/>
          <w:iCs/>
          <w:sz w:val="22"/>
          <w:szCs w:val="22"/>
        </w:rPr>
        <w:t>o vartojimo nutraukimas gydant nuo DSK</w:t>
      </w:r>
    </w:p>
    <w:p w14:paraId="46F5A54A" w14:textId="77777777" w:rsidR="00373E06" w:rsidRPr="004F572A" w:rsidRDefault="00373E06" w:rsidP="000928CA">
      <w:pPr>
        <w:rPr>
          <w:sz w:val="22"/>
          <w:szCs w:val="22"/>
        </w:rPr>
      </w:pPr>
    </w:p>
    <w:p w14:paraId="2F124C70" w14:textId="0E3DF70A" w:rsidR="00373E06" w:rsidRPr="004F572A" w:rsidRDefault="00AD54F5" w:rsidP="000928CA">
      <w:pPr>
        <w:rPr>
          <w:sz w:val="22"/>
          <w:szCs w:val="22"/>
        </w:rPr>
      </w:pPr>
      <w:r w:rsidRPr="004F572A">
        <w:rPr>
          <w:sz w:val="22"/>
          <w:szCs w:val="22"/>
        </w:rPr>
        <w:t xml:space="preserve">Nepageidaujamoms reakcijoms gydyti gali reikėti laikinai sustabdyti ar visiškai nutraukti </w:t>
      </w:r>
      <w:proofErr w:type="spellStart"/>
      <w:r w:rsidRPr="004F572A">
        <w:rPr>
          <w:sz w:val="22"/>
          <w:szCs w:val="22"/>
        </w:rPr>
        <w:t>lenvatinibo</w:t>
      </w:r>
      <w:proofErr w:type="spellEnd"/>
      <w:r w:rsidRPr="004F572A">
        <w:rPr>
          <w:sz w:val="22"/>
          <w:szCs w:val="22"/>
        </w:rPr>
        <w:t xml:space="preserve"> vartojimą arba koreguoti dozę (žr. 4.4 skyrių). Pasireiškus lengvoms ar vidutinio sunkumo nepageidaujamoms reakcijoms (pvz., 1 arba 2</w:t>
      </w:r>
      <w:r w:rsidR="00DE3C81">
        <w:rPr>
          <w:sz w:val="22"/>
          <w:szCs w:val="22"/>
        </w:rPr>
        <w:t> </w:t>
      </w:r>
      <w:r w:rsidRPr="004F572A">
        <w:rPr>
          <w:sz w:val="22"/>
          <w:szCs w:val="22"/>
        </w:rPr>
        <w:t xml:space="preserve">laipsnio), paprastai </w:t>
      </w:r>
      <w:proofErr w:type="spellStart"/>
      <w:r w:rsidRPr="004F572A">
        <w:rPr>
          <w:sz w:val="22"/>
          <w:szCs w:val="22"/>
        </w:rPr>
        <w:t>lenvatinibo</w:t>
      </w:r>
      <w:proofErr w:type="spellEnd"/>
      <w:r w:rsidRPr="004F572A">
        <w:rPr>
          <w:sz w:val="22"/>
          <w:szCs w:val="22"/>
        </w:rPr>
        <w:t xml:space="preserve"> vartojimo laikinai sustabdyti nereikia, nebent pacientas netoleruoja šio vaistinio preparato, nepaisant optimalaus gydymo. Pasireiškus sunkioms (pvz., 3</w:t>
      </w:r>
      <w:r w:rsidR="00DE3C81">
        <w:rPr>
          <w:sz w:val="22"/>
          <w:szCs w:val="22"/>
        </w:rPr>
        <w:t> </w:t>
      </w:r>
      <w:r w:rsidRPr="004F572A">
        <w:rPr>
          <w:sz w:val="22"/>
          <w:szCs w:val="22"/>
        </w:rPr>
        <w:t xml:space="preserve">laipsnio) arba netoleruojamoms nepageidaujamoms reakcijoms, reikia laikinai sustabdyti </w:t>
      </w:r>
      <w:proofErr w:type="spellStart"/>
      <w:r w:rsidRPr="004F572A">
        <w:rPr>
          <w:sz w:val="22"/>
          <w:szCs w:val="22"/>
        </w:rPr>
        <w:t>lenvatinibo</w:t>
      </w:r>
      <w:proofErr w:type="spellEnd"/>
      <w:r w:rsidRPr="004F572A">
        <w:rPr>
          <w:sz w:val="22"/>
          <w:szCs w:val="22"/>
        </w:rPr>
        <w:t xml:space="preserve"> vartojimą, kol reakcija susilpnės iki 0</w:t>
      </w:r>
      <w:r w:rsidR="00DE3C81">
        <w:rPr>
          <w:sz w:val="22"/>
          <w:szCs w:val="22"/>
        </w:rPr>
        <w:noBreakHyphen/>
      </w:r>
      <w:r w:rsidRPr="004F572A">
        <w:rPr>
          <w:sz w:val="22"/>
          <w:szCs w:val="22"/>
        </w:rPr>
        <w:t>1</w:t>
      </w:r>
      <w:r w:rsidR="00DE3C81">
        <w:rPr>
          <w:sz w:val="22"/>
          <w:szCs w:val="22"/>
        </w:rPr>
        <w:t> </w:t>
      </w:r>
      <w:r w:rsidRPr="004F572A">
        <w:rPr>
          <w:sz w:val="22"/>
          <w:szCs w:val="22"/>
        </w:rPr>
        <w:t xml:space="preserve">laipsnio arba </w:t>
      </w:r>
      <w:r w:rsidR="00373E06" w:rsidRPr="004F572A">
        <w:rPr>
          <w:sz w:val="22"/>
          <w:szCs w:val="22"/>
        </w:rPr>
        <w:t>prieš gydymą buvusio lygio</w:t>
      </w:r>
      <w:r w:rsidRPr="004F572A">
        <w:rPr>
          <w:sz w:val="22"/>
          <w:szCs w:val="22"/>
        </w:rPr>
        <w:t xml:space="preserve">. </w:t>
      </w:r>
    </w:p>
    <w:p w14:paraId="36E3DD33" w14:textId="77777777" w:rsidR="00373E06" w:rsidRPr="004F572A" w:rsidRDefault="00373E06" w:rsidP="000928CA">
      <w:pPr>
        <w:rPr>
          <w:sz w:val="22"/>
          <w:szCs w:val="22"/>
        </w:rPr>
      </w:pPr>
    </w:p>
    <w:p w14:paraId="4006331F" w14:textId="4E2F00CB" w:rsidR="000928CA" w:rsidRPr="004F572A" w:rsidRDefault="00AD54F5" w:rsidP="000928CA">
      <w:pPr>
        <w:rPr>
          <w:sz w:val="22"/>
          <w:szCs w:val="22"/>
        </w:rPr>
      </w:pPr>
      <w:r w:rsidRPr="004F572A">
        <w:rPr>
          <w:sz w:val="22"/>
          <w:szCs w:val="22"/>
        </w:rPr>
        <w:t xml:space="preserve">Pasireiškus su </w:t>
      </w:r>
      <w:proofErr w:type="spellStart"/>
      <w:r w:rsidRPr="004F572A">
        <w:rPr>
          <w:sz w:val="22"/>
          <w:szCs w:val="22"/>
        </w:rPr>
        <w:t>lenvatinibu</w:t>
      </w:r>
      <w:proofErr w:type="spellEnd"/>
      <w:r w:rsidRPr="004F572A">
        <w:rPr>
          <w:sz w:val="22"/>
          <w:szCs w:val="22"/>
        </w:rPr>
        <w:t xml:space="preserve"> susijusiam toksiniam poveikiui (žr. 4</w:t>
      </w:r>
      <w:r w:rsidR="00DE3C81">
        <w:rPr>
          <w:sz w:val="22"/>
          <w:szCs w:val="22"/>
        </w:rPr>
        <w:t> </w:t>
      </w:r>
      <w:r w:rsidRPr="004F572A">
        <w:rPr>
          <w:sz w:val="22"/>
          <w:szCs w:val="22"/>
        </w:rPr>
        <w:t>lentelę), kai nepageidaujama reakcija praeis</w:t>
      </w:r>
      <w:r w:rsidR="00280DBF">
        <w:rPr>
          <w:sz w:val="22"/>
          <w:szCs w:val="22"/>
        </w:rPr>
        <w:t xml:space="preserve"> arba</w:t>
      </w:r>
      <w:r w:rsidRPr="004F572A">
        <w:rPr>
          <w:sz w:val="22"/>
          <w:szCs w:val="22"/>
        </w:rPr>
        <w:t xml:space="preserve"> susilpnės iki 0</w:t>
      </w:r>
      <w:r w:rsidR="00DE3C81">
        <w:rPr>
          <w:sz w:val="22"/>
          <w:szCs w:val="22"/>
        </w:rPr>
        <w:noBreakHyphen/>
      </w:r>
      <w:r w:rsidRPr="004F572A">
        <w:rPr>
          <w:sz w:val="22"/>
          <w:szCs w:val="22"/>
        </w:rPr>
        <w:t>1</w:t>
      </w:r>
      <w:r w:rsidR="00DE3C81">
        <w:rPr>
          <w:sz w:val="22"/>
          <w:szCs w:val="22"/>
        </w:rPr>
        <w:t> </w:t>
      </w:r>
      <w:r w:rsidRPr="004F572A">
        <w:rPr>
          <w:sz w:val="22"/>
          <w:szCs w:val="22"/>
        </w:rPr>
        <w:t xml:space="preserve">laipsnio arba </w:t>
      </w:r>
      <w:r w:rsidR="00280DBF">
        <w:rPr>
          <w:sz w:val="22"/>
          <w:szCs w:val="22"/>
        </w:rPr>
        <w:t>pradinio laipsnio</w:t>
      </w:r>
      <w:r w:rsidRPr="004F572A">
        <w:rPr>
          <w:sz w:val="22"/>
          <w:szCs w:val="22"/>
        </w:rPr>
        <w:t xml:space="preserve">, </w:t>
      </w:r>
      <w:r w:rsidR="00280DBF">
        <w:rPr>
          <w:sz w:val="22"/>
          <w:szCs w:val="22"/>
        </w:rPr>
        <w:t>gydymą reikia tęsti skiriant</w:t>
      </w:r>
      <w:r w:rsidRPr="004F572A">
        <w:rPr>
          <w:sz w:val="22"/>
          <w:szCs w:val="22"/>
        </w:rPr>
        <w:t xml:space="preserve"> </w:t>
      </w:r>
      <w:r w:rsidR="00373E06" w:rsidRPr="004F572A">
        <w:rPr>
          <w:sz w:val="22"/>
          <w:szCs w:val="22"/>
        </w:rPr>
        <w:t>sumažint</w:t>
      </w:r>
      <w:r w:rsidR="00280DBF">
        <w:rPr>
          <w:sz w:val="22"/>
          <w:szCs w:val="22"/>
        </w:rPr>
        <w:t>ą</w:t>
      </w:r>
      <w:r w:rsidRPr="004F572A">
        <w:rPr>
          <w:sz w:val="22"/>
          <w:szCs w:val="22"/>
        </w:rPr>
        <w:t xml:space="preserve"> </w:t>
      </w:r>
      <w:proofErr w:type="spellStart"/>
      <w:r w:rsidRPr="004F572A">
        <w:rPr>
          <w:sz w:val="22"/>
          <w:szCs w:val="22"/>
        </w:rPr>
        <w:t>lenvatinibo</w:t>
      </w:r>
      <w:proofErr w:type="spellEnd"/>
      <w:r w:rsidRPr="004F572A">
        <w:rPr>
          <w:sz w:val="22"/>
          <w:szCs w:val="22"/>
        </w:rPr>
        <w:t xml:space="preserve"> doz</w:t>
      </w:r>
      <w:r w:rsidR="00280DBF">
        <w:rPr>
          <w:sz w:val="22"/>
          <w:szCs w:val="22"/>
        </w:rPr>
        <w:t>ę</w:t>
      </w:r>
      <w:r w:rsidRPr="004F572A">
        <w:rPr>
          <w:sz w:val="22"/>
          <w:szCs w:val="22"/>
        </w:rPr>
        <w:t>, kaip nurodyta 1</w:t>
      </w:r>
      <w:r w:rsidR="00DE3C81">
        <w:rPr>
          <w:sz w:val="22"/>
          <w:szCs w:val="22"/>
        </w:rPr>
        <w:t> </w:t>
      </w:r>
      <w:r w:rsidRPr="004F572A">
        <w:rPr>
          <w:sz w:val="22"/>
          <w:szCs w:val="22"/>
        </w:rPr>
        <w:t>lentelėje.</w:t>
      </w:r>
    </w:p>
    <w:p w14:paraId="68069CF7" w14:textId="77777777" w:rsidR="00373E06" w:rsidRPr="004F572A" w:rsidRDefault="00373E06" w:rsidP="000928CA">
      <w:pPr>
        <w:rPr>
          <w:sz w:val="22"/>
          <w:szCs w:val="22"/>
        </w:rPr>
      </w:pPr>
    </w:p>
    <w:tbl>
      <w:tblPr>
        <w:tblStyle w:val="Lentelstinklelis"/>
        <w:tblW w:w="9085" w:type="dxa"/>
        <w:tblLook w:val="04A0" w:firstRow="1" w:lastRow="0" w:firstColumn="1" w:lastColumn="0" w:noHBand="0" w:noVBand="1"/>
      </w:tblPr>
      <w:tblGrid>
        <w:gridCol w:w="2605"/>
        <w:gridCol w:w="2790"/>
        <w:gridCol w:w="3690"/>
      </w:tblGrid>
      <w:tr w:rsidR="002A318F" w:rsidRPr="004F572A" w14:paraId="1D59F824" w14:textId="77777777" w:rsidTr="00CF4346">
        <w:trPr>
          <w:trHeight w:val="720"/>
        </w:trPr>
        <w:tc>
          <w:tcPr>
            <w:tcW w:w="9085" w:type="dxa"/>
            <w:gridSpan w:val="3"/>
          </w:tcPr>
          <w:p w14:paraId="55EAC794" w14:textId="7C3E480E" w:rsidR="00CF4346" w:rsidRPr="004F572A" w:rsidRDefault="002A318F" w:rsidP="00CF4346">
            <w:pPr>
              <w:rPr>
                <w:b/>
                <w:bCs/>
                <w:sz w:val="22"/>
                <w:szCs w:val="22"/>
              </w:rPr>
            </w:pPr>
            <w:r w:rsidRPr="004F572A">
              <w:rPr>
                <w:b/>
                <w:bCs/>
                <w:sz w:val="22"/>
                <w:szCs w:val="22"/>
              </w:rPr>
              <w:t>1</w:t>
            </w:r>
            <w:r w:rsidR="00DE3C81">
              <w:rPr>
                <w:b/>
                <w:bCs/>
                <w:sz w:val="22"/>
                <w:szCs w:val="22"/>
              </w:rPr>
              <w:t> </w:t>
            </w:r>
            <w:r w:rsidRPr="004F572A">
              <w:rPr>
                <w:b/>
                <w:bCs/>
                <w:sz w:val="22"/>
                <w:szCs w:val="22"/>
              </w:rPr>
              <w:t xml:space="preserve">lentelė. Rekomenduojamos </w:t>
            </w:r>
            <w:proofErr w:type="spellStart"/>
            <w:r w:rsidRPr="004F572A">
              <w:rPr>
                <w:b/>
                <w:bCs/>
                <w:sz w:val="22"/>
                <w:szCs w:val="22"/>
              </w:rPr>
              <w:t>lenvatinibo</w:t>
            </w:r>
            <w:proofErr w:type="spellEnd"/>
            <w:r w:rsidRPr="004F572A">
              <w:rPr>
                <w:b/>
                <w:bCs/>
                <w:sz w:val="22"/>
                <w:szCs w:val="22"/>
              </w:rPr>
              <w:t xml:space="preserve"> paros dozės keitimas gydant DSK sergančius </w:t>
            </w:r>
            <w:proofErr w:type="spellStart"/>
            <w:r w:rsidRPr="004F572A">
              <w:rPr>
                <w:b/>
                <w:bCs/>
                <w:sz w:val="22"/>
                <w:szCs w:val="22"/>
              </w:rPr>
              <w:t>pacientus</w:t>
            </w:r>
            <w:r w:rsidRPr="004F572A">
              <w:rPr>
                <w:b/>
                <w:bCs/>
                <w:sz w:val="22"/>
                <w:szCs w:val="22"/>
                <w:vertAlign w:val="superscript"/>
              </w:rPr>
              <w:t>a</w:t>
            </w:r>
            <w:proofErr w:type="spellEnd"/>
          </w:p>
        </w:tc>
      </w:tr>
      <w:tr w:rsidR="002A318F" w:rsidRPr="004F572A" w14:paraId="746E6416" w14:textId="77777777" w:rsidTr="000C1654">
        <w:tc>
          <w:tcPr>
            <w:tcW w:w="2605" w:type="dxa"/>
          </w:tcPr>
          <w:p w14:paraId="1F913E7E" w14:textId="3BFAD91E" w:rsidR="002A318F" w:rsidRPr="004F572A" w:rsidRDefault="002A318F" w:rsidP="000928CA">
            <w:pPr>
              <w:rPr>
                <w:b/>
                <w:bCs/>
                <w:sz w:val="22"/>
                <w:szCs w:val="22"/>
              </w:rPr>
            </w:pPr>
            <w:r w:rsidRPr="004F572A">
              <w:rPr>
                <w:b/>
                <w:bCs/>
                <w:sz w:val="22"/>
                <w:szCs w:val="22"/>
              </w:rPr>
              <w:t>Dozės lygmuo</w:t>
            </w:r>
          </w:p>
        </w:tc>
        <w:tc>
          <w:tcPr>
            <w:tcW w:w="2790" w:type="dxa"/>
          </w:tcPr>
          <w:p w14:paraId="22173135" w14:textId="276CA9B2" w:rsidR="002A318F" w:rsidRPr="004F572A" w:rsidRDefault="002A318F" w:rsidP="000928CA">
            <w:pPr>
              <w:rPr>
                <w:b/>
                <w:bCs/>
                <w:sz w:val="22"/>
                <w:szCs w:val="22"/>
              </w:rPr>
            </w:pPr>
            <w:r w:rsidRPr="004F572A">
              <w:rPr>
                <w:b/>
                <w:bCs/>
                <w:sz w:val="22"/>
                <w:szCs w:val="22"/>
              </w:rPr>
              <w:t>Paros dozė</w:t>
            </w:r>
          </w:p>
        </w:tc>
        <w:tc>
          <w:tcPr>
            <w:tcW w:w="3690" w:type="dxa"/>
          </w:tcPr>
          <w:p w14:paraId="6EC77207" w14:textId="080D10C5" w:rsidR="002A318F" w:rsidRPr="004F572A" w:rsidRDefault="002A318F" w:rsidP="000928CA">
            <w:pPr>
              <w:rPr>
                <w:b/>
                <w:bCs/>
                <w:sz w:val="22"/>
                <w:szCs w:val="22"/>
              </w:rPr>
            </w:pPr>
            <w:r w:rsidRPr="004F572A">
              <w:rPr>
                <w:b/>
                <w:bCs/>
                <w:sz w:val="22"/>
                <w:szCs w:val="22"/>
              </w:rPr>
              <w:t>Kapsulių skaičius</w:t>
            </w:r>
          </w:p>
        </w:tc>
      </w:tr>
      <w:tr w:rsidR="002A318F" w:rsidRPr="004F572A" w14:paraId="4217A90C" w14:textId="77777777" w:rsidTr="000C1654">
        <w:tc>
          <w:tcPr>
            <w:tcW w:w="2605" w:type="dxa"/>
          </w:tcPr>
          <w:p w14:paraId="4A028F69" w14:textId="78C6763F" w:rsidR="002A318F" w:rsidRPr="004F572A" w:rsidRDefault="002A318F" w:rsidP="000928CA">
            <w:pPr>
              <w:rPr>
                <w:sz w:val="22"/>
                <w:szCs w:val="22"/>
              </w:rPr>
            </w:pPr>
            <w:r w:rsidRPr="004F572A">
              <w:rPr>
                <w:sz w:val="22"/>
                <w:szCs w:val="22"/>
              </w:rPr>
              <w:t>Rekomenduojama paros dozė</w:t>
            </w:r>
          </w:p>
        </w:tc>
        <w:tc>
          <w:tcPr>
            <w:tcW w:w="2790" w:type="dxa"/>
          </w:tcPr>
          <w:p w14:paraId="5F448CE1" w14:textId="73EF852B" w:rsidR="002A318F" w:rsidRPr="004F572A" w:rsidRDefault="00280DBF" w:rsidP="000928CA">
            <w:pPr>
              <w:rPr>
                <w:sz w:val="22"/>
                <w:szCs w:val="22"/>
              </w:rPr>
            </w:pPr>
            <w:r w:rsidRPr="00280DBF">
              <w:rPr>
                <w:sz w:val="22"/>
                <w:szCs w:val="22"/>
              </w:rPr>
              <w:t>24</w:t>
            </w:r>
            <w:r w:rsidR="00DE3C81">
              <w:rPr>
                <w:sz w:val="22"/>
                <w:szCs w:val="22"/>
              </w:rPr>
              <w:t> </w:t>
            </w:r>
            <w:r w:rsidRPr="00280DBF">
              <w:rPr>
                <w:sz w:val="22"/>
                <w:szCs w:val="22"/>
              </w:rPr>
              <w:t>mg geriamoji dozė</w:t>
            </w:r>
            <w:r>
              <w:rPr>
                <w:sz w:val="22"/>
                <w:szCs w:val="22"/>
              </w:rPr>
              <w:t xml:space="preserve"> </w:t>
            </w:r>
            <w:r w:rsidR="002A318F" w:rsidRPr="004F572A">
              <w:rPr>
                <w:sz w:val="22"/>
                <w:szCs w:val="22"/>
              </w:rPr>
              <w:t>kartą per parą</w:t>
            </w:r>
          </w:p>
        </w:tc>
        <w:tc>
          <w:tcPr>
            <w:tcW w:w="3690" w:type="dxa"/>
          </w:tcPr>
          <w:p w14:paraId="63DD767E" w14:textId="3DCC093F" w:rsidR="002A318F" w:rsidRPr="004F572A" w:rsidRDefault="002A318F" w:rsidP="000928CA">
            <w:pPr>
              <w:rPr>
                <w:sz w:val="22"/>
                <w:szCs w:val="22"/>
              </w:rPr>
            </w:pPr>
            <w:r w:rsidRPr="004F572A">
              <w:rPr>
                <w:sz w:val="22"/>
                <w:szCs w:val="22"/>
              </w:rPr>
              <w:t>Dvi 10</w:t>
            </w:r>
            <w:r w:rsidR="00CF4346" w:rsidRPr="004F572A">
              <w:rPr>
                <w:sz w:val="22"/>
                <w:szCs w:val="22"/>
              </w:rPr>
              <w:t> </w:t>
            </w:r>
            <w:r w:rsidRPr="004F572A">
              <w:rPr>
                <w:sz w:val="22"/>
                <w:szCs w:val="22"/>
              </w:rPr>
              <w:t>mg kapsulės ir viena 4</w:t>
            </w:r>
            <w:r w:rsidR="00CF4346" w:rsidRPr="004F572A">
              <w:rPr>
                <w:sz w:val="22"/>
                <w:szCs w:val="22"/>
              </w:rPr>
              <w:t> </w:t>
            </w:r>
            <w:r w:rsidRPr="004F572A">
              <w:rPr>
                <w:sz w:val="22"/>
                <w:szCs w:val="22"/>
              </w:rPr>
              <w:t>mg kapsulė</w:t>
            </w:r>
          </w:p>
        </w:tc>
      </w:tr>
      <w:tr w:rsidR="002A318F" w:rsidRPr="004F572A" w14:paraId="23F430E4" w14:textId="77777777" w:rsidTr="000C1654">
        <w:tc>
          <w:tcPr>
            <w:tcW w:w="2605" w:type="dxa"/>
          </w:tcPr>
          <w:p w14:paraId="20BD1311" w14:textId="6415CC2C" w:rsidR="002A318F" w:rsidRPr="004F572A" w:rsidRDefault="00CF4346" w:rsidP="000928CA">
            <w:pPr>
              <w:rPr>
                <w:sz w:val="22"/>
                <w:szCs w:val="22"/>
              </w:rPr>
            </w:pPr>
            <w:r w:rsidRPr="004F572A">
              <w:rPr>
                <w:sz w:val="22"/>
                <w:szCs w:val="22"/>
              </w:rPr>
              <w:t>Pirmasis dozės mažinimas</w:t>
            </w:r>
          </w:p>
        </w:tc>
        <w:tc>
          <w:tcPr>
            <w:tcW w:w="2790" w:type="dxa"/>
          </w:tcPr>
          <w:p w14:paraId="1739B616" w14:textId="0C57964C" w:rsidR="00280DBF" w:rsidRDefault="00280DBF" w:rsidP="00280DBF">
            <w:pPr>
              <w:pStyle w:val="Default"/>
              <w:rPr>
                <w:sz w:val="22"/>
                <w:szCs w:val="22"/>
              </w:rPr>
            </w:pPr>
            <w:r>
              <w:rPr>
                <w:sz w:val="22"/>
                <w:szCs w:val="22"/>
              </w:rPr>
              <w:t>20</w:t>
            </w:r>
            <w:r w:rsidR="00DE3C81">
              <w:rPr>
                <w:sz w:val="22"/>
                <w:szCs w:val="22"/>
              </w:rPr>
              <w:t> </w:t>
            </w:r>
            <w:r>
              <w:rPr>
                <w:sz w:val="22"/>
                <w:szCs w:val="22"/>
              </w:rPr>
              <w:t xml:space="preserve">mg geriamoji dozė </w:t>
            </w:r>
          </w:p>
          <w:p w14:paraId="109147A0" w14:textId="46D4C2C0" w:rsidR="002A318F" w:rsidRPr="004F572A" w:rsidRDefault="00CF4346" w:rsidP="000928CA">
            <w:pPr>
              <w:rPr>
                <w:sz w:val="22"/>
                <w:szCs w:val="22"/>
              </w:rPr>
            </w:pPr>
            <w:r w:rsidRPr="004F572A">
              <w:rPr>
                <w:sz w:val="22"/>
                <w:szCs w:val="22"/>
              </w:rPr>
              <w:t>kartą per parą</w:t>
            </w:r>
          </w:p>
        </w:tc>
        <w:tc>
          <w:tcPr>
            <w:tcW w:w="3690" w:type="dxa"/>
          </w:tcPr>
          <w:p w14:paraId="30756D70" w14:textId="206340C1" w:rsidR="002A318F" w:rsidRPr="004F572A" w:rsidRDefault="00CF4346" w:rsidP="000928CA">
            <w:pPr>
              <w:rPr>
                <w:sz w:val="22"/>
                <w:szCs w:val="22"/>
              </w:rPr>
            </w:pPr>
            <w:r w:rsidRPr="004F572A">
              <w:rPr>
                <w:sz w:val="22"/>
                <w:szCs w:val="22"/>
              </w:rPr>
              <w:t>Dvi 10 mg kapsulės</w:t>
            </w:r>
          </w:p>
        </w:tc>
      </w:tr>
      <w:tr w:rsidR="002A318F" w:rsidRPr="004F572A" w14:paraId="6DD4C283" w14:textId="77777777" w:rsidTr="000C1654">
        <w:tc>
          <w:tcPr>
            <w:tcW w:w="2605" w:type="dxa"/>
          </w:tcPr>
          <w:p w14:paraId="6A044E14" w14:textId="5CD14D6D" w:rsidR="002A318F" w:rsidRPr="004F572A" w:rsidRDefault="00CF4346" w:rsidP="000928CA">
            <w:pPr>
              <w:rPr>
                <w:sz w:val="22"/>
                <w:szCs w:val="22"/>
              </w:rPr>
            </w:pPr>
            <w:r w:rsidRPr="004F572A">
              <w:rPr>
                <w:sz w:val="22"/>
                <w:szCs w:val="22"/>
              </w:rPr>
              <w:t>Antrasis dozės mažinimas</w:t>
            </w:r>
          </w:p>
        </w:tc>
        <w:tc>
          <w:tcPr>
            <w:tcW w:w="2790" w:type="dxa"/>
          </w:tcPr>
          <w:p w14:paraId="42343865" w14:textId="6B400A9A" w:rsidR="002A318F" w:rsidRPr="004F572A" w:rsidRDefault="00280DBF" w:rsidP="000928CA">
            <w:pPr>
              <w:rPr>
                <w:sz w:val="22"/>
                <w:szCs w:val="22"/>
              </w:rPr>
            </w:pPr>
            <w:r>
              <w:rPr>
                <w:sz w:val="22"/>
                <w:szCs w:val="22"/>
              </w:rPr>
              <w:t>1</w:t>
            </w:r>
            <w:r w:rsidRPr="00280DBF">
              <w:rPr>
                <w:sz w:val="22"/>
                <w:szCs w:val="22"/>
              </w:rPr>
              <w:t>4</w:t>
            </w:r>
            <w:r w:rsidR="00DE3C81">
              <w:rPr>
                <w:sz w:val="22"/>
                <w:szCs w:val="22"/>
              </w:rPr>
              <w:t> </w:t>
            </w:r>
            <w:r w:rsidRPr="00280DBF">
              <w:rPr>
                <w:sz w:val="22"/>
                <w:szCs w:val="22"/>
              </w:rPr>
              <w:t>mg geriamoji dozė</w:t>
            </w:r>
            <w:r>
              <w:rPr>
                <w:sz w:val="22"/>
                <w:szCs w:val="22"/>
              </w:rPr>
              <w:t xml:space="preserve"> </w:t>
            </w:r>
            <w:r w:rsidR="00CF4346" w:rsidRPr="004F572A">
              <w:rPr>
                <w:sz w:val="22"/>
                <w:szCs w:val="22"/>
              </w:rPr>
              <w:t>kartą per parą</w:t>
            </w:r>
          </w:p>
        </w:tc>
        <w:tc>
          <w:tcPr>
            <w:tcW w:w="3690" w:type="dxa"/>
          </w:tcPr>
          <w:p w14:paraId="68646071" w14:textId="514146F1" w:rsidR="002A318F" w:rsidRPr="004F572A" w:rsidRDefault="00CF4346" w:rsidP="000928CA">
            <w:pPr>
              <w:rPr>
                <w:sz w:val="22"/>
                <w:szCs w:val="22"/>
              </w:rPr>
            </w:pPr>
            <w:r w:rsidRPr="004F572A">
              <w:rPr>
                <w:sz w:val="22"/>
                <w:szCs w:val="22"/>
              </w:rPr>
              <w:t>Viena 10 mg kapsulė ir viena 4 mg kapsulė</w:t>
            </w:r>
          </w:p>
        </w:tc>
      </w:tr>
      <w:tr w:rsidR="002A318F" w:rsidRPr="004F572A" w14:paraId="2445A509" w14:textId="77777777" w:rsidTr="000C1654">
        <w:tc>
          <w:tcPr>
            <w:tcW w:w="2605" w:type="dxa"/>
          </w:tcPr>
          <w:p w14:paraId="16371846" w14:textId="6CCABADC" w:rsidR="002A318F" w:rsidRPr="004F572A" w:rsidRDefault="00CF4346" w:rsidP="000928CA">
            <w:pPr>
              <w:rPr>
                <w:sz w:val="22"/>
                <w:szCs w:val="22"/>
              </w:rPr>
            </w:pPr>
            <w:r w:rsidRPr="004F572A">
              <w:rPr>
                <w:sz w:val="22"/>
                <w:szCs w:val="22"/>
              </w:rPr>
              <w:t>Trečiasis dozės mažinimas</w:t>
            </w:r>
          </w:p>
        </w:tc>
        <w:tc>
          <w:tcPr>
            <w:tcW w:w="2790" w:type="dxa"/>
          </w:tcPr>
          <w:p w14:paraId="5AAAF27F" w14:textId="41B36573" w:rsidR="002A318F" w:rsidRPr="004F572A" w:rsidRDefault="00280DBF" w:rsidP="000928CA">
            <w:pPr>
              <w:rPr>
                <w:sz w:val="22"/>
                <w:szCs w:val="22"/>
              </w:rPr>
            </w:pPr>
            <w:r>
              <w:rPr>
                <w:sz w:val="22"/>
                <w:szCs w:val="22"/>
              </w:rPr>
              <w:t>10</w:t>
            </w:r>
            <w:r w:rsidR="00DE3C81">
              <w:rPr>
                <w:sz w:val="22"/>
                <w:szCs w:val="22"/>
              </w:rPr>
              <w:t> </w:t>
            </w:r>
            <w:r w:rsidRPr="00280DBF">
              <w:rPr>
                <w:sz w:val="22"/>
                <w:szCs w:val="22"/>
              </w:rPr>
              <w:t>mg geriamoji dozė</w:t>
            </w:r>
            <w:r>
              <w:rPr>
                <w:sz w:val="22"/>
                <w:szCs w:val="22"/>
              </w:rPr>
              <w:t xml:space="preserve"> </w:t>
            </w:r>
            <w:r w:rsidR="00CF4346" w:rsidRPr="004F572A">
              <w:rPr>
                <w:sz w:val="22"/>
                <w:szCs w:val="22"/>
              </w:rPr>
              <w:t xml:space="preserve">kartą per </w:t>
            </w:r>
            <w:proofErr w:type="spellStart"/>
            <w:r w:rsidR="00CF4346" w:rsidRPr="004F572A">
              <w:rPr>
                <w:sz w:val="22"/>
                <w:szCs w:val="22"/>
              </w:rPr>
              <w:t>parą</w:t>
            </w:r>
            <w:r w:rsidR="00CF4346" w:rsidRPr="004F572A">
              <w:rPr>
                <w:sz w:val="22"/>
                <w:szCs w:val="22"/>
                <w:vertAlign w:val="superscript"/>
              </w:rPr>
              <w:t>a</w:t>
            </w:r>
            <w:proofErr w:type="spellEnd"/>
          </w:p>
        </w:tc>
        <w:tc>
          <w:tcPr>
            <w:tcW w:w="3690" w:type="dxa"/>
          </w:tcPr>
          <w:p w14:paraId="6B25CD66" w14:textId="43BB9BBC" w:rsidR="002A318F" w:rsidRPr="004F572A" w:rsidRDefault="00CF4346" w:rsidP="000928CA">
            <w:pPr>
              <w:rPr>
                <w:sz w:val="22"/>
                <w:szCs w:val="22"/>
              </w:rPr>
            </w:pPr>
            <w:r w:rsidRPr="004F572A">
              <w:rPr>
                <w:sz w:val="22"/>
                <w:szCs w:val="22"/>
              </w:rPr>
              <w:t>Viena 10 mg kapsulė</w:t>
            </w:r>
          </w:p>
        </w:tc>
      </w:tr>
      <w:tr w:rsidR="00CF4346" w:rsidRPr="004F572A" w14:paraId="5A303301" w14:textId="77777777" w:rsidTr="00CF4346">
        <w:tc>
          <w:tcPr>
            <w:tcW w:w="9085" w:type="dxa"/>
            <w:gridSpan w:val="3"/>
          </w:tcPr>
          <w:p w14:paraId="780B279C" w14:textId="520D82D6" w:rsidR="00CF4346" w:rsidRPr="004F572A" w:rsidRDefault="00CF4346" w:rsidP="00CF4346">
            <w:pPr>
              <w:tabs>
                <w:tab w:val="clear" w:pos="567"/>
                <w:tab w:val="left" w:pos="360"/>
              </w:tabs>
              <w:ind w:left="360" w:hanging="360"/>
              <w:rPr>
                <w:sz w:val="22"/>
                <w:szCs w:val="22"/>
              </w:rPr>
            </w:pPr>
            <w:r w:rsidRPr="004F572A">
              <w:rPr>
                <w:sz w:val="22"/>
                <w:szCs w:val="22"/>
                <w:vertAlign w:val="superscript"/>
              </w:rPr>
              <w:t>a</w:t>
            </w:r>
            <w:r w:rsidR="00F67D19">
              <w:rPr>
                <w:sz w:val="22"/>
                <w:szCs w:val="22"/>
                <w:vertAlign w:val="superscript"/>
              </w:rPr>
              <w:t>.</w:t>
            </w:r>
            <w:r w:rsidRPr="004F572A">
              <w:rPr>
                <w:sz w:val="22"/>
                <w:szCs w:val="22"/>
              </w:rPr>
              <w:tab/>
              <w:t>Tolesnis dozės mažinimas turi būti svarstomas kiekvienam pacientui individualiai, nes duomenų apie mažesnes kaip 10 mg dozes nepakanka.</w:t>
            </w:r>
          </w:p>
        </w:tc>
      </w:tr>
    </w:tbl>
    <w:p w14:paraId="005246BC" w14:textId="77777777" w:rsidR="00373E06" w:rsidRPr="004F572A" w:rsidRDefault="00373E06" w:rsidP="000928CA">
      <w:pPr>
        <w:rPr>
          <w:sz w:val="22"/>
          <w:szCs w:val="22"/>
        </w:rPr>
      </w:pPr>
    </w:p>
    <w:p w14:paraId="2239909C" w14:textId="7648340A" w:rsidR="000C1654" w:rsidRPr="004F572A" w:rsidRDefault="00F67D19" w:rsidP="000928CA">
      <w:pPr>
        <w:rPr>
          <w:sz w:val="22"/>
          <w:szCs w:val="22"/>
        </w:rPr>
      </w:pPr>
      <w:r w:rsidRPr="00F67D19">
        <w:rPr>
          <w:sz w:val="22"/>
          <w:szCs w:val="22"/>
        </w:rPr>
        <w:t>Reikia nutraukti gydymą, jeigu pasireiškia</w:t>
      </w:r>
      <w:r>
        <w:rPr>
          <w:sz w:val="22"/>
          <w:szCs w:val="22"/>
        </w:rPr>
        <w:t xml:space="preserve"> </w:t>
      </w:r>
      <w:r w:rsidR="000C1654" w:rsidRPr="004F572A">
        <w:rPr>
          <w:sz w:val="22"/>
          <w:szCs w:val="22"/>
        </w:rPr>
        <w:t>gyvybei pavojing</w:t>
      </w:r>
      <w:r>
        <w:rPr>
          <w:sz w:val="22"/>
          <w:szCs w:val="22"/>
        </w:rPr>
        <w:t>os</w:t>
      </w:r>
      <w:r w:rsidR="000C1654" w:rsidRPr="004F572A">
        <w:rPr>
          <w:sz w:val="22"/>
          <w:szCs w:val="22"/>
        </w:rPr>
        <w:t xml:space="preserve"> reakcij</w:t>
      </w:r>
      <w:r>
        <w:rPr>
          <w:sz w:val="22"/>
          <w:szCs w:val="22"/>
        </w:rPr>
        <w:t>os</w:t>
      </w:r>
      <w:r w:rsidR="000C1654" w:rsidRPr="004F572A">
        <w:rPr>
          <w:sz w:val="22"/>
          <w:szCs w:val="22"/>
        </w:rPr>
        <w:t xml:space="preserve"> (pvz., 4</w:t>
      </w:r>
      <w:r w:rsidR="00DE3C81">
        <w:rPr>
          <w:sz w:val="22"/>
          <w:szCs w:val="22"/>
        </w:rPr>
        <w:t> </w:t>
      </w:r>
      <w:r w:rsidR="000C1654" w:rsidRPr="004F572A">
        <w:rPr>
          <w:sz w:val="22"/>
          <w:szCs w:val="22"/>
        </w:rPr>
        <w:t xml:space="preserve">laipsnio), išskyrus laboratorinių tyrimų rezultatų pokyčius, kurie laikomi nepavojingais gyvybei, tokiu atveju </w:t>
      </w:r>
      <w:r>
        <w:rPr>
          <w:sz w:val="22"/>
          <w:szCs w:val="22"/>
        </w:rPr>
        <w:t>jas reikia gydyti</w:t>
      </w:r>
      <w:r w:rsidR="000C1654" w:rsidRPr="004F572A">
        <w:rPr>
          <w:sz w:val="22"/>
          <w:szCs w:val="22"/>
        </w:rPr>
        <w:t xml:space="preserve"> kaip sunki</w:t>
      </w:r>
      <w:r>
        <w:rPr>
          <w:sz w:val="22"/>
          <w:szCs w:val="22"/>
        </w:rPr>
        <w:t>a</w:t>
      </w:r>
      <w:r w:rsidR="000C1654" w:rsidRPr="004F572A">
        <w:rPr>
          <w:sz w:val="22"/>
          <w:szCs w:val="22"/>
        </w:rPr>
        <w:t>s reakcij</w:t>
      </w:r>
      <w:r>
        <w:rPr>
          <w:sz w:val="22"/>
          <w:szCs w:val="22"/>
        </w:rPr>
        <w:t>a</w:t>
      </w:r>
      <w:r w:rsidR="000C1654" w:rsidRPr="004F572A">
        <w:rPr>
          <w:sz w:val="22"/>
          <w:szCs w:val="22"/>
        </w:rPr>
        <w:t>s (pvz., 3</w:t>
      </w:r>
      <w:r w:rsidR="00DE3C81">
        <w:rPr>
          <w:sz w:val="22"/>
          <w:szCs w:val="22"/>
        </w:rPr>
        <w:t> </w:t>
      </w:r>
      <w:r w:rsidR="000C1654" w:rsidRPr="004F572A">
        <w:rPr>
          <w:sz w:val="22"/>
          <w:szCs w:val="22"/>
        </w:rPr>
        <w:t>laipsnio).</w:t>
      </w:r>
    </w:p>
    <w:p w14:paraId="214E8FFA" w14:textId="77777777" w:rsidR="000C1654" w:rsidRPr="004F572A" w:rsidRDefault="000C1654" w:rsidP="000928CA">
      <w:pPr>
        <w:rPr>
          <w:sz w:val="22"/>
          <w:szCs w:val="22"/>
        </w:rPr>
      </w:pPr>
    </w:p>
    <w:p w14:paraId="1AF61616" w14:textId="77777777" w:rsidR="000C1654" w:rsidRPr="004F572A" w:rsidRDefault="000C1654" w:rsidP="000C1654">
      <w:pPr>
        <w:rPr>
          <w:i/>
          <w:iCs/>
          <w:sz w:val="22"/>
          <w:szCs w:val="22"/>
          <w:u w:val="single"/>
        </w:rPr>
      </w:pPr>
      <w:proofErr w:type="spellStart"/>
      <w:r w:rsidRPr="004F572A">
        <w:rPr>
          <w:i/>
          <w:iCs/>
          <w:sz w:val="22"/>
          <w:szCs w:val="22"/>
          <w:u w:val="single"/>
        </w:rPr>
        <w:t>Hepatoceliulinė</w:t>
      </w:r>
      <w:proofErr w:type="spellEnd"/>
      <w:r w:rsidRPr="004F572A">
        <w:rPr>
          <w:i/>
          <w:iCs/>
          <w:sz w:val="22"/>
          <w:szCs w:val="22"/>
          <w:u w:val="single"/>
        </w:rPr>
        <w:t xml:space="preserve"> karcinoma</w:t>
      </w:r>
    </w:p>
    <w:p w14:paraId="6DBA0D6D" w14:textId="5B05B288" w:rsidR="000C1654" w:rsidRPr="004F572A" w:rsidRDefault="000C1654" w:rsidP="000C1654">
      <w:pPr>
        <w:rPr>
          <w:sz w:val="22"/>
          <w:szCs w:val="22"/>
        </w:rPr>
      </w:pPr>
      <w:r w:rsidRPr="004F572A">
        <w:rPr>
          <w:sz w:val="22"/>
          <w:szCs w:val="22"/>
        </w:rPr>
        <w:t xml:space="preserve">Rekomenduojama </w:t>
      </w:r>
      <w:proofErr w:type="spellStart"/>
      <w:r w:rsidRPr="004F572A">
        <w:rPr>
          <w:sz w:val="22"/>
          <w:szCs w:val="22"/>
        </w:rPr>
        <w:t>lenvatinibo</w:t>
      </w:r>
      <w:proofErr w:type="spellEnd"/>
      <w:r w:rsidRPr="004F572A">
        <w:rPr>
          <w:sz w:val="22"/>
          <w:szCs w:val="22"/>
        </w:rPr>
        <w:t xml:space="preserve"> paros dozė yra 8 mg (dvi 4 mg kapsulės) </w:t>
      </w:r>
      <w:r w:rsidR="00F67D19">
        <w:rPr>
          <w:sz w:val="22"/>
          <w:szCs w:val="22"/>
        </w:rPr>
        <w:t xml:space="preserve">vieną </w:t>
      </w:r>
      <w:r w:rsidRPr="004F572A">
        <w:rPr>
          <w:sz w:val="22"/>
          <w:szCs w:val="22"/>
        </w:rPr>
        <w:t>kartą per parą pacientams, sveriantiems &lt;</w:t>
      </w:r>
      <w:r w:rsidR="00D25B62" w:rsidRPr="004F572A">
        <w:rPr>
          <w:sz w:val="22"/>
          <w:szCs w:val="22"/>
        </w:rPr>
        <w:t> </w:t>
      </w:r>
      <w:r w:rsidRPr="004F572A">
        <w:rPr>
          <w:sz w:val="22"/>
          <w:szCs w:val="22"/>
        </w:rPr>
        <w:t>60</w:t>
      </w:r>
      <w:r w:rsidR="00D25B62" w:rsidRPr="004F572A">
        <w:rPr>
          <w:sz w:val="22"/>
          <w:szCs w:val="22"/>
        </w:rPr>
        <w:t> </w:t>
      </w:r>
      <w:r w:rsidRPr="004F572A">
        <w:rPr>
          <w:sz w:val="22"/>
          <w:szCs w:val="22"/>
        </w:rPr>
        <w:t>kg, ir 12</w:t>
      </w:r>
      <w:r w:rsidR="00D25B62" w:rsidRPr="004F572A">
        <w:rPr>
          <w:sz w:val="22"/>
          <w:szCs w:val="22"/>
        </w:rPr>
        <w:t> </w:t>
      </w:r>
      <w:r w:rsidRPr="004F572A">
        <w:rPr>
          <w:sz w:val="22"/>
          <w:szCs w:val="22"/>
        </w:rPr>
        <w:t>mg (trys 4</w:t>
      </w:r>
      <w:r w:rsidR="00D25B62" w:rsidRPr="004F572A">
        <w:rPr>
          <w:sz w:val="22"/>
          <w:szCs w:val="22"/>
        </w:rPr>
        <w:t> </w:t>
      </w:r>
      <w:r w:rsidRPr="004F572A">
        <w:rPr>
          <w:sz w:val="22"/>
          <w:szCs w:val="22"/>
        </w:rPr>
        <w:t xml:space="preserve">mg kapsulės) kartą per parą pacientams, </w:t>
      </w:r>
      <w:r w:rsidRPr="004F572A">
        <w:rPr>
          <w:sz w:val="22"/>
          <w:szCs w:val="22"/>
        </w:rPr>
        <w:lastRenderedPageBreak/>
        <w:t>sveriantiems ≥</w:t>
      </w:r>
      <w:r w:rsidR="00D25B62" w:rsidRPr="004F572A">
        <w:rPr>
          <w:sz w:val="22"/>
          <w:szCs w:val="22"/>
        </w:rPr>
        <w:t> </w:t>
      </w:r>
      <w:r w:rsidRPr="004F572A">
        <w:rPr>
          <w:sz w:val="22"/>
          <w:szCs w:val="22"/>
        </w:rPr>
        <w:t>60</w:t>
      </w:r>
      <w:r w:rsidR="00D25B62" w:rsidRPr="004F572A">
        <w:rPr>
          <w:sz w:val="22"/>
          <w:szCs w:val="22"/>
        </w:rPr>
        <w:t> </w:t>
      </w:r>
      <w:r w:rsidRPr="004F572A">
        <w:rPr>
          <w:sz w:val="22"/>
          <w:szCs w:val="22"/>
        </w:rPr>
        <w:t>kg. Dozė mažinam</w:t>
      </w:r>
      <w:r w:rsidR="00D25B62" w:rsidRPr="004F572A">
        <w:rPr>
          <w:sz w:val="22"/>
          <w:szCs w:val="22"/>
        </w:rPr>
        <w:t>a</w:t>
      </w:r>
      <w:r w:rsidR="00F67D19">
        <w:rPr>
          <w:sz w:val="22"/>
          <w:szCs w:val="22"/>
        </w:rPr>
        <w:t xml:space="preserve"> stebint tik toksinį poveikį</w:t>
      </w:r>
      <w:r w:rsidR="00D25B62" w:rsidRPr="004F572A">
        <w:rPr>
          <w:sz w:val="22"/>
          <w:szCs w:val="22"/>
        </w:rPr>
        <w:t xml:space="preserve">, o ne kūno svorio pokyčius gydymo </w:t>
      </w:r>
      <w:r w:rsidR="00F67D19">
        <w:rPr>
          <w:sz w:val="22"/>
          <w:szCs w:val="22"/>
        </w:rPr>
        <w:t>laikotarpiu</w:t>
      </w:r>
      <w:r w:rsidR="00D25B62" w:rsidRPr="004F572A">
        <w:rPr>
          <w:sz w:val="22"/>
          <w:szCs w:val="22"/>
        </w:rPr>
        <w:t>.</w:t>
      </w:r>
      <w:r w:rsidRPr="004F572A">
        <w:rPr>
          <w:sz w:val="22"/>
          <w:szCs w:val="22"/>
        </w:rPr>
        <w:t xml:space="preserve"> Paros dozė keičiama pagal poreikį, atsižvelgiant į dozės arba toksiškumo valdymo planą.</w:t>
      </w:r>
    </w:p>
    <w:p w14:paraId="04698474" w14:textId="77777777" w:rsidR="00D25B62" w:rsidRPr="004F572A" w:rsidRDefault="00D25B62" w:rsidP="000C1654">
      <w:pPr>
        <w:rPr>
          <w:i/>
          <w:iCs/>
          <w:sz w:val="22"/>
          <w:szCs w:val="22"/>
        </w:rPr>
      </w:pPr>
    </w:p>
    <w:p w14:paraId="15A1FAB9" w14:textId="049EF968" w:rsidR="000C1654" w:rsidRPr="004F572A" w:rsidRDefault="000C1654" w:rsidP="000C1654">
      <w:pPr>
        <w:rPr>
          <w:i/>
          <w:iCs/>
          <w:sz w:val="22"/>
          <w:szCs w:val="22"/>
        </w:rPr>
      </w:pPr>
      <w:r w:rsidRPr="004F572A">
        <w:rPr>
          <w:i/>
          <w:iCs/>
          <w:sz w:val="22"/>
          <w:szCs w:val="22"/>
        </w:rPr>
        <w:t xml:space="preserve">Dozės koregavimas ir </w:t>
      </w:r>
      <w:r w:rsidR="00F67D19">
        <w:rPr>
          <w:i/>
          <w:iCs/>
          <w:sz w:val="22"/>
          <w:szCs w:val="22"/>
        </w:rPr>
        <w:t xml:space="preserve">vaistinio preparato </w:t>
      </w:r>
      <w:r w:rsidRPr="004F572A">
        <w:rPr>
          <w:i/>
          <w:iCs/>
          <w:sz w:val="22"/>
          <w:szCs w:val="22"/>
        </w:rPr>
        <w:t xml:space="preserve">vartojimo nutraukimas </w:t>
      </w:r>
      <w:r w:rsidR="00F67D19">
        <w:rPr>
          <w:i/>
          <w:iCs/>
          <w:sz w:val="22"/>
          <w:szCs w:val="22"/>
        </w:rPr>
        <w:t xml:space="preserve">gydant </w:t>
      </w:r>
      <w:r w:rsidRPr="004F572A">
        <w:rPr>
          <w:i/>
          <w:iCs/>
          <w:sz w:val="22"/>
          <w:szCs w:val="22"/>
        </w:rPr>
        <w:t>HCK</w:t>
      </w:r>
      <w:r w:rsidR="00C23718" w:rsidRPr="004F572A">
        <w:rPr>
          <w:i/>
          <w:iCs/>
          <w:sz w:val="22"/>
          <w:szCs w:val="22"/>
        </w:rPr>
        <w:t xml:space="preserve"> </w:t>
      </w:r>
    </w:p>
    <w:p w14:paraId="46293C50" w14:textId="77777777" w:rsidR="00D25B62" w:rsidRPr="004F572A" w:rsidRDefault="00D25B62" w:rsidP="000C1654">
      <w:pPr>
        <w:rPr>
          <w:sz w:val="22"/>
          <w:szCs w:val="22"/>
        </w:rPr>
      </w:pPr>
    </w:p>
    <w:p w14:paraId="3115AB3F" w14:textId="7226AEFB" w:rsidR="000C1654" w:rsidRPr="004F572A" w:rsidRDefault="00F67D19" w:rsidP="000C1654">
      <w:pPr>
        <w:rPr>
          <w:sz w:val="22"/>
          <w:szCs w:val="22"/>
        </w:rPr>
      </w:pPr>
      <w:r w:rsidRPr="00F67D19">
        <w:rPr>
          <w:sz w:val="22"/>
          <w:szCs w:val="22"/>
        </w:rPr>
        <w:t>Kontroliuojant tam tikras</w:t>
      </w:r>
      <w:r>
        <w:rPr>
          <w:sz w:val="22"/>
          <w:szCs w:val="22"/>
        </w:rPr>
        <w:t xml:space="preserve"> </w:t>
      </w:r>
      <w:r w:rsidR="00C23718" w:rsidRPr="004F572A">
        <w:rPr>
          <w:sz w:val="22"/>
          <w:szCs w:val="22"/>
        </w:rPr>
        <w:t>nepageidaujam</w:t>
      </w:r>
      <w:r>
        <w:rPr>
          <w:sz w:val="22"/>
          <w:szCs w:val="22"/>
        </w:rPr>
        <w:t>a</w:t>
      </w:r>
      <w:r w:rsidR="00C23718" w:rsidRPr="004F572A">
        <w:rPr>
          <w:sz w:val="22"/>
          <w:szCs w:val="22"/>
        </w:rPr>
        <w:t>s reakcij</w:t>
      </w:r>
      <w:r>
        <w:rPr>
          <w:sz w:val="22"/>
          <w:szCs w:val="22"/>
        </w:rPr>
        <w:t>a</w:t>
      </w:r>
      <w:r w:rsidR="00C23718" w:rsidRPr="004F572A">
        <w:rPr>
          <w:sz w:val="22"/>
          <w:szCs w:val="22"/>
        </w:rPr>
        <w:t xml:space="preserve">s </w:t>
      </w:r>
      <w:r w:rsidR="000C1654" w:rsidRPr="004F572A">
        <w:rPr>
          <w:sz w:val="22"/>
          <w:szCs w:val="22"/>
        </w:rPr>
        <w:t xml:space="preserve">gali </w:t>
      </w:r>
      <w:r>
        <w:rPr>
          <w:sz w:val="22"/>
          <w:szCs w:val="22"/>
        </w:rPr>
        <w:t xml:space="preserve">tekti sustabdyti </w:t>
      </w:r>
      <w:r w:rsidR="00C23718" w:rsidRPr="004F572A">
        <w:rPr>
          <w:sz w:val="22"/>
          <w:szCs w:val="22"/>
        </w:rPr>
        <w:t>vaistinio preparato vartojim</w:t>
      </w:r>
      <w:r>
        <w:rPr>
          <w:sz w:val="22"/>
          <w:szCs w:val="22"/>
        </w:rPr>
        <w:t>ą</w:t>
      </w:r>
      <w:r w:rsidR="00C23718" w:rsidRPr="004F572A">
        <w:rPr>
          <w:sz w:val="22"/>
          <w:szCs w:val="22"/>
        </w:rPr>
        <w:t xml:space="preserve">, </w:t>
      </w:r>
      <w:r>
        <w:rPr>
          <w:sz w:val="22"/>
          <w:szCs w:val="22"/>
        </w:rPr>
        <w:t xml:space="preserve">koreguoti </w:t>
      </w:r>
      <w:r w:rsidR="00C23718" w:rsidRPr="004F572A">
        <w:rPr>
          <w:sz w:val="22"/>
          <w:szCs w:val="22"/>
        </w:rPr>
        <w:t>doz</w:t>
      </w:r>
      <w:r>
        <w:rPr>
          <w:sz w:val="22"/>
          <w:szCs w:val="22"/>
        </w:rPr>
        <w:t>ę</w:t>
      </w:r>
      <w:r w:rsidR="000C1654" w:rsidRPr="004F572A">
        <w:rPr>
          <w:sz w:val="22"/>
          <w:szCs w:val="22"/>
        </w:rPr>
        <w:t xml:space="preserve"> arba gydym</w:t>
      </w:r>
      <w:r>
        <w:rPr>
          <w:sz w:val="22"/>
          <w:szCs w:val="22"/>
        </w:rPr>
        <w:t>ą</w:t>
      </w:r>
      <w:r w:rsidR="000C1654" w:rsidRPr="004F572A">
        <w:rPr>
          <w:sz w:val="22"/>
          <w:szCs w:val="22"/>
        </w:rPr>
        <w:t xml:space="preserve"> </w:t>
      </w:r>
      <w:proofErr w:type="spellStart"/>
      <w:r w:rsidR="000C1654" w:rsidRPr="004F572A">
        <w:rPr>
          <w:sz w:val="22"/>
          <w:szCs w:val="22"/>
        </w:rPr>
        <w:t>lenvatinibu</w:t>
      </w:r>
      <w:proofErr w:type="spellEnd"/>
      <w:r w:rsidR="000C1654" w:rsidRPr="004F572A">
        <w:rPr>
          <w:sz w:val="22"/>
          <w:szCs w:val="22"/>
        </w:rPr>
        <w:t xml:space="preserve"> nutrauk</w:t>
      </w:r>
      <w:r>
        <w:rPr>
          <w:sz w:val="22"/>
          <w:szCs w:val="22"/>
        </w:rPr>
        <w:t>ti</w:t>
      </w:r>
      <w:r w:rsidR="000C1654" w:rsidRPr="004F572A">
        <w:rPr>
          <w:sz w:val="22"/>
          <w:szCs w:val="22"/>
        </w:rPr>
        <w:t>. Pasireiškus nesunkioms ar vidutinio sunkumo nepageidaujamoms reakcijoms (pvz., 1</w:t>
      </w:r>
      <w:r w:rsidR="00DE3C81">
        <w:rPr>
          <w:sz w:val="22"/>
          <w:szCs w:val="22"/>
        </w:rPr>
        <w:noBreakHyphen/>
      </w:r>
      <w:r w:rsidR="000C1654" w:rsidRPr="004F572A">
        <w:rPr>
          <w:sz w:val="22"/>
          <w:szCs w:val="22"/>
        </w:rPr>
        <w:t>ojo ar 2</w:t>
      </w:r>
      <w:r w:rsidR="00DE3C81">
        <w:rPr>
          <w:sz w:val="22"/>
          <w:szCs w:val="22"/>
        </w:rPr>
        <w:noBreakHyphen/>
      </w:r>
      <w:r w:rsidR="000C1654" w:rsidRPr="004F572A">
        <w:rPr>
          <w:sz w:val="22"/>
          <w:szCs w:val="22"/>
        </w:rPr>
        <w:t xml:space="preserve">ojo laipsnio) </w:t>
      </w:r>
      <w:proofErr w:type="spellStart"/>
      <w:r w:rsidR="000C1654" w:rsidRPr="004F572A">
        <w:rPr>
          <w:sz w:val="22"/>
          <w:szCs w:val="22"/>
        </w:rPr>
        <w:t>lenvatinibo</w:t>
      </w:r>
      <w:proofErr w:type="spellEnd"/>
      <w:r w:rsidR="000C1654" w:rsidRPr="004F572A">
        <w:rPr>
          <w:sz w:val="22"/>
          <w:szCs w:val="22"/>
        </w:rPr>
        <w:t xml:space="preserve"> vartojimo dažniausiai nutraukti nereikia, išskyrus atvejus, kai nepaisant optimalaus gydymo metodo pacientas jo netoleruoja. Su </w:t>
      </w:r>
      <w:proofErr w:type="spellStart"/>
      <w:r w:rsidR="000C1654" w:rsidRPr="004F572A">
        <w:rPr>
          <w:sz w:val="22"/>
          <w:szCs w:val="22"/>
        </w:rPr>
        <w:t>lenvatinibu</w:t>
      </w:r>
      <w:proofErr w:type="spellEnd"/>
      <w:r w:rsidR="000C1654" w:rsidRPr="004F572A">
        <w:rPr>
          <w:sz w:val="22"/>
          <w:szCs w:val="22"/>
        </w:rPr>
        <w:t xml:space="preserve"> susijusį toksiškumą žr. 4</w:t>
      </w:r>
      <w:r w:rsidR="00DE3C81">
        <w:rPr>
          <w:sz w:val="22"/>
          <w:szCs w:val="22"/>
        </w:rPr>
        <w:t> </w:t>
      </w:r>
      <w:r w:rsidR="000C1654" w:rsidRPr="004F572A">
        <w:rPr>
          <w:sz w:val="22"/>
          <w:szCs w:val="22"/>
        </w:rPr>
        <w:t>lentelėje. Išsami informacija apie gydymo stebėjimą, dozės koregavimą ir vaist</w:t>
      </w:r>
      <w:r w:rsidR="00436722" w:rsidRPr="004F572A">
        <w:rPr>
          <w:sz w:val="22"/>
          <w:szCs w:val="22"/>
        </w:rPr>
        <w:t>inio preparato</w:t>
      </w:r>
      <w:r w:rsidR="000C1654" w:rsidRPr="004F572A">
        <w:rPr>
          <w:sz w:val="22"/>
          <w:szCs w:val="22"/>
        </w:rPr>
        <w:t xml:space="preserve"> vartojimo nutraukimą pateikiama 2</w:t>
      </w:r>
      <w:r w:rsidR="00DE3C81">
        <w:rPr>
          <w:sz w:val="22"/>
          <w:szCs w:val="22"/>
        </w:rPr>
        <w:t> </w:t>
      </w:r>
      <w:r w:rsidR="000C1654" w:rsidRPr="004F572A">
        <w:rPr>
          <w:sz w:val="22"/>
          <w:szCs w:val="22"/>
        </w:rPr>
        <w:t>lentelėje.</w:t>
      </w:r>
    </w:p>
    <w:p w14:paraId="5D12F22D" w14:textId="77777777" w:rsidR="000C1654" w:rsidRPr="004F572A" w:rsidRDefault="000C1654" w:rsidP="000928CA">
      <w:pPr>
        <w:rPr>
          <w:sz w:val="22"/>
          <w:szCs w:val="22"/>
        </w:rPr>
      </w:pPr>
    </w:p>
    <w:tbl>
      <w:tblPr>
        <w:tblStyle w:val="Lentelstinklelis"/>
        <w:tblW w:w="8995" w:type="dxa"/>
        <w:tblLook w:val="04A0" w:firstRow="1" w:lastRow="0" w:firstColumn="1" w:lastColumn="0" w:noHBand="0" w:noVBand="1"/>
      </w:tblPr>
      <w:tblGrid>
        <w:gridCol w:w="2155"/>
        <w:gridCol w:w="2375"/>
        <w:gridCol w:w="2265"/>
        <w:gridCol w:w="2200"/>
      </w:tblGrid>
      <w:tr w:rsidR="00436722" w:rsidRPr="004F572A" w14:paraId="0A7FA31F" w14:textId="77777777" w:rsidTr="00436722">
        <w:trPr>
          <w:trHeight w:val="720"/>
        </w:trPr>
        <w:tc>
          <w:tcPr>
            <w:tcW w:w="8995" w:type="dxa"/>
            <w:gridSpan w:val="4"/>
          </w:tcPr>
          <w:p w14:paraId="734072C3" w14:textId="003CB32B" w:rsidR="00436722" w:rsidRPr="004F572A" w:rsidRDefault="00436722" w:rsidP="00F67D19">
            <w:pPr>
              <w:rPr>
                <w:b/>
                <w:bCs/>
                <w:sz w:val="22"/>
                <w:szCs w:val="22"/>
              </w:rPr>
            </w:pPr>
            <w:r w:rsidRPr="004F572A">
              <w:rPr>
                <w:b/>
                <w:bCs/>
                <w:sz w:val="22"/>
                <w:szCs w:val="22"/>
              </w:rPr>
              <w:t>2</w:t>
            </w:r>
            <w:r w:rsidR="00DE3C81">
              <w:rPr>
                <w:b/>
                <w:bCs/>
                <w:sz w:val="22"/>
                <w:szCs w:val="22"/>
              </w:rPr>
              <w:t> </w:t>
            </w:r>
            <w:r w:rsidRPr="004F572A">
              <w:rPr>
                <w:b/>
                <w:bCs/>
                <w:sz w:val="22"/>
                <w:szCs w:val="22"/>
              </w:rPr>
              <w:t xml:space="preserve">lentelė. Rekomenduojamos </w:t>
            </w:r>
            <w:proofErr w:type="spellStart"/>
            <w:r w:rsidRPr="004F572A">
              <w:rPr>
                <w:b/>
                <w:bCs/>
                <w:sz w:val="22"/>
                <w:szCs w:val="22"/>
              </w:rPr>
              <w:t>lenvatinibo</w:t>
            </w:r>
            <w:proofErr w:type="spellEnd"/>
            <w:r w:rsidRPr="004F572A">
              <w:rPr>
                <w:b/>
                <w:bCs/>
                <w:sz w:val="22"/>
                <w:szCs w:val="22"/>
              </w:rPr>
              <w:t xml:space="preserve"> paros dozės </w:t>
            </w:r>
            <w:r w:rsidR="00733FA0">
              <w:rPr>
                <w:b/>
                <w:bCs/>
                <w:sz w:val="22"/>
                <w:szCs w:val="22"/>
              </w:rPr>
              <w:t>koregavimas</w:t>
            </w:r>
            <w:r w:rsidR="00733FA0" w:rsidRPr="004F572A">
              <w:rPr>
                <w:b/>
                <w:bCs/>
                <w:sz w:val="22"/>
                <w:szCs w:val="22"/>
              </w:rPr>
              <w:t xml:space="preserve"> </w:t>
            </w:r>
            <w:r w:rsidRPr="004F572A">
              <w:rPr>
                <w:b/>
                <w:bCs/>
                <w:sz w:val="22"/>
                <w:szCs w:val="22"/>
              </w:rPr>
              <w:t>gydant HCK sergančius pacientus</w:t>
            </w:r>
          </w:p>
        </w:tc>
      </w:tr>
      <w:tr w:rsidR="00436722" w:rsidRPr="004F572A" w14:paraId="4F7933B8" w14:textId="77777777" w:rsidTr="00436722">
        <w:tc>
          <w:tcPr>
            <w:tcW w:w="4530" w:type="dxa"/>
            <w:gridSpan w:val="2"/>
          </w:tcPr>
          <w:p w14:paraId="280D1601" w14:textId="63081642" w:rsidR="00436722" w:rsidRPr="004F572A" w:rsidRDefault="00436722" w:rsidP="000928CA">
            <w:pPr>
              <w:rPr>
                <w:b/>
                <w:bCs/>
                <w:sz w:val="22"/>
                <w:szCs w:val="22"/>
              </w:rPr>
            </w:pPr>
            <w:r w:rsidRPr="004F572A">
              <w:rPr>
                <w:b/>
                <w:bCs/>
                <w:sz w:val="22"/>
                <w:szCs w:val="22"/>
              </w:rPr>
              <w:t>Pradinė dozė</w:t>
            </w:r>
          </w:p>
        </w:tc>
        <w:tc>
          <w:tcPr>
            <w:tcW w:w="2265" w:type="dxa"/>
          </w:tcPr>
          <w:p w14:paraId="5D109F16" w14:textId="53DFBD70" w:rsidR="00436722" w:rsidRPr="004F572A" w:rsidRDefault="00FC0F42" w:rsidP="000928CA">
            <w:pPr>
              <w:rPr>
                <w:b/>
                <w:bCs/>
                <w:sz w:val="22"/>
                <w:szCs w:val="22"/>
              </w:rPr>
            </w:pPr>
            <w:r w:rsidRPr="004F572A">
              <w:rPr>
                <w:b/>
                <w:bCs/>
                <w:sz w:val="22"/>
                <w:szCs w:val="22"/>
              </w:rPr>
              <w:t>Kūno svoris ≥ 60 kg 12 mg (</w:t>
            </w:r>
            <w:r w:rsidR="00733FA0">
              <w:rPr>
                <w:b/>
                <w:bCs/>
                <w:sz w:val="22"/>
                <w:szCs w:val="22"/>
              </w:rPr>
              <w:t>trys</w:t>
            </w:r>
            <w:r w:rsidRPr="004F572A">
              <w:rPr>
                <w:b/>
                <w:bCs/>
                <w:sz w:val="22"/>
                <w:szCs w:val="22"/>
              </w:rPr>
              <w:t xml:space="preserve"> 4 mg </w:t>
            </w:r>
            <w:r w:rsidR="00733FA0">
              <w:rPr>
                <w:b/>
                <w:bCs/>
                <w:sz w:val="22"/>
                <w:szCs w:val="22"/>
              </w:rPr>
              <w:t xml:space="preserve">geriamosios </w:t>
            </w:r>
            <w:r w:rsidRPr="004F572A">
              <w:rPr>
                <w:b/>
                <w:bCs/>
                <w:sz w:val="22"/>
                <w:szCs w:val="22"/>
              </w:rPr>
              <w:t>kapsul</w:t>
            </w:r>
            <w:r w:rsidR="00733FA0">
              <w:rPr>
                <w:b/>
                <w:bCs/>
                <w:sz w:val="22"/>
                <w:szCs w:val="22"/>
              </w:rPr>
              <w:t>ė</w:t>
            </w:r>
            <w:r w:rsidRPr="004F572A">
              <w:rPr>
                <w:b/>
                <w:bCs/>
                <w:sz w:val="22"/>
                <w:szCs w:val="22"/>
              </w:rPr>
              <w:t>s kartą per parą)</w:t>
            </w:r>
          </w:p>
        </w:tc>
        <w:tc>
          <w:tcPr>
            <w:tcW w:w="2200" w:type="dxa"/>
          </w:tcPr>
          <w:p w14:paraId="61B3F2DF" w14:textId="49EB4284" w:rsidR="00436722" w:rsidRPr="004F572A" w:rsidRDefault="00FC0F42" w:rsidP="000928CA">
            <w:pPr>
              <w:rPr>
                <w:b/>
                <w:bCs/>
                <w:sz w:val="22"/>
                <w:szCs w:val="22"/>
              </w:rPr>
            </w:pPr>
            <w:r w:rsidRPr="004F572A">
              <w:rPr>
                <w:b/>
                <w:bCs/>
                <w:sz w:val="22"/>
                <w:szCs w:val="22"/>
              </w:rPr>
              <w:t xml:space="preserve">Kūno svoris &lt; 60 kg 8 mg (dvi 4 mg </w:t>
            </w:r>
            <w:r w:rsidR="00733FA0">
              <w:rPr>
                <w:b/>
                <w:bCs/>
                <w:sz w:val="22"/>
                <w:szCs w:val="22"/>
              </w:rPr>
              <w:t xml:space="preserve">geriamosios </w:t>
            </w:r>
            <w:r w:rsidRPr="004F572A">
              <w:rPr>
                <w:b/>
                <w:bCs/>
                <w:sz w:val="22"/>
                <w:szCs w:val="22"/>
              </w:rPr>
              <w:t>kapsul</w:t>
            </w:r>
            <w:r w:rsidR="00733FA0">
              <w:rPr>
                <w:b/>
                <w:bCs/>
                <w:sz w:val="22"/>
                <w:szCs w:val="22"/>
              </w:rPr>
              <w:t>ė</w:t>
            </w:r>
            <w:r w:rsidRPr="004F572A">
              <w:rPr>
                <w:b/>
                <w:bCs/>
                <w:sz w:val="22"/>
                <w:szCs w:val="22"/>
              </w:rPr>
              <w:t>s kartą per parą)</w:t>
            </w:r>
          </w:p>
        </w:tc>
      </w:tr>
      <w:tr w:rsidR="00436722" w:rsidRPr="004F572A" w14:paraId="5FA43D86" w14:textId="77777777" w:rsidTr="00436722">
        <w:tc>
          <w:tcPr>
            <w:tcW w:w="8995" w:type="dxa"/>
            <w:gridSpan w:val="4"/>
          </w:tcPr>
          <w:p w14:paraId="46E2DA14" w14:textId="77777777" w:rsidR="00436722" w:rsidRPr="004F572A" w:rsidRDefault="00FC0F42" w:rsidP="000928CA">
            <w:pPr>
              <w:rPr>
                <w:b/>
                <w:bCs/>
                <w:sz w:val="22"/>
                <w:szCs w:val="22"/>
                <w:vertAlign w:val="superscript"/>
              </w:rPr>
            </w:pPr>
            <w:r w:rsidRPr="004F572A">
              <w:rPr>
                <w:b/>
                <w:bCs/>
                <w:sz w:val="22"/>
                <w:szCs w:val="22"/>
              </w:rPr>
              <w:t xml:space="preserve">Nepraeinantis ir netoleruojamas 2-ojo ir 3-ojo laipsnio toksinis </w:t>
            </w:r>
            <w:proofErr w:type="spellStart"/>
            <w:r w:rsidRPr="004F572A">
              <w:rPr>
                <w:b/>
                <w:bCs/>
                <w:sz w:val="22"/>
                <w:szCs w:val="22"/>
              </w:rPr>
              <w:t>poveikis</w:t>
            </w:r>
            <w:r w:rsidRPr="004F572A">
              <w:rPr>
                <w:b/>
                <w:bCs/>
                <w:sz w:val="22"/>
                <w:szCs w:val="22"/>
                <w:vertAlign w:val="superscript"/>
              </w:rPr>
              <w:t>a</w:t>
            </w:r>
            <w:proofErr w:type="spellEnd"/>
          </w:p>
          <w:p w14:paraId="77C20A75" w14:textId="6E68011D" w:rsidR="00D9169B" w:rsidRPr="004F572A" w:rsidRDefault="00D9169B" w:rsidP="000928CA">
            <w:pPr>
              <w:rPr>
                <w:b/>
                <w:bCs/>
                <w:sz w:val="22"/>
                <w:szCs w:val="22"/>
              </w:rPr>
            </w:pPr>
          </w:p>
        </w:tc>
      </w:tr>
      <w:tr w:rsidR="00436722" w:rsidRPr="004F572A" w14:paraId="2E69637F" w14:textId="77777777" w:rsidTr="00436722">
        <w:tc>
          <w:tcPr>
            <w:tcW w:w="2155" w:type="dxa"/>
          </w:tcPr>
          <w:p w14:paraId="3AD925FB" w14:textId="4B958107" w:rsidR="00436722" w:rsidRPr="004F572A" w:rsidRDefault="00D9169B" w:rsidP="000928CA">
            <w:pPr>
              <w:rPr>
                <w:b/>
                <w:bCs/>
                <w:sz w:val="22"/>
                <w:szCs w:val="22"/>
              </w:rPr>
            </w:pPr>
            <w:r w:rsidRPr="004F572A">
              <w:rPr>
                <w:b/>
                <w:bCs/>
                <w:sz w:val="22"/>
                <w:szCs w:val="22"/>
              </w:rPr>
              <w:t>Nepageidaujama reakcija</w:t>
            </w:r>
          </w:p>
        </w:tc>
        <w:tc>
          <w:tcPr>
            <w:tcW w:w="2375" w:type="dxa"/>
          </w:tcPr>
          <w:p w14:paraId="3792E207" w14:textId="2230A0C7" w:rsidR="00436722" w:rsidRPr="004F572A" w:rsidRDefault="00D9169B" w:rsidP="000928CA">
            <w:pPr>
              <w:rPr>
                <w:b/>
                <w:bCs/>
                <w:sz w:val="22"/>
                <w:szCs w:val="22"/>
              </w:rPr>
            </w:pPr>
            <w:r w:rsidRPr="004F572A">
              <w:rPr>
                <w:b/>
                <w:bCs/>
                <w:sz w:val="22"/>
                <w:szCs w:val="22"/>
              </w:rPr>
              <w:t>Keitimas</w:t>
            </w:r>
          </w:p>
        </w:tc>
        <w:tc>
          <w:tcPr>
            <w:tcW w:w="2265" w:type="dxa"/>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49"/>
            </w:tblGrid>
            <w:tr w:rsidR="00D9169B" w:rsidRPr="004F572A" w14:paraId="32D1D701" w14:textId="77777777" w:rsidTr="00D9169B">
              <w:tc>
                <w:tcPr>
                  <w:tcW w:w="3000" w:type="dxa"/>
                  <w:tcBorders>
                    <w:top w:val="nil"/>
                    <w:left w:val="nil"/>
                    <w:bottom w:val="nil"/>
                    <w:right w:val="nil"/>
                  </w:tcBorders>
                  <w:vAlign w:val="center"/>
                  <w:hideMark/>
                </w:tcPr>
                <w:p w14:paraId="2A5FA88C" w14:textId="0ABA9C51" w:rsidR="00D9169B" w:rsidRPr="004F572A" w:rsidRDefault="00D9169B" w:rsidP="00D9169B">
                  <w:pPr>
                    <w:tabs>
                      <w:tab w:val="clear" w:pos="567"/>
                    </w:tabs>
                    <w:rPr>
                      <w:sz w:val="22"/>
                      <w:szCs w:val="22"/>
                    </w:rPr>
                  </w:pPr>
                  <w:r w:rsidRPr="004F572A">
                    <w:rPr>
                      <w:b/>
                      <w:bCs/>
                      <w:sz w:val="22"/>
                      <w:szCs w:val="22"/>
                    </w:rPr>
                    <w:t xml:space="preserve">Koreguota </w:t>
                  </w:r>
                  <w:proofErr w:type="spellStart"/>
                  <w:r w:rsidRPr="004F572A">
                    <w:rPr>
                      <w:b/>
                      <w:bCs/>
                      <w:sz w:val="22"/>
                      <w:szCs w:val="22"/>
                    </w:rPr>
                    <w:t>dozė</w:t>
                  </w:r>
                  <w:r w:rsidRPr="004F572A">
                    <w:rPr>
                      <w:b/>
                      <w:bCs/>
                      <w:sz w:val="22"/>
                      <w:szCs w:val="22"/>
                      <w:vertAlign w:val="superscript"/>
                    </w:rPr>
                    <w:t>b</w:t>
                  </w:r>
                  <w:proofErr w:type="spellEnd"/>
                  <w:r w:rsidRPr="004F572A">
                    <w:rPr>
                      <w:b/>
                      <w:bCs/>
                      <w:sz w:val="22"/>
                      <w:szCs w:val="22"/>
                    </w:rPr>
                    <w:t xml:space="preserve"> (kūno svoris ≥ 60 kg)</w:t>
                  </w:r>
                </w:p>
              </w:tc>
            </w:tr>
          </w:tbl>
          <w:p w14:paraId="18F60A33" w14:textId="77777777" w:rsidR="00436722" w:rsidRPr="004F572A" w:rsidRDefault="00436722" w:rsidP="000928CA">
            <w:pPr>
              <w:rPr>
                <w:sz w:val="22"/>
                <w:szCs w:val="22"/>
              </w:rPr>
            </w:pPr>
          </w:p>
        </w:tc>
        <w:tc>
          <w:tcPr>
            <w:tcW w:w="2200" w:type="dxa"/>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84"/>
            </w:tblGrid>
            <w:tr w:rsidR="00D9169B" w:rsidRPr="004F572A" w14:paraId="55B5876C" w14:textId="77777777" w:rsidTr="00D9169B">
              <w:tc>
                <w:tcPr>
                  <w:tcW w:w="3000" w:type="dxa"/>
                  <w:tcBorders>
                    <w:top w:val="nil"/>
                    <w:left w:val="nil"/>
                    <w:bottom w:val="nil"/>
                    <w:right w:val="nil"/>
                  </w:tcBorders>
                  <w:vAlign w:val="center"/>
                  <w:hideMark/>
                </w:tcPr>
                <w:p w14:paraId="7CFB749C" w14:textId="558EFB44" w:rsidR="00D9169B" w:rsidRPr="004F572A" w:rsidRDefault="00D9169B" w:rsidP="00D9169B">
                  <w:pPr>
                    <w:rPr>
                      <w:sz w:val="22"/>
                      <w:szCs w:val="22"/>
                    </w:rPr>
                  </w:pPr>
                  <w:r w:rsidRPr="004F572A">
                    <w:rPr>
                      <w:b/>
                      <w:bCs/>
                      <w:sz w:val="22"/>
                      <w:szCs w:val="22"/>
                    </w:rPr>
                    <w:t xml:space="preserve">Koreguota </w:t>
                  </w:r>
                  <w:proofErr w:type="spellStart"/>
                  <w:r w:rsidRPr="004F572A">
                    <w:rPr>
                      <w:b/>
                      <w:bCs/>
                      <w:sz w:val="22"/>
                      <w:szCs w:val="22"/>
                    </w:rPr>
                    <w:t>dozė</w:t>
                  </w:r>
                  <w:r w:rsidRPr="004F572A">
                    <w:rPr>
                      <w:b/>
                      <w:bCs/>
                      <w:sz w:val="22"/>
                      <w:szCs w:val="22"/>
                      <w:vertAlign w:val="superscript"/>
                    </w:rPr>
                    <w:t>b</w:t>
                  </w:r>
                  <w:proofErr w:type="spellEnd"/>
                  <w:r w:rsidRPr="004F572A">
                    <w:rPr>
                      <w:b/>
                      <w:bCs/>
                      <w:sz w:val="22"/>
                      <w:szCs w:val="22"/>
                    </w:rPr>
                    <w:t xml:space="preserve"> (kūno svoris &lt; 60 kg)</w:t>
                  </w:r>
                </w:p>
              </w:tc>
            </w:tr>
          </w:tbl>
          <w:p w14:paraId="31F21055" w14:textId="77777777" w:rsidR="00436722" w:rsidRPr="004F572A" w:rsidRDefault="00436722" w:rsidP="000928CA">
            <w:pPr>
              <w:rPr>
                <w:sz w:val="22"/>
                <w:szCs w:val="22"/>
              </w:rPr>
            </w:pPr>
          </w:p>
        </w:tc>
      </w:tr>
      <w:tr w:rsidR="00733FA0" w:rsidRPr="004F572A" w14:paraId="31472F8C" w14:textId="77777777" w:rsidTr="00436722">
        <w:tc>
          <w:tcPr>
            <w:tcW w:w="2155" w:type="dxa"/>
          </w:tcPr>
          <w:p w14:paraId="27615F07" w14:textId="0EC37BCB" w:rsidR="00733FA0" w:rsidRPr="004F572A" w:rsidRDefault="00733FA0" w:rsidP="00733FA0">
            <w:pPr>
              <w:rPr>
                <w:sz w:val="22"/>
                <w:szCs w:val="22"/>
              </w:rPr>
            </w:pPr>
            <w:r w:rsidRPr="00733FA0">
              <w:rPr>
                <w:sz w:val="22"/>
                <w:szCs w:val="22"/>
              </w:rPr>
              <w:t xml:space="preserve">Pasireiškė pirmą </w:t>
            </w:r>
            <w:proofErr w:type="spellStart"/>
            <w:r w:rsidRPr="00733FA0">
              <w:rPr>
                <w:sz w:val="22"/>
                <w:szCs w:val="22"/>
              </w:rPr>
              <w:t>kartą</w:t>
            </w:r>
            <w:r w:rsidRPr="00E27691">
              <w:rPr>
                <w:sz w:val="22"/>
                <w:szCs w:val="22"/>
                <w:vertAlign w:val="superscript"/>
              </w:rPr>
              <w:t>c</w:t>
            </w:r>
            <w:proofErr w:type="spellEnd"/>
          </w:p>
        </w:tc>
        <w:tc>
          <w:tcPr>
            <w:tcW w:w="2375" w:type="dxa"/>
          </w:tcPr>
          <w:p w14:paraId="575E6C0A" w14:textId="1AA9DB69" w:rsidR="00733FA0" w:rsidRPr="00733FA0" w:rsidRDefault="00733FA0" w:rsidP="00733FA0">
            <w:pPr>
              <w:rPr>
                <w:sz w:val="22"/>
                <w:szCs w:val="22"/>
              </w:rPr>
            </w:pPr>
            <w:r w:rsidRPr="00733FA0">
              <w:rPr>
                <w:sz w:val="22"/>
                <w:szCs w:val="22"/>
              </w:rPr>
              <w:t>Vaistinio preparato vartojimą sustabdykite, kol reakcija palengvės iki 0</w:t>
            </w:r>
            <w:r w:rsidR="00DE3C81">
              <w:rPr>
                <w:sz w:val="22"/>
                <w:szCs w:val="22"/>
              </w:rPr>
              <w:noBreakHyphen/>
            </w:r>
            <w:r w:rsidRPr="00733FA0">
              <w:rPr>
                <w:sz w:val="22"/>
                <w:szCs w:val="22"/>
              </w:rPr>
              <w:t>1</w:t>
            </w:r>
            <w:r w:rsidR="00DE3C81">
              <w:rPr>
                <w:sz w:val="22"/>
                <w:szCs w:val="22"/>
              </w:rPr>
              <w:t> </w:t>
            </w:r>
            <w:r w:rsidRPr="00733FA0">
              <w:rPr>
                <w:sz w:val="22"/>
                <w:szCs w:val="22"/>
              </w:rPr>
              <w:t xml:space="preserve">laipsnio ar iki pradinio </w:t>
            </w:r>
            <w:proofErr w:type="spellStart"/>
            <w:r w:rsidRPr="00733FA0">
              <w:rPr>
                <w:sz w:val="22"/>
                <w:szCs w:val="22"/>
              </w:rPr>
              <w:t>laipsnio</w:t>
            </w:r>
            <w:r w:rsidRPr="00E27691">
              <w:rPr>
                <w:sz w:val="22"/>
                <w:szCs w:val="22"/>
                <w:vertAlign w:val="superscript"/>
              </w:rPr>
              <w:t>d</w:t>
            </w:r>
            <w:proofErr w:type="spellEnd"/>
          </w:p>
          <w:p w14:paraId="5D875F6A" w14:textId="77777777" w:rsidR="00733FA0" w:rsidRPr="004F572A" w:rsidRDefault="00733FA0" w:rsidP="000928CA">
            <w:pPr>
              <w:rPr>
                <w:sz w:val="22"/>
                <w:szCs w:val="22"/>
              </w:rPr>
            </w:pPr>
          </w:p>
        </w:tc>
        <w:tc>
          <w:tcPr>
            <w:tcW w:w="2265" w:type="dxa"/>
          </w:tcPr>
          <w:p w14:paraId="17B96C8E" w14:textId="54FBE116" w:rsidR="00733FA0" w:rsidRPr="00733FA0" w:rsidRDefault="00733FA0" w:rsidP="00733FA0">
            <w:pPr>
              <w:rPr>
                <w:sz w:val="22"/>
                <w:szCs w:val="22"/>
              </w:rPr>
            </w:pPr>
            <w:r w:rsidRPr="00733FA0">
              <w:rPr>
                <w:sz w:val="22"/>
                <w:szCs w:val="22"/>
              </w:rPr>
              <w:t>8</w:t>
            </w:r>
            <w:r w:rsidR="00DE3C81">
              <w:rPr>
                <w:sz w:val="22"/>
                <w:szCs w:val="22"/>
              </w:rPr>
              <w:t> </w:t>
            </w:r>
            <w:r w:rsidRPr="00733FA0">
              <w:rPr>
                <w:sz w:val="22"/>
                <w:szCs w:val="22"/>
              </w:rPr>
              <w:t>mg</w:t>
            </w:r>
          </w:p>
          <w:p w14:paraId="3F863A0F" w14:textId="5A50018E" w:rsidR="00733FA0" w:rsidRPr="00733FA0" w:rsidRDefault="00733FA0" w:rsidP="00733FA0">
            <w:pPr>
              <w:rPr>
                <w:sz w:val="22"/>
                <w:szCs w:val="22"/>
              </w:rPr>
            </w:pPr>
            <w:r w:rsidRPr="00733FA0">
              <w:rPr>
                <w:sz w:val="22"/>
                <w:szCs w:val="22"/>
              </w:rPr>
              <w:t>(dvi 4</w:t>
            </w:r>
            <w:r w:rsidR="00DE3C81">
              <w:rPr>
                <w:sz w:val="22"/>
                <w:szCs w:val="22"/>
              </w:rPr>
              <w:t> </w:t>
            </w:r>
            <w:r w:rsidRPr="00733FA0">
              <w:rPr>
                <w:sz w:val="22"/>
                <w:szCs w:val="22"/>
              </w:rPr>
              <w:t>mg geriamosios kapsulės) vieną kartą per parą</w:t>
            </w:r>
          </w:p>
          <w:p w14:paraId="2D64577A" w14:textId="77777777" w:rsidR="00733FA0" w:rsidRPr="004F572A" w:rsidRDefault="00733FA0" w:rsidP="00D9169B">
            <w:pPr>
              <w:rPr>
                <w:sz w:val="22"/>
                <w:szCs w:val="22"/>
              </w:rPr>
            </w:pPr>
          </w:p>
        </w:tc>
        <w:tc>
          <w:tcPr>
            <w:tcW w:w="2200" w:type="dxa"/>
          </w:tcPr>
          <w:p w14:paraId="59DAA8A3" w14:textId="5A2AC236" w:rsidR="00733FA0" w:rsidRPr="00733FA0" w:rsidRDefault="00733FA0" w:rsidP="00733FA0">
            <w:pPr>
              <w:rPr>
                <w:sz w:val="22"/>
                <w:szCs w:val="22"/>
              </w:rPr>
            </w:pPr>
            <w:r w:rsidRPr="00733FA0">
              <w:rPr>
                <w:sz w:val="22"/>
                <w:szCs w:val="22"/>
              </w:rPr>
              <w:t>4</w:t>
            </w:r>
            <w:r w:rsidR="00A72D4F">
              <w:rPr>
                <w:sz w:val="22"/>
                <w:szCs w:val="22"/>
              </w:rPr>
              <w:t> </w:t>
            </w:r>
            <w:r w:rsidRPr="00733FA0">
              <w:rPr>
                <w:sz w:val="22"/>
                <w:szCs w:val="22"/>
              </w:rPr>
              <w:t>mg</w:t>
            </w:r>
          </w:p>
          <w:p w14:paraId="7D7CA15C" w14:textId="356980E3" w:rsidR="00733FA0" w:rsidRPr="004F572A" w:rsidRDefault="00733FA0" w:rsidP="00733FA0">
            <w:pPr>
              <w:rPr>
                <w:sz w:val="22"/>
                <w:szCs w:val="22"/>
              </w:rPr>
            </w:pPr>
            <w:r w:rsidRPr="00733FA0">
              <w:rPr>
                <w:sz w:val="22"/>
                <w:szCs w:val="22"/>
              </w:rPr>
              <w:t>(viena 4</w:t>
            </w:r>
            <w:r w:rsidR="00A72D4F">
              <w:rPr>
                <w:sz w:val="22"/>
                <w:szCs w:val="22"/>
              </w:rPr>
              <w:t> </w:t>
            </w:r>
            <w:r w:rsidRPr="00733FA0">
              <w:rPr>
                <w:sz w:val="22"/>
                <w:szCs w:val="22"/>
              </w:rPr>
              <w:t>mg geriamoji kapsulė) kartą per parą</w:t>
            </w:r>
          </w:p>
        </w:tc>
      </w:tr>
      <w:tr w:rsidR="00436722" w:rsidRPr="004F572A" w14:paraId="1C41F060" w14:textId="77777777" w:rsidTr="00436722">
        <w:tc>
          <w:tcPr>
            <w:tcW w:w="2155" w:type="dxa"/>
          </w:tcPr>
          <w:p w14:paraId="560509D4" w14:textId="77777777" w:rsidR="00A259C0" w:rsidRPr="004F572A" w:rsidRDefault="00A259C0" w:rsidP="00A259C0">
            <w:pPr>
              <w:rPr>
                <w:sz w:val="22"/>
                <w:szCs w:val="22"/>
              </w:rPr>
            </w:pPr>
            <w:r w:rsidRPr="004F572A">
              <w:rPr>
                <w:sz w:val="22"/>
                <w:szCs w:val="22"/>
              </w:rPr>
              <w:t>Pasireiškė antrą</w:t>
            </w:r>
          </w:p>
          <w:p w14:paraId="1C1AD814" w14:textId="6EED4C99" w:rsidR="00A259C0" w:rsidRPr="004F572A" w:rsidRDefault="00A259C0" w:rsidP="00A259C0">
            <w:pPr>
              <w:rPr>
                <w:sz w:val="22"/>
                <w:szCs w:val="22"/>
              </w:rPr>
            </w:pPr>
            <w:r w:rsidRPr="004F572A">
              <w:rPr>
                <w:sz w:val="22"/>
                <w:szCs w:val="22"/>
              </w:rPr>
              <w:t>kartą</w:t>
            </w:r>
          </w:p>
          <w:p w14:paraId="30171F45" w14:textId="77777777" w:rsidR="00436722" w:rsidRPr="004F572A" w:rsidRDefault="00A259C0" w:rsidP="00A259C0">
            <w:pPr>
              <w:rPr>
                <w:sz w:val="22"/>
                <w:szCs w:val="22"/>
              </w:rPr>
            </w:pPr>
            <w:r w:rsidRPr="004F572A">
              <w:rPr>
                <w:sz w:val="22"/>
                <w:szCs w:val="22"/>
              </w:rPr>
              <w:t>(ta pati reakcija arba nauja reakcija)</w:t>
            </w:r>
          </w:p>
        </w:tc>
        <w:tc>
          <w:tcPr>
            <w:tcW w:w="2375" w:type="dxa"/>
          </w:tcPr>
          <w:p w14:paraId="4CE0420B" w14:textId="791F5CCA" w:rsidR="00436722" w:rsidRPr="004F572A" w:rsidRDefault="00D9169B" w:rsidP="000928CA">
            <w:pPr>
              <w:rPr>
                <w:sz w:val="22"/>
                <w:szCs w:val="22"/>
              </w:rPr>
            </w:pPr>
            <w:r w:rsidRPr="004F572A">
              <w:rPr>
                <w:sz w:val="22"/>
                <w:szCs w:val="22"/>
              </w:rPr>
              <w:t xml:space="preserve">Vaistinio preparato vartojimą sustabdykite, kol reakcija </w:t>
            </w:r>
            <w:r w:rsidR="00733FA0">
              <w:rPr>
                <w:sz w:val="22"/>
                <w:szCs w:val="22"/>
              </w:rPr>
              <w:t>palengvės</w:t>
            </w:r>
            <w:r w:rsidR="00733FA0" w:rsidRPr="004F572A">
              <w:rPr>
                <w:sz w:val="22"/>
                <w:szCs w:val="22"/>
              </w:rPr>
              <w:t xml:space="preserve"> </w:t>
            </w:r>
            <w:r w:rsidRPr="004F572A">
              <w:rPr>
                <w:sz w:val="22"/>
                <w:szCs w:val="22"/>
              </w:rPr>
              <w:t>iki 0</w:t>
            </w:r>
            <w:r w:rsidR="00DE3C81">
              <w:rPr>
                <w:sz w:val="22"/>
                <w:szCs w:val="22"/>
              </w:rPr>
              <w:noBreakHyphen/>
            </w:r>
            <w:r w:rsidRPr="004F572A">
              <w:rPr>
                <w:sz w:val="22"/>
                <w:szCs w:val="22"/>
              </w:rPr>
              <w:t>1</w:t>
            </w:r>
            <w:r w:rsidR="00DE3C81">
              <w:rPr>
                <w:sz w:val="22"/>
                <w:szCs w:val="22"/>
              </w:rPr>
              <w:t> </w:t>
            </w:r>
            <w:r w:rsidRPr="004F572A">
              <w:rPr>
                <w:sz w:val="22"/>
                <w:szCs w:val="22"/>
              </w:rPr>
              <w:t xml:space="preserve">laipsnio ar iki </w:t>
            </w:r>
            <w:r w:rsidR="00733FA0">
              <w:rPr>
                <w:sz w:val="22"/>
                <w:szCs w:val="22"/>
              </w:rPr>
              <w:t xml:space="preserve">pradinio </w:t>
            </w:r>
            <w:proofErr w:type="spellStart"/>
            <w:r w:rsidR="00733FA0">
              <w:rPr>
                <w:sz w:val="22"/>
                <w:szCs w:val="22"/>
              </w:rPr>
              <w:t>laipsnio</w:t>
            </w:r>
            <w:r w:rsidRPr="004F572A">
              <w:rPr>
                <w:sz w:val="22"/>
                <w:szCs w:val="22"/>
                <w:vertAlign w:val="superscript"/>
              </w:rPr>
              <w:t>d</w:t>
            </w:r>
            <w:proofErr w:type="spellEnd"/>
          </w:p>
        </w:tc>
        <w:tc>
          <w:tcPr>
            <w:tcW w:w="2265" w:type="dxa"/>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49"/>
            </w:tblGrid>
            <w:tr w:rsidR="00D9169B" w:rsidRPr="004F572A" w14:paraId="3BF79C4E" w14:textId="77777777" w:rsidTr="00D9169B">
              <w:tc>
                <w:tcPr>
                  <w:tcW w:w="3000" w:type="dxa"/>
                  <w:tcBorders>
                    <w:top w:val="nil"/>
                    <w:left w:val="nil"/>
                    <w:bottom w:val="nil"/>
                    <w:right w:val="nil"/>
                  </w:tcBorders>
                  <w:vAlign w:val="center"/>
                  <w:hideMark/>
                </w:tcPr>
                <w:p w14:paraId="5F2C9E49" w14:textId="43379B7B" w:rsidR="00733FA0" w:rsidRDefault="00A259C0" w:rsidP="00D9169B">
                  <w:pPr>
                    <w:rPr>
                      <w:sz w:val="22"/>
                      <w:szCs w:val="22"/>
                    </w:rPr>
                  </w:pPr>
                  <w:r w:rsidRPr="004F572A">
                    <w:rPr>
                      <w:sz w:val="22"/>
                      <w:szCs w:val="22"/>
                    </w:rPr>
                    <w:t xml:space="preserve">4 mg </w:t>
                  </w:r>
                </w:p>
                <w:p w14:paraId="24B7D874" w14:textId="1470B3E8" w:rsidR="00D9169B" w:rsidRPr="004F572A" w:rsidRDefault="00A259C0" w:rsidP="00D9169B">
                  <w:pPr>
                    <w:rPr>
                      <w:sz w:val="22"/>
                      <w:szCs w:val="22"/>
                    </w:rPr>
                  </w:pPr>
                  <w:r w:rsidRPr="004F572A">
                    <w:rPr>
                      <w:sz w:val="22"/>
                      <w:szCs w:val="22"/>
                    </w:rPr>
                    <w:t>(vien</w:t>
                  </w:r>
                  <w:r w:rsidR="00733FA0">
                    <w:rPr>
                      <w:sz w:val="22"/>
                      <w:szCs w:val="22"/>
                    </w:rPr>
                    <w:t>a</w:t>
                  </w:r>
                  <w:r w:rsidRPr="004F572A">
                    <w:rPr>
                      <w:sz w:val="22"/>
                      <w:szCs w:val="22"/>
                    </w:rPr>
                    <w:t xml:space="preserve"> 4 mg </w:t>
                  </w:r>
                  <w:r w:rsidR="00733FA0">
                    <w:rPr>
                      <w:sz w:val="22"/>
                      <w:szCs w:val="22"/>
                    </w:rPr>
                    <w:t xml:space="preserve">geriamoji </w:t>
                  </w:r>
                  <w:r w:rsidRPr="004F572A">
                    <w:rPr>
                      <w:sz w:val="22"/>
                      <w:szCs w:val="22"/>
                    </w:rPr>
                    <w:t>kapsul</w:t>
                  </w:r>
                  <w:r w:rsidR="00733FA0">
                    <w:rPr>
                      <w:sz w:val="22"/>
                      <w:szCs w:val="22"/>
                    </w:rPr>
                    <w:t>ė</w:t>
                  </w:r>
                  <w:r w:rsidRPr="004F572A">
                    <w:rPr>
                      <w:sz w:val="22"/>
                      <w:szCs w:val="22"/>
                    </w:rPr>
                    <w:t xml:space="preserve">) </w:t>
                  </w:r>
                  <w:r w:rsidR="00733FA0">
                    <w:rPr>
                      <w:sz w:val="22"/>
                      <w:szCs w:val="22"/>
                    </w:rPr>
                    <w:t xml:space="preserve">vieną </w:t>
                  </w:r>
                  <w:r w:rsidRPr="004F572A">
                    <w:rPr>
                      <w:sz w:val="22"/>
                      <w:szCs w:val="22"/>
                    </w:rPr>
                    <w:t>kartą per parą</w:t>
                  </w:r>
                </w:p>
              </w:tc>
            </w:tr>
          </w:tbl>
          <w:p w14:paraId="52528479" w14:textId="77777777" w:rsidR="00436722" w:rsidRPr="004F572A" w:rsidRDefault="00436722" w:rsidP="000928CA">
            <w:pPr>
              <w:rPr>
                <w:sz w:val="22"/>
                <w:szCs w:val="22"/>
              </w:rPr>
            </w:pPr>
          </w:p>
        </w:tc>
        <w:tc>
          <w:tcPr>
            <w:tcW w:w="2200" w:type="dxa"/>
          </w:tcPr>
          <w:p w14:paraId="052475CF" w14:textId="42B277B7" w:rsidR="00733FA0" w:rsidRDefault="00D9169B" w:rsidP="000928CA">
            <w:pPr>
              <w:rPr>
                <w:sz w:val="22"/>
                <w:szCs w:val="22"/>
              </w:rPr>
            </w:pPr>
            <w:r w:rsidRPr="004F572A">
              <w:rPr>
                <w:sz w:val="22"/>
                <w:szCs w:val="22"/>
              </w:rPr>
              <w:t xml:space="preserve">4 mg </w:t>
            </w:r>
          </w:p>
          <w:p w14:paraId="42B1060D" w14:textId="5A726B78" w:rsidR="00436722" w:rsidRPr="004F572A" w:rsidRDefault="00D9169B" w:rsidP="000928CA">
            <w:pPr>
              <w:rPr>
                <w:sz w:val="22"/>
                <w:szCs w:val="22"/>
              </w:rPr>
            </w:pPr>
            <w:r w:rsidRPr="004F572A">
              <w:rPr>
                <w:sz w:val="22"/>
                <w:szCs w:val="22"/>
              </w:rPr>
              <w:t>(vien</w:t>
            </w:r>
            <w:r w:rsidR="00733FA0">
              <w:rPr>
                <w:sz w:val="22"/>
                <w:szCs w:val="22"/>
              </w:rPr>
              <w:t>a</w:t>
            </w:r>
            <w:r w:rsidRPr="004F572A">
              <w:rPr>
                <w:sz w:val="22"/>
                <w:szCs w:val="22"/>
              </w:rPr>
              <w:t xml:space="preserve"> 4 mg </w:t>
            </w:r>
            <w:r w:rsidR="00733FA0">
              <w:rPr>
                <w:sz w:val="22"/>
                <w:szCs w:val="22"/>
              </w:rPr>
              <w:t xml:space="preserve">geriamoji </w:t>
            </w:r>
            <w:r w:rsidRPr="004F572A">
              <w:rPr>
                <w:sz w:val="22"/>
                <w:szCs w:val="22"/>
              </w:rPr>
              <w:t>kapsul</w:t>
            </w:r>
            <w:r w:rsidR="00733FA0">
              <w:rPr>
                <w:sz w:val="22"/>
                <w:szCs w:val="22"/>
              </w:rPr>
              <w:t>ė</w:t>
            </w:r>
            <w:r w:rsidRPr="004F572A">
              <w:rPr>
                <w:sz w:val="22"/>
                <w:szCs w:val="22"/>
              </w:rPr>
              <w:t xml:space="preserve">) </w:t>
            </w:r>
            <w:r w:rsidR="00A259C0" w:rsidRPr="004F572A">
              <w:rPr>
                <w:sz w:val="22"/>
                <w:szCs w:val="22"/>
              </w:rPr>
              <w:t>kas antrą dieną</w:t>
            </w:r>
          </w:p>
        </w:tc>
      </w:tr>
      <w:tr w:rsidR="00A259C0" w:rsidRPr="004F572A" w14:paraId="2AC63935" w14:textId="77777777" w:rsidTr="00A259C0">
        <w:tc>
          <w:tcPr>
            <w:tcW w:w="2155" w:type="dxa"/>
          </w:tcPr>
          <w:p w14:paraId="262C464B" w14:textId="75139B89" w:rsidR="00A259C0" w:rsidRPr="004F572A" w:rsidRDefault="00A259C0" w:rsidP="00F67D19">
            <w:pPr>
              <w:rPr>
                <w:sz w:val="22"/>
                <w:szCs w:val="22"/>
              </w:rPr>
            </w:pPr>
            <w:r w:rsidRPr="004F572A">
              <w:rPr>
                <w:sz w:val="22"/>
                <w:szCs w:val="22"/>
              </w:rPr>
              <w:t>Pasireiškė trečią kartą</w:t>
            </w:r>
          </w:p>
          <w:p w14:paraId="021755A3" w14:textId="77777777" w:rsidR="00A259C0" w:rsidRPr="004F572A" w:rsidRDefault="00A259C0" w:rsidP="00F67D19">
            <w:pPr>
              <w:rPr>
                <w:sz w:val="22"/>
                <w:szCs w:val="22"/>
              </w:rPr>
            </w:pPr>
            <w:r w:rsidRPr="004F572A">
              <w:rPr>
                <w:sz w:val="22"/>
                <w:szCs w:val="22"/>
              </w:rPr>
              <w:t>(ta pati reakcija arba nauja reakcija)</w:t>
            </w:r>
          </w:p>
        </w:tc>
        <w:tc>
          <w:tcPr>
            <w:tcW w:w="2375" w:type="dxa"/>
          </w:tcPr>
          <w:p w14:paraId="0B916864" w14:textId="1BE21BB7" w:rsidR="00A259C0" w:rsidRPr="004F572A" w:rsidRDefault="00A259C0" w:rsidP="00F67D19">
            <w:pPr>
              <w:rPr>
                <w:sz w:val="22"/>
                <w:szCs w:val="22"/>
              </w:rPr>
            </w:pPr>
            <w:r w:rsidRPr="004F572A">
              <w:rPr>
                <w:sz w:val="22"/>
                <w:szCs w:val="22"/>
              </w:rPr>
              <w:t xml:space="preserve">Vaistinio preparato vartojimą sustabdykite, kol reakcija </w:t>
            </w:r>
            <w:r w:rsidR="00733FA0">
              <w:rPr>
                <w:sz w:val="22"/>
                <w:szCs w:val="22"/>
              </w:rPr>
              <w:t>palengvės</w:t>
            </w:r>
            <w:r w:rsidR="00733FA0" w:rsidRPr="004F572A">
              <w:rPr>
                <w:sz w:val="22"/>
                <w:szCs w:val="22"/>
              </w:rPr>
              <w:t xml:space="preserve"> </w:t>
            </w:r>
            <w:r w:rsidRPr="004F572A">
              <w:rPr>
                <w:sz w:val="22"/>
                <w:szCs w:val="22"/>
              </w:rPr>
              <w:t>iki 0</w:t>
            </w:r>
            <w:r w:rsidR="00DE3C81">
              <w:rPr>
                <w:sz w:val="22"/>
                <w:szCs w:val="22"/>
              </w:rPr>
              <w:noBreakHyphen/>
            </w:r>
            <w:r w:rsidRPr="004F572A">
              <w:rPr>
                <w:sz w:val="22"/>
                <w:szCs w:val="22"/>
              </w:rPr>
              <w:t>1</w:t>
            </w:r>
            <w:r w:rsidR="00DE3C81">
              <w:rPr>
                <w:sz w:val="22"/>
                <w:szCs w:val="22"/>
              </w:rPr>
              <w:t> </w:t>
            </w:r>
            <w:r w:rsidRPr="004F572A">
              <w:rPr>
                <w:sz w:val="22"/>
                <w:szCs w:val="22"/>
              </w:rPr>
              <w:t xml:space="preserve">laipsnio ar iki </w:t>
            </w:r>
            <w:r w:rsidR="00733FA0">
              <w:rPr>
                <w:sz w:val="22"/>
                <w:szCs w:val="22"/>
              </w:rPr>
              <w:t xml:space="preserve">pradinio </w:t>
            </w:r>
            <w:proofErr w:type="spellStart"/>
            <w:r w:rsidR="00733FA0">
              <w:rPr>
                <w:sz w:val="22"/>
                <w:szCs w:val="22"/>
              </w:rPr>
              <w:t>laipsnio</w:t>
            </w:r>
            <w:r w:rsidRPr="004F572A">
              <w:rPr>
                <w:sz w:val="22"/>
                <w:szCs w:val="22"/>
                <w:vertAlign w:val="superscript"/>
              </w:rPr>
              <w:t>d</w:t>
            </w:r>
            <w:proofErr w:type="spellEnd"/>
          </w:p>
        </w:tc>
        <w:tc>
          <w:tcPr>
            <w:tcW w:w="2265" w:type="dxa"/>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49"/>
            </w:tblGrid>
            <w:tr w:rsidR="00A259C0" w:rsidRPr="004F572A" w14:paraId="1868DD07" w14:textId="77777777" w:rsidTr="00F67D19">
              <w:tc>
                <w:tcPr>
                  <w:tcW w:w="3000" w:type="dxa"/>
                  <w:tcBorders>
                    <w:top w:val="nil"/>
                    <w:left w:val="nil"/>
                    <w:bottom w:val="nil"/>
                    <w:right w:val="nil"/>
                  </w:tcBorders>
                  <w:vAlign w:val="center"/>
                  <w:hideMark/>
                </w:tcPr>
                <w:p w14:paraId="000F5638" w14:textId="4C4E0BF4" w:rsidR="00733FA0" w:rsidRDefault="00A259C0" w:rsidP="00F67D19">
                  <w:pPr>
                    <w:rPr>
                      <w:sz w:val="22"/>
                      <w:szCs w:val="22"/>
                    </w:rPr>
                  </w:pPr>
                  <w:r w:rsidRPr="004F572A">
                    <w:rPr>
                      <w:sz w:val="22"/>
                      <w:szCs w:val="22"/>
                    </w:rPr>
                    <w:t xml:space="preserve">4 mg </w:t>
                  </w:r>
                </w:p>
                <w:p w14:paraId="645E8032" w14:textId="0EAD1FED" w:rsidR="00A259C0" w:rsidRPr="004F572A" w:rsidRDefault="00A259C0" w:rsidP="00F67D19">
                  <w:pPr>
                    <w:rPr>
                      <w:sz w:val="22"/>
                      <w:szCs w:val="22"/>
                    </w:rPr>
                  </w:pPr>
                  <w:r w:rsidRPr="004F572A">
                    <w:rPr>
                      <w:sz w:val="22"/>
                      <w:szCs w:val="22"/>
                    </w:rPr>
                    <w:t>(vien</w:t>
                  </w:r>
                  <w:r w:rsidR="00733FA0">
                    <w:rPr>
                      <w:sz w:val="22"/>
                      <w:szCs w:val="22"/>
                    </w:rPr>
                    <w:t>a</w:t>
                  </w:r>
                  <w:r w:rsidRPr="004F572A">
                    <w:rPr>
                      <w:sz w:val="22"/>
                      <w:szCs w:val="22"/>
                    </w:rPr>
                    <w:t xml:space="preserve"> 4 mg </w:t>
                  </w:r>
                  <w:r w:rsidR="00733FA0">
                    <w:rPr>
                      <w:sz w:val="22"/>
                      <w:szCs w:val="22"/>
                    </w:rPr>
                    <w:t xml:space="preserve">geriamoji </w:t>
                  </w:r>
                  <w:r w:rsidRPr="004F572A">
                    <w:rPr>
                      <w:sz w:val="22"/>
                      <w:szCs w:val="22"/>
                    </w:rPr>
                    <w:t>kapsul</w:t>
                  </w:r>
                  <w:r w:rsidR="00733FA0">
                    <w:rPr>
                      <w:sz w:val="22"/>
                      <w:szCs w:val="22"/>
                    </w:rPr>
                    <w:t>ė</w:t>
                  </w:r>
                  <w:r w:rsidRPr="004F572A">
                    <w:rPr>
                      <w:sz w:val="22"/>
                      <w:szCs w:val="22"/>
                    </w:rPr>
                    <w:t>) kas antrą dieną</w:t>
                  </w:r>
                </w:p>
              </w:tc>
            </w:tr>
          </w:tbl>
          <w:p w14:paraId="09F40760" w14:textId="77777777" w:rsidR="00A259C0" w:rsidRPr="004F572A" w:rsidRDefault="00A259C0" w:rsidP="00F67D19">
            <w:pPr>
              <w:rPr>
                <w:sz w:val="22"/>
                <w:szCs w:val="22"/>
              </w:rPr>
            </w:pPr>
          </w:p>
        </w:tc>
        <w:tc>
          <w:tcPr>
            <w:tcW w:w="2200" w:type="dxa"/>
          </w:tcPr>
          <w:p w14:paraId="71CB9955" w14:textId="1D5E8B85" w:rsidR="00A259C0" w:rsidRPr="004F572A" w:rsidRDefault="00733FA0" w:rsidP="00F67D19">
            <w:pPr>
              <w:rPr>
                <w:sz w:val="22"/>
                <w:szCs w:val="22"/>
              </w:rPr>
            </w:pPr>
            <w:r>
              <w:rPr>
                <w:sz w:val="22"/>
                <w:szCs w:val="22"/>
              </w:rPr>
              <w:t>V</w:t>
            </w:r>
            <w:r w:rsidR="00A259C0" w:rsidRPr="004F572A">
              <w:rPr>
                <w:sz w:val="22"/>
                <w:szCs w:val="22"/>
              </w:rPr>
              <w:t>aistinio preparato vartojimą</w:t>
            </w:r>
            <w:r w:rsidRPr="004F572A">
              <w:rPr>
                <w:sz w:val="22"/>
                <w:szCs w:val="22"/>
              </w:rPr>
              <w:t xml:space="preserve"> </w:t>
            </w:r>
            <w:r>
              <w:rPr>
                <w:sz w:val="22"/>
                <w:szCs w:val="22"/>
              </w:rPr>
              <w:t>n</w:t>
            </w:r>
            <w:r w:rsidRPr="004F572A">
              <w:rPr>
                <w:sz w:val="22"/>
                <w:szCs w:val="22"/>
              </w:rPr>
              <w:t>utraukite</w:t>
            </w:r>
          </w:p>
        </w:tc>
      </w:tr>
      <w:tr w:rsidR="00A259C0" w:rsidRPr="004F572A" w14:paraId="61FF211D" w14:textId="77777777" w:rsidTr="00A259C0">
        <w:tc>
          <w:tcPr>
            <w:tcW w:w="8995" w:type="dxa"/>
            <w:gridSpan w:val="4"/>
          </w:tcPr>
          <w:p w14:paraId="28AF4993" w14:textId="633DE9F2" w:rsidR="00A259C0" w:rsidRPr="004F572A" w:rsidRDefault="00A259C0" w:rsidP="000928CA">
            <w:pPr>
              <w:rPr>
                <w:b/>
                <w:bCs/>
                <w:sz w:val="22"/>
                <w:szCs w:val="22"/>
              </w:rPr>
            </w:pPr>
            <w:r w:rsidRPr="004F572A">
              <w:rPr>
                <w:b/>
                <w:bCs/>
                <w:sz w:val="22"/>
                <w:szCs w:val="22"/>
              </w:rPr>
              <w:t>Gyvybei grėsmingas toksinis poveikis (4</w:t>
            </w:r>
            <w:r w:rsidR="00DE3C81">
              <w:rPr>
                <w:b/>
                <w:bCs/>
                <w:sz w:val="22"/>
                <w:szCs w:val="22"/>
              </w:rPr>
              <w:noBreakHyphen/>
            </w:r>
            <w:r w:rsidRPr="004F572A">
              <w:rPr>
                <w:b/>
                <w:bCs/>
                <w:sz w:val="22"/>
                <w:szCs w:val="22"/>
              </w:rPr>
              <w:t>ojo laipsnio): vaistinio preparato vartojimą</w:t>
            </w:r>
            <w:r w:rsidR="00733FA0">
              <w:rPr>
                <w:b/>
                <w:bCs/>
                <w:sz w:val="22"/>
                <w:szCs w:val="22"/>
              </w:rPr>
              <w:t xml:space="preserve"> </w:t>
            </w:r>
            <w:proofErr w:type="spellStart"/>
            <w:r w:rsidR="00733FA0">
              <w:rPr>
                <w:b/>
                <w:bCs/>
                <w:sz w:val="22"/>
                <w:szCs w:val="22"/>
              </w:rPr>
              <w:t>nutraukite</w:t>
            </w:r>
            <w:r w:rsidR="00D2641C" w:rsidRPr="004F572A">
              <w:rPr>
                <w:b/>
                <w:bCs/>
                <w:sz w:val="22"/>
                <w:szCs w:val="22"/>
                <w:vertAlign w:val="superscript"/>
              </w:rPr>
              <w:t>e</w:t>
            </w:r>
            <w:proofErr w:type="spellEnd"/>
            <w:r w:rsidRPr="004F572A">
              <w:rPr>
                <w:b/>
                <w:bCs/>
                <w:sz w:val="22"/>
                <w:szCs w:val="22"/>
              </w:rPr>
              <w:t xml:space="preserve"> </w:t>
            </w:r>
          </w:p>
        </w:tc>
      </w:tr>
      <w:tr w:rsidR="00A259C0" w:rsidRPr="004F572A" w14:paraId="12918F81" w14:textId="77777777" w:rsidTr="00A259C0">
        <w:tc>
          <w:tcPr>
            <w:tcW w:w="8995" w:type="dxa"/>
            <w:gridSpan w:val="4"/>
          </w:tcPr>
          <w:p w14:paraId="68B8BF58" w14:textId="51275A74" w:rsidR="00CE518A" w:rsidRPr="004F572A" w:rsidRDefault="00CE518A" w:rsidP="00CE518A">
            <w:pPr>
              <w:tabs>
                <w:tab w:val="clear" w:pos="567"/>
                <w:tab w:val="left" w:pos="360"/>
              </w:tabs>
              <w:ind w:left="360" w:hanging="360"/>
              <w:rPr>
                <w:sz w:val="22"/>
                <w:szCs w:val="22"/>
              </w:rPr>
            </w:pPr>
            <w:r w:rsidRPr="004F572A">
              <w:rPr>
                <w:sz w:val="22"/>
                <w:szCs w:val="22"/>
                <w:vertAlign w:val="superscript"/>
              </w:rPr>
              <w:t>a</w:t>
            </w:r>
            <w:r w:rsidR="00733FA0">
              <w:rPr>
                <w:sz w:val="22"/>
                <w:szCs w:val="22"/>
                <w:vertAlign w:val="superscript"/>
              </w:rPr>
              <w:t>.</w:t>
            </w:r>
            <w:r w:rsidRPr="004F572A">
              <w:rPr>
                <w:sz w:val="22"/>
                <w:szCs w:val="22"/>
              </w:rPr>
              <w:tab/>
              <w:t xml:space="preserve">Prieš </w:t>
            </w:r>
            <w:r w:rsidR="00733FA0">
              <w:rPr>
                <w:sz w:val="22"/>
                <w:szCs w:val="22"/>
              </w:rPr>
              <w:t>nutraukdami</w:t>
            </w:r>
            <w:r w:rsidR="00733FA0" w:rsidRPr="004F572A">
              <w:rPr>
                <w:sz w:val="22"/>
                <w:szCs w:val="22"/>
              </w:rPr>
              <w:t xml:space="preserve"> </w:t>
            </w:r>
            <w:r w:rsidRPr="004F572A">
              <w:rPr>
                <w:sz w:val="22"/>
                <w:szCs w:val="22"/>
              </w:rPr>
              <w:t xml:space="preserve">vaistinio preparato vartojimą ar </w:t>
            </w:r>
            <w:r w:rsidR="00733FA0">
              <w:rPr>
                <w:sz w:val="22"/>
                <w:szCs w:val="22"/>
              </w:rPr>
              <w:t xml:space="preserve">prieš </w:t>
            </w:r>
            <w:r w:rsidRPr="004F572A">
              <w:rPr>
                <w:sz w:val="22"/>
                <w:szCs w:val="22"/>
              </w:rPr>
              <w:t>sumažin</w:t>
            </w:r>
            <w:r w:rsidR="00733FA0">
              <w:rPr>
                <w:sz w:val="22"/>
                <w:szCs w:val="22"/>
              </w:rPr>
              <w:t>dami</w:t>
            </w:r>
            <w:r w:rsidRPr="004F572A">
              <w:rPr>
                <w:sz w:val="22"/>
                <w:szCs w:val="22"/>
              </w:rPr>
              <w:t xml:space="preserve"> dozę pradėkite </w:t>
            </w:r>
            <w:r w:rsidR="00733FA0">
              <w:rPr>
                <w:sz w:val="22"/>
                <w:szCs w:val="22"/>
              </w:rPr>
              <w:t xml:space="preserve">skirti medikamentinį </w:t>
            </w:r>
            <w:r w:rsidRPr="004F572A">
              <w:rPr>
                <w:sz w:val="22"/>
                <w:szCs w:val="22"/>
              </w:rPr>
              <w:t xml:space="preserve">gydymą </w:t>
            </w:r>
            <w:r w:rsidR="00733FA0">
              <w:rPr>
                <w:sz w:val="22"/>
                <w:szCs w:val="22"/>
              </w:rPr>
              <w:t xml:space="preserve">kontroliuoti </w:t>
            </w:r>
            <w:r w:rsidRPr="004F572A">
              <w:rPr>
                <w:sz w:val="22"/>
                <w:szCs w:val="22"/>
              </w:rPr>
              <w:t>pykinim</w:t>
            </w:r>
            <w:r w:rsidR="00733FA0">
              <w:rPr>
                <w:sz w:val="22"/>
                <w:szCs w:val="22"/>
              </w:rPr>
              <w:t>ą</w:t>
            </w:r>
            <w:r w:rsidRPr="004F572A">
              <w:rPr>
                <w:sz w:val="22"/>
                <w:szCs w:val="22"/>
              </w:rPr>
              <w:t>, vėmim</w:t>
            </w:r>
            <w:r w:rsidR="00733FA0">
              <w:rPr>
                <w:sz w:val="22"/>
                <w:szCs w:val="22"/>
              </w:rPr>
              <w:t>ą</w:t>
            </w:r>
            <w:r w:rsidRPr="004F572A">
              <w:rPr>
                <w:sz w:val="22"/>
                <w:szCs w:val="22"/>
              </w:rPr>
              <w:t xml:space="preserve"> ar viduriavim</w:t>
            </w:r>
            <w:r w:rsidR="00733FA0">
              <w:rPr>
                <w:sz w:val="22"/>
                <w:szCs w:val="22"/>
              </w:rPr>
              <w:t>ą</w:t>
            </w:r>
            <w:r w:rsidRPr="004F572A">
              <w:rPr>
                <w:sz w:val="22"/>
                <w:szCs w:val="22"/>
              </w:rPr>
              <w:t>.</w:t>
            </w:r>
          </w:p>
          <w:p w14:paraId="543D1133" w14:textId="6DC5EFA0" w:rsidR="00CE518A" w:rsidRPr="004F572A" w:rsidRDefault="00CE518A" w:rsidP="00CE518A">
            <w:pPr>
              <w:tabs>
                <w:tab w:val="clear" w:pos="567"/>
                <w:tab w:val="left" w:pos="360"/>
              </w:tabs>
              <w:ind w:left="360" w:hanging="360"/>
              <w:rPr>
                <w:sz w:val="22"/>
                <w:szCs w:val="22"/>
              </w:rPr>
            </w:pPr>
            <w:r w:rsidRPr="004F572A">
              <w:rPr>
                <w:sz w:val="22"/>
                <w:szCs w:val="22"/>
                <w:vertAlign w:val="superscript"/>
              </w:rPr>
              <w:t>b</w:t>
            </w:r>
            <w:r w:rsidR="00733FA0">
              <w:rPr>
                <w:sz w:val="22"/>
                <w:szCs w:val="22"/>
                <w:vertAlign w:val="superscript"/>
              </w:rPr>
              <w:t>.</w:t>
            </w:r>
            <w:r w:rsidRPr="004F572A">
              <w:rPr>
                <w:sz w:val="22"/>
                <w:szCs w:val="22"/>
              </w:rPr>
              <w:tab/>
              <w:t>Atsižvelg</w:t>
            </w:r>
            <w:r w:rsidR="00733FA0">
              <w:rPr>
                <w:sz w:val="22"/>
                <w:szCs w:val="22"/>
              </w:rPr>
              <w:t>dami</w:t>
            </w:r>
            <w:r w:rsidRPr="004F572A">
              <w:rPr>
                <w:sz w:val="22"/>
                <w:szCs w:val="22"/>
              </w:rPr>
              <w:t xml:space="preserve"> į pirmesnės dozės lygį nuosekliai mažinkite dozę (12 mg, 8 mg, 4 mg arba 4 mg kas antrą parą).</w:t>
            </w:r>
          </w:p>
          <w:p w14:paraId="45C9BA34" w14:textId="1520D0A2" w:rsidR="00CE518A" w:rsidRPr="004F572A" w:rsidRDefault="00CE518A" w:rsidP="00CE518A">
            <w:pPr>
              <w:tabs>
                <w:tab w:val="clear" w:pos="567"/>
                <w:tab w:val="left" w:pos="360"/>
              </w:tabs>
              <w:ind w:left="360" w:hanging="360"/>
              <w:rPr>
                <w:sz w:val="22"/>
                <w:szCs w:val="22"/>
              </w:rPr>
            </w:pPr>
            <w:r w:rsidRPr="004F572A">
              <w:rPr>
                <w:sz w:val="22"/>
                <w:szCs w:val="22"/>
                <w:vertAlign w:val="superscript"/>
              </w:rPr>
              <w:t>c</w:t>
            </w:r>
            <w:r w:rsidR="00733FA0">
              <w:rPr>
                <w:sz w:val="22"/>
                <w:szCs w:val="22"/>
                <w:vertAlign w:val="superscript"/>
              </w:rPr>
              <w:t>.</w:t>
            </w:r>
            <w:r w:rsidRPr="004F572A">
              <w:rPr>
                <w:sz w:val="22"/>
                <w:szCs w:val="22"/>
              </w:rPr>
              <w:tab/>
              <w:t xml:space="preserve">Toksinis poveikis kraujo sistemai ar </w:t>
            </w:r>
            <w:proofErr w:type="spellStart"/>
            <w:r w:rsidRPr="004F572A">
              <w:rPr>
                <w:sz w:val="22"/>
                <w:szCs w:val="22"/>
              </w:rPr>
              <w:t>proteinurija</w:t>
            </w:r>
            <w:proofErr w:type="spellEnd"/>
            <w:r w:rsidRPr="004F572A">
              <w:rPr>
                <w:sz w:val="22"/>
                <w:szCs w:val="22"/>
              </w:rPr>
              <w:t>: pirmą kartą pasireiškus šiems sutrikimams dozės koreguoti nereikia.</w:t>
            </w:r>
          </w:p>
          <w:p w14:paraId="66F94437" w14:textId="5D86C502" w:rsidR="00CE518A" w:rsidRPr="004F572A" w:rsidRDefault="00CE518A" w:rsidP="00CE518A">
            <w:pPr>
              <w:tabs>
                <w:tab w:val="clear" w:pos="567"/>
                <w:tab w:val="left" w:pos="360"/>
              </w:tabs>
              <w:ind w:left="360" w:hanging="360"/>
              <w:rPr>
                <w:sz w:val="22"/>
                <w:szCs w:val="22"/>
              </w:rPr>
            </w:pPr>
            <w:r w:rsidRPr="004F572A">
              <w:rPr>
                <w:sz w:val="22"/>
                <w:szCs w:val="22"/>
                <w:vertAlign w:val="superscript"/>
              </w:rPr>
              <w:t>d</w:t>
            </w:r>
            <w:r w:rsidR="00733FA0">
              <w:rPr>
                <w:sz w:val="22"/>
                <w:szCs w:val="22"/>
                <w:vertAlign w:val="superscript"/>
              </w:rPr>
              <w:t>.</w:t>
            </w:r>
            <w:r w:rsidRPr="004F572A">
              <w:rPr>
                <w:sz w:val="22"/>
                <w:szCs w:val="22"/>
              </w:rPr>
              <w:tab/>
              <w:t>Pasireiškus toksiniam poveikiui kraujui dozę galima vėl pradėti skirti, kai poveikis sumažėja iki 2</w:t>
            </w:r>
            <w:r w:rsidR="00DE3C81">
              <w:rPr>
                <w:sz w:val="22"/>
                <w:szCs w:val="22"/>
              </w:rPr>
              <w:noBreakHyphen/>
            </w:r>
            <w:r w:rsidRPr="004F572A">
              <w:rPr>
                <w:sz w:val="22"/>
                <w:szCs w:val="22"/>
              </w:rPr>
              <w:t xml:space="preserve">ojo laipsnio; pasireiškus </w:t>
            </w:r>
            <w:proofErr w:type="spellStart"/>
            <w:r w:rsidRPr="004F572A">
              <w:rPr>
                <w:sz w:val="22"/>
                <w:szCs w:val="22"/>
              </w:rPr>
              <w:t>proteinurijai</w:t>
            </w:r>
            <w:proofErr w:type="spellEnd"/>
            <w:r w:rsidRPr="004F572A">
              <w:rPr>
                <w:sz w:val="22"/>
                <w:szCs w:val="22"/>
              </w:rPr>
              <w:t xml:space="preserve"> dozę galima vėl pradėti skirti, kai </w:t>
            </w:r>
            <w:proofErr w:type="spellStart"/>
            <w:r w:rsidRPr="004F572A">
              <w:rPr>
                <w:sz w:val="22"/>
                <w:szCs w:val="22"/>
              </w:rPr>
              <w:t>proteinurija</w:t>
            </w:r>
            <w:proofErr w:type="spellEnd"/>
            <w:r w:rsidRPr="004F572A">
              <w:rPr>
                <w:sz w:val="22"/>
                <w:szCs w:val="22"/>
              </w:rPr>
              <w:t xml:space="preserve"> tampa mažesnė kaip 2 g/24 val.</w:t>
            </w:r>
          </w:p>
          <w:p w14:paraId="03BADE55" w14:textId="318FF6FC" w:rsidR="00A259C0" w:rsidRPr="004F572A" w:rsidRDefault="00CE518A" w:rsidP="00E741A6">
            <w:pPr>
              <w:tabs>
                <w:tab w:val="clear" w:pos="567"/>
                <w:tab w:val="left" w:pos="360"/>
              </w:tabs>
              <w:ind w:left="360" w:hanging="360"/>
              <w:rPr>
                <w:sz w:val="22"/>
                <w:szCs w:val="22"/>
              </w:rPr>
            </w:pPr>
            <w:r w:rsidRPr="004F572A">
              <w:rPr>
                <w:sz w:val="22"/>
                <w:szCs w:val="22"/>
                <w:vertAlign w:val="superscript"/>
              </w:rPr>
              <w:t>e</w:t>
            </w:r>
            <w:r w:rsidR="00733FA0">
              <w:rPr>
                <w:sz w:val="22"/>
                <w:szCs w:val="22"/>
                <w:vertAlign w:val="superscript"/>
              </w:rPr>
              <w:t>.</w:t>
            </w:r>
            <w:r w:rsidRPr="004F572A">
              <w:rPr>
                <w:sz w:val="22"/>
                <w:szCs w:val="22"/>
              </w:rPr>
              <w:tab/>
              <w:t xml:space="preserve">Išskyrus </w:t>
            </w:r>
            <w:r w:rsidR="00733FA0" w:rsidRPr="00733FA0">
              <w:rPr>
                <w:sz w:val="22"/>
                <w:szCs w:val="22"/>
              </w:rPr>
              <w:t>laboratorinių rodiklių nukrypimus, kurie nelaikomi grėsmingais gyvybei ir kontroliuojami</w:t>
            </w:r>
            <w:r w:rsidR="00733FA0">
              <w:rPr>
                <w:sz w:val="22"/>
                <w:szCs w:val="22"/>
              </w:rPr>
              <w:t xml:space="preserve"> </w:t>
            </w:r>
            <w:r w:rsidRPr="004F572A">
              <w:rPr>
                <w:sz w:val="22"/>
                <w:szCs w:val="22"/>
              </w:rPr>
              <w:t>kaip 3</w:t>
            </w:r>
            <w:r w:rsidR="00DE3C81">
              <w:rPr>
                <w:sz w:val="22"/>
                <w:szCs w:val="22"/>
              </w:rPr>
              <w:noBreakHyphen/>
            </w:r>
            <w:r w:rsidRPr="004F572A">
              <w:rPr>
                <w:sz w:val="22"/>
                <w:szCs w:val="22"/>
              </w:rPr>
              <w:t>ojo laipsnio nepageidaujam</w:t>
            </w:r>
            <w:r w:rsidR="00733FA0">
              <w:rPr>
                <w:sz w:val="22"/>
                <w:szCs w:val="22"/>
              </w:rPr>
              <w:t>a</w:t>
            </w:r>
            <w:r w:rsidRPr="004F572A">
              <w:rPr>
                <w:sz w:val="22"/>
                <w:szCs w:val="22"/>
              </w:rPr>
              <w:t xml:space="preserve"> reakcij</w:t>
            </w:r>
            <w:r w:rsidR="00733FA0">
              <w:rPr>
                <w:sz w:val="22"/>
                <w:szCs w:val="22"/>
              </w:rPr>
              <w:t>a</w:t>
            </w:r>
            <w:r w:rsidRPr="004F572A">
              <w:rPr>
                <w:sz w:val="22"/>
                <w:szCs w:val="22"/>
              </w:rPr>
              <w:t>.</w:t>
            </w:r>
          </w:p>
        </w:tc>
      </w:tr>
    </w:tbl>
    <w:p w14:paraId="7B10FA7B" w14:textId="77777777" w:rsidR="000C1654" w:rsidRPr="004F572A" w:rsidRDefault="000C1654" w:rsidP="000928CA">
      <w:pPr>
        <w:rPr>
          <w:sz w:val="22"/>
          <w:szCs w:val="22"/>
        </w:rPr>
      </w:pPr>
    </w:p>
    <w:p w14:paraId="23864866" w14:textId="7B02E26E" w:rsidR="00C10995" w:rsidRPr="004F572A" w:rsidRDefault="00C10995" w:rsidP="00C10995">
      <w:pPr>
        <w:rPr>
          <w:sz w:val="22"/>
          <w:szCs w:val="22"/>
        </w:rPr>
      </w:pPr>
      <w:r w:rsidRPr="004F572A">
        <w:rPr>
          <w:sz w:val="22"/>
          <w:szCs w:val="22"/>
        </w:rPr>
        <w:t xml:space="preserve">Laipsniai yra paremti Nacionalinio vėžio instituto (angl. </w:t>
      </w:r>
      <w:proofErr w:type="spellStart"/>
      <w:r w:rsidRPr="00E27691">
        <w:rPr>
          <w:i/>
          <w:iCs/>
          <w:sz w:val="22"/>
          <w:szCs w:val="22"/>
        </w:rPr>
        <w:t>National</w:t>
      </w:r>
      <w:proofErr w:type="spellEnd"/>
      <w:r w:rsidRPr="00E27691">
        <w:rPr>
          <w:i/>
          <w:iCs/>
          <w:sz w:val="22"/>
          <w:szCs w:val="22"/>
        </w:rPr>
        <w:t xml:space="preserve"> </w:t>
      </w:r>
      <w:proofErr w:type="spellStart"/>
      <w:r w:rsidRPr="00E27691">
        <w:rPr>
          <w:i/>
          <w:iCs/>
          <w:sz w:val="22"/>
          <w:szCs w:val="22"/>
        </w:rPr>
        <w:t>Cancer</w:t>
      </w:r>
      <w:proofErr w:type="spellEnd"/>
      <w:r w:rsidRPr="00E27691">
        <w:rPr>
          <w:i/>
          <w:iCs/>
          <w:sz w:val="22"/>
          <w:szCs w:val="22"/>
        </w:rPr>
        <w:t xml:space="preserve"> Institute</w:t>
      </w:r>
      <w:r w:rsidRPr="004F572A">
        <w:rPr>
          <w:sz w:val="22"/>
          <w:szCs w:val="22"/>
        </w:rPr>
        <w:t>, NCI) bendrais nepageidaujamų reiškinių terminologijos kriterijais (BNRTK).</w:t>
      </w:r>
    </w:p>
    <w:p w14:paraId="32F00905" w14:textId="77777777" w:rsidR="00C10995" w:rsidRPr="004F572A" w:rsidRDefault="00C10995" w:rsidP="00C10995">
      <w:pPr>
        <w:rPr>
          <w:sz w:val="22"/>
          <w:szCs w:val="22"/>
        </w:rPr>
      </w:pPr>
    </w:p>
    <w:p w14:paraId="7EC6DED4" w14:textId="3CDDC974" w:rsidR="00C10995" w:rsidRPr="004F572A" w:rsidRDefault="00C10995" w:rsidP="00C10995">
      <w:pPr>
        <w:rPr>
          <w:i/>
          <w:iCs/>
          <w:sz w:val="22"/>
          <w:szCs w:val="22"/>
          <w:u w:val="single"/>
        </w:rPr>
      </w:pPr>
      <w:proofErr w:type="spellStart"/>
      <w:r w:rsidRPr="004F572A">
        <w:rPr>
          <w:i/>
          <w:iCs/>
          <w:sz w:val="22"/>
          <w:szCs w:val="22"/>
          <w:u w:val="single"/>
        </w:rPr>
        <w:lastRenderedPageBreak/>
        <w:t>Endometriumo</w:t>
      </w:r>
      <w:proofErr w:type="spellEnd"/>
      <w:r w:rsidRPr="004F572A">
        <w:rPr>
          <w:i/>
          <w:iCs/>
          <w:sz w:val="22"/>
          <w:szCs w:val="22"/>
          <w:u w:val="single"/>
        </w:rPr>
        <w:t xml:space="preserve"> karcinoma (EK)</w:t>
      </w:r>
    </w:p>
    <w:p w14:paraId="5FB6D41F" w14:textId="77777777" w:rsidR="00C10995" w:rsidRPr="004F572A" w:rsidRDefault="00C10995" w:rsidP="00C10995">
      <w:pPr>
        <w:rPr>
          <w:sz w:val="22"/>
          <w:szCs w:val="22"/>
        </w:rPr>
      </w:pPr>
    </w:p>
    <w:p w14:paraId="113FEC67" w14:textId="72564998" w:rsidR="00C10995" w:rsidRPr="004F572A" w:rsidRDefault="00C10995" w:rsidP="00C10995">
      <w:pPr>
        <w:rPr>
          <w:sz w:val="22"/>
          <w:szCs w:val="22"/>
        </w:rPr>
      </w:pPr>
      <w:r w:rsidRPr="004F572A">
        <w:rPr>
          <w:sz w:val="22"/>
          <w:szCs w:val="22"/>
        </w:rPr>
        <w:t xml:space="preserve">Rekomenduojama per burną vartojama </w:t>
      </w:r>
      <w:proofErr w:type="spellStart"/>
      <w:r w:rsidRPr="004F572A">
        <w:rPr>
          <w:sz w:val="22"/>
          <w:szCs w:val="22"/>
        </w:rPr>
        <w:t>Lenvatinib</w:t>
      </w:r>
      <w:proofErr w:type="spellEnd"/>
      <w:r w:rsidRPr="004F572A">
        <w:rPr>
          <w:sz w:val="22"/>
          <w:szCs w:val="22"/>
        </w:rPr>
        <w:t xml:space="preserve"> </w:t>
      </w:r>
      <w:proofErr w:type="spellStart"/>
      <w:r w:rsidRPr="004F572A">
        <w:rPr>
          <w:sz w:val="22"/>
          <w:szCs w:val="22"/>
        </w:rPr>
        <w:t>Sandoz</w:t>
      </w:r>
      <w:proofErr w:type="spellEnd"/>
      <w:r w:rsidRPr="004F572A">
        <w:rPr>
          <w:sz w:val="22"/>
          <w:szCs w:val="22"/>
        </w:rPr>
        <w:t xml:space="preserve"> dozė yra po 20 mg vieną kartą per parą kartu su </w:t>
      </w:r>
      <w:proofErr w:type="spellStart"/>
      <w:r w:rsidR="00733FA0" w:rsidRPr="004F572A">
        <w:rPr>
          <w:sz w:val="22"/>
          <w:szCs w:val="22"/>
        </w:rPr>
        <w:t>pembrolizumabo</w:t>
      </w:r>
      <w:proofErr w:type="spellEnd"/>
      <w:r w:rsidR="00733FA0">
        <w:rPr>
          <w:sz w:val="22"/>
          <w:szCs w:val="22"/>
        </w:rPr>
        <w:t xml:space="preserve"> arba</w:t>
      </w:r>
      <w:r w:rsidR="00733FA0" w:rsidRPr="004F572A">
        <w:rPr>
          <w:sz w:val="22"/>
          <w:szCs w:val="22"/>
        </w:rPr>
        <w:t xml:space="preserve"> </w:t>
      </w:r>
      <w:r w:rsidRPr="004F572A">
        <w:rPr>
          <w:sz w:val="22"/>
          <w:szCs w:val="22"/>
        </w:rPr>
        <w:t>200 mg kas 3</w:t>
      </w:r>
      <w:r w:rsidR="00DE3C81">
        <w:rPr>
          <w:sz w:val="22"/>
          <w:szCs w:val="22"/>
        </w:rPr>
        <w:t> </w:t>
      </w:r>
      <w:r w:rsidRPr="004F572A">
        <w:rPr>
          <w:sz w:val="22"/>
          <w:szCs w:val="22"/>
        </w:rPr>
        <w:t>savaites</w:t>
      </w:r>
      <w:r w:rsidR="00733FA0">
        <w:rPr>
          <w:sz w:val="22"/>
          <w:szCs w:val="22"/>
        </w:rPr>
        <w:t>,</w:t>
      </w:r>
      <w:r w:rsidRPr="004F572A">
        <w:rPr>
          <w:sz w:val="22"/>
          <w:szCs w:val="22"/>
        </w:rPr>
        <w:t xml:space="preserve"> arba 400 mg kas 6</w:t>
      </w:r>
      <w:r w:rsidR="00DE3C81">
        <w:rPr>
          <w:sz w:val="22"/>
          <w:szCs w:val="22"/>
        </w:rPr>
        <w:t> </w:t>
      </w:r>
      <w:r w:rsidRPr="004F572A">
        <w:rPr>
          <w:sz w:val="22"/>
          <w:szCs w:val="22"/>
        </w:rPr>
        <w:t>savaites doze, kuri skiriama 30</w:t>
      </w:r>
      <w:r w:rsidR="00DE3C81">
        <w:rPr>
          <w:sz w:val="22"/>
          <w:szCs w:val="22"/>
        </w:rPr>
        <w:t> </w:t>
      </w:r>
      <w:r w:rsidRPr="004F572A">
        <w:rPr>
          <w:sz w:val="22"/>
          <w:szCs w:val="22"/>
        </w:rPr>
        <w:t xml:space="preserve">minučių trukmės intraveninės infuzijos būdu, </w:t>
      </w:r>
      <w:r w:rsidR="00C0202A">
        <w:rPr>
          <w:sz w:val="22"/>
          <w:szCs w:val="22"/>
        </w:rPr>
        <w:t>iki</w:t>
      </w:r>
      <w:r w:rsidRPr="004F572A">
        <w:rPr>
          <w:sz w:val="22"/>
          <w:szCs w:val="22"/>
        </w:rPr>
        <w:t xml:space="preserve"> nepriimtin</w:t>
      </w:r>
      <w:r w:rsidR="00C0202A">
        <w:rPr>
          <w:sz w:val="22"/>
          <w:szCs w:val="22"/>
        </w:rPr>
        <w:t>o</w:t>
      </w:r>
      <w:r w:rsidRPr="004F572A">
        <w:rPr>
          <w:sz w:val="22"/>
          <w:szCs w:val="22"/>
        </w:rPr>
        <w:t xml:space="preserve"> toksini</w:t>
      </w:r>
      <w:r w:rsidR="00C0202A">
        <w:rPr>
          <w:sz w:val="22"/>
          <w:szCs w:val="22"/>
        </w:rPr>
        <w:t>o</w:t>
      </w:r>
      <w:r w:rsidRPr="004F572A">
        <w:rPr>
          <w:sz w:val="22"/>
          <w:szCs w:val="22"/>
        </w:rPr>
        <w:t xml:space="preserve"> poveiki</w:t>
      </w:r>
      <w:r w:rsidR="00C0202A">
        <w:rPr>
          <w:sz w:val="22"/>
          <w:szCs w:val="22"/>
        </w:rPr>
        <w:t>o pasireiškimo</w:t>
      </w:r>
      <w:r w:rsidRPr="004F572A">
        <w:rPr>
          <w:sz w:val="22"/>
          <w:szCs w:val="22"/>
        </w:rPr>
        <w:t xml:space="preserve"> ar ligos progresavim</w:t>
      </w:r>
      <w:r w:rsidR="00C0202A">
        <w:rPr>
          <w:sz w:val="22"/>
          <w:szCs w:val="22"/>
        </w:rPr>
        <w:t>o</w:t>
      </w:r>
      <w:r w:rsidRPr="004F572A">
        <w:rPr>
          <w:sz w:val="22"/>
          <w:szCs w:val="22"/>
        </w:rPr>
        <w:t xml:space="preserve"> (žr. 5.1 skyrių).</w:t>
      </w:r>
    </w:p>
    <w:p w14:paraId="3D96C9C0" w14:textId="77777777" w:rsidR="00C10995" w:rsidRPr="004F572A" w:rsidRDefault="00C10995" w:rsidP="00C10995">
      <w:pPr>
        <w:rPr>
          <w:sz w:val="22"/>
          <w:szCs w:val="22"/>
        </w:rPr>
      </w:pPr>
    </w:p>
    <w:p w14:paraId="7AB05E74" w14:textId="06F5070D" w:rsidR="00746A2D" w:rsidRPr="004F572A" w:rsidRDefault="00C0202A" w:rsidP="00746A2D">
      <w:pPr>
        <w:rPr>
          <w:sz w:val="22"/>
          <w:szCs w:val="22"/>
        </w:rPr>
      </w:pPr>
      <w:r>
        <w:rPr>
          <w:sz w:val="22"/>
          <w:szCs w:val="22"/>
        </w:rPr>
        <w:t>P</w:t>
      </w:r>
      <w:r w:rsidR="003B6FAD" w:rsidRPr="004F572A">
        <w:rPr>
          <w:sz w:val="22"/>
          <w:szCs w:val="22"/>
        </w:rPr>
        <w:t xml:space="preserve">apildomos informacijos apie dozavimą </w:t>
      </w:r>
      <w:r>
        <w:rPr>
          <w:sz w:val="22"/>
          <w:szCs w:val="22"/>
        </w:rPr>
        <w:t>rasite</w:t>
      </w:r>
      <w:r w:rsidR="00746A2D" w:rsidRPr="004F572A">
        <w:rPr>
          <w:sz w:val="22"/>
          <w:szCs w:val="22"/>
        </w:rPr>
        <w:t xml:space="preserve"> </w:t>
      </w:r>
      <w:proofErr w:type="spellStart"/>
      <w:r w:rsidR="00746A2D" w:rsidRPr="004F572A">
        <w:rPr>
          <w:sz w:val="22"/>
          <w:szCs w:val="22"/>
        </w:rPr>
        <w:t>pembrolizumabo</w:t>
      </w:r>
      <w:proofErr w:type="spellEnd"/>
      <w:r w:rsidR="00746A2D" w:rsidRPr="004F572A">
        <w:rPr>
          <w:sz w:val="22"/>
          <w:szCs w:val="22"/>
        </w:rPr>
        <w:t xml:space="preserve"> preparato charakteristikų santrauk</w:t>
      </w:r>
      <w:r>
        <w:rPr>
          <w:sz w:val="22"/>
          <w:szCs w:val="22"/>
        </w:rPr>
        <w:t>oje</w:t>
      </w:r>
      <w:r w:rsidR="00746A2D" w:rsidRPr="004F572A">
        <w:rPr>
          <w:sz w:val="22"/>
          <w:szCs w:val="22"/>
        </w:rPr>
        <w:t xml:space="preserve"> (PCS). </w:t>
      </w:r>
    </w:p>
    <w:p w14:paraId="4AC1091B" w14:textId="77777777" w:rsidR="003B6FAD" w:rsidRPr="004F572A" w:rsidRDefault="003B6FAD" w:rsidP="00C10995">
      <w:pPr>
        <w:rPr>
          <w:sz w:val="22"/>
          <w:szCs w:val="22"/>
        </w:rPr>
      </w:pPr>
    </w:p>
    <w:p w14:paraId="2C1991F7" w14:textId="011C2D02" w:rsidR="00C10995" w:rsidRPr="004F572A" w:rsidRDefault="00C10995" w:rsidP="00C10995">
      <w:pPr>
        <w:rPr>
          <w:i/>
          <w:iCs/>
          <w:sz w:val="22"/>
          <w:szCs w:val="22"/>
          <w:u w:val="single"/>
        </w:rPr>
      </w:pPr>
      <w:r w:rsidRPr="004F572A">
        <w:rPr>
          <w:i/>
          <w:iCs/>
          <w:sz w:val="22"/>
          <w:szCs w:val="22"/>
          <w:u w:val="single"/>
        </w:rPr>
        <w:t xml:space="preserve">Dozės koregavimas ir nutraukimas </w:t>
      </w:r>
      <w:r w:rsidR="00C0202A">
        <w:rPr>
          <w:i/>
          <w:iCs/>
          <w:sz w:val="22"/>
          <w:szCs w:val="22"/>
          <w:u w:val="single"/>
        </w:rPr>
        <w:t>gydant</w:t>
      </w:r>
      <w:r w:rsidRPr="004F572A">
        <w:rPr>
          <w:i/>
          <w:iCs/>
          <w:sz w:val="22"/>
          <w:szCs w:val="22"/>
          <w:u w:val="single"/>
        </w:rPr>
        <w:t xml:space="preserve"> EK</w:t>
      </w:r>
    </w:p>
    <w:p w14:paraId="5E73545D" w14:textId="77777777" w:rsidR="003B6FAD" w:rsidRPr="004F572A" w:rsidRDefault="003B6FAD" w:rsidP="00C10995">
      <w:pPr>
        <w:rPr>
          <w:sz w:val="22"/>
          <w:szCs w:val="22"/>
        </w:rPr>
      </w:pPr>
    </w:p>
    <w:p w14:paraId="17ED1ECF" w14:textId="451AD0AD" w:rsidR="000C1654" w:rsidRPr="004F572A" w:rsidRDefault="00C10995" w:rsidP="00C10995">
      <w:pPr>
        <w:rPr>
          <w:sz w:val="22"/>
          <w:szCs w:val="22"/>
        </w:rPr>
      </w:pPr>
      <w:r w:rsidRPr="004F572A">
        <w:rPr>
          <w:sz w:val="22"/>
          <w:szCs w:val="22"/>
        </w:rPr>
        <w:t xml:space="preserve">Apie su </w:t>
      </w:r>
      <w:proofErr w:type="spellStart"/>
      <w:r w:rsidRPr="004F572A">
        <w:rPr>
          <w:sz w:val="22"/>
          <w:szCs w:val="22"/>
        </w:rPr>
        <w:t>lenvatinibu</w:t>
      </w:r>
      <w:proofErr w:type="spellEnd"/>
      <w:r w:rsidRPr="004F572A">
        <w:rPr>
          <w:sz w:val="22"/>
          <w:szCs w:val="22"/>
        </w:rPr>
        <w:t xml:space="preserve"> susijusį toksiškumą žr. 4</w:t>
      </w:r>
      <w:r w:rsidR="00DE3C81">
        <w:rPr>
          <w:sz w:val="22"/>
          <w:szCs w:val="22"/>
        </w:rPr>
        <w:t> </w:t>
      </w:r>
      <w:r w:rsidRPr="004F572A">
        <w:rPr>
          <w:sz w:val="22"/>
          <w:szCs w:val="22"/>
        </w:rPr>
        <w:t xml:space="preserve">lentelę. Skiriant </w:t>
      </w:r>
      <w:proofErr w:type="spellStart"/>
      <w:r w:rsidR="003B6FAD" w:rsidRPr="004F572A">
        <w:rPr>
          <w:sz w:val="22"/>
          <w:szCs w:val="22"/>
        </w:rPr>
        <w:t>Lenvatinib</w:t>
      </w:r>
      <w:proofErr w:type="spellEnd"/>
      <w:r w:rsidR="003B6FAD" w:rsidRPr="004F572A">
        <w:rPr>
          <w:sz w:val="22"/>
          <w:szCs w:val="22"/>
        </w:rPr>
        <w:t xml:space="preserve"> </w:t>
      </w:r>
      <w:proofErr w:type="spellStart"/>
      <w:r w:rsidR="003B6FAD" w:rsidRPr="004F572A">
        <w:rPr>
          <w:sz w:val="22"/>
          <w:szCs w:val="22"/>
        </w:rPr>
        <w:t>Sandoz</w:t>
      </w:r>
      <w:proofErr w:type="spellEnd"/>
      <w:r w:rsidRPr="004F572A">
        <w:rPr>
          <w:sz w:val="22"/>
          <w:szCs w:val="22"/>
        </w:rPr>
        <w:t xml:space="preserve"> kartu su </w:t>
      </w:r>
      <w:proofErr w:type="spellStart"/>
      <w:r w:rsidRPr="004F572A">
        <w:rPr>
          <w:sz w:val="22"/>
          <w:szCs w:val="22"/>
        </w:rPr>
        <w:t>pembrolizumabu</w:t>
      </w:r>
      <w:proofErr w:type="spellEnd"/>
      <w:r w:rsidRPr="004F572A">
        <w:rPr>
          <w:sz w:val="22"/>
          <w:szCs w:val="22"/>
        </w:rPr>
        <w:t>,</w:t>
      </w:r>
      <w:r w:rsidR="003B6FAD" w:rsidRPr="004F572A">
        <w:rPr>
          <w:sz w:val="22"/>
          <w:szCs w:val="22"/>
        </w:rPr>
        <w:t xml:space="preserve"> </w:t>
      </w:r>
      <w:r w:rsidR="00C0202A">
        <w:rPr>
          <w:sz w:val="22"/>
          <w:szCs w:val="22"/>
        </w:rPr>
        <w:t>atitinkamai nutraukite</w:t>
      </w:r>
      <w:r w:rsidRPr="004F572A">
        <w:rPr>
          <w:sz w:val="22"/>
          <w:szCs w:val="22"/>
        </w:rPr>
        <w:t xml:space="preserve">, sumažinkite dozę arba nutraukite </w:t>
      </w:r>
      <w:proofErr w:type="spellStart"/>
      <w:r w:rsidR="003B6FAD" w:rsidRPr="004F572A">
        <w:rPr>
          <w:sz w:val="22"/>
          <w:szCs w:val="22"/>
        </w:rPr>
        <w:t>Lenvatinib</w:t>
      </w:r>
      <w:proofErr w:type="spellEnd"/>
      <w:r w:rsidR="003B6FAD" w:rsidRPr="004F572A">
        <w:rPr>
          <w:sz w:val="22"/>
          <w:szCs w:val="22"/>
        </w:rPr>
        <w:t xml:space="preserve"> </w:t>
      </w:r>
      <w:proofErr w:type="spellStart"/>
      <w:r w:rsidR="003B6FAD" w:rsidRPr="004F572A">
        <w:rPr>
          <w:sz w:val="22"/>
          <w:szCs w:val="22"/>
        </w:rPr>
        <w:t>Sandoz</w:t>
      </w:r>
      <w:proofErr w:type="spellEnd"/>
      <w:r w:rsidRPr="004F572A">
        <w:rPr>
          <w:sz w:val="22"/>
          <w:szCs w:val="22"/>
        </w:rPr>
        <w:t xml:space="preserve"> vartojimą (žr. 3</w:t>
      </w:r>
      <w:r w:rsidR="00DE3C81">
        <w:rPr>
          <w:sz w:val="22"/>
          <w:szCs w:val="22"/>
        </w:rPr>
        <w:t> </w:t>
      </w:r>
      <w:r w:rsidRPr="004F572A">
        <w:rPr>
          <w:sz w:val="22"/>
          <w:szCs w:val="22"/>
        </w:rPr>
        <w:t>lentelę).</w:t>
      </w:r>
      <w:r w:rsidRPr="004F572A">
        <w:rPr>
          <w:sz w:val="22"/>
          <w:szCs w:val="22"/>
        </w:rPr>
        <w:cr/>
        <w:t xml:space="preserve">Sustabdykite arba nutraukite </w:t>
      </w:r>
      <w:proofErr w:type="spellStart"/>
      <w:r w:rsidRPr="004F572A">
        <w:rPr>
          <w:sz w:val="22"/>
          <w:szCs w:val="22"/>
        </w:rPr>
        <w:t>pembrolizumabo</w:t>
      </w:r>
      <w:proofErr w:type="spellEnd"/>
      <w:r w:rsidRPr="004F572A">
        <w:rPr>
          <w:sz w:val="22"/>
          <w:szCs w:val="22"/>
        </w:rPr>
        <w:t xml:space="preserve"> vartojimą pagal </w:t>
      </w:r>
      <w:proofErr w:type="spellStart"/>
      <w:r w:rsidRPr="004F572A">
        <w:rPr>
          <w:sz w:val="22"/>
          <w:szCs w:val="22"/>
        </w:rPr>
        <w:t>pembrolizumabo</w:t>
      </w:r>
      <w:proofErr w:type="spellEnd"/>
      <w:r w:rsidRPr="004F572A">
        <w:rPr>
          <w:sz w:val="22"/>
          <w:szCs w:val="22"/>
        </w:rPr>
        <w:t xml:space="preserve"> preparato</w:t>
      </w:r>
      <w:r w:rsidR="003B6FAD" w:rsidRPr="004F572A">
        <w:rPr>
          <w:sz w:val="22"/>
          <w:szCs w:val="22"/>
        </w:rPr>
        <w:t xml:space="preserve"> </w:t>
      </w:r>
      <w:r w:rsidRPr="004F572A">
        <w:rPr>
          <w:sz w:val="22"/>
          <w:szCs w:val="22"/>
        </w:rPr>
        <w:t xml:space="preserve">charakteristikų santraukoje pateiktas instrukcijas. </w:t>
      </w:r>
      <w:proofErr w:type="spellStart"/>
      <w:r w:rsidRPr="004F572A">
        <w:rPr>
          <w:sz w:val="22"/>
          <w:szCs w:val="22"/>
        </w:rPr>
        <w:t>Pembrolizumabo</w:t>
      </w:r>
      <w:proofErr w:type="spellEnd"/>
      <w:r w:rsidRPr="004F572A">
        <w:rPr>
          <w:sz w:val="22"/>
          <w:szCs w:val="22"/>
        </w:rPr>
        <w:t xml:space="preserve"> dozės mažinti nerekomenduojama.</w:t>
      </w:r>
    </w:p>
    <w:p w14:paraId="008776BB" w14:textId="77777777" w:rsidR="00C10995" w:rsidRPr="004F572A" w:rsidRDefault="00C10995" w:rsidP="000928CA">
      <w:pPr>
        <w:rPr>
          <w:sz w:val="22"/>
          <w:szCs w:val="22"/>
        </w:rPr>
      </w:pPr>
    </w:p>
    <w:tbl>
      <w:tblPr>
        <w:tblStyle w:val="Lentelstinklelis"/>
        <w:tblW w:w="8910" w:type="dxa"/>
        <w:tblInd w:w="85" w:type="dxa"/>
        <w:tblLook w:val="04A0" w:firstRow="1" w:lastRow="0" w:firstColumn="1" w:lastColumn="0" w:noHBand="0" w:noVBand="1"/>
      </w:tblPr>
      <w:tblGrid>
        <w:gridCol w:w="2070"/>
        <w:gridCol w:w="3330"/>
        <w:gridCol w:w="3510"/>
      </w:tblGrid>
      <w:tr w:rsidR="00585C9C" w:rsidRPr="004F572A" w14:paraId="080D61DE" w14:textId="77777777" w:rsidTr="00482E21">
        <w:trPr>
          <w:trHeight w:val="720"/>
        </w:trPr>
        <w:tc>
          <w:tcPr>
            <w:tcW w:w="8910" w:type="dxa"/>
            <w:gridSpan w:val="3"/>
          </w:tcPr>
          <w:p w14:paraId="4E860F7F" w14:textId="0B0C47D8" w:rsidR="00585C9C" w:rsidRPr="004F572A" w:rsidRDefault="00585C9C" w:rsidP="00F67D19">
            <w:pPr>
              <w:rPr>
                <w:b/>
                <w:bCs/>
                <w:sz w:val="22"/>
                <w:szCs w:val="22"/>
              </w:rPr>
            </w:pPr>
            <w:r w:rsidRPr="004F572A">
              <w:rPr>
                <w:b/>
                <w:bCs/>
                <w:sz w:val="22"/>
                <w:szCs w:val="22"/>
              </w:rPr>
              <w:t>3</w:t>
            </w:r>
            <w:r w:rsidR="00DE3C81">
              <w:rPr>
                <w:b/>
                <w:bCs/>
                <w:sz w:val="22"/>
                <w:szCs w:val="22"/>
              </w:rPr>
              <w:t> </w:t>
            </w:r>
            <w:r w:rsidRPr="004F572A">
              <w:rPr>
                <w:b/>
                <w:bCs/>
                <w:sz w:val="22"/>
                <w:szCs w:val="22"/>
              </w:rPr>
              <w:t xml:space="preserve">lentelė. Rekomenduojamos </w:t>
            </w:r>
            <w:proofErr w:type="spellStart"/>
            <w:r w:rsidRPr="004F572A">
              <w:rPr>
                <w:b/>
                <w:bCs/>
                <w:sz w:val="22"/>
                <w:szCs w:val="22"/>
              </w:rPr>
              <w:t>lenvatinibo</w:t>
            </w:r>
            <w:proofErr w:type="spellEnd"/>
            <w:r w:rsidRPr="004F572A">
              <w:rPr>
                <w:b/>
                <w:bCs/>
                <w:sz w:val="22"/>
                <w:szCs w:val="22"/>
              </w:rPr>
              <w:t xml:space="preserve"> paros dozės </w:t>
            </w:r>
            <w:r w:rsidR="00C0202A">
              <w:rPr>
                <w:b/>
                <w:bCs/>
                <w:sz w:val="22"/>
                <w:szCs w:val="22"/>
              </w:rPr>
              <w:t>pa</w:t>
            </w:r>
            <w:r w:rsidRPr="004F572A">
              <w:rPr>
                <w:b/>
                <w:bCs/>
                <w:sz w:val="22"/>
                <w:szCs w:val="22"/>
              </w:rPr>
              <w:t>keitima</w:t>
            </w:r>
            <w:r w:rsidR="00C0202A">
              <w:rPr>
                <w:b/>
                <w:bCs/>
                <w:sz w:val="22"/>
                <w:szCs w:val="22"/>
              </w:rPr>
              <w:t>i</w:t>
            </w:r>
            <w:r w:rsidRPr="004F572A">
              <w:rPr>
                <w:b/>
                <w:bCs/>
                <w:sz w:val="22"/>
                <w:szCs w:val="22"/>
              </w:rPr>
              <w:t xml:space="preserve"> EK </w:t>
            </w:r>
            <w:proofErr w:type="spellStart"/>
            <w:r w:rsidRPr="004F572A">
              <w:rPr>
                <w:b/>
                <w:bCs/>
                <w:sz w:val="22"/>
                <w:szCs w:val="22"/>
              </w:rPr>
              <w:t>pacient</w:t>
            </w:r>
            <w:r w:rsidR="00C0202A">
              <w:rPr>
                <w:b/>
                <w:bCs/>
                <w:sz w:val="22"/>
                <w:szCs w:val="22"/>
              </w:rPr>
              <w:t>ams</w:t>
            </w:r>
            <w:r w:rsidRPr="004F572A">
              <w:rPr>
                <w:b/>
                <w:bCs/>
                <w:sz w:val="22"/>
                <w:szCs w:val="22"/>
                <w:vertAlign w:val="superscript"/>
              </w:rPr>
              <w:t>a</w:t>
            </w:r>
            <w:proofErr w:type="spellEnd"/>
          </w:p>
        </w:tc>
      </w:tr>
      <w:tr w:rsidR="00585C9C" w:rsidRPr="004F572A" w14:paraId="10B7F845" w14:textId="77777777" w:rsidTr="00482E21">
        <w:tc>
          <w:tcPr>
            <w:tcW w:w="5400" w:type="dxa"/>
            <w:gridSpan w:val="2"/>
          </w:tcPr>
          <w:p w14:paraId="12AB8F48" w14:textId="77777777" w:rsidR="00C0202A" w:rsidRDefault="00585C9C" w:rsidP="00F67D19">
            <w:pPr>
              <w:rPr>
                <w:b/>
                <w:bCs/>
                <w:sz w:val="22"/>
                <w:szCs w:val="22"/>
              </w:rPr>
            </w:pPr>
            <w:r w:rsidRPr="004F572A">
              <w:rPr>
                <w:b/>
                <w:bCs/>
                <w:sz w:val="22"/>
                <w:szCs w:val="22"/>
              </w:rPr>
              <w:t xml:space="preserve">Pradinė dozė </w:t>
            </w:r>
          </w:p>
          <w:p w14:paraId="04703641" w14:textId="7E8A1744" w:rsidR="00585C9C" w:rsidRPr="004F572A" w:rsidRDefault="00585C9C" w:rsidP="00F67D19">
            <w:pPr>
              <w:rPr>
                <w:b/>
                <w:bCs/>
                <w:sz w:val="22"/>
                <w:szCs w:val="22"/>
              </w:rPr>
            </w:pPr>
            <w:r w:rsidRPr="004F572A">
              <w:rPr>
                <w:b/>
                <w:bCs/>
                <w:sz w:val="22"/>
                <w:szCs w:val="22"/>
              </w:rPr>
              <w:t xml:space="preserve">kartu su </w:t>
            </w:r>
            <w:proofErr w:type="spellStart"/>
            <w:r w:rsidRPr="004F572A">
              <w:rPr>
                <w:b/>
                <w:bCs/>
                <w:sz w:val="22"/>
                <w:szCs w:val="22"/>
              </w:rPr>
              <w:t>pembrolizumabu</w:t>
            </w:r>
            <w:proofErr w:type="spellEnd"/>
          </w:p>
        </w:tc>
        <w:tc>
          <w:tcPr>
            <w:tcW w:w="3510" w:type="dxa"/>
          </w:tcPr>
          <w:p w14:paraId="5FDDFC5B" w14:textId="3055B5A9" w:rsidR="00585C9C" w:rsidRPr="004F572A" w:rsidRDefault="00585C9C" w:rsidP="00F67D19">
            <w:pPr>
              <w:rPr>
                <w:sz w:val="22"/>
                <w:szCs w:val="22"/>
              </w:rPr>
            </w:pPr>
            <w:r w:rsidRPr="004F572A">
              <w:rPr>
                <w:sz w:val="22"/>
                <w:szCs w:val="22"/>
              </w:rPr>
              <w:t xml:space="preserve">20 mg </w:t>
            </w:r>
            <w:r w:rsidR="00C0202A">
              <w:rPr>
                <w:sz w:val="22"/>
                <w:szCs w:val="22"/>
              </w:rPr>
              <w:t xml:space="preserve">geriama vieną kartą per parą </w:t>
            </w:r>
            <w:r w:rsidRPr="004F572A">
              <w:rPr>
                <w:sz w:val="22"/>
                <w:szCs w:val="22"/>
              </w:rPr>
              <w:t>(dvi 10 mg kapsul</w:t>
            </w:r>
            <w:r w:rsidR="00C0202A">
              <w:rPr>
                <w:sz w:val="22"/>
                <w:szCs w:val="22"/>
              </w:rPr>
              <w:t>ė</w:t>
            </w:r>
            <w:r w:rsidRPr="004F572A">
              <w:rPr>
                <w:sz w:val="22"/>
                <w:szCs w:val="22"/>
              </w:rPr>
              <w:t>s)</w:t>
            </w:r>
          </w:p>
        </w:tc>
      </w:tr>
      <w:tr w:rsidR="00585C9C" w:rsidRPr="004F572A" w14:paraId="15C97AC4" w14:textId="77777777" w:rsidTr="00482E21">
        <w:tc>
          <w:tcPr>
            <w:tcW w:w="8910" w:type="dxa"/>
            <w:gridSpan w:val="3"/>
          </w:tcPr>
          <w:p w14:paraId="7CBC2C5B" w14:textId="51865221" w:rsidR="00585C9C" w:rsidRPr="004F572A" w:rsidRDefault="00585C9C" w:rsidP="00F67D19">
            <w:pPr>
              <w:rPr>
                <w:b/>
                <w:bCs/>
                <w:sz w:val="22"/>
                <w:szCs w:val="22"/>
                <w:vertAlign w:val="superscript"/>
              </w:rPr>
            </w:pPr>
            <w:r w:rsidRPr="004F572A">
              <w:rPr>
                <w:b/>
                <w:bCs/>
                <w:sz w:val="22"/>
                <w:szCs w:val="22"/>
              </w:rPr>
              <w:t>Nepraeinantis ir netoleruo</w:t>
            </w:r>
            <w:r w:rsidR="00C0202A">
              <w:rPr>
                <w:b/>
                <w:bCs/>
                <w:sz w:val="22"/>
                <w:szCs w:val="22"/>
              </w:rPr>
              <w:t>tinas</w:t>
            </w:r>
            <w:r w:rsidRPr="004F572A">
              <w:rPr>
                <w:b/>
                <w:bCs/>
                <w:sz w:val="22"/>
                <w:szCs w:val="22"/>
              </w:rPr>
              <w:t xml:space="preserve"> 2 </w:t>
            </w:r>
            <w:r w:rsidR="00C0202A">
              <w:rPr>
                <w:b/>
                <w:bCs/>
                <w:sz w:val="22"/>
                <w:szCs w:val="22"/>
              </w:rPr>
              <w:t>arba</w:t>
            </w:r>
            <w:r w:rsidRPr="004F572A">
              <w:rPr>
                <w:b/>
                <w:bCs/>
                <w:sz w:val="22"/>
                <w:szCs w:val="22"/>
              </w:rPr>
              <w:t xml:space="preserve"> 3</w:t>
            </w:r>
            <w:r w:rsidR="00DE3C81">
              <w:rPr>
                <w:b/>
                <w:bCs/>
                <w:sz w:val="22"/>
                <w:szCs w:val="22"/>
              </w:rPr>
              <w:t> </w:t>
            </w:r>
            <w:r w:rsidRPr="004F572A">
              <w:rPr>
                <w:b/>
                <w:bCs/>
                <w:sz w:val="22"/>
                <w:szCs w:val="22"/>
              </w:rPr>
              <w:t>laipsnio toksi</w:t>
            </w:r>
            <w:r w:rsidR="00C0202A">
              <w:rPr>
                <w:b/>
                <w:bCs/>
                <w:sz w:val="22"/>
                <w:szCs w:val="22"/>
              </w:rPr>
              <w:t>škumas</w:t>
            </w:r>
          </w:p>
          <w:p w14:paraId="59FE8F3A" w14:textId="77777777" w:rsidR="00585C9C" w:rsidRPr="004F572A" w:rsidRDefault="00585C9C" w:rsidP="00F67D19">
            <w:pPr>
              <w:rPr>
                <w:b/>
                <w:bCs/>
                <w:sz w:val="22"/>
                <w:szCs w:val="22"/>
              </w:rPr>
            </w:pPr>
          </w:p>
        </w:tc>
      </w:tr>
      <w:tr w:rsidR="00585C9C" w:rsidRPr="004F572A" w14:paraId="4957ABD6" w14:textId="77777777" w:rsidTr="00482E21">
        <w:tc>
          <w:tcPr>
            <w:tcW w:w="2070" w:type="dxa"/>
          </w:tcPr>
          <w:p w14:paraId="6D776ABF" w14:textId="77777777" w:rsidR="00585C9C" w:rsidRPr="004F572A" w:rsidRDefault="00585C9C" w:rsidP="00F67D19">
            <w:pPr>
              <w:rPr>
                <w:b/>
                <w:bCs/>
                <w:sz w:val="22"/>
                <w:szCs w:val="22"/>
              </w:rPr>
            </w:pPr>
            <w:r w:rsidRPr="004F572A">
              <w:rPr>
                <w:b/>
                <w:bCs/>
                <w:sz w:val="22"/>
                <w:szCs w:val="22"/>
              </w:rPr>
              <w:t>Nepageidaujama reakcija</w:t>
            </w:r>
          </w:p>
        </w:tc>
        <w:tc>
          <w:tcPr>
            <w:tcW w:w="3330" w:type="dxa"/>
          </w:tcPr>
          <w:p w14:paraId="512CE470" w14:textId="77777777" w:rsidR="00585C9C" w:rsidRPr="004F572A" w:rsidRDefault="00585C9C" w:rsidP="00F67D19">
            <w:pPr>
              <w:rPr>
                <w:b/>
                <w:bCs/>
                <w:sz w:val="22"/>
                <w:szCs w:val="22"/>
              </w:rPr>
            </w:pPr>
          </w:p>
          <w:p w14:paraId="19470E69" w14:textId="496C0C9E" w:rsidR="00585C9C" w:rsidRPr="004F572A" w:rsidRDefault="00585C9C" w:rsidP="00F67D19">
            <w:pPr>
              <w:rPr>
                <w:b/>
                <w:bCs/>
                <w:sz w:val="22"/>
                <w:szCs w:val="22"/>
              </w:rPr>
            </w:pPr>
            <w:r w:rsidRPr="004F572A">
              <w:rPr>
                <w:b/>
                <w:bCs/>
                <w:sz w:val="22"/>
                <w:szCs w:val="22"/>
              </w:rPr>
              <w:t>Keitimas</w:t>
            </w:r>
          </w:p>
        </w:tc>
        <w:tc>
          <w:tcPr>
            <w:tcW w:w="3510" w:type="dxa"/>
          </w:tcPr>
          <w:p w14:paraId="55C09F05" w14:textId="77777777" w:rsidR="00585C9C" w:rsidRPr="004F572A" w:rsidRDefault="00585C9C" w:rsidP="00F67D19">
            <w:pPr>
              <w:rPr>
                <w:sz w:val="22"/>
                <w:szCs w:val="22"/>
              </w:rPr>
            </w:pPr>
          </w:p>
          <w:p w14:paraId="4C3A1188" w14:textId="2DA19B46" w:rsidR="00585C9C" w:rsidRPr="004F572A" w:rsidRDefault="00585C9C" w:rsidP="00F67D19">
            <w:pPr>
              <w:rPr>
                <w:b/>
                <w:bCs/>
                <w:sz w:val="22"/>
                <w:szCs w:val="22"/>
              </w:rPr>
            </w:pPr>
            <w:r w:rsidRPr="004F572A">
              <w:rPr>
                <w:b/>
                <w:bCs/>
                <w:sz w:val="22"/>
                <w:szCs w:val="22"/>
              </w:rPr>
              <w:t>Koreguota dozė</w:t>
            </w:r>
          </w:p>
        </w:tc>
      </w:tr>
      <w:tr w:rsidR="00585C9C" w:rsidRPr="004F572A" w14:paraId="1937A2F0" w14:textId="77777777" w:rsidTr="00482E21">
        <w:tc>
          <w:tcPr>
            <w:tcW w:w="2070" w:type="dxa"/>
          </w:tcPr>
          <w:p w14:paraId="43680470" w14:textId="0C66347F" w:rsidR="00585C9C" w:rsidRPr="004F572A" w:rsidRDefault="00585C9C" w:rsidP="00F67D19">
            <w:pPr>
              <w:rPr>
                <w:sz w:val="22"/>
                <w:szCs w:val="22"/>
              </w:rPr>
            </w:pPr>
            <w:r w:rsidRPr="004F572A">
              <w:rPr>
                <w:sz w:val="22"/>
                <w:szCs w:val="22"/>
              </w:rPr>
              <w:t xml:space="preserve">Pasireiškė </w:t>
            </w:r>
            <w:r w:rsidR="00116AC2" w:rsidRPr="004F572A">
              <w:rPr>
                <w:sz w:val="22"/>
                <w:szCs w:val="22"/>
              </w:rPr>
              <w:t>pirmą</w:t>
            </w:r>
          </w:p>
          <w:p w14:paraId="087F1269" w14:textId="47F8B471" w:rsidR="00585C9C" w:rsidRPr="004F572A" w:rsidRDefault="00585C9C" w:rsidP="00F67D19">
            <w:pPr>
              <w:rPr>
                <w:sz w:val="22"/>
                <w:szCs w:val="22"/>
              </w:rPr>
            </w:pPr>
            <w:r w:rsidRPr="004F572A">
              <w:rPr>
                <w:sz w:val="22"/>
                <w:szCs w:val="22"/>
              </w:rPr>
              <w:t>kartą</w:t>
            </w:r>
          </w:p>
          <w:p w14:paraId="5CC6A8C9" w14:textId="77777777" w:rsidR="00585C9C" w:rsidRPr="004F572A" w:rsidRDefault="00585C9C" w:rsidP="00F67D19">
            <w:pPr>
              <w:rPr>
                <w:sz w:val="22"/>
                <w:szCs w:val="22"/>
              </w:rPr>
            </w:pPr>
          </w:p>
        </w:tc>
        <w:tc>
          <w:tcPr>
            <w:tcW w:w="3330" w:type="dxa"/>
          </w:tcPr>
          <w:p w14:paraId="0DF1F1D5" w14:textId="7C61F957" w:rsidR="00585C9C" w:rsidRPr="004F572A" w:rsidRDefault="00585C9C" w:rsidP="00F67D19">
            <w:pPr>
              <w:rPr>
                <w:sz w:val="22"/>
                <w:szCs w:val="22"/>
              </w:rPr>
            </w:pPr>
            <w:r w:rsidRPr="004F572A">
              <w:rPr>
                <w:sz w:val="22"/>
                <w:szCs w:val="22"/>
              </w:rPr>
              <w:t xml:space="preserve">Vaistinio preparato vartojimą sustabdykite, kol reakcija </w:t>
            </w:r>
            <w:r w:rsidR="00C0202A">
              <w:rPr>
                <w:sz w:val="22"/>
                <w:szCs w:val="22"/>
              </w:rPr>
              <w:t>palengvės</w:t>
            </w:r>
            <w:r w:rsidR="00C0202A" w:rsidRPr="004F572A">
              <w:rPr>
                <w:sz w:val="22"/>
                <w:szCs w:val="22"/>
              </w:rPr>
              <w:t xml:space="preserve"> </w:t>
            </w:r>
            <w:r w:rsidRPr="004F572A">
              <w:rPr>
                <w:sz w:val="22"/>
                <w:szCs w:val="22"/>
              </w:rPr>
              <w:t>iki 0</w:t>
            </w:r>
            <w:r w:rsidR="00DE3C81">
              <w:rPr>
                <w:sz w:val="22"/>
                <w:szCs w:val="22"/>
              </w:rPr>
              <w:noBreakHyphen/>
            </w:r>
            <w:r w:rsidRPr="004F572A">
              <w:rPr>
                <w:sz w:val="22"/>
                <w:szCs w:val="22"/>
              </w:rPr>
              <w:t>1</w:t>
            </w:r>
            <w:r w:rsidR="00DE3C81">
              <w:rPr>
                <w:sz w:val="22"/>
                <w:szCs w:val="22"/>
              </w:rPr>
              <w:t> </w:t>
            </w:r>
            <w:r w:rsidRPr="004F572A">
              <w:rPr>
                <w:sz w:val="22"/>
                <w:szCs w:val="22"/>
              </w:rPr>
              <w:t>laipsnio ar</w:t>
            </w:r>
            <w:r w:rsidR="00C0202A">
              <w:rPr>
                <w:sz w:val="22"/>
                <w:szCs w:val="22"/>
              </w:rPr>
              <w:t>ba pradinio laipsnio</w:t>
            </w:r>
          </w:p>
        </w:tc>
        <w:tc>
          <w:tcPr>
            <w:tcW w:w="3510" w:type="dxa"/>
          </w:tcPr>
          <w:p w14:paraId="01F7BE9F" w14:textId="622D66BE" w:rsidR="00585C9C" w:rsidRPr="004F572A" w:rsidRDefault="00116AC2" w:rsidP="00F67D19">
            <w:pPr>
              <w:rPr>
                <w:sz w:val="22"/>
                <w:szCs w:val="22"/>
              </w:rPr>
            </w:pPr>
            <w:r w:rsidRPr="004F572A">
              <w:rPr>
                <w:sz w:val="22"/>
                <w:szCs w:val="22"/>
              </w:rPr>
              <w:t xml:space="preserve">14 mg </w:t>
            </w:r>
            <w:r w:rsidR="00C0202A">
              <w:rPr>
                <w:sz w:val="22"/>
                <w:szCs w:val="22"/>
              </w:rPr>
              <w:t xml:space="preserve">geriama vieną kartą per parą </w:t>
            </w:r>
            <w:r w:rsidRPr="004F572A">
              <w:rPr>
                <w:sz w:val="22"/>
                <w:szCs w:val="22"/>
              </w:rPr>
              <w:t>(vieną 10 mg kapsul</w:t>
            </w:r>
            <w:r w:rsidR="00C0202A">
              <w:rPr>
                <w:sz w:val="22"/>
                <w:szCs w:val="22"/>
              </w:rPr>
              <w:t xml:space="preserve">ė + </w:t>
            </w:r>
            <w:r w:rsidRPr="004F572A">
              <w:rPr>
                <w:sz w:val="22"/>
                <w:szCs w:val="22"/>
              </w:rPr>
              <w:t xml:space="preserve"> vien</w:t>
            </w:r>
            <w:r w:rsidR="00C0202A">
              <w:rPr>
                <w:sz w:val="22"/>
                <w:szCs w:val="22"/>
              </w:rPr>
              <w:t>a</w:t>
            </w:r>
            <w:r w:rsidRPr="004F572A">
              <w:rPr>
                <w:sz w:val="22"/>
                <w:szCs w:val="22"/>
              </w:rPr>
              <w:t xml:space="preserve"> 4 mg kapsul</w:t>
            </w:r>
            <w:r w:rsidR="00C0202A">
              <w:rPr>
                <w:sz w:val="22"/>
                <w:szCs w:val="22"/>
              </w:rPr>
              <w:t>ė</w:t>
            </w:r>
            <w:r w:rsidRPr="004F572A">
              <w:rPr>
                <w:sz w:val="22"/>
                <w:szCs w:val="22"/>
              </w:rPr>
              <w:t>)</w:t>
            </w:r>
          </w:p>
        </w:tc>
      </w:tr>
      <w:tr w:rsidR="00116AC2" w:rsidRPr="004F572A" w14:paraId="7DE2EAE5" w14:textId="77777777" w:rsidTr="00482E21">
        <w:tc>
          <w:tcPr>
            <w:tcW w:w="2070" w:type="dxa"/>
          </w:tcPr>
          <w:p w14:paraId="0BA903D4" w14:textId="533F39B3" w:rsidR="00116AC2" w:rsidRPr="004F572A" w:rsidRDefault="00116AC2" w:rsidP="00116AC2">
            <w:pPr>
              <w:rPr>
                <w:sz w:val="22"/>
                <w:szCs w:val="22"/>
              </w:rPr>
            </w:pPr>
            <w:r w:rsidRPr="004F572A">
              <w:rPr>
                <w:sz w:val="22"/>
                <w:szCs w:val="22"/>
              </w:rPr>
              <w:t>Pasireiškė antrą kartą</w:t>
            </w:r>
          </w:p>
          <w:p w14:paraId="157BB5BA" w14:textId="6E049496" w:rsidR="00116AC2" w:rsidRPr="004F572A" w:rsidRDefault="00116AC2" w:rsidP="00116AC2">
            <w:pPr>
              <w:rPr>
                <w:sz w:val="22"/>
                <w:szCs w:val="22"/>
              </w:rPr>
            </w:pPr>
            <w:r w:rsidRPr="004F572A">
              <w:rPr>
                <w:sz w:val="22"/>
                <w:szCs w:val="22"/>
              </w:rPr>
              <w:t>(ta pati reakcija arba nauja reakcija)</w:t>
            </w:r>
          </w:p>
          <w:p w14:paraId="4C45FF49" w14:textId="77777777" w:rsidR="00116AC2" w:rsidRPr="004F572A" w:rsidRDefault="00116AC2" w:rsidP="00F67D19">
            <w:pPr>
              <w:rPr>
                <w:sz w:val="22"/>
                <w:szCs w:val="22"/>
              </w:rPr>
            </w:pPr>
          </w:p>
        </w:tc>
        <w:tc>
          <w:tcPr>
            <w:tcW w:w="3330" w:type="dxa"/>
          </w:tcPr>
          <w:p w14:paraId="45F76415" w14:textId="083DC769" w:rsidR="00116AC2" w:rsidRPr="004F572A" w:rsidRDefault="00116AC2" w:rsidP="00F67D19">
            <w:pPr>
              <w:rPr>
                <w:sz w:val="22"/>
                <w:szCs w:val="22"/>
              </w:rPr>
            </w:pPr>
            <w:r w:rsidRPr="004F572A">
              <w:rPr>
                <w:sz w:val="22"/>
                <w:szCs w:val="22"/>
              </w:rPr>
              <w:t xml:space="preserve">Vaistinio preparato vartojimą sustabdykite, kol reakcija </w:t>
            </w:r>
            <w:r w:rsidR="00C0202A">
              <w:rPr>
                <w:sz w:val="22"/>
                <w:szCs w:val="22"/>
              </w:rPr>
              <w:t>palengvės</w:t>
            </w:r>
            <w:r w:rsidR="00C0202A" w:rsidRPr="004F572A">
              <w:rPr>
                <w:sz w:val="22"/>
                <w:szCs w:val="22"/>
              </w:rPr>
              <w:t xml:space="preserve"> </w:t>
            </w:r>
            <w:r w:rsidRPr="004F572A">
              <w:rPr>
                <w:sz w:val="22"/>
                <w:szCs w:val="22"/>
              </w:rPr>
              <w:t>iki 0</w:t>
            </w:r>
            <w:r w:rsidR="00DE3C81">
              <w:rPr>
                <w:sz w:val="22"/>
                <w:szCs w:val="22"/>
              </w:rPr>
              <w:noBreakHyphen/>
            </w:r>
            <w:r w:rsidRPr="004F572A">
              <w:rPr>
                <w:sz w:val="22"/>
                <w:szCs w:val="22"/>
              </w:rPr>
              <w:t>1</w:t>
            </w:r>
            <w:r w:rsidR="00DE3C81">
              <w:rPr>
                <w:sz w:val="22"/>
                <w:szCs w:val="22"/>
              </w:rPr>
              <w:t> </w:t>
            </w:r>
            <w:r w:rsidRPr="004F572A">
              <w:rPr>
                <w:sz w:val="22"/>
                <w:szCs w:val="22"/>
              </w:rPr>
              <w:t>laipsnio ar</w:t>
            </w:r>
            <w:r w:rsidR="00C0202A">
              <w:rPr>
                <w:sz w:val="22"/>
                <w:szCs w:val="22"/>
              </w:rPr>
              <w:t>ba pradinio laipsnio</w:t>
            </w:r>
          </w:p>
        </w:tc>
        <w:tc>
          <w:tcPr>
            <w:tcW w:w="3510" w:type="dxa"/>
          </w:tcPr>
          <w:p w14:paraId="3EC7465B" w14:textId="079698BF" w:rsidR="00116AC2" w:rsidRPr="004F572A" w:rsidRDefault="00116AC2" w:rsidP="00F67D19">
            <w:pPr>
              <w:rPr>
                <w:sz w:val="22"/>
                <w:szCs w:val="22"/>
              </w:rPr>
            </w:pPr>
            <w:r w:rsidRPr="004F572A">
              <w:rPr>
                <w:sz w:val="22"/>
                <w:szCs w:val="22"/>
              </w:rPr>
              <w:t xml:space="preserve">10 mg </w:t>
            </w:r>
            <w:r w:rsidR="00C0202A">
              <w:rPr>
                <w:sz w:val="22"/>
                <w:szCs w:val="22"/>
              </w:rPr>
              <w:t>geriama vieną kartą per parą</w:t>
            </w:r>
            <w:r w:rsidR="00C0202A" w:rsidRPr="004F572A">
              <w:rPr>
                <w:sz w:val="22"/>
                <w:szCs w:val="22"/>
              </w:rPr>
              <w:t xml:space="preserve"> </w:t>
            </w:r>
            <w:r w:rsidRPr="004F572A">
              <w:rPr>
                <w:sz w:val="22"/>
                <w:szCs w:val="22"/>
              </w:rPr>
              <w:t>(vien</w:t>
            </w:r>
            <w:r w:rsidR="00C0202A">
              <w:rPr>
                <w:sz w:val="22"/>
                <w:szCs w:val="22"/>
              </w:rPr>
              <w:t>a</w:t>
            </w:r>
            <w:r w:rsidRPr="004F572A">
              <w:rPr>
                <w:sz w:val="22"/>
                <w:szCs w:val="22"/>
              </w:rPr>
              <w:t xml:space="preserve"> 10 mg kapsul</w:t>
            </w:r>
            <w:r w:rsidR="00C0202A">
              <w:rPr>
                <w:sz w:val="22"/>
                <w:szCs w:val="22"/>
              </w:rPr>
              <w:t>ė</w:t>
            </w:r>
            <w:r w:rsidRPr="004F572A">
              <w:rPr>
                <w:sz w:val="22"/>
                <w:szCs w:val="22"/>
              </w:rPr>
              <w:t>)</w:t>
            </w:r>
          </w:p>
        </w:tc>
      </w:tr>
      <w:tr w:rsidR="00116AC2" w:rsidRPr="004F572A" w14:paraId="53A91AAA" w14:textId="77777777" w:rsidTr="00482E21">
        <w:tc>
          <w:tcPr>
            <w:tcW w:w="2070" w:type="dxa"/>
          </w:tcPr>
          <w:p w14:paraId="06669D97" w14:textId="3B318162" w:rsidR="00116AC2" w:rsidRPr="004F572A" w:rsidRDefault="00116AC2" w:rsidP="00F67D19">
            <w:pPr>
              <w:rPr>
                <w:sz w:val="22"/>
                <w:szCs w:val="22"/>
              </w:rPr>
            </w:pPr>
            <w:r w:rsidRPr="004F572A">
              <w:rPr>
                <w:sz w:val="22"/>
                <w:szCs w:val="22"/>
              </w:rPr>
              <w:t>Pasireiškė trečią kartą</w:t>
            </w:r>
          </w:p>
          <w:p w14:paraId="29B84D39" w14:textId="77777777" w:rsidR="00116AC2" w:rsidRPr="004F572A" w:rsidRDefault="00116AC2" w:rsidP="00F67D19">
            <w:pPr>
              <w:rPr>
                <w:sz w:val="22"/>
                <w:szCs w:val="22"/>
              </w:rPr>
            </w:pPr>
            <w:r w:rsidRPr="004F572A">
              <w:rPr>
                <w:sz w:val="22"/>
                <w:szCs w:val="22"/>
              </w:rPr>
              <w:t>(ta pati reakcija arba nauja reakcija)</w:t>
            </w:r>
          </w:p>
          <w:p w14:paraId="345F6C50" w14:textId="77777777" w:rsidR="00116AC2" w:rsidRPr="004F572A" w:rsidRDefault="00116AC2" w:rsidP="00F67D19">
            <w:pPr>
              <w:rPr>
                <w:sz w:val="22"/>
                <w:szCs w:val="22"/>
              </w:rPr>
            </w:pPr>
          </w:p>
        </w:tc>
        <w:tc>
          <w:tcPr>
            <w:tcW w:w="3330" w:type="dxa"/>
          </w:tcPr>
          <w:p w14:paraId="1E77535C" w14:textId="3E0B0A78" w:rsidR="00116AC2" w:rsidRPr="004F572A" w:rsidRDefault="00116AC2" w:rsidP="00F67D19">
            <w:pPr>
              <w:rPr>
                <w:sz w:val="22"/>
                <w:szCs w:val="22"/>
              </w:rPr>
            </w:pPr>
            <w:r w:rsidRPr="004F572A">
              <w:rPr>
                <w:sz w:val="22"/>
                <w:szCs w:val="22"/>
              </w:rPr>
              <w:t xml:space="preserve">Vaistinio preparato vartojimą sustabdykite, kol reakcija </w:t>
            </w:r>
            <w:r w:rsidR="00C0202A">
              <w:rPr>
                <w:sz w:val="22"/>
                <w:szCs w:val="22"/>
              </w:rPr>
              <w:t>palengvės</w:t>
            </w:r>
            <w:r w:rsidR="00C0202A" w:rsidRPr="004F572A">
              <w:rPr>
                <w:sz w:val="22"/>
                <w:szCs w:val="22"/>
              </w:rPr>
              <w:t xml:space="preserve"> </w:t>
            </w:r>
            <w:r w:rsidRPr="004F572A">
              <w:rPr>
                <w:sz w:val="22"/>
                <w:szCs w:val="22"/>
              </w:rPr>
              <w:t>iki 0</w:t>
            </w:r>
            <w:r w:rsidR="00DE3C81">
              <w:rPr>
                <w:sz w:val="22"/>
                <w:szCs w:val="22"/>
              </w:rPr>
              <w:noBreakHyphen/>
            </w:r>
            <w:r w:rsidRPr="004F572A">
              <w:rPr>
                <w:sz w:val="22"/>
                <w:szCs w:val="22"/>
              </w:rPr>
              <w:t>1</w:t>
            </w:r>
            <w:r w:rsidR="00DE3C81">
              <w:rPr>
                <w:sz w:val="22"/>
                <w:szCs w:val="22"/>
              </w:rPr>
              <w:t> </w:t>
            </w:r>
            <w:r w:rsidRPr="004F572A">
              <w:rPr>
                <w:sz w:val="22"/>
                <w:szCs w:val="22"/>
              </w:rPr>
              <w:t>laipsnio ar</w:t>
            </w:r>
            <w:r w:rsidR="00C0202A">
              <w:rPr>
                <w:sz w:val="22"/>
                <w:szCs w:val="22"/>
              </w:rPr>
              <w:t>ba pradinio laipsnio</w:t>
            </w:r>
          </w:p>
        </w:tc>
        <w:tc>
          <w:tcPr>
            <w:tcW w:w="3510" w:type="dxa"/>
          </w:tcPr>
          <w:p w14:paraId="62C5A71E" w14:textId="65DE9FB0" w:rsidR="00116AC2" w:rsidRPr="004F572A" w:rsidRDefault="00116AC2" w:rsidP="00F67D19">
            <w:pPr>
              <w:rPr>
                <w:sz w:val="22"/>
                <w:szCs w:val="22"/>
              </w:rPr>
            </w:pPr>
            <w:r w:rsidRPr="004F572A">
              <w:rPr>
                <w:sz w:val="22"/>
                <w:szCs w:val="22"/>
              </w:rPr>
              <w:t xml:space="preserve">8 mg </w:t>
            </w:r>
            <w:r w:rsidR="00C0202A">
              <w:rPr>
                <w:sz w:val="22"/>
                <w:szCs w:val="22"/>
              </w:rPr>
              <w:t>geriama vieną kartą per parą</w:t>
            </w:r>
            <w:r w:rsidR="00C0202A" w:rsidRPr="004F572A">
              <w:rPr>
                <w:sz w:val="22"/>
                <w:szCs w:val="22"/>
              </w:rPr>
              <w:t xml:space="preserve"> </w:t>
            </w:r>
            <w:r w:rsidRPr="004F572A">
              <w:rPr>
                <w:sz w:val="22"/>
                <w:szCs w:val="22"/>
              </w:rPr>
              <w:t>(dvi 4 mg kapsul</w:t>
            </w:r>
            <w:r w:rsidR="00C0202A">
              <w:rPr>
                <w:sz w:val="22"/>
                <w:szCs w:val="22"/>
              </w:rPr>
              <w:t>ė</w:t>
            </w:r>
            <w:r w:rsidRPr="004F572A">
              <w:rPr>
                <w:sz w:val="22"/>
                <w:szCs w:val="22"/>
              </w:rPr>
              <w:t xml:space="preserve">s) </w:t>
            </w:r>
          </w:p>
        </w:tc>
      </w:tr>
      <w:tr w:rsidR="00585C9C" w:rsidRPr="004F572A" w14:paraId="3CE6362B" w14:textId="77777777" w:rsidTr="00482E21">
        <w:tc>
          <w:tcPr>
            <w:tcW w:w="8910" w:type="dxa"/>
            <w:gridSpan w:val="3"/>
          </w:tcPr>
          <w:p w14:paraId="2DA20D55" w14:textId="2B825431" w:rsidR="00585C9C" w:rsidRPr="004F572A" w:rsidRDefault="00585C9C" w:rsidP="00F67D19">
            <w:pPr>
              <w:rPr>
                <w:b/>
                <w:bCs/>
                <w:sz w:val="22"/>
                <w:szCs w:val="22"/>
              </w:rPr>
            </w:pPr>
            <w:r w:rsidRPr="004F572A">
              <w:rPr>
                <w:b/>
                <w:bCs/>
                <w:sz w:val="22"/>
                <w:szCs w:val="22"/>
              </w:rPr>
              <w:t xml:space="preserve">Gyvybei </w:t>
            </w:r>
            <w:r w:rsidR="00C0202A">
              <w:rPr>
                <w:b/>
                <w:bCs/>
                <w:sz w:val="22"/>
                <w:szCs w:val="22"/>
              </w:rPr>
              <w:t>pavojingas</w:t>
            </w:r>
            <w:r w:rsidR="00C0202A" w:rsidRPr="004F572A">
              <w:rPr>
                <w:b/>
                <w:bCs/>
                <w:sz w:val="22"/>
                <w:szCs w:val="22"/>
              </w:rPr>
              <w:t xml:space="preserve"> </w:t>
            </w:r>
            <w:r w:rsidRPr="004F572A">
              <w:rPr>
                <w:b/>
                <w:bCs/>
                <w:sz w:val="22"/>
                <w:szCs w:val="22"/>
              </w:rPr>
              <w:t>toksi</w:t>
            </w:r>
            <w:r w:rsidR="00C0202A">
              <w:rPr>
                <w:b/>
                <w:bCs/>
                <w:sz w:val="22"/>
                <w:szCs w:val="22"/>
              </w:rPr>
              <w:t>škumas</w:t>
            </w:r>
            <w:r w:rsidRPr="004F572A">
              <w:rPr>
                <w:b/>
                <w:bCs/>
                <w:sz w:val="22"/>
                <w:szCs w:val="22"/>
              </w:rPr>
              <w:t xml:space="preserve"> (4</w:t>
            </w:r>
            <w:r w:rsidR="00DE3C81">
              <w:rPr>
                <w:b/>
                <w:bCs/>
                <w:sz w:val="22"/>
                <w:szCs w:val="22"/>
              </w:rPr>
              <w:t> </w:t>
            </w:r>
            <w:r w:rsidRPr="004F572A">
              <w:rPr>
                <w:b/>
                <w:bCs/>
                <w:sz w:val="22"/>
                <w:szCs w:val="22"/>
              </w:rPr>
              <w:t>laipsni</w:t>
            </w:r>
            <w:r w:rsidR="00C0202A">
              <w:rPr>
                <w:b/>
                <w:bCs/>
                <w:sz w:val="22"/>
                <w:szCs w:val="22"/>
              </w:rPr>
              <w:t>s</w:t>
            </w:r>
            <w:r w:rsidRPr="004F572A">
              <w:rPr>
                <w:b/>
                <w:bCs/>
                <w:sz w:val="22"/>
                <w:szCs w:val="22"/>
              </w:rPr>
              <w:t>): vaistinio preparato vartojimą</w:t>
            </w:r>
            <w:r w:rsidR="00C0202A">
              <w:rPr>
                <w:b/>
                <w:bCs/>
                <w:sz w:val="22"/>
                <w:szCs w:val="22"/>
              </w:rPr>
              <w:t xml:space="preserve"> </w:t>
            </w:r>
            <w:proofErr w:type="spellStart"/>
            <w:r w:rsidR="00C0202A">
              <w:rPr>
                <w:b/>
                <w:bCs/>
                <w:sz w:val="22"/>
                <w:szCs w:val="22"/>
              </w:rPr>
              <w:t>nut</w:t>
            </w:r>
            <w:r w:rsidR="002E3C74">
              <w:rPr>
                <w:b/>
                <w:bCs/>
                <w:sz w:val="22"/>
                <w:szCs w:val="22"/>
              </w:rPr>
              <w:t>r</w:t>
            </w:r>
            <w:r w:rsidR="00C0202A">
              <w:rPr>
                <w:b/>
                <w:bCs/>
                <w:sz w:val="22"/>
                <w:szCs w:val="22"/>
              </w:rPr>
              <w:t>aukite</w:t>
            </w:r>
            <w:r w:rsidR="005E6178" w:rsidRPr="004F572A">
              <w:rPr>
                <w:b/>
                <w:bCs/>
                <w:sz w:val="22"/>
                <w:szCs w:val="22"/>
                <w:vertAlign w:val="superscript"/>
              </w:rPr>
              <w:t>b</w:t>
            </w:r>
            <w:proofErr w:type="spellEnd"/>
            <w:r w:rsidRPr="004F572A">
              <w:rPr>
                <w:b/>
                <w:bCs/>
                <w:sz w:val="22"/>
                <w:szCs w:val="22"/>
              </w:rPr>
              <w:t xml:space="preserve"> </w:t>
            </w:r>
          </w:p>
        </w:tc>
      </w:tr>
      <w:tr w:rsidR="00585C9C" w:rsidRPr="004F572A" w14:paraId="5E00EFA0" w14:textId="77777777" w:rsidTr="00482E21">
        <w:tc>
          <w:tcPr>
            <w:tcW w:w="8910" w:type="dxa"/>
            <w:gridSpan w:val="3"/>
          </w:tcPr>
          <w:p w14:paraId="66B8E39D" w14:textId="1DB77999" w:rsidR="00585C9C" w:rsidRPr="004F572A" w:rsidRDefault="00585C9C" w:rsidP="00F67D19">
            <w:pPr>
              <w:tabs>
                <w:tab w:val="clear" w:pos="567"/>
                <w:tab w:val="left" w:pos="360"/>
              </w:tabs>
              <w:ind w:left="360" w:hanging="360"/>
              <w:rPr>
                <w:sz w:val="22"/>
                <w:szCs w:val="22"/>
              </w:rPr>
            </w:pPr>
            <w:r w:rsidRPr="004F572A">
              <w:rPr>
                <w:sz w:val="22"/>
                <w:szCs w:val="22"/>
                <w:vertAlign w:val="superscript"/>
              </w:rPr>
              <w:t>a</w:t>
            </w:r>
            <w:r w:rsidR="00C0202A">
              <w:rPr>
                <w:sz w:val="22"/>
                <w:szCs w:val="22"/>
                <w:vertAlign w:val="superscript"/>
              </w:rPr>
              <w:t>.</w:t>
            </w:r>
            <w:r w:rsidRPr="004F572A">
              <w:rPr>
                <w:sz w:val="22"/>
                <w:szCs w:val="22"/>
              </w:rPr>
              <w:tab/>
            </w:r>
            <w:r w:rsidR="008F7D44" w:rsidRPr="004F572A">
              <w:rPr>
                <w:sz w:val="22"/>
                <w:szCs w:val="22"/>
              </w:rPr>
              <w:t>Turima nedaug duomenų apie mažesnes nei 8</w:t>
            </w:r>
            <w:r w:rsidR="00DE3C81">
              <w:rPr>
                <w:sz w:val="22"/>
                <w:szCs w:val="22"/>
              </w:rPr>
              <w:t> </w:t>
            </w:r>
            <w:r w:rsidR="008F7D44" w:rsidRPr="004F572A">
              <w:rPr>
                <w:sz w:val="22"/>
                <w:szCs w:val="22"/>
              </w:rPr>
              <w:t>mg dozes</w:t>
            </w:r>
            <w:r w:rsidRPr="004F572A">
              <w:rPr>
                <w:sz w:val="22"/>
                <w:szCs w:val="22"/>
              </w:rPr>
              <w:t>.</w:t>
            </w:r>
          </w:p>
          <w:p w14:paraId="4BCAF5E7" w14:textId="6BACBE3B" w:rsidR="00585C9C" w:rsidRPr="004F572A" w:rsidRDefault="00585C9C" w:rsidP="008F7D44">
            <w:pPr>
              <w:tabs>
                <w:tab w:val="clear" w:pos="567"/>
                <w:tab w:val="left" w:pos="360"/>
              </w:tabs>
              <w:ind w:left="360" w:hanging="360"/>
              <w:rPr>
                <w:sz w:val="22"/>
                <w:szCs w:val="22"/>
              </w:rPr>
            </w:pPr>
            <w:r w:rsidRPr="004F572A">
              <w:rPr>
                <w:sz w:val="22"/>
                <w:szCs w:val="22"/>
                <w:vertAlign w:val="superscript"/>
              </w:rPr>
              <w:t>b</w:t>
            </w:r>
            <w:r w:rsidR="00C0202A">
              <w:rPr>
                <w:sz w:val="22"/>
                <w:szCs w:val="22"/>
                <w:vertAlign w:val="superscript"/>
              </w:rPr>
              <w:t>.</w:t>
            </w:r>
            <w:r w:rsidRPr="004F572A">
              <w:rPr>
                <w:sz w:val="22"/>
                <w:szCs w:val="22"/>
              </w:rPr>
              <w:tab/>
            </w:r>
            <w:r w:rsidR="00C0202A">
              <w:rPr>
                <w:sz w:val="22"/>
                <w:szCs w:val="22"/>
              </w:rPr>
              <w:t>Atsiradus</w:t>
            </w:r>
            <w:r w:rsidR="00C0202A" w:rsidRPr="004F572A">
              <w:rPr>
                <w:sz w:val="22"/>
                <w:szCs w:val="22"/>
              </w:rPr>
              <w:t xml:space="preserve"> </w:t>
            </w:r>
            <w:r w:rsidR="008F7D44" w:rsidRPr="004F572A">
              <w:rPr>
                <w:sz w:val="22"/>
                <w:szCs w:val="22"/>
              </w:rPr>
              <w:t>gyvybei pavojingoms reakcijoms (pvz., 4</w:t>
            </w:r>
            <w:r w:rsidR="00DE3C81">
              <w:rPr>
                <w:sz w:val="22"/>
                <w:szCs w:val="22"/>
              </w:rPr>
              <w:t> </w:t>
            </w:r>
            <w:r w:rsidR="008F7D44" w:rsidRPr="004F572A">
              <w:rPr>
                <w:sz w:val="22"/>
                <w:szCs w:val="22"/>
              </w:rPr>
              <w:t xml:space="preserve">laipsnio), gydymą reikia nutraukti, išskyrus </w:t>
            </w:r>
            <w:r w:rsidR="00C0202A" w:rsidRPr="00C0202A">
              <w:rPr>
                <w:sz w:val="22"/>
                <w:szCs w:val="22"/>
              </w:rPr>
              <w:t xml:space="preserve">laboratorinius sutrikimus, kurie laikomi nekeliančiais pavojaus gyvybei, tokiu atveju juos reikia gydyti kaip sunkias reakcijas </w:t>
            </w:r>
            <w:r w:rsidR="008F7D44" w:rsidRPr="004F572A">
              <w:rPr>
                <w:sz w:val="22"/>
                <w:szCs w:val="22"/>
              </w:rPr>
              <w:t xml:space="preserve">(pvz., </w:t>
            </w:r>
            <w:r w:rsidRPr="004F572A">
              <w:rPr>
                <w:sz w:val="22"/>
                <w:szCs w:val="22"/>
              </w:rPr>
              <w:t>3</w:t>
            </w:r>
            <w:r w:rsidR="00DE3C81">
              <w:rPr>
                <w:sz w:val="22"/>
                <w:szCs w:val="22"/>
              </w:rPr>
              <w:t> </w:t>
            </w:r>
            <w:r w:rsidRPr="004F572A">
              <w:rPr>
                <w:sz w:val="22"/>
                <w:szCs w:val="22"/>
              </w:rPr>
              <w:t>laipsnio</w:t>
            </w:r>
            <w:r w:rsidR="008F7D44" w:rsidRPr="004F572A">
              <w:rPr>
                <w:sz w:val="22"/>
                <w:szCs w:val="22"/>
              </w:rPr>
              <w:t>)</w:t>
            </w:r>
            <w:r w:rsidRPr="004F572A">
              <w:rPr>
                <w:sz w:val="22"/>
                <w:szCs w:val="22"/>
              </w:rPr>
              <w:t>.</w:t>
            </w:r>
          </w:p>
        </w:tc>
      </w:tr>
    </w:tbl>
    <w:p w14:paraId="1A7AEC92" w14:textId="77777777" w:rsidR="00C10995" w:rsidRPr="004F572A" w:rsidRDefault="00C10995" w:rsidP="000928CA">
      <w:pPr>
        <w:rPr>
          <w:sz w:val="22"/>
          <w:szCs w:val="22"/>
        </w:rPr>
      </w:pPr>
    </w:p>
    <w:tbl>
      <w:tblPr>
        <w:tblStyle w:val="Lentelstinklelis"/>
        <w:tblW w:w="0" w:type="auto"/>
        <w:tblInd w:w="85" w:type="dxa"/>
        <w:tblLook w:val="04A0" w:firstRow="1" w:lastRow="0" w:firstColumn="1" w:lastColumn="0" w:noHBand="0" w:noVBand="1"/>
      </w:tblPr>
      <w:tblGrid>
        <w:gridCol w:w="2223"/>
        <w:gridCol w:w="1707"/>
        <w:gridCol w:w="1421"/>
        <w:gridCol w:w="3624"/>
      </w:tblGrid>
      <w:tr w:rsidR="00482E21" w:rsidRPr="004F572A" w14:paraId="50ABA860" w14:textId="77777777" w:rsidTr="00B8291A">
        <w:trPr>
          <w:trHeight w:val="432"/>
        </w:trPr>
        <w:tc>
          <w:tcPr>
            <w:tcW w:w="8975" w:type="dxa"/>
            <w:gridSpan w:val="4"/>
            <w:vAlign w:val="center"/>
          </w:tcPr>
          <w:p w14:paraId="3EC0F9DC" w14:textId="5D0AD0AC" w:rsidR="00482E21" w:rsidRPr="004F572A" w:rsidRDefault="00482E21" w:rsidP="00B8291A">
            <w:pPr>
              <w:spacing w:line="200" w:lineRule="atLeast"/>
              <w:rPr>
                <w:b/>
                <w:bCs/>
                <w:sz w:val="22"/>
                <w:szCs w:val="22"/>
              </w:rPr>
            </w:pPr>
            <w:r w:rsidRPr="004F572A">
              <w:rPr>
                <w:b/>
                <w:bCs/>
                <w:sz w:val="22"/>
                <w:szCs w:val="22"/>
              </w:rPr>
              <w:t>4</w:t>
            </w:r>
            <w:r w:rsidR="00DE3C81">
              <w:rPr>
                <w:b/>
                <w:bCs/>
                <w:sz w:val="22"/>
                <w:szCs w:val="22"/>
              </w:rPr>
              <w:t> </w:t>
            </w:r>
            <w:r w:rsidRPr="004F572A">
              <w:rPr>
                <w:b/>
                <w:bCs/>
                <w:sz w:val="22"/>
                <w:szCs w:val="22"/>
              </w:rPr>
              <w:t xml:space="preserve">lentelė Nepageidaujamos reakcijos, dėl kurių reikia keisti </w:t>
            </w:r>
            <w:proofErr w:type="spellStart"/>
            <w:r w:rsidRPr="004F572A">
              <w:rPr>
                <w:b/>
                <w:bCs/>
                <w:sz w:val="22"/>
                <w:szCs w:val="22"/>
              </w:rPr>
              <w:t>lenvatinibo</w:t>
            </w:r>
            <w:proofErr w:type="spellEnd"/>
            <w:r w:rsidRPr="004F572A">
              <w:rPr>
                <w:b/>
                <w:bCs/>
                <w:sz w:val="22"/>
                <w:szCs w:val="22"/>
              </w:rPr>
              <w:t xml:space="preserve"> dozę</w:t>
            </w:r>
          </w:p>
        </w:tc>
      </w:tr>
      <w:tr w:rsidR="0076380B" w:rsidRPr="004F572A" w14:paraId="3E7A9BEA" w14:textId="77777777" w:rsidTr="00ED6E49">
        <w:trPr>
          <w:trHeight w:val="432"/>
        </w:trPr>
        <w:tc>
          <w:tcPr>
            <w:tcW w:w="2223" w:type="dxa"/>
            <w:vAlign w:val="center"/>
          </w:tcPr>
          <w:p w14:paraId="64674ED4" w14:textId="06C88606" w:rsidR="00482E21" w:rsidRPr="004F572A" w:rsidRDefault="00B8291A" w:rsidP="00B8291A">
            <w:pPr>
              <w:rPr>
                <w:b/>
                <w:bCs/>
                <w:sz w:val="22"/>
                <w:szCs w:val="22"/>
              </w:rPr>
            </w:pPr>
            <w:r w:rsidRPr="004F572A">
              <w:rPr>
                <w:b/>
                <w:bCs/>
                <w:sz w:val="22"/>
                <w:szCs w:val="22"/>
              </w:rPr>
              <w:t>Nepageidaujama reakcija</w:t>
            </w:r>
          </w:p>
        </w:tc>
        <w:tc>
          <w:tcPr>
            <w:tcW w:w="1707" w:type="dxa"/>
            <w:vAlign w:val="center"/>
          </w:tcPr>
          <w:p w14:paraId="6A4800B1" w14:textId="5C3744F5" w:rsidR="00482E21" w:rsidRPr="004F572A" w:rsidRDefault="00B8291A" w:rsidP="00B8291A">
            <w:pPr>
              <w:rPr>
                <w:b/>
                <w:bCs/>
                <w:sz w:val="22"/>
                <w:szCs w:val="22"/>
              </w:rPr>
            </w:pPr>
            <w:r w:rsidRPr="004F572A">
              <w:rPr>
                <w:b/>
                <w:bCs/>
                <w:sz w:val="22"/>
                <w:szCs w:val="22"/>
              </w:rPr>
              <w:t>Sunkumas</w:t>
            </w:r>
          </w:p>
        </w:tc>
        <w:tc>
          <w:tcPr>
            <w:tcW w:w="1421" w:type="dxa"/>
            <w:vAlign w:val="center"/>
          </w:tcPr>
          <w:p w14:paraId="674F72CB" w14:textId="51E54147" w:rsidR="00482E21" w:rsidRPr="004F572A" w:rsidRDefault="00B8291A" w:rsidP="00B8291A">
            <w:pPr>
              <w:rPr>
                <w:b/>
                <w:bCs/>
                <w:sz w:val="22"/>
                <w:szCs w:val="22"/>
              </w:rPr>
            </w:pPr>
            <w:r w:rsidRPr="004F572A">
              <w:rPr>
                <w:b/>
                <w:bCs/>
                <w:sz w:val="22"/>
                <w:szCs w:val="22"/>
              </w:rPr>
              <w:t>Veiksmas</w:t>
            </w:r>
          </w:p>
        </w:tc>
        <w:tc>
          <w:tcPr>
            <w:tcW w:w="3624" w:type="dxa"/>
            <w:vAlign w:val="center"/>
          </w:tcPr>
          <w:p w14:paraId="6DF3D68C" w14:textId="4F270258" w:rsidR="00482E21" w:rsidRPr="004F572A" w:rsidRDefault="00C0202A" w:rsidP="00B8291A">
            <w:pPr>
              <w:rPr>
                <w:b/>
                <w:bCs/>
                <w:sz w:val="22"/>
                <w:szCs w:val="22"/>
              </w:rPr>
            </w:pPr>
            <w:r>
              <w:rPr>
                <w:b/>
                <w:bCs/>
                <w:sz w:val="22"/>
                <w:szCs w:val="22"/>
              </w:rPr>
              <w:t xml:space="preserve">Dozės sumažinimas ir </w:t>
            </w:r>
            <w:proofErr w:type="spellStart"/>
            <w:r w:rsidR="00B8291A" w:rsidRPr="004F572A">
              <w:rPr>
                <w:b/>
                <w:bCs/>
                <w:sz w:val="22"/>
                <w:szCs w:val="22"/>
              </w:rPr>
              <w:t>lenvatinibo</w:t>
            </w:r>
            <w:proofErr w:type="spellEnd"/>
            <w:r w:rsidR="00B8291A" w:rsidRPr="004F572A">
              <w:rPr>
                <w:b/>
                <w:bCs/>
                <w:sz w:val="22"/>
                <w:szCs w:val="22"/>
              </w:rPr>
              <w:t xml:space="preserve"> vartojim</w:t>
            </w:r>
            <w:r>
              <w:rPr>
                <w:b/>
                <w:bCs/>
                <w:sz w:val="22"/>
                <w:szCs w:val="22"/>
              </w:rPr>
              <w:t>o tęsimas</w:t>
            </w:r>
          </w:p>
        </w:tc>
      </w:tr>
      <w:tr w:rsidR="0076380B" w:rsidRPr="004F572A" w14:paraId="3761FC23" w14:textId="77777777" w:rsidTr="00ED6E49">
        <w:trPr>
          <w:trHeight w:val="432"/>
        </w:trPr>
        <w:tc>
          <w:tcPr>
            <w:tcW w:w="2223" w:type="dxa"/>
            <w:tcBorders>
              <w:bottom w:val="nil"/>
            </w:tcBorders>
            <w:vAlign w:val="center"/>
          </w:tcPr>
          <w:p w14:paraId="1F136063" w14:textId="3CD1BDDC" w:rsidR="00E732FF" w:rsidRPr="004F572A" w:rsidRDefault="00E732FF" w:rsidP="00B8291A">
            <w:pPr>
              <w:rPr>
                <w:sz w:val="22"/>
                <w:szCs w:val="22"/>
              </w:rPr>
            </w:pPr>
            <w:r w:rsidRPr="004F572A">
              <w:rPr>
                <w:sz w:val="22"/>
                <w:szCs w:val="22"/>
              </w:rPr>
              <w:t>Hipertenzija</w:t>
            </w:r>
          </w:p>
        </w:tc>
        <w:tc>
          <w:tcPr>
            <w:tcW w:w="1707" w:type="dxa"/>
            <w:vAlign w:val="center"/>
          </w:tcPr>
          <w:p w14:paraId="45656CE3" w14:textId="73CF7BA3" w:rsidR="00E732FF" w:rsidRPr="004F572A" w:rsidRDefault="00E732FF" w:rsidP="00B8291A">
            <w:pPr>
              <w:rPr>
                <w:sz w:val="22"/>
                <w:szCs w:val="22"/>
              </w:rPr>
            </w:pPr>
            <w:r w:rsidRPr="004F572A">
              <w:rPr>
                <w:sz w:val="22"/>
                <w:szCs w:val="22"/>
              </w:rPr>
              <w:t>3</w:t>
            </w:r>
            <w:r w:rsidR="00DE3C81">
              <w:rPr>
                <w:sz w:val="22"/>
                <w:szCs w:val="22"/>
              </w:rPr>
              <w:t> </w:t>
            </w:r>
            <w:r w:rsidRPr="004F572A">
              <w:rPr>
                <w:sz w:val="22"/>
                <w:szCs w:val="22"/>
              </w:rPr>
              <w:t>laipsni</w:t>
            </w:r>
            <w:r w:rsidR="00C0202A">
              <w:rPr>
                <w:sz w:val="22"/>
                <w:szCs w:val="22"/>
              </w:rPr>
              <w:t>s</w:t>
            </w:r>
            <w:r w:rsidRPr="004F572A">
              <w:rPr>
                <w:sz w:val="22"/>
                <w:szCs w:val="22"/>
              </w:rPr>
              <w:t xml:space="preserve"> (nepaisant optimalaus </w:t>
            </w:r>
            <w:proofErr w:type="spellStart"/>
            <w:r w:rsidRPr="004F572A">
              <w:rPr>
                <w:sz w:val="22"/>
                <w:szCs w:val="22"/>
              </w:rPr>
              <w:t>antihipertenzinio</w:t>
            </w:r>
            <w:proofErr w:type="spellEnd"/>
            <w:r w:rsidRPr="004F572A">
              <w:rPr>
                <w:sz w:val="22"/>
                <w:szCs w:val="22"/>
              </w:rPr>
              <w:t xml:space="preserve"> gydymo</w:t>
            </w:r>
            <w:r w:rsidR="00C0202A">
              <w:rPr>
                <w:sz w:val="22"/>
                <w:szCs w:val="22"/>
              </w:rPr>
              <w:t>)</w:t>
            </w:r>
          </w:p>
        </w:tc>
        <w:tc>
          <w:tcPr>
            <w:tcW w:w="1421" w:type="dxa"/>
            <w:vAlign w:val="center"/>
          </w:tcPr>
          <w:p w14:paraId="5184DF1F" w14:textId="77777777" w:rsidR="00C0202A" w:rsidRDefault="00C0202A" w:rsidP="00C0202A">
            <w:pPr>
              <w:pStyle w:val="Default"/>
              <w:rPr>
                <w:sz w:val="22"/>
                <w:szCs w:val="22"/>
              </w:rPr>
            </w:pPr>
            <w:r>
              <w:rPr>
                <w:sz w:val="22"/>
                <w:szCs w:val="22"/>
              </w:rPr>
              <w:t xml:space="preserve">Laikinai sustabdyti vartojimą </w:t>
            </w:r>
          </w:p>
          <w:p w14:paraId="5F0F1FC6" w14:textId="63192EF7" w:rsidR="00E732FF" w:rsidRPr="004F572A" w:rsidRDefault="00E732FF" w:rsidP="00B8291A">
            <w:pPr>
              <w:rPr>
                <w:sz w:val="22"/>
                <w:szCs w:val="22"/>
              </w:rPr>
            </w:pPr>
          </w:p>
        </w:tc>
        <w:tc>
          <w:tcPr>
            <w:tcW w:w="3624" w:type="dxa"/>
            <w:vAlign w:val="center"/>
          </w:tcPr>
          <w:p w14:paraId="033B1011" w14:textId="1C9574D4" w:rsidR="00E732FF" w:rsidRPr="004F572A" w:rsidRDefault="0048088E" w:rsidP="00B8291A">
            <w:pPr>
              <w:rPr>
                <w:sz w:val="22"/>
                <w:szCs w:val="22"/>
              </w:rPr>
            </w:pPr>
            <w:r w:rsidRPr="004F572A">
              <w:rPr>
                <w:sz w:val="22"/>
                <w:szCs w:val="22"/>
              </w:rPr>
              <w:t>S</w:t>
            </w:r>
            <w:r w:rsidR="007D7153" w:rsidRPr="004F572A">
              <w:rPr>
                <w:sz w:val="22"/>
                <w:szCs w:val="22"/>
              </w:rPr>
              <w:t>usilpnėj</w:t>
            </w:r>
            <w:r w:rsidR="009522F2">
              <w:rPr>
                <w:sz w:val="22"/>
                <w:szCs w:val="22"/>
              </w:rPr>
              <w:t>a</w:t>
            </w:r>
            <w:r w:rsidR="007D7153" w:rsidRPr="004F572A">
              <w:rPr>
                <w:sz w:val="22"/>
                <w:szCs w:val="22"/>
              </w:rPr>
              <w:t xml:space="preserve"> iki 0, 1 arba 2</w:t>
            </w:r>
            <w:r w:rsidR="00DE3C81">
              <w:rPr>
                <w:sz w:val="22"/>
                <w:szCs w:val="22"/>
              </w:rPr>
              <w:t> </w:t>
            </w:r>
            <w:r w:rsidR="007D7153" w:rsidRPr="004F572A">
              <w:rPr>
                <w:sz w:val="22"/>
                <w:szCs w:val="22"/>
              </w:rPr>
              <w:t>laipsnio</w:t>
            </w:r>
            <w:r w:rsidR="009522F2">
              <w:rPr>
                <w:sz w:val="22"/>
                <w:szCs w:val="22"/>
              </w:rPr>
              <w:t>.</w:t>
            </w:r>
          </w:p>
          <w:p w14:paraId="6242CA91" w14:textId="2CAFA8C8" w:rsidR="007D7153" w:rsidRPr="004F572A" w:rsidRDefault="007D7153" w:rsidP="00B8291A">
            <w:pPr>
              <w:rPr>
                <w:sz w:val="22"/>
                <w:szCs w:val="22"/>
              </w:rPr>
            </w:pPr>
            <w:r w:rsidRPr="004F572A">
              <w:rPr>
                <w:sz w:val="22"/>
                <w:szCs w:val="22"/>
              </w:rPr>
              <w:t xml:space="preserve">Žr. išsamias rekomendacijas </w:t>
            </w:r>
            <w:r w:rsidR="009522F2" w:rsidRPr="004F572A">
              <w:rPr>
                <w:sz w:val="22"/>
                <w:szCs w:val="22"/>
              </w:rPr>
              <w:t>5</w:t>
            </w:r>
            <w:r w:rsidR="00DE3C81">
              <w:rPr>
                <w:sz w:val="22"/>
                <w:szCs w:val="22"/>
              </w:rPr>
              <w:t> </w:t>
            </w:r>
            <w:r w:rsidR="009522F2" w:rsidRPr="004F572A">
              <w:rPr>
                <w:sz w:val="22"/>
                <w:szCs w:val="22"/>
              </w:rPr>
              <w:t xml:space="preserve">lentelėje </w:t>
            </w:r>
            <w:r w:rsidRPr="004F572A">
              <w:rPr>
                <w:sz w:val="22"/>
                <w:szCs w:val="22"/>
              </w:rPr>
              <w:t>4.4 skyri</w:t>
            </w:r>
            <w:r w:rsidR="009522F2">
              <w:rPr>
                <w:sz w:val="22"/>
                <w:szCs w:val="22"/>
              </w:rPr>
              <w:t>uje</w:t>
            </w:r>
            <w:r w:rsidRPr="004F572A">
              <w:rPr>
                <w:sz w:val="22"/>
                <w:szCs w:val="22"/>
              </w:rPr>
              <w:t>.</w:t>
            </w:r>
          </w:p>
        </w:tc>
      </w:tr>
      <w:tr w:rsidR="0076380B" w:rsidRPr="004F572A" w14:paraId="6F7E2DCA" w14:textId="77777777" w:rsidTr="00ED6E49">
        <w:trPr>
          <w:trHeight w:val="432"/>
        </w:trPr>
        <w:tc>
          <w:tcPr>
            <w:tcW w:w="2223" w:type="dxa"/>
            <w:tcBorders>
              <w:top w:val="nil"/>
              <w:bottom w:val="single" w:sz="4" w:space="0" w:color="auto"/>
            </w:tcBorders>
            <w:vAlign w:val="center"/>
          </w:tcPr>
          <w:p w14:paraId="54EC00C3" w14:textId="77777777" w:rsidR="004C549E" w:rsidRPr="004F572A" w:rsidRDefault="004C549E" w:rsidP="00B8291A">
            <w:pPr>
              <w:rPr>
                <w:sz w:val="22"/>
                <w:szCs w:val="22"/>
              </w:rPr>
            </w:pPr>
          </w:p>
        </w:tc>
        <w:tc>
          <w:tcPr>
            <w:tcW w:w="1707" w:type="dxa"/>
            <w:vAlign w:val="center"/>
          </w:tcPr>
          <w:p w14:paraId="7CE6263B" w14:textId="689B1B50" w:rsidR="004C549E" w:rsidRPr="004F572A" w:rsidRDefault="004C549E" w:rsidP="00B8291A">
            <w:pPr>
              <w:rPr>
                <w:sz w:val="22"/>
                <w:szCs w:val="22"/>
              </w:rPr>
            </w:pPr>
            <w:r w:rsidRPr="004F572A">
              <w:rPr>
                <w:sz w:val="22"/>
                <w:szCs w:val="22"/>
              </w:rPr>
              <w:t>4</w:t>
            </w:r>
            <w:r w:rsidR="00DE3C81">
              <w:rPr>
                <w:sz w:val="22"/>
                <w:szCs w:val="22"/>
              </w:rPr>
              <w:t> </w:t>
            </w:r>
            <w:r w:rsidRPr="004F572A">
              <w:rPr>
                <w:sz w:val="22"/>
                <w:szCs w:val="22"/>
              </w:rPr>
              <w:t>laipsni</w:t>
            </w:r>
            <w:r w:rsidR="00C0202A">
              <w:rPr>
                <w:sz w:val="22"/>
                <w:szCs w:val="22"/>
              </w:rPr>
              <w:t>s</w:t>
            </w:r>
          </w:p>
        </w:tc>
        <w:tc>
          <w:tcPr>
            <w:tcW w:w="1421" w:type="dxa"/>
            <w:vAlign w:val="center"/>
          </w:tcPr>
          <w:p w14:paraId="11B9DFF2" w14:textId="77777777" w:rsidR="00C0202A" w:rsidRDefault="00C0202A" w:rsidP="00C0202A">
            <w:pPr>
              <w:pStyle w:val="Default"/>
              <w:rPr>
                <w:sz w:val="22"/>
                <w:szCs w:val="22"/>
              </w:rPr>
            </w:pPr>
            <w:r>
              <w:rPr>
                <w:sz w:val="22"/>
                <w:szCs w:val="22"/>
              </w:rPr>
              <w:t xml:space="preserve">Visiškai nutraukti vartojimą </w:t>
            </w:r>
          </w:p>
          <w:p w14:paraId="2455AD21" w14:textId="2173BC15" w:rsidR="004C549E" w:rsidRPr="004F572A" w:rsidRDefault="004C549E" w:rsidP="00B8291A">
            <w:pPr>
              <w:rPr>
                <w:sz w:val="22"/>
                <w:szCs w:val="22"/>
              </w:rPr>
            </w:pPr>
          </w:p>
        </w:tc>
        <w:tc>
          <w:tcPr>
            <w:tcW w:w="3624" w:type="dxa"/>
            <w:vAlign w:val="center"/>
          </w:tcPr>
          <w:p w14:paraId="07038592" w14:textId="7242B92A" w:rsidR="009522F2" w:rsidRDefault="009522F2" w:rsidP="009522F2">
            <w:pPr>
              <w:pStyle w:val="Default"/>
              <w:rPr>
                <w:sz w:val="22"/>
                <w:szCs w:val="22"/>
              </w:rPr>
            </w:pPr>
            <w:r>
              <w:rPr>
                <w:sz w:val="22"/>
                <w:szCs w:val="22"/>
              </w:rPr>
              <w:t xml:space="preserve">Netęsti vartojimo. </w:t>
            </w:r>
          </w:p>
          <w:p w14:paraId="05DFA308" w14:textId="70033A4F" w:rsidR="004C549E" w:rsidRPr="004F572A" w:rsidRDefault="004C549E" w:rsidP="00B8291A">
            <w:pPr>
              <w:rPr>
                <w:sz w:val="22"/>
                <w:szCs w:val="22"/>
              </w:rPr>
            </w:pPr>
          </w:p>
        </w:tc>
      </w:tr>
      <w:tr w:rsidR="0048088E" w:rsidRPr="004F572A" w14:paraId="55F2F452" w14:textId="77777777" w:rsidTr="00ED6E49">
        <w:trPr>
          <w:trHeight w:val="432"/>
        </w:trPr>
        <w:tc>
          <w:tcPr>
            <w:tcW w:w="2223" w:type="dxa"/>
            <w:tcBorders>
              <w:top w:val="single" w:sz="4" w:space="0" w:color="auto"/>
            </w:tcBorders>
            <w:vAlign w:val="center"/>
          </w:tcPr>
          <w:p w14:paraId="3C7DAEA3" w14:textId="64786C68" w:rsidR="004C549E" w:rsidRPr="004F572A" w:rsidRDefault="004C549E" w:rsidP="00B8291A">
            <w:pPr>
              <w:rPr>
                <w:sz w:val="22"/>
                <w:szCs w:val="22"/>
              </w:rPr>
            </w:pPr>
            <w:proofErr w:type="spellStart"/>
            <w:r w:rsidRPr="004F572A">
              <w:rPr>
                <w:sz w:val="22"/>
                <w:szCs w:val="22"/>
              </w:rPr>
              <w:t>Proteinurija</w:t>
            </w:r>
            <w:proofErr w:type="spellEnd"/>
          </w:p>
        </w:tc>
        <w:tc>
          <w:tcPr>
            <w:tcW w:w="1707" w:type="dxa"/>
            <w:vAlign w:val="center"/>
          </w:tcPr>
          <w:p w14:paraId="3CA16E12" w14:textId="79DA9661" w:rsidR="004C549E" w:rsidRPr="004F572A" w:rsidRDefault="004C549E" w:rsidP="00B8291A">
            <w:pPr>
              <w:rPr>
                <w:sz w:val="22"/>
                <w:szCs w:val="22"/>
              </w:rPr>
            </w:pPr>
            <w:r w:rsidRPr="004F572A">
              <w:rPr>
                <w:sz w:val="22"/>
                <w:szCs w:val="22"/>
              </w:rPr>
              <w:t>≥</w:t>
            </w:r>
            <w:r w:rsidR="00DE3C81">
              <w:rPr>
                <w:sz w:val="22"/>
                <w:szCs w:val="22"/>
              </w:rPr>
              <w:t> </w:t>
            </w:r>
            <w:r w:rsidRPr="004F572A">
              <w:rPr>
                <w:sz w:val="22"/>
                <w:szCs w:val="22"/>
              </w:rPr>
              <w:t>2</w:t>
            </w:r>
            <w:r w:rsidR="0076380B" w:rsidRPr="004F572A">
              <w:rPr>
                <w:sz w:val="22"/>
                <w:szCs w:val="22"/>
              </w:rPr>
              <w:t> </w:t>
            </w:r>
            <w:r w:rsidRPr="004F572A">
              <w:rPr>
                <w:sz w:val="22"/>
                <w:szCs w:val="22"/>
              </w:rPr>
              <w:t>g</w:t>
            </w:r>
            <w:r w:rsidR="00DE3C81">
              <w:rPr>
                <w:sz w:val="22"/>
                <w:szCs w:val="22"/>
              </w:rPr>
              <w:t> </w:t>
            </w:r>
            <w:r w:rsidRPr="004F572A">
              <w:rPr>
                <w:sz w:val="22"/>
                <w:szCs w:val="22"/>
              </w:rPr>
              <w:t>/</w:t>
            </w:r>
            <w:r w:rsidR="00DE3C81">
              <w:rPr>
                <w:sz w:val="22"/>
                <w:szCs w:val="22"/>
              </w:rPr>
              <w:t> </w:t>
            </w:r>
            <w:r w:rsidRPr="004F572A">
              <w:rPr>
                <w:sz w:val="22"/>
                <w:szCs w:val="22"/>
              </w:rPr>
              <w:t>24</w:t>
            </w:r>
            <w:r w:rsidR="0076380B" w:rsidRPr="004F572A">
              <w:rPr>
                <w:sz w:val="22"/>
                <w:szCs w:val="22"/>
              </w:rPr>
              <w:t> </w:t>
            </w:r>
            <w:r w:rsidRPr="004F572A">
              <w:rPr>
                <w:sz w:val="22"/>
                <w:szCs w:val="22"/>
              </w:rPr>
              <w:t>val.</w:t>
            </w:r>
          </w:p>
        </w:tc>
        <w:tc>
          <w:tcPr>
            <w:tcW w:w="1421" w:type="dxa"/>
            <w:vAlign w:val="center"/>
          </w:tcPr>
          <w:p w14:paraId="0E8DC771" w14:textId="77777777" w:rsidR="00C0202A" w:rsidRDefault="00C0202A" w:rsidP="00C0202A">
            <w:pPr>
              <w:pStyle w:val="Default"/>
              <w:rPr>
                <w:sz w:val="22"/>
                <w:szCs w:val="22"/>
              </w:rPr>
            </w:pPr>
            <w:r>
              <w:rPr>
                <w:sz w:val="22"/>
                <w:szCs w:val="22"/>
              </w:rPr>
              <w:t xml:space="preserve">Laikinai sustabdyti vartojimą </w:t>
            </w:r>
          </w:p>
          <w:p w14:paraId="18086DA0" w14:textId="7F3769CC" w:rsidR="004C549E" w:rsidRPr="004F572A" w:rsidRDefault="004C549E" w:rsidP="00B8291A">
            <w:pPr>
              <w:rPr>
                <w:sz w:val="22"/>
                <w:szCs w:val="22"/>
              </w:rPr>
            </w:pPr>
          </w:p>
        </w:tc>
        <w:tc>
          <w:tcPr>
            <w:tcW w:w="3624" w:type="dxa"/>
            <w:vAlign w:val="center"/>
          </w:tcPr>
          <w:p w14:paraId="166258BC" w14:textId="5C4D51C2" w:rsidR="004C549E" w:rsidRPr="004F572A" w:rsidRDefault="009522F2" w:rsidP="00B8291A">
            <w:pPr>
              <w:rPr>
                <w:sz w:val="22"/>
                <w:szCs w:val="22"/>
              </w:rPr>
            </w:pPr>
            <w:r>
              <w:rPr>
                <w:sz w:val="22"/>
                <w:szCs w:val="22"/>
              </w:rPr>
              <w:t>S</w:t>
            </w:r>
            <w:r w:rsidR="0076380B" w:rsidRPr="004F572A">
              <w:rPr>
                <w:sz w:val="22"/>
                <w:szCs w:val="22"/>
              </w:rPr>
              <w:t>usilpnėj</w:t>
            </w:r>
            <w:r>
              <w:rPr>
                <w:sz w:val="22"/>
                <w:szCs w:val="22"/>
              </w:rPr>
              <w:t>a</w:t>
            </w:r>
            <w:r w:rsidR="0076380B" w:rsidRPr="004F572A">
              <w:rPr>
                <w:sz w:val="22"/>
                <w:szCs w:val="22"/>
              </w:rPr>
              <w:t xml:space="preserve"> iki mažiau kaip 2 g</w:t>
            </w:r>
            <w:r w:rsidR="00DE3C81">
              <w:rPr>
                <w:sz w:val="22"/>
                <w:szCs w:val="22"/>
              </w:rPr>
              <w:t> </w:t>
            </w:r>
            <w:r w:rsidR="0076380B" w:rsidRPr="004F572A">
              <w:rPr>
                <w:sz w:val="22"/>
                <w:szCs w:val="22"/>
              </w:rPr>
              <w:t>/</w:t>
            </w:r>
            <w:r w:rsidR="00DE3C81">
              <w:rPr>
                <w:sz w:val="22"/>
                <w:szCs w:val="22"/>
              </w:rPr>
              <w:t> </w:t>
            </w:r>
            <w:r w:rsidR="0076380B" w:rsidRPr="004F572A">
              <w:rPr>
                <w:sz w:val="22"/>
                <w:szCs w:val="22"/>
              </w:rPr>
              <w:t>24</w:t>
            </w:r>
            <w:r w:rsidR="00DE3C81">
              <w:rPr>
                <w:sz w:val="22"/>
                <w:szCs w:val="22"/>
              </w:rPr>
              <w:t> </w:t>
            </w:r>
            <w:r w:rsidR="0076380B" w:rsidRPr="004F572A">
              <w:rPr>
                <w:sz w:val="22"/>
                <w:szCs w:val="22"/>
              </w:rPr>
              <w:t>val.</w:t>
            </w:r>
          </w:p>
        </w:tc>
      </w:tr>
      <w:tr w:rsidR="0048088E" w:rsidRPr="004F572A" w14:paraId="7DA11FBD" w14:textId="77777777" w:rsidTr="00ED6E49">
        <w:trPr>
          <w:trHeight w:val="432"/>
        </w:trPr>
        <w:tc>
          <w:tcPr>
            <w:tcW w:w="2223" w:type="dxa"/>
            <w:tcBorders>
              <w:top w:val="single" w:sz="4" w:space="0" w:color="auto"/>
            </w:tcBorders>
            <w:vAlign w:val="center"/>
          </w:tcPr>
          <w:p w14:paraId="72BBB3C1" w14:textId="0B8EC318" w:rsidR="0076380B" w:rsidRPr="004F572A" w:rsidRDefault="0076380B" w:rsidP="00B8291A">
            <w:pPr>
              <w:rPr>
                <w:sz w:val="22"/>
                <w:szCs w:val="22"/>
              </w:rPr>
            </w:pPr>
            <w:proofErr w:type="spellStart"/>
            <w:r w:rsidRPr="004F572A">
              <w:rPr>
                <w:sz w:val="22"/>
                <w:szCs w:val="22"/>
              </w:rPr>
              <w:t>Nefrozinis</w:t>
            </w:r>
            <w:proofErr w:type="spellEnd"/>
            <w:r w:rsidRPr="004F572A">
              <w:rPr>
                <w:sz w:val="22"/>
                <w:szCs w:val="22"/>
              </w:rPr>
              <w:t xml:space="preserve"> sindromas</w:t>
            </w:r>
          </w:p>
        </w:tc>
        <w:tc>
          <w:tcPr>
            <w:tcW w:w="1707" w:type="dxa"/>
            <w:vAlign w:val="center"/>
          </w:tcPr>
          <w:p w14:paraId="25EBF797" w14:textId="58966F60" w:rsidR="0076380B" w:rsidRPr="004F572A" w:rsidRDefault="0076380B" w:rsidP="00B8291A">
            <w:pPr>
              <w:rPr>
                <w:sz w:val="22"/>
                <w:szCs w:val="22"/>
              </w:rPr>
            </w:pPr>
            <w:r w:rsidRPr="004F572A">
              <w:rPr>
                <w:sz w:val="22"/>
                <w:szCs w:val="22"/>
              </w:rPr>
              <w:t>------</w:t>
            </w:r>
          </w:p>
        </w:tc>
        <w:tc>
          <w:tcPr>
            <w:tcW w:w="1421" w:type="dxa"/>
            <w:vAlign w:val="center"/>
          </w:tcPr>
          <w:p w14:paraId="097B2DD3" w14:textId="77777777" w:rsidR="00C0202A" w:rsidRDefault="00C0202A" w:rsidP="00C0202A">
            <w:pPr>
              <w:pStyle w:val="Default"/>
              <w:rPr>
                <w:sz w:val="22"/>
                <w:szCs w:val="22"/>
              </w:rPr>
            </w:pPr>
            <w:r>
              <w:rPr>
                <w:sz w:val="22"/>
                <w:szCs w:val="22"/>
              </w:rPr>
              <w:t xml:space="preserve">Visiškai nutraukti vartojimą </w:t>
            </w:r>
          </w:p>
          <w:p w14:paraId="688614B9" w14:textId="1D466169" w:rsidR="0076380B" w:rsidRPr="004F572A" w:rsidRDefault="0076380B" w:rsidP="00B8291A">
            <w:pPr>
              <w:rPr>
                <w:sz w:val="22"/>
                <w:szCs w:val="22"/>
              </w:rPr>
            </w:pPr>
          </w:p>
        </w:tc>
        <w:tc>
          <w:tcPr>
            <w:tcW w:w="3624" w:type="dxa"/>
            <w:vAlign w:val="center"/>
          </w:tcPr>
          <w:p w14:paraId="7AD5F83C" w14:textId="2C491815" w:rsidR="0076380B" w:rsidRPr="004F572A" w:rsidRDefault="009522F2" w:rsidP="00B8291A">
            <w:pPr>
              <w:rPr>
                <w:sz w:val="22"/>
                <w:szCs w:val="22"/>
              </w:rPr>
            </w:pPr>
            <w:r>
              <w:rPr>
                <w:sz w:val="22"/>
                <w:szCs w:val="22"/>
              </w:rPr>
              <w:t>Netęsti vartojimo.</w:t>
            </w:r>
          </w:p>
        </w:tc>
      </w:tr>
      <w:tr w:rsidR="0076380B" w:rsidRPr="004F572A" w14:paraId="3956D92A" w14:textId="77777777" w:rsidTr="00ED6E49">
        <w:trPr>
          <w:trHeight w:val="432"/>
        </w:trPr>
        <w:tc>
          <w:tcPr>
            <w:tcW w:w="2223" w:type="dxa"/>
            <w:tcBorders>
              <w:bottom w:val="nil"/>
            </w:tcBorders>
            <w:vAlign w:val="center"/>
          </w:tcPr>
          <w:p w14:paraId="00BC3EF2" w14:textId="38E4D148" w:rsidR="00482E21" w:rsidRPr="004F572A" w:rsidRDefault="0076380B" w:rsidP="00B8291A">
            <w:pPr>
              <w:rPr>
                <w:sz w:val="22"/>
                <w:szCs w:val="22"/>
              </w:rPr>
            </w:pPr>
            <w:bookmarkStart w:id="2" w:name="_Hlk195875339"/>
            <w:r w:rsidRPr="004F572A">
              <w:rPr>
                <w:sz w:val="22"/>
                <w:szCs w:val="22"/>
              </w:rPr>
              <w:t>Inkstų funkcijos susilpnėjimas arba nepakankamumas</w:t>
            </w:r>
          </w:p>
        </w:tc>
        <w:tc>
          <w:tcPr>
            <w:tcW w:w="1707" w:type="dxa"/>
            <w:vAlign w:val="center"/>
          </w:tcPr>
          <w:p w14:paraId="50C782B6" w14:textId="12418902" w:rsidR="00482E21" w:rsidRPr="004F572A" w:rsidRDefault="00E732FF" w:rsidP="00B8291A">
            <w:pPr>
              <w:rPr>
                <w:sz w:val="22"/>
                <w:szCs w:val="22"/>
              </w:rPr>
            </w:pPr>
            <w:r w:rsidRPr="004F572A">
              <w:rPr>
                <w:sz w:val="22"/>
                <w:szCs w:val="22"/>
              </w:rPr>
              <w:t>3</w:t>
            </w:r>
            <w:r w:rsidR="00DE3C81">
              <w:rPr>
                <w:sz w:val="22"/>
                <w:szCs w:val="22"/>
              </w:rPr>
              <w:t> </w:t>
            </w:r>
            <w:r w:rsidRPr="004F572A">
              <w:rPr>
                <w:sz w:val="22"/>
                <w:szCs w:val="22"/>
              </w:rPr>
              <w:t>laipsni</w:t>
            </w:r>
            <w:r w:rsidR="00C0202A">
              <w:rPr>
                <w:sz w:val="22"/>
                <w:szCs w:val="22"/>
              </w:rPr>
              <w:t>s</w:t>
            </w:r>
          </w:p>
        </w:tc>
        <w:tc>
          <w:tcPr>
            <w:tcW w:w="1421" w:type="dxa"/>
            <w:vAlign w:val="center"/>
          </w:tcPr>
          <w:p w14:paraId="2C71AF8B" w14:textId="77777777" w:rsidR="00C0202A" w:rsidRDefault="00C0202A" w:rsidP="00C0202A">
            <w:pPr>
              <w:pStyle w:val="Default"/>
              <w:rPr>
                <w:sz w:val="22"/>
                <w:szCs w:val="22"/>
              </w:rPr>
            </w:pPr>
            <w:r>
              <w:rPr>
                <w:sz w:val="22"/>
                <w:szCs w:val="22"/>
              </w:rPr>
              <w:t xml:space="preserve">Laikinai sustabdyti vartojimą </w:t>
            </w:r>
          </w:p>
          <w:p w14:paraId="10EE4DD2" w14:textId="4F3E4155" w:rsidR="00482E21" w:rsidRPr="004F572A" w:rsidRDefault="00482E21" w:rsidP="00B8291A">
            <w:pPr>
              <w:rPr>
                <w:sz w:val="22"/>
                <w:szCs w:val="22"/>
              </w:rPr>
            </w:pPr>
          </w:p>
        </w:tc>
        <w:tc>
          <w:tcPr>
            <w:tcW w:w="3624" w:type="dxa"/>
            <w:vAlign w:val="center"/>
          </w:tcPr>
          <w:p w14:paraId="212C3E18" w14:textId="201AB423" w:rsidR="00482E21" w:rsidRPr="004F572A" w:rsidRDefault="0076380B" w:rsidP="00B8291A">
            <w:pPr>
              <w:rPr>
                <w:sz w:val="22"/>
                <w:szCs w:val="22"/>
              </w:rPr>
            </w:pPr>
            <w:r w:rsidRPr="004F572A">
              <w:rPr>
                <w:sz w:val="22"/>
                <w:szCs w:val="22"/>
              </w:rPr>
              <w:t>Susilpnėj</w:t>
            </w:r>
            <w:r w:rsidR="009522F2">
              <w:rPr>
                <w:sz w:val="22"/>
                <w:szCs w:val="22"/>
              </w:rPr>
              <w:t>a</w:t>
            </w:r>
            <w:r w:rsidRPr="004F572A">
              <w:rPr>
                <w:sz w:val="22"/>
                <w:szCs w:val="22"/>
              </w:rPr>
              <w:t xml:space="preserve"> iki 0</w:t>
            </w:r>
            <w:r w:rsidR="00DE3C81">
              <w:rPr>
                <w:sz w:val="22"/>
                <w:szCs w:val="22"/>
              </w:rPr>
              <w:noBreakHyphen/>
            </w:r>
            <w:r w:rsidRPr="004F572A">
              <w:rPr>
                <w:sz w:val="22"/>
                <w:szCs w:val="22"/>
              </w:rPr>
              <w:t>1</w:t>
            </w:r>
            <w:r w:rsidR="00DE3C81">
              <w:rPr>
                <w:sz w:val="22"/>
                <w:szCs w:val="22"/>
              </w:rPr>
              <w:t> </w:t>
            </w:r>
            <w:r w:rsidRPr="004F572A">
              <w:rPr>
                <w:sz w:val="22"/>
                <w:szCs w:val="22"/>
              </w:rPr>
              <w:t>laipsnio</w:t>
            </w:r>
            <w:r w:rsidR="00ED6E49" w:rsidRPr="004F572A">
              <w:rPr>
                <w:sz w:val="22"/>
                <w:szCs w:val="22"/>
              </w:rPr>
              <w:t xml:space="preserve"> ar</w:t>
            </w:r>
            <w:r w:rsidR="009522F2">
              <w:rPr>
                <w:sz w:val="22"/>
                <w:szCs w:val="22"/>
              </w:rPr>
              <w:t>ba pradinio laipsnio.</w:t>
            </w:r>
          </w:p>
        </w:tc>
      </w:tr>
      <w:tr w:rsidR="0076380B" w:rsidRPr="004F572A" w14:paraId="123B9399" w14:textId="77777777" w:rsidTr="00ED6E49">
        <w:trPr>
          <w:trHeight w:val="432"/>
        </w:trPr>
        <w:tc>
          <w:tcPr>
            <w:tcW w:w="2223" w:type="dxa"/>
            <w:tcBorders>
              <w:top w:val="nil"/>
            </w:tcBorders>
            <w:vAlign w:val="center"/>
          </w:tcPr>
          <w:p w14:paraId="53D5EDCF" w14:textId="77777777" w:rsidR="00482E21" w:rsidRPr="004F572A" w:rsidRDefault="00482E21" w:rsidP="00B8291A">
            <w:pPr>
              <w:rPr>
                <w:sz w:val="22"/>
                <w:szCs w:val="22"/>
              </w:rPr>
            </w:pPr>
          </w:p>
        </w:tc>
        <w:tc>
          <w:tcPr>
            <w:tcW w:w="1707" w:type="dxa"/>
            <w:vAlign w:val="center"/>
          </w:tcPr>
          <w:p w14:paraId="5110F7F6" w14:textId="6EBD8B8A" w:rsidR="00482E21" w:rsidRPr="004F572A" w:rsidRDefault="00E732FF" w:rsidP="00B8291A">
            <w:pPr>
              <w:rPr>
                <w:sz w:val="22"/>
                <w:szCs w:val="22"/>
              </w:rPr>
            </w:pPr>
            <w:r w:rsidRPr="004F572A">
              <w:rPr>
                <w:sz w:val="22"/>
                <w:szCs w:val="22"/>
              </w:rPr>
              <w:t>4</w:t>
            </w:r>
            <w:r w:rsidR="00DE3C81">
              <w:rPr>
                <w:sz w:val="22"/>
                <w:szCs w:val="22"/>
              </w:rPr>
              <w:t> </w:t>
            </w:r>
            <w:r w:rsidR="0076380B" w:rsidRPr="004F572A">
              <w:rPr>
                <w:sz w:val="22"/>
                <w:szCs w:val="22"/>
              </w:rPr>
              <w:t>laipsni</w:t>
            </w:r>
            <w:r w:rsidR="00C0202A">
              <w:rPr>
                <w:sz w:val="22"/>
                <w:szCs w:val="22"/>
              </w:rPr>
              <w:t>s</w:t>
            </w:r>
            <w:r w:rsidR="009522F2">
              <w:rPr>
                <w:sz w:val="22"/>
                <w:szCs w:val="22"/>
                <w:lang w:val="en-US"/>
              </w:rPr>
              <w:t>*</w:t>
            </w:r>
            <w:r w:rsidRPr="004F572A">
              <w:rPr>
                <w:sz w:val="22"/>
                <w:szCs w:val="22"/>
              </w:rPr>
              <w:t xml:space="preserve"> </w:t>
            </w:r>
          </w:p>
        </w:tc>
        <w:tc>
          <w:tcPr>
            <w:tcW w:w="1421" w:type="dxa"/>
            <w:vAlign w:val="center"/>
          </w:tcPr>
          <w:p w14:paraId="14ADDBE1" w14:textId="77777777" w:rsidR="00C0202A" w:rsidRDefault="00C0202A" w:rsidP="00C0202A">
            <w:pPr>
              <w:pStyle w:val="Default"/>
              <w:rPr>
                <w:sz w:val="22"/>
                <w:szCs w:val="22"/>
              </w:rPr>
            </w:pPr>
            <w:r>
              <w:rPr>
                <w:sz w:val="22"/>
                <w:szCs w:val="22"/>
              </w:rPr>
              <w:t xml:space="preserve">Visiškai nutraukti vartojimą </w:t>
            </w:r>
          </w:p>
          <w:p w14:paraId="13058970" w14:textId="789F156E" w:rsidR="00482E21" w:rsidRPr="004F572A" w:rsidRDefault="00482E21" w:rsidP="00B8291A">
            <w:pPr>
              <w:rPr>
                <w:sz w:val="22"/>
                <w:szCs w:val="22"/>
              </w:rPr>
            </w:pPr>
          </w:p>
        </w:tc>
        <w:tc>
          <w:tcPr>
            <w:tcW w:w="3624" w:type="dxa"/>
            <w:vAlign w:val="center"/>
          </w:tcPr>
          <w:p w14:paraId="567644D5" w14:textId="0A06172C" w:rsidR="00482E21" w:rsidRPr="004F572A" w:rsidRDefault="009522F2" w:rsidP="00B8291A">
            <w:pPr>
              <w:rPr>
                <w:sz w:val="22"/>
                <w:szCs w:val="22"/>
              </w:rPr>
            </w:pPr>
            <w:r>
              <w:rPr>
                <w:sz w:val="22"/>
                <w:szCs w:val="22"/>
              </w:rPr>
              <w:t>Netęsti vartojimo.</w:t>
            </w:r>
          </w:p>
        </w:tc>
      </w:tr>
      <w:bookmarkEnd w:id="2"/>
      <w:tr w:rsidR="00ED6E49" w:rsidRPr="004F572A" w14:paraId="6CD5E630" w14:textId="77777777" w:rsidTr="00ED6E49">
        <w:trPr>
          <w:trHeight w:val="432"/>
        </w:trPr>
        <w:tc>
          <w:tcPr>
            <w:tcW w:w="2223" w:type="dxa"/>
            <w:tcBorders>
              <w:bottom w:val="nil"/>
            </w:tcBorders>
            <w:vAlign w:val="center"/>
          </w:tcPr>
          <w:p w14:paraId="4CA9FAAE" w14:textId="6DC77BD6" w:rsidR="00ED6E49" w:rsidRPr="004F572A" w:rsidRDefault="00ED6E49" w:rsidP="00F67D19">
            <w:pPr>
              <w:rPr>
                <w:sz w:val="22"/>
                <w:szCs w:val="22"/>
              </w:rPr>
            </w:pPr>
            <w:r w:rsidRPr="004F572A">
              <w:rPr>
                <w:sz w:val="22"/>
                <w:szCs w:val="22"/>
              </w:rPr>
              <w:t>Širdies funkcijos sutrikimas</w:t>
            </w:r>
          </w:p>
        </w:tc>
        <w:tc>
          <w:tcPr>
            <w:tcW w:w="1707" w:type="dxa"/>
            <w:vAlign w:val="center"/>
          </w:tcPr>
          <w:p w14:paraId="3002B5E9" w14:textId="4C2068EF" w:rsidR="00ED6E49" w:rsidRPr="004F572A" w:rsidRDefault="00ED6E49" w:rsidP="00F67D19">
            <w:pPr>
              <w:rPr>
                <w:sz w:val="22"/>
                <w:szCs w:val="22"/>
              </w:rPr>
            </w:pPr>
            <w:r w:rsidRPr="004F572A">
              <w:rPr>
                <w:sz w:val="22"/>
                <w:szCs w:val="22"/>
              </w:rPr>
              <w:t>3</w:t>
            </w:r>
            <w:r w:rsidR="00DE3C81">
              <w:rPr>
                <w:sz w:val="22"/>
                <w:szCs w:val="22"/>
              </w:rPr>
              <w:t> </w:t>
            </w:r>
            <w:r w:rsidRPr="004F572A">
              <w:rPr>
                <w:sz w:val="22"/>
                <w:szCs w:val="22"/>
              </w:rPr>
              <w:t>laipsni</w:t>
            </w:r>
            <w:r w:rsidR="00C0202A">
              <w:rPr>
                <w:sz w:val="22"/>
                <w:szCs w:val="22"/>
              </w:rPr>
              <w:t>s</w:t>
            </w:r>
          </w:p>
        </w:tc>
        <w:tc>
          <w:tcPr>
            <w:tcW w:w="1421" w:type="dxa"/>
            <w:vAlign w:val="center"/>
          </w:tcPr>
          <w:p w14:paraId="65DA0930" w14:textId="77777777" w:rsidR="00C0202A" w:rsidRDefault="00C0202A" w:rsidP="00C0202A">
            <w:pPr>
              <w:pStyle w:val="Default"/>
              <w:rPr>
                <w:sz w:val="22"/>
                <w:szCs w:val="22"/>
              </w:rPr>
            </w:pPr>
            <w:r>
              <w:rPr>
                <w:sz w:val="22"/>
                <w:szCs w:val="22"/>
              </w:rPr>
              <w:t xml:space="preserve">Laikinai sustabdyti vartojimą </w:t>
            </w:r>
          </w:p>
          <w:p w14:paraId="7309772B" w14:textId="01941B0D" w:rsidR="00ED6E49" w:rsidRPr="004F572A" w:rsidRDefault="00ED6E49" w:rsidP="00F67D19">
            <w:pPr>
              <w:rPr>
                <w:sz w:val="22"/>
                <w:szCs w:val="22"/>
              </w:rPr>
            </w:pPr>
          </w:p>
        </w:tc>
        <w:tc>
          <w:tcPr>
            <w:tcW w:w="3624" w:type="dxa"/>
            <w:vAlign w:val="center"/>
          </w:tcPr>
          <w:p w14:paraId="4D2DB06B" w14:textId="09739B49" w:rsidR="00ED6E49" w:rsidRPr="004F572A" w:rsidRDefault="00ED6E49" w:rsidP="00F67D19">
            <w:pPr>
              <w:rPr>
                <w:sz w:val="22"/>
                <w:szCs w:val="22"/>
              </w:rPr>
            </w:pPr>
            <w:r w:rsidRPr="004F572A">
              <w:rPr>
                <w:sz w:val="22"/>
                <w:szCs w:val="22"/>
              </w:rPr>
              <w:t>Susilpnėj</w:t>
            </w:r>
            <w:r w:rsidR="009522F2">
              <w:rPr>
                <w:sz w:val="22"/>
                <w:szCs w:val="22"/>
              </w:rPr>
              <w:t>a</w:t>
            </w:r>
            <w:r w:rsidRPr="004F572A">
              <w:rPr>
                <w:sz w:val="22"/>
                <w:szCs w:val="22"/>
              </w:rPr>
              <w:t xml:space="preserve"> iki 0</w:t>
            </w:r>
            <w:r w:rsidR="00DE3C81">
              <w:rPr>
                <w:sz w:val="22"/>
                <w:szCs w:val="22"/>
              </w:rPr>
              <w:noBreakHyphen/>
            </w:r>
            <w:r w:rsidRPr="004F572A">
              <w:rPr>
                <w:sz w:val="22"/>
                <w:szCs w:val="22"/>
              </w:rPr>
              <w:t>1</w:t>
            </w:r>
            <w:r w:rsidR="00DE3C81">
              <w:rPr>
                <w:sz w:val="22"/>
                <w:szCs w:val="22"/>
              </w:rPr>
              <w:t> </w:t>
            </w:r>
            <w:r w:rsidRPr="004F572A">
              <w:rPr>
                <w:sz w:val="22"/>
                <w:szCs w:val="22"/>
              </w:rPr>
              <w:t>laipsnio ar</w:t>
            </w:r>
            <w:r w:rsidR="009522F2">
              <w:rPr>
                <w:sz w:val="22"/>
                <w:szCs w:val="22"/>
              </w:rPr>
              <w:t>ba pradinio laipsnio.</w:t>
            </w:r>
          </w:p>
        </w:tc>
      </w:tr>
      <w:tr w:rsidR="00ED6E49" w:rsidRPr="004F572A" w14:paraId="22364394" w14:textId="77777777" w:rsidTr="00ED6E49">
        <w:trPr>
          <w:trHeight w:val="432"/>
        </w:trPr>
        <w:tc>
          <w:tcPr>
            <w:tcW w:w="2223" w:type="dxa"/>
            <w:tcBorders>
              <w:top w:val="nil"/>
            </w:tcBorders>
            <w:vAlign w:val="center"/>
          </w:tcPr>
          <w:p w14:paraId="64ECC02A" w14:textId="77777777" w:rsidR="00ED6E49" w:rsidRPr="004F572A" w:rsidRDefault="00ED6E49" w:rsidP="00F67D19">
            <w:pPr>
              <w:rPr>
                <w:sz w:val="22"/>
                <w:szCs w:val="22"/>
              </w:rPr>
            </w:pPr>
          </w:p>
        </w:tc>
        <w:tc>
          <w:tcPr>
            <w:tcW w:w="1707" w:type="dxa"/>
            <w:vAlign w:val="center"/>
          </w:tcPr>
          <w:p w14:paraId="6994E77E" w14:textId="5BC2E7FD" w:rsidR="00ED6E49" w:rsidRPr="004F572A" w:rsidRDefault="00ED6E49" w:rsidP="00F67D19">
            <w:pPr>
              <w:rPr>
                <w:sz w:val="22"/>
                <w:szCs w:val="22"/>
              </w:rPr>
            </w:pPr>
            <w:r w:rsidRPr="004F572A">
              <w:rPr>
                <w:sz w:val="22"/>
                <w:szCs w:val="22"/>
              </w:rPr>
              <w:t>4</w:t>
            </w:r>
            <w:r w:rsidR="00DE3C81">
              <w:rPr>
                <w:sz w:val="22"/>
                <w:szCs w:val="22"/>
              </w:rPr>
              <w:t> </w:t>
            </w:r>
            <w:r w:rsidRPr="004F572A">
              <w:rPr>
                <w:sz w:val="22"/>
                <w:szCs w:val="22"/>
              </w:rPr>
              <w:t>laipsni</w:t>
            </w:r>
            <w:r w:rsidR="00C0202A">
              <w:rPr>
                <w:sz w:val="22"/>
                <w:szCs w:val="22"/>
              </w:rPr>
              <w:t>s</w:t>
            </w:r>
            <w:r w:rsidRPr="004F572A">
              <w:rPr>
                <w:sz w:val="22"/>
                <w:szCs w:val="22"/>
              </w:rPr>
              <w:t xml:space="preserve"> </w:t>
            </w:r>
          </w:p>
        </w:tc>
        <w:tc>
          <w:tcPr>
            <w:tcW w:w="1421" w:type="dxa"/>
            <w:vAlign w:val="center"/>
          </w:tcPr>
          <w:p w14:paraId="7F63E3D8" w14:textId="77777777" w:rsidR="00C0202A" w:rsidRDefault="00C0202A" w:rsidP="00C0202A">
            <w:pPr>
              <w:pStyle w:val="Default"/>
              <w:rPr>
                <w:sz w:val="22"/>
                <w:szCs w:val="22"/>
              </w:rPr>
            </w:pPr>
            <w:r>
              <w:rPr>
                <w:sz w:val="22"/>
                <w:szCs w:val="22"/>
              </w:rPr>
              <w:t xml:space="preserve">Visiškai nutraukti vartojimą </w:t>
            </w:r>
          </w:p>
          <w:p w14:paraId="1081BD9E" w14:textId="5F4AB6B1" w:rsidR="00ED6E49" w:rsidRPr="004F572A" w:rsidRDefault="00ED6E49" w:rsidP="00F67D19">
            <w:pPr>
              <w:rPr>
                <w:sz w:val="22"/>
                <w:szCs w:val="22"/>
              </w:rPr>
            </w:pPr>
          </w:p>
        </w:tc>
        <w:tc>
          <w:tcPr>
            <w:tcW w:w="3624" w:type="dxa"/>
            <w:vAlign w:val="center"/>
          </w:tcPr>
          <w:p w14:paraId="5C541F01" w14:textId="504F7FB6" w:rsidR="00ED6E49" w:rsidRPr="004F572A" w:rsidRDefault="009522F2" w:rsidP="00F67D19">
            <w:pPr>
              <w:rPr>
                <w:sz w:val="22"/>
                <w:szCs w:val="22"/>
              </w:rPr>
            </w:pPr>
            <w:r>
              <w:rPr>
                <w:sz w:val="22"/>
                <w:szCs w:val="22"/>
              </w:rPr>
              <w:t>Netęsti vartojimo.</w:t>
            </w:r>
          </w:p>
        </w:tc>
      </w:tr>
      <w:tr w:rsidR="0076380B" w:rsidRPr="004F572A" w14:paraId="32F56CEA" w14:textId="77777777" w:rsidTr="00ED6E49">
        <w:trPr>
          <w:trHeight w:val="432"/>
        </w:trPr>
        <w:tc>
          <w:tcPr>
            <w:tcW w:w="2223" w:type="dxa"/>
            <w:vAlign w:val="center"/>
          </w:tcPr>
          <w:p w14:paraId="1CBF9516" w14:textId="28A6DDCB" w:rsidR="00482E21" w:rsidRPr="004F572A" w:rsidRDefault="0048088E" w:rsidP="00B8291A">
            <w:pPr>
              <w:rPr>
                <w:sz w:val="22"/>
                <w:szCs w:val="22"/>
              </w:rPr>
            </w:pPr>
            <w:r w:rsidRPr="004F572A">
              <w:rPr>
                <w:sz w:val="22"/>
                <w:szCs w:val="22"/>
              </w:rPr>
              <w:t xml:space="preserve">Grįžtamosios užpakalinės </w:t>
            </w:r>
            <w:proofErr w:type="spellStart"/>
            <w:r w:rsidRPr="004F572A">
              <w:rPr>
                <w:sz w:val="22"/>
                <w:szCs w:val="22"/>
              </w:rPr>
              <w:t>encefalopatijos</w:t>
            </w:r>
            <w:proofErr w:type="spellEnd"/>
            <w:r w:rsidRPr="004F572A">
              <w:rPr>
                <w:sz w:val="22"/>
                <w:szCs w:val="22"/>
              </w:rPr>
              <w:t xml:space="preserve"> sindromas (GUES) / grįžtamosios užpakalinės </w:t>
            </w:r>
            <w:proofErr w:type="spellStart"/>
            <w:r w:rsidRPr="004F572A">
              <w:rPr>
                <w:sz w:val="22"/>
                <w:szCs w:val="22"/>
              </w:rPr>
              <w:t>leukoencefalopatijos</w:t>
            </w:r>
            <w:proofErr w:type="spellEnd"/>
            <w:r w:rsidRPr="004F572A">
              <w:rPr>
                <w:sz w:val="22"/>
                <w:szCs w:val="22"/>
              </w:rPr>
              <w:t xml:space="preserve"> sindromas (GULS)</w:t>
            </w:r>
          </w:p>
        </w:tc>
        <w:tc>
          <w:tcPr>
            <w:tcW w:w="1707" w:type="dxa"/>
            <w:vAlign w:val="center"/>
          </w:tcPr>
          <w:p w14:paraId="7CC72BEE" w14:textId="7101DAD7" w:rsidR="00482E21" w:rsidRPr="004F572A" w:rsidRDefault="0048088E" w:rsidP="00B8291A">
            <w:pPr>
              <w:rPr>
                <w:sz w:val="22"/>
                <w:szCs w:val="22"/>
              </w:rPr>
            </w:pPr>
            <w:r w:rsidRPr="004F572A">
              <w:rPr>
                <w:sz w:val="22"/>
                <w:szCs w:val="22"/>
              </w:rPr>
              <w:t>Bet kuri</w:t>
            </w:r>
            <w:r w:rsidR="009522F2">
              <w:rPr>
                <w:sz w:val="22"/>
                <w:szCs w:val="22"/>
              </w:rPr>
              <w:t>s</w:t>
            </w:r>
            <w:r w:rsidRPr="004F572A">
              <w:rPr>
                <w:sz w:val="22"/>
                <w:szCs w:val="22"/>
              </w:rPr>
              <w:t xml:space="preserve"> laipsni</w:t>
            </w:r>
            <w:r w:rsidR="009522F2">
              <w:rPr>
                <w:sz w:val="22"/>
                <w:szCs w:val="22"/>
              </w:rPr>
              <w:t>s</w:t>
            </w:r>
          </w:p>
        </w:tc>
        <w:tc>
          <w:tcPr>
            <w:tcW w:w="1421" w:type="dxa"/>
            <w:vAlign w:val="center"/>
          </w:tcPr>
          <w:p w14:paraId="1488EF93" w14:textId="77777777" w:rsidR="00C0202A" w:rsidRDefault="00C0202A" w:rsidP="00C0202A">
            <w:pPr>
              <w:pStyle w:val="Default"/>
              <w:rPr>
                <w:sz w:val="22"/>
                <w:szCs w:val="22"/>
              </w:rPr>
            </w:pPr>
            <w:r>
              <w:rPr>
                <w:sz w:val="22"/>
                <w:szCs w:val="22"/>
              </w:rPr>
              <w:t xml:space="preserve">Laikinai sustabdyti vartojimą </w:t>
            </w:r>
          </w:p>
          <w:p w14:paraId="7FED397A" w14:textId="6F35668F" w:rsidR="00482E21" w:rsidRPr="004F572A" w:rsidRDefault="00482E21" w:rsidP="00B8291A">
            <w:pPr>
              <w:rPr>
                <w:sz w:val="22"/>
                <w:szCs w:val="22"/>
              </w:rPr>
            </w:pPr>
          </w:p>
        </w:tc>
        <w:tc>
          <w:tcPr>
            <w:tcW w:w="3624" w:type="dxa"/>
            <w:vAlign w:val="center"/>
          </w:tcPr>
          <w:p w14:paraId="4AC2EC70" w14:textId="64AC5B29" w:rsidR="00482E21" w:rsidRPr="004F572A" w:rsidRDefault="0048088E" w:rsidP="00B8291A">
            <w:pPr>
              <w:rPr>
                <w:sz w:val="22"/>
                <w:szCs w:val="22"/>
              </w:rPr>
            </w:pPr>
            <w:r w:rsidRPr="004F572A">
              <w:rPr>
                <w:sz w:val="22"/>
                <w:szCs w:val="22"/>
              </w:rPr>
              <w:t xml:space="preserve">Apsvarstyti galimybę </w:t>
            </w:r>
            <w:r w:rsidR="009522F2">
              <w:rPr>
                <w:sz w:val="22"/>
                <w:szCs w:val="22"/>
              </w:rPr>
              <w:t>tęsti</w:t>
            </w:r>
            <w:r w:rsidR="009522F2" w:rsidRPr="004F572A">
              <w:rPr>
                <w:sz w:val="22"/>
                <w:szCs w:val="22"/>
              </w:rPr>
              <w:t xml:space="preserve"> </w:t>
            </w:r>
            <w:r w:rsidRPr="004F572A">
              <w:rPr>
                <w:sz w:val="22"/>
                <w:szCs w:val="22"/>
              </w:rPr>
              <w:t>vartojimą sumažin</w:t>
            </w:r>
            <w:r w:rsidR="009522F2">
              <w:rPr>
                <w:sz w:val="22"/>
                <w:szCs w:val="22"/>
              </w:rPr>
              <w:t>us</w:t>
            </w:r>
            <w:r w:rsidRPr="004F572A">
              <w:rPr>
                <w:sz w:val="22"/>
                <w:szCs w:val="22"/>
              </w:rPr>
              <w:t xml:space="preserve"> doz</w:t>
            </w:r>
            <w:r w:rsidR="009522F2">
              <w:rPr>
                <w:sz w:val="22"/>
                <w:szCs w:val="22"/>
              </w:rPr>
              <w:t>ę, jei</w:t>
            </w:r>
            <w:r w:rsidRPr="004F572A">
              <w:rPr>
                <w:sz w:val="22"/>
                <w:szCs w:val="22"/>
              </w:rPr>
              <w:t xml:space="preserve"> susilpnėj</w:t>
            </w:r>
            <w:r w:rsidR="009522F2">
              <w:rPr>
                <w:sz w:val="22"/>
                <w:szCs w:val="22"/>
              </w:rPr>
              <w:t>a</w:t>
            </w:r>
            <w:r w:rsidRPr="004F572A">
              <w:rPr>
                <w:sz w:val="22"/>
                <w:szCs w:val="22"/>
              </w:rPr>
              <w:t xml:space="preserve"> iki 0</w:t>
            </w:r>
            <w:r w:rsidR="00DE3C81">
              <w:rPr>
                <w:sz w:val="22"/>
                <w:szCs w:val="22"/>
              </w:rPr>
              <w:noBreakHyphen/>
            </w:r>
            <w:r w:rsidRPr="004F572A">
              <w:rPr>
                <w:sz w:val="22"/>
                <w:szCs w:val="22"/>
              </w:rPr>
              <w:t>1</w:t>
            </w:r>
            <w:r w:rsidR="00DE3C81">
              <w:rPr>
                <w:sz w:val="22"/>
                <w:szCs w:val="22"/>
              </w:rPr>
              <w:t> </w:t>
            </w:r>
            <w:r w:rsidRPr="004F572A">
              <w:rPr>
                <w:sz w:val="22"/>
                <w:szCs w:val="22"/>
              </w:rPr>
              <w:t>laipsnio.</w:t>
            </w:r>
          </w:p>
        </w:tc>
      </w:tr>
      <w:tr w:rsidR="0048088E" w:rsidRPr="004F572A" w14:paraId="78FA13D3" w14:textId="77777777" w:rsidTr="00F67D19">
        <w:trPr>
          <w:trHeight w:val="432"/>
        </w:trPr>
        <w:tc>
          <w:tcPr>
            <w:tcW w:w="2223" w:type="dxa"/>
            <w:tcBorders>
              <w:bottom w:val="nil"/>
            </w:tcBorders>
            <w:vAlign w:val="center"/>
          </w:tcPr>
          <w:p w14:paraId="739BC2F8" w14:textId="77777777" w:rsidR="009522F2" w:rsidRDefault="009522F2" w:rsidP="009522F2">
            <w:pPr>
              <w:pStyle w:val="Default"/>
              <w:rPr>
                <w:sz w:val="22"/>
                <w:szCs w:val="22"/>
              </w:rPr>
            </w:pPr>
            <w:r>
              <w:rPr>
                <w:sz w:val="22"/>
                <w:szCs w:val="22"/>
              </w:rPr>
              <w:t xml:space="preserve">Toksinis poveikis kepenims </w:t>
            </w:r>
          </w:p>
          <w:p w14:paraId="57252F58" w14:textId="43321633" w:rsidR="0048088E" w:rsidRPr="004F572A" w:rsidRDefault="0048088E" w:rsidP="00F67D19">
            <w:pPr>
              <w:rPr>
                <w:sz w:val="22"/>
                <w:szCs w:val="22"/>
              </w:rPr>
            </w:pPr>
          </w:p>
        </w:tc>
        <w:tc>
          <w:tcPr>
            <w:tcW w:w="1707" w:type="dxa"/>
            <w:vAlign w:val="center"/>
          </w:tcPr>
          <w:p w14:paraId="489616F7" w14:textId="5785C755" w:rsidR="0048088E" w:rsidRPr="004F572A" w:rsidRDefault="0048088E" w:rsidP="00F67D19">
            <w:pPr>
              <w:rPr>
                <w:sz w:val="22"/>
                <w:szCs w:val="22"/>
              </w:rPr>
            </w:pPr>
            <w:r w:rsidRPr="004F572A">
              <w:rPr>
                <w:sz w:val="22"/>
                <w:szCs w:val="22"/>
              </w:rPr>
              <w:t>3</w:t>
            </w:r>
            <w:r w:rsidR="00DE3C81">
              <w:rPr>
                <w:sz w:val="22"/>
                <w:szCs w:val="22"/>
              </w:rPr>
              <w:t> </w:t>
            </w:r>
            <w:r w:rsidRPr="004F572A">
              <w:rPr>
                <w:sz w:val="22"/>
                <w:szCs w:val="22"/>
              </w:rPr>
              <w:t>laipsni</w:t>
            </w:r>
            <w:r w:rsidR="00C0202A">
              <w:rPr>
                <w:sz w:val="22"/>
                <w:szCs w:val="22"/>
              </w:rPr>
              <w:t>s</w:t>
            </w:r>
          </w:p>
        </w:tc>
        <w:tc>
          <w:tcPr>
            <w:tcW w:w="1421" w:type="dxa"/>
            <w:vAlign w:val="center"/>
          </w:tcPr>
          <w:p w14:paraId="6288309D" w14:textId="77777777" w:rsidR="00C0202A" w:rsidRDefault="00C0202A" w:rsidP="00C0202A">
            <w:pPr>
              <w:pStyle w:val="Default"/>
              <w:rPr>
                <w:sz w:val="22"/>
                <w:szCs w:val="22"/>
              </w:rPr>
            </w:pPr>
            <w:r>
              <w:rPr>
                <w:sz w:val="22"/>
                <w:szCs w:val="22"/>
              </w:rPr>
              <w:t xml:space="preserve">Laikinai sustabdyti vartojimą </w:t>
            </w:r>
          </w:p>
          <w:p w14:paraId="40FBCCF5" w14:textId="423CF99F" w:rsidR="0048088E" w:rsidRPr="004F572A" w:rsidRDefault="0048088E" w:rsidP="00F67D19">
            <w:pPr>
              <w:rPr>
                <w:sz w:val="22"/>
                <w:szCs w:val="22"/>
              </w:rPr>
            </w:pPr>
          </w:p>
        </w:tc>
        <w:tc>
          <w:tcPr>
            <w:tcW w:w="3624" w:type="dxa"/>
            <w:vAlign w:val="center"/>
          </w:tcPr>
          <w:p w14:paraId="16F2BAEF" w14:textId="5EA3C43A" w:rsidR="0048088E" w:rsidRPr="004F572A" w:rsidRDefault="0048088E" w:rsidP="00F67D19">
            <w:pPr>
              <w:rPr>
                <w:sz w:val="22"/>
                <w:szCs w:val="22"/>
              </w:rPr>
            </w:pPr>
            <w:r w:rsidRPr="004F572A">
              <w:rPr>
                <w:sz w:val="22"/>
                <w:szCs w:val="22"/>
              </w:rPr>
              <w:t>Susilpnėj</w:t>
            </w:r>
            <w:r w:rsidR="009522F2">
              <w:rPr>
                <w:sz w:val="22"/>
                <w:szCs w:val="22"/>
              </w:rPr>
              <w:t>a</w:t>
            </w:r>
            <w:r w:rsidRPr="004F572A">
              <w:rPr>
                <w:sz w:val="22"/>
                <w:szCs w:val="22"/>
              </w:rPr>
              <w:t xml:space="preserve"> iki 0</w:t>
            </w:r>
            <w:r w:rsidR="00DE3C81">
              <w:rPr>
                <w:sz w:val="22"/>
                <w:szCs w:val="22"/>
              </w:rPr>
              <w:noBreakHyphen/>
            </w:r>
            <w:r w:rsidRPr="004F572A">
              <w:rPr>
                <w:sz w:val="22"/>
                <w:szCs w:val="22"/>
              </w:rPr>
              <w:t>1</w:t>
            </w:r>
            <w:r w:rsidR="00DE3C81">
              <w:rPr>
                <w:sz w:val="22"/>
                <w:szCs w:val="22"/>
              </w:rPr>
              <w:t> </w:t>
            </w:r>
            <w:r w:rsidRPr="004F572A">
              <w:rPr>
                <w:sz w:val="22"/>
                <w:szCs w:val="22"/>
              </w:rPr>
              <w:t>laipsnio ar</w:t>
            </w:r>
            <w:r w:rsidR="009522F2">
              <w:rPr>
                <w:sz w:val="22"/>
                <w:szCs w:val="22"/>
              </w:rPr>
              <w:t>ba pradinio laipsnio.</w:t>
            </w:r>
          </w:p>
        </w:tc>
      </w:tr>
      <w:tr w:rsidR="0048088E" w:rsidRPr="004F572A" w14:paraId="68B6D694" w14:textId="77777777" w:rsidTr="00F67D19">
        <w:trPr>
          <w:trHeight w:val="432"/>
        </w:trPr>
        <w:tc>
          <w:tcPr>
            <w:tcW w:w="2223" w:type="dxa"/>
            <w:tcBorders>
              <w:top w:val="nil"/>
            </w:tcBorders>
            <w:vAlign w:val="center"/>
          </w:tcPr>
          <w:p w14:paraId="2CD77DEA" w14:textId="77777777" w:rsidR="0048088E" w:rsidRPr="004F572A" w:rsidRDefault="0048088E" w:rsidP="00F67D19">
            <w:pPr>
              <w:rPr>
                <w:sz w:val="22"/>
                <w:szCs w:val="22"/>
              </w:rPr>
            </w:pPr>
            <w:bookmarkStart w:id="3" w:name="_Hlk195885545"/>
          </w:p>
        </w:tc>
        <w:tc>
          <w:tcPr>
            <w:tcW w:w="1707" w:type="dxa"/>
            <w:vAlign w:val="center"/>
          </w:tcPr>
          <w:p w14:paraId="62064203" w14:textId="5CEB45E9" w:rsidR="0048088E" w:rsidRPr="004F572A" w:rsidRDefault="0048088E" w:rsidP="00F67D19">
            <w:pPr>
              <w:rPr>
                <w:sz w:val="22"/>
                <w:szCs w:val="22"/>
              </w:rPr>
            </w:pPr>
            <w:r w:rsidRPr="004F572A">
              <w:rPr>
                <w:sz w:val="22"/>
                <w:szCs w:val="22"/>
              </w:rPr>
              <w:t>4</w:t>
            </w:r>
            <w:r w:rsidR="00DE3C81">
              <w:rPr>
                <w:sz w:val="22"/>
                <w:szCs w:val="22"/>
              </w:rPr>
              <w:t> </w:t>
            </w:r>
            <w:r w:rsidRPr="004F572A">
              <w:rPr>
                <w:sz w:val="22"/>
                <w:szCs w:val="22"/>
              </w:rPr>
              <w:t>laipsni</w:t>
            </w:r>
            <w:r w:rsidR="00C0202A">
              <w:rPr>
                <w:sz w:val="22"/>
                <w:szCs w:val="22"/>
              </w:rPr>
              <w:t>s</w:t>
            </w:r>
            <w:r w:rsidR="009522F2">
              <w:rPr>
                <w:sz w:val="22"/>
                <w:szCs w:val="22"/>
              </w:rPr>
              <w:t>*</w:t>
            </w:r>
            <w:r w:rsidRPr="004F572A">
              <w:rPr>
                <w:sz w:val="22"/>
                <w:szCs w:val="22"/>
              </w:rPr>
              <w:t xml:space="preserve"> </w:t>
            </w:r>
          </w:p>
        </w:tc>
        <w:tc>
          <w:tcPr>
            <w:tcW w:w="1421" w:type="dxa"/>
            <w:vAlign w:val="center"/>
          </w:tcPr>
          <w:p w14:paraId="4F5E8358" w14:textId="77777777" w:rsidR="00C0202A" w:rsidRDefault="00C0202A" w:rsidP="00C0202A">
            <w:pPr>
              <w:pStyle w:val="Default"/>
              <w:rPr>
                <w:sz w:val="22"/>
                <w:szCs w:val="22"/>
              </w:rPr>
            </w:pPr>
            <w:r>
              <w:rPr>
                <w:sz w:val="22"/>
                <w:szCs w:val="22"/>
              </w:rPr>
              <w:t xml:space="preserve">Visiškai nutraukti vartojimą </w:t>
            </w:r>
          </w:p>
          <w:p w14:paraId="251F5C49" w14:textId="48E5F614" w:rsidR="0048088E" w:rsidRPr="004F572A" w:rsidRDefault="0048088E" w:rsidP="00F67D19">
            <w:pPr>
              <w:rPr>
                <w:sz w:val="22"/>
                <w:szCs w:val="22"/>
              </w:rPr>
            </w:pPr>
          </w:p>
        </w:tc>
        <w:tc>
          <w:tcPr>
            <w:tcW w:w="3624" w:type="dxa"/>
            <w:vAlign w:val="center"/>
          </w:tcPr>
          <w:p w14:paraId="3F242546" w14:textId="391E2F76" w:rsidR="0048088E" w:rsidRPr="004F572A" w:rsidRDefault="009522F2" w:rsidP="00F67D19">
            <w:pPr>
              <w:rPr>
                <w:sz w:val="22"/>
                <w:szCs w:val="22"/>
              </w:rPr>
            </w:pPr>
            <w:r>
              <w:rPr>
                <w:sz w:val="22"/>
                <w:szCs w:val="22"/>
              </w:rPr>
              <w:t>Netęsti vartojimo.</w:t>
            </w:r>
          </w:p>
        </w:tc>
      </w:tr>
      <w:bookmarkEnd w:id="3"/>
      <w:tr w:rsidR="00BE6579" w:rsidRPr="004F572A" w14:paraId="0F63CA06" w14:textId="77777777" w:rsidTr="00ED6E49">
        <w:trPr>
          <w:trHeight w:val="432"/>
        </w:trPr>
        <w:tc>
          <w:tcPr>
            <w:tcW w:w="2223" w:type="dxa"/>
            <w:vAlign w:val="center"/>
          </w:tcPr>
          <w:p w14:paraId="0C6019E3" w14:textId="794D9374" w:rsidR="00BE6579" w:rsidRPr="004F572A" w:rsidRDefault="00BE6579" w:rsidP="00BE6579">
            <w:pPr>
              <w:rPr>
                <w:sz w:val="22"/>
                <w:szCs w:val="22"/>
              </w:rPr>
            </w:pPr>
            <w:r w:rsidRPr="004F572A">
              <w:rPr>
                <w:sz w:val="22"/>
                <w:szCs w:val="22"/>
              </w:rPr>
              <w:t>Arterinė tromboembolija</w:t>
            </w:r>
          </w:p>
        </w:tc>
        <w:tc>
          <w:tcPr>
            <w:tcW w:w="1707" w:type="dxa"/>
            <w:vAlign w:val="center"/>
          </w:tcPr>
          <w:p w14:paraId="5DCDDAE0" w14:textId="6751A9FF" w:rsidR="00BE6579" w:rsidRPr="004F572A" w:rsidRDefault="00BE6579" w:rsidP="00BE6579">
            <w:pPr>
              <w:rPr>
                <w:sz w:val="22"/>
                <w:szCs w:val="22"/>
              </w:rPr>
            </w:pPr>
            <w:r w:rsidRPr="004F572A">
              <w:rPr>
                <w:sz w:val="22"/>
                <w:szCs w:val="22"/>
              </w:rPr>
              <w:t>Bet kuri</w:t>
            </w:r>
            <w:r w:rsidR="009522F2">
              <w:rPr>
                <w:sz w:val="22"/>
                <w:szCs w:val="22"/>
              </w:rPr>
              <w:t>s</w:t>
            </w:r>
            <w:r w:rsidRPr="004F572A">
              <w:rPr>
                <w:sz w:val="22"/>
                <w:szCs w:val="22"/>
              </w:rPr>
              <w:t xml:space="preserve"> laipsni</w:t>
            </w:r>
            <w:r w:rsidR="009522F2">
              <w:rPr>
                <w:sz w:val="22"/>
                <w:szCs w:val="22"/>
              </w:rPr>
              <w:t>s</w:t>
            </w:r>
          </w:p>
        </w:tc>
        <w:tc>
          <w:tcPr>
            <w:tcW w:w="1421" w:type="dxa"/>
            <w:vAlign w:val="center"/>
          </w:tcPr>
          <w:p w14:paraId="3634D56D" w14:textId="77777777" w:rsidR="00C0202A" w:rsidRDefault="00C0202A" w:rsidP="00C0202A">
            <w:pPr>
              <w:pStyle w:val="Default"/>
              <w:rPr>
                <w:sz w:val="22"/>
                <w:szCs w:val="22"/>
              </w:rPr>
            </w:pPr>
            <w:r>
              <w:rPr>
                <w:sz w:val="22"/>
                <w:szCs w:val="22"/>
              </w:rPr>
              <w:t xml:space="preserve">Visiškai nutraukti vartojimą </w:t>
            </w:r>
          </w:p>
          <w:p w14:paraId="3D52B32B" w14:textId="42F38B5B" w:rsidR="00BE6579" w:rsidRPr="004F572A" w:rsidRDefault="00BE6579" w:rsidP="00BE6579">
            <w:pPr>
              <w:rPr>
                <w:sz w:val="22"/>
                <w:szCs w:val="22"/>
              </w:rPr>
            </w:pPr>
          </w:p>
        </w:tc>
        <w:tc>
          <w:tcPr>
            <w:tcW w:w="3624" w:type="dxa"/>
            <w:vAlign w:val="center"/>
          </w:tcPr>
          <w:p w14:paraId="28B052C3" w14:textId="1435F53B" w:rsidR="00BE6579" w:rsidRPr="004F572A" w:rsidRDefault="009522F2" w:rsidP="00BE6579">
            <w:pPr>
              <w:rPr>
                <w:sz w:val="22"/>
                <w:szCs w:val="22"/>
              </w:rPr>
            </w:pPr>
            <w:r>
              <w:rPr>
                <w:sz w:val="22"/>
                <w:szCs w:val="22"/>
              </w:rPr>
              <w:t>Netęsti vartojimo.</w:t>
            </w:r>
          </w:p>
        </w:tc>
      </w:tr>
      <w:tr w:rsidR="00BE6579" w:rsidRPr="004F572A" w14:paraId="7A750E00" w14:textId="77777777" w:rsidTr="00F67D19">
        <w:trPr>
          <w:trHeight w:val="432"/>
        </w:trPr>
        <w:tc>
          <w:tcPr>
            <w:tcW w:w="2223" w:type="dxa"/>
            <w:tcBorders>
              <w:bottom w:val="nil"/>
            </w:tcBorders>
            <w:vAlign w:val="center"/>
          </w:tcPr>
          <w:p w14:paraId="0704F214" w14:textId="750DA3BC" w:rsidR="00BE6579" w:rsidRPr="004F572A" w:rsidRDefault="009522F2" w:rsidP="00F67D19">
            <w:pPr>
              <w:rPr>
                <w:sz w:val="22"/>
                <w:szCs w:val="22"/>
              </w:rPr>
            </w:pPr>
            <w:bookmarkStart w:id="4" w:name="_Hlk195885959"/>
            <w:proofErr w:type="spellStart"/>
            <w:r>
              <w:rPr>
                <w:sz w:val="22"/>
                <w:szCs w:val="22"/>
              </w:rPr>
              <w:t>Hemoragija</w:t>
            </w:r>
            <w:proofErr w:type="spellEnd"/>
            <w:r>
              <w:rPr>
                <w:sz w:val="22"/>
                <w:szCs w:val="22"/>
              </w:rPr>
              <w:t xml:space="preserve"> </w:t>
            </w:r>
          </w:p>
        </w:tc>
        <w:tc>
          <w:tcPr>
            <w:tcW w:w="1707" w:type="dxa"/>
            <w:vAlign w:val="center"/>
          </w:tcPr>
          <w:p w14:paraId="63C797CB" w14:textId="0A959FA2" w:rsidR="00BE6579" w:rsidRPr="004F572A" w:rsidRDefault="00BE6579" w:rsidP="00F67D19">
            <w:pPr>
              <w:rPr>
                <w:sz w:val="22"/>
                <w:szCs w:val="22"/>
              </w:rPr>
            </w:pPr>
            <w:r w:rsidRPr="004F572A">
              <w:rPr>
                <w:sz w:val="22"/>
                <w:szCs w:val="22"/>
              </w:rPr>
              <w:t>3</w:t>
            </w:r>
            <w:r w:rsidR="00DE3C81">
              <w:rPr>
                <w:sz w:val="22"/>
                <w:szCs w:val="22"/>
              </w:rPr>
              <w:t> </w:t>
            </w:r>
            <w:r w:rsidRPr="004F572A">
              <w:rPr>
                <w:sz w:val="22"/>
                <w:szCs w:val="22"/>
              </w:rPr>
              <w:t>laipsni</w:t>
            </w:r>
            <w:r w:rsidR="00C0202A">
              <w:rPr>
                <w:sz w:val="22"/>
                <w:szCs w:val="22"/>
              </w:rPr>
              <w:t>s</w:t>
            </w:r>
          </w:p>
        </w:tc>
        <w:tc>
          <w:tcPr>
            <w:tcW w:w="1421" w:type="dxa"/>
            <w:vAlign w:val="center"/>
          </w:tcPr>
          <w:p w14:paraId="10F866CB" w14:textId="77777777" w:rsidR="00C0202A" w:rsidRDefault="00C0202A" w:rsidP="00C0202A">
            <w:pPr>
              <w:pStyle w:val="Default"/>
              <w:rPr>
                <w:sz w:val="22"/>
                <w:szCs w:val="22"/>
              </w:rPr>
            </w:pPr>
            <w:r>
              <w:rPr>
                <w:sz w:val="22"/>
                <w:szCs w:val="22"/>
              </w:rPr>
              <w:t xml:space="preserve">Laikinai sustabdyti vartojimą </w:t>
            </w:r>
          </w:p>
          <w:p w14:paraId="7B173F3A" w14:textId="2919CE43" w:rsidR="00BE6579" w:rsidRPr="004F572A" w:rsidRDefault="00BE6579" w:rsidP="00F67D19">
            <w:pPr>
              <w:rPr>
                <w:sz w:val="22"/>
                <w:szCs w:val="22"/>
              </w:rPr>
            </w:pPr>
          </w:p>
        </w:tc>
        <w:tc>
          <w:tcPr>
            <w:tcW w:w="3624" w:type="dxa"/>
            <w:vAlign w:val="center"/>
          </w:tcPr>
          <w:p w14:paraId="45E19745" w14:textId="3E98FCA0" w:rsidR="00BE6579" w:rsidRPr="004F572A" w:rsidRDefault="00BE6579" w:rsidP="00F67D19">
            <w:pPr>
              <w:rPr>
                <w:sz w:val="22"/>
                <w:szCs w:val="22"/>
              </w:rPr>
            </w:pPr>
            <w:r w:rsidRPr="004F572A">
              <w:rPr>
                <w:sz w:val="22"/>
                <w:szCs w:val="22"/>
              </w:rPr>
              <w:t>Susilpnėj</w:t>
            </w:r>
            <w:r w:rsidR="009522F2">
              <w:rPr>
                <w:sz w:val="22"/>
                <w:szCs w:val="22"/>
              </w:rPr>
              <w:t>a</w:t>
            </w:r>
            <w:r w:rsidRPr="004F572A">
              <w:rPr>
                <w:sz w:val="22"/>
                <w:szCs w:val="22"/>
              </w:rPr>
              <w:t xml:space="preserve"> iki 0</w:t>
            </w:r>
            <w:r w:rsidR="00DE3C81">
              <w:rPr>
                <w:sz w:val="22"/>
                <w:szCs w:val="22"/>
              </w:rPr>
              <w:noBreakHyphen/>
            </w:r>
            <w:r w:rsidRPr="004F572A">
              <w:rPr>
                <w:sz w:val="22"/>
                <w:szCs w:val="22"/>
              </w:rPr>
              <w:t>1</w:t>
            </w:r>
            <w:r w:rsidR="00DE3C81">
              <w:rPr>
                <w:sz w:val="22"/>
                <w:szCs w:val="22"/>
              </w:rPr>
              <w:t> </w:t>
            </w:r>
            <w:r w:rsidRPr="004F572A">
              <w:rPr>
                <w:sz w:val="22"/>
                <w:szCs w:val="22"/>
              </w:rPr>
              <w:t>laipsnio</w:t>
            </w:r>
            <w:r w:rsidR="009522F2">
              <w:rPr>
                <w:sz w:val="22"/>
                <w:szCs w:val="22"/>
              </w:rPr>
              <w:t>.</w:t>
            </w:r>
            <w:r w:rsidRPr="004F572A">
              <w:rPr>
                <w:sz w:val="22"/>
                <w:szCs w:val="22"/>
              </w:rPr>
              <w:t xml:space="preserve"> </w:t>
            </w:r>
          </w:p>
        </w:tc>
      </w:tr>
      <w:tr w:rsidR="00BE6579" w:rsidRPr="004F572A" w14:paraId="1034B677" w14:textId="77777777" w:rsidTr="00F67D19">
        <w:trPr>
          <w:trHeight w:val="432"/>
        </w:trPr>
        <w:tc>
          <w:tcPr>
            <w:tcW w:w="2223" w:type="dxa"/>
            <w:tcBorders>
              <w:top w:val="nil"/>
            </w:tcBorders>
            <w:vAlign w:val="center"/>
          </w:tcPr>
          <w:p w14:paraId="77A71154" w14:textId="77777777" w:rsidR="00BE6579" w:rsidRPr="004F572A" w:rsidRDefault="00BE6579" w:rsidP="00F67D19">
            <w:pPr>
              <w:rPr>
                <w:sz w:val="22"/>
                <w:szCs w:val="22"/>
              </w:rPr>
            </w:pPr>
          </w:p>
        </w:tc>
        <w:tc>
          <w:tcPr>
            <w:tcW w:w="1707" w:type="dxa"/>
            <w:vAlign w:val="center"/>
          </w:tcPr>
          <w:p w14:paraId="5F50C31E" w14:textId="7F30948F" w:rsidR="00BE6579" w:rsidRPr="004F572A" w:rsidRDefault="00BE6579" w:rsidP="00F67D19">
            <w:pPr>
              <w:rPr>
                <w:sz w:val="22"/>
                <w:szCs w:val="22"/>
              </w:rPr>
            </w:pPr>
            <w:r w:rsidRPr="004F572A">
              <w:rPr>
                <w:sz w:val="22"/>
                <w:szCs w:val="22"/>
              </w:rPr>
              <w:t>4</w:t>
            </w:r>
            <w:r w:rsidR="00DE3C81">
              <w:rPr>
                <w:sz w:val="22"/>
                <w:szCs w:val="22"/>
              </w:rPr>
              <w:t> </w:t>
            </w:r>
            <w:r w:rsidRPr="004F572A">
              <w:rPr>
                <w:sz w:val="22"/>
                <w:szCs w:val="22"/>
              </w:rPr>
              <w:t>laipsni</w:t>
            </w:r>
            <w:r w:rsidR="00C0202A">
              <w:rPr>
                <w:sz w:val="22"/>
                <w:szCs w:val="22"/>
              </w:rPr>
              <w:t>s</w:t>
            </w:r>
            <w:r w:rsidRPr="004F572A">
              <w:rPr>
                <w:sz w:val="22"/>
                <w:szCs w:val="22"/>
              </w:rPr>
              <w:t xml:space="preserve"> </w:t>
            </w:r>
          </w:p>
        </w:tc>
        <w:tc>
          <w:tcPr>
            <w:tcW w:w="1421" w:type="dxa"/>
            <w:vAlign w:val="center"/>
          </w:tcPr>
          <w:p w14:paraId="51BCD8B8" w14:textId="77777777" w:rsidR="00C0202A" w:rsidRDefault="00C0202A" w:rsidP="00C0202A">
            <w:pPr>
              <w:pStyle w:val="Default"/>
              <w:rPr>
                <w:sz w:val="22"/>
                <w:szCs w:val="22"/>
              </w:rPr>
            </w:pPr>
            <w:r>
              <w:rPr>
                <w:sz w:val="22"/>
                <w:szCs w:val="22"/>
              </w:rPr>
              <w:t xml:space="preserve">Visiškai nutraukti vartojimą </w:t>
            </w:r>
          </w:p>
          <w:p w14:paraId="385A3CA0" w14:textId="05C02A23" w:rsidR="00BE6579" w:rsidRPr="004F572A" w:rsidRDefault="00BE6579" w:rsidP="00F67D19">
            <w:pPr>
              <w:rPr>
                <w:sz w:val="22"/>
                <w:szCs w:val="22"/>
              </w:rPr>
            </w:pPr>
          </w:p>
        </w:tc>
        <w:tc>
          <w:tcPr>
            <w:tcW w:w="3624" w:type="dxa"/>
            <w:vAlign w:val="center"/>
          </w:tcPr>
          <w:p w14:paraId="78D4A116" w14:textId="381D41AE" w:rsidR="00BE6579" w:rsidRPr="004F572A" w:rsidRDefault="009522F2" w:rsidP="00F67D19">
            <w:pPr>
              <w:rPr>
                <w:sz w:val="22"/>
                <w:szCs w:val="22"/>
              </w:rPr>
            </w:pPr>
            <w:r>
              <w:rPr>
                <w:sz w:val="22"/>
                <w:szCs w:val="22"/>
              </w:rPr>
              <w:t>Netęsti vartojimo.</w:t>
            </w:r>
          </w:p>
        </w:tc>
      </w:tr>
      <w:bookmarkEnd w:id="4"/>
      <w:tr w:rsidR="00BE6579" w:rsidRPr="004F572A" w14:paraId="2D074769" w14:textId="77777777" w:rsidTr="00F67D19">
        <w:trPr>
          <w:trHeight w:val="432"/>
        </w:trPr>
        <w:tc>
          <w:tcPr>
            <w:tcW w:w="2223" w:type="dxa"/>
            <w:tcBorders>
              <w:bottom w:val="nil"/>
            </w:tcBorders>
            <w:vAlign w:val="center"/>
          </w:tcPr>
          <w:p w14:paraId="0849B9B6" w14:textId="09BD36AF" w:rsidR="00BE6579" w:rsidRPr="004F572A" w:rsidRDefault="00BE6579" w:rsidP="00F67D19">
            <w:pPr>
              <w:rPr>
                <w:sz w:val="22"/>
                <w:szCs w:val="22"/>
              </w:rPr>
            </w:pPr>
            <w:r w:rsidRPr="004F572A">
              <w:rPr>
                <w:sz w:val="22"/>
                <w:szCs w:val="22"/>
              </w:rPr>
              <w:lastRenderedPageBreak/>
              <w:t>Virškinimo trakto perforacija arba fistulė</w:t>
            </w:r>
          </w:p>
        </w:tc>
        <w:tc>
          <w:tcPr>
            <w:tcW w:w="1707" w:type="dxa"/>
            <w:vAlign w:val="center"/>
          </w:tcPr>
          <w:p w14:paraId="0F662FA5" w14:textId="2FF62A96" w:rsidR="00BE6579" w:rsidRPr="004F572A" w:rsidRDefault="00BE6579" w:rsidP="00F67D19">
            <w:pPr>
              <w:rPr>
                <w:sz w:val="22"/>
                <w:szCs w:val="22"/>
              </w:rPr>
            </w:pPr>
            <w:r w:rsidRPr="004F572A">
              <w:rPr>
                <w:sz w:val="22"/>
                <w:szCs w:val="22"/>
              </w:rPr>
              <w:t>3</w:t>
            </w:r>
            <w:r w:rsidR="00DE3C81">
              <w:rPr>
                <w:sz w:val="22"/>
                <w:szCs w:val="22"/>
              </w:rPr>
              <w:t> </w:t>
            </w:r>
            <w:r w:rsidRPr="004F572A">
              <w:rPr>
                <w:sz w:val="22"/>
                <w:szCs w:val="22"/>
              </w:rPr>
              <w:t>laipsni</w:t>
            </w:r>
            <w:r w:rsidR="00C0202A">
              <w:rPr>
                <w:sz w:val="22"/>
                <w:szCs w:val="22"/>
              </w:rPr>
              <w:t>s</w:t>
            </w:r>
          </w:p>
        </w:tc>
        <w:tc>
          <w:tcPr>
            <w:tcW w:w="1421" w:type="dxa"/>
            <w:vAlign w:val="center"/>
          </w:tcPr>
          <w:p w14:paraId="35452FFE" w14:textId="77777777" w:rsidR="00C0202A" w:rsidRDefault="00C0202A" w:rsidP="00C0202A">
            <w:pPr>
              <w:pStyle w:val="Default"/>
              <w:rPr>
                <w:sz w:val="22"/>
                <w:szCs w:val="22"/>
              </w:rPr>
            </w:pPr>
            <w:r>
              <w:rPr>
                <w:sz w:val="22"/>
                <w:szCs w:val="22"/>
              </w:rPr>
              <w:t xml:space="preserve">Laikinai sustabdyti vartojimą </w:t>
            </w:r>
          </w:p>
          <w:p w14:paraId="5E3E8D14" w14:textId="11CC82DA" w:rsidR="00BE6579" w:rsidRPr="004F572A" w:rsidRDefault="00BE6579" w:rsidP="00F67D19">
            <w:pPr>
              <w:rPr>
                <w:sz w:val="22"/>
                <w:szCs w:val="22"/>
              </w:rPr>
            </w:pPr>
          </w:p>
        </w:tc>
        <w:tc>
          <w:tcPr>
            <w:tcW w:w="3624" w:type="dxa"/>
            <w:vAlign w:val="center"/>
          </w:tcPr>
          <w:p w14:paraId="20B724B0" w14:textId="7B54EE96" w:rsidR="00BE6579" w:rsidRPr="004F572A" w:rsidRDefault="00BE6579" w:rsidP="00F67D19">
            <w:pPr>
              <w:rPr>
                <w:sz w:val="22"/>
                <w:szCs w:val="22"/>
              </w:rPr>
            </w:pPr>
            <w:r w:rsidRPr="004F572A">
              <w:rPr>
                <w:sz w:val="22"/>
                <w:szCs w:val="22"/>
              </w:rPr>
              <w:t>Susilpnėj</w:t>
            </w:r>
            <w:r w:rsidR="009522F2">
              <w:rPr>
                <w:sz w:val="22"/>
                <w:szCs w:val="22"/>
              </w:rPr>
              <w:t>a</w:t>
            </w:r>
            <w:r w:rsidRPr="004F572A">
              <w:rPr>
                <w:sz w:val="22"/>
                <w:szCs w:val="22"/>
              </w:rPr>
              <w:t xml:space="preserve"> iki 0</w:t>
            </w:r>
            <w:r w:rsidR="00DE3C81">
              <w:rPr>
                <w:sz w:val="22"/>
                <w:szCs w:val="22"/>
              </w:rPr>
              <w:noBreakHyphen/>
            </w:r>
            <w:r w:rsidRPr="004F572A">
              <w:rPr>
                <w:sz w:val="22"/>
                <w:szCs w:val="22"/>
              </w:rPr>
              <w:t>1</w:t>
            </w:r>
            <w:r w:rsidR="00DE3C81">
              <w:rPr>
                <w:sz w:val="22"/>
                <w:szCs w:val="22"/>
              </w:rPr>
              <w:t> </w:t>
            </w:r>
            <w:r w:rsidRPr="004F572A">
              <w:rPr>
                <w:sz w:val="22"/>
                <w:szCs w:val="22"/>
              </w:rPr>
              <w:t>laipsnio ar</w:t>
            </w:r>
            <w:r w:rsidR="009522F2">
              <w:rPr>
                <w:sz w:val="22"/>
                <w:szCs w:val="22"/>
              </w:rPr>
              <w:t>ba pradinio laipsnio.</w:t>
            </w:r>
          </w:p>
        </w:tc>
      </w:tr>
      <w:tr w:rsidR="00BE6579" w:rsidRPr="004F572A" w14:paraId="448AE330" w14:textId="77777777" w:rsidTr="00F67D19">
        <w:trPr>
          <w:trHeight w:val="432"/>
        </w:trPr>
        <w:tc>
          <w:tcPr>
            <w:tcW w:w="2223" w:type="dxa"/>
            <w:tcBorders>
              <w:top w:val="nil"/>
            </w:tcBorders>
            <w:vAlign w:val="center"/>
          </w:tcPr>
          <w:p w14:paraId="0B4B47F6" w14:textId="77777777" w:rsidR="00BE6579" w:rsidRPr="004F572A" w:rsidRDefault="00BE6579" w:rsidP="00F67D19">
            <w:pPr>
              <w:rPr>
                <w:sz w:val="22"/>
                <w:szCs w:val="22"/>
              </w:rPr>
            </w:pPr>
          </w:p>
        </w:tc>
        <w:tc>
          <w:tcPr>
            <w:tcW w:w="1707" w:type="dxa"/>
            <w:vAlign w:val="center"/>
          </w:tcPr>
          <w:p w14:paraId="62146069" w14:textId="0A89289A" w:rsidR="00BE6579" w:rsidRPr="004F572A" w:rsidRDefault="00BE6579" w:rsidP="00F67D19">
            <w:pPr>
              <w:rPr>
                <w:sz w:val="22"/>
                <w:szCs w:val="22"/>
              </w:rPr>
            </w:pPr>
            <w:r w:rsidRPr="004F572A">
              <w:rPr>
                <w:sz w:val="22"/>
                <w:szCs w:val="22"/>
              </w:rPr>
              <w:t>4</w:t>
            </w:r>
            <w:r w:rsidR="00DE3C81">
              <w:rPr>
                <w:sz w:val="22"/>
                <w:szCs w:val="22"/>
              </w:rPr>
              <w:t> </w:t>
            </w:r>
            <w:r w:rsidRPr="004F572A">
              <w:rPr>
                <w:sz w:val="22"/>
                <w:szCs w:val="22"/>
              </w:rPr>
              <w:t>laipsni</w:t>
            </w:r>
            <w:r w:rsidR="00C0202A">
              <w:rPr>
                <w:sz w:val="22"/>
                <w:szCs w:val="22"/>
              </w:rPr>
              <w:t>s</w:t>
            </w:r>
            <w:r w:rsidRPr="004F572A">
              <w:rPr>
                <w:sz w:val="22"/>
                <w:szCs w:val="22"/>
              </w:rPr>
              <w:t xml:space="preserve"> </w:t>
            </w:r>
          </w:p>
        </w:tc>
        <w:tc>
          <w:tcPr>
            <w:tcW w:w="1421" w:type="dxa"/>
            <w:vAlign w:val="center"/>
          </w:tcPr>
          <w:p w14:paraId="67771060" w14:textId="77777777" w:rsidR="00C0202A" w:rsidRDefault="00C0202A" w:rsidP="00C0202A">
            <w:pPr>
              <w:pStyle w:val="Default"/>
              <w:rPr>
                <w:sz w:val="22"/>
                <w:szCs w:val="22"/>
              </w:rPr>
            </w:pPr>
            <w:r>
              <w:rPr>
                <w:sz w:val="22"/>
                <w:szCs w:val="22"/>
              </w:rPr>
              <w:t xml:space="preserve">Visiškai nutraukti vartojimą </w:t>
            </w:r>
          </w:p>
          <w:p w14:paraId="42C39740" w14:textId="4AE753EB" w:rsidR="00BE6579" w:rsidRPr="004F572A" w:rsidRDefault="00BE6579" w:rsidP="00F67D19">
            <w:pPr>
              <w:rPr>
                <w:sz w:val="22"/>
                <w:szCs w:val="22"/>
              </w:rPr>
            </w:pPr>
          </w:p>
        </w:tc>
        <w:tc>
          <w:tcPr>
            <w:tcW w:w="3624" w:type="dxa"/>
            <w:vAlign w:val="center"/>
          </w:tcPr>
          <w:p w14:paraId="648E5CCC" w14:textId="278B2C26" w:rsidR="00BE6579" w:rsidRPr="004F572A" w:rsidRDefault="009522F2" w:rsidP="00F67D19">
            <w:pPr>
              <w:rPr>
                <w:sz w:val="22"/>
                <w:szCs w:val="22"/>
              </w:rPr>
            </w:pPr>
            <w:r>
              <w:rPr>
                <w:sz w:val="22"/>
                <w:szCs w:val="22"/>
              </w:rPr>
              <w:t>Netęsti vartojimo.</w:t>
            </w:r>
          </w:p>
        </w:tc>
      </w:tr>
      <w:tr w:rsidR="00BE6579" w:rsidRPr="004F572A" w14:paraId="371E6EC2" w14:textId="77777777" w:rsidTr="00ED6E49">
        <w:trPr>
          <w:trHeight w:val="432"/>
        </w:trPr>
        <w:tc>
          <w:tcPr>
            <w:tcW w:w="2223" w:type="dxa"/>
            <w:vAlign w:val="center"/>
          </w:tcPr>
          <w:p w14:paraId="024A1117" w14:textId="47BA1768" w:rsidR="00BE6579" w:rsidRPr="004F572A" w:rsidRDefault="00BE6579" w:rsidP="00BE6579">
            <w:pPr>
              <w:rPr>
                <w:sz w:val="22"/>
                <w:szCs w:val="22"/>
              </w:rPr>
            </w:pPr>
            <w:r w:rsidRPr="004F572A">
              <w:rPr>
                <w:sz w:val="22"/>
                <w:szCs w:val="22"/>
              </w:rPr>
              <w:t>Ne virškinimo trakto fistulė</w:t>
            </w:r>
          </w:p>
        </w:tc>
        <w:tc>
          <w:tcPr>
            <w:tcW w:w="1707" w:type="dxa"/>
            <w:vAlign w:val="center"/>
          </w:tcPr>
          <w:p w14:paraId="6E7E48B7" w14:textId="29531403" w:rsidR="00BE6579" w:rsidRPr="004F572A" w:rsidRDefault="00BE6579" w:rsidP="00BE6579">
            <w:pPr>
              <w:rPr>
                <w:sz w:val="22"/>
                <w:szCs w:val="22"/>
              </w:rPr>
            </w:pPr>
            <w:r w:rsidRPr="004F572A">
              <w:rPr>
                <w:sz w:val="22"/>
                <w:szCs w:val="22"/>
              </w:rPr>
              <w:t>4</w:t>
            </w:r>
            <w:r w:rsidR="00DE3C81">
              <w:rPr>
                <w:sz w:val="22"/>
                <w:szCs w:val="22"/>
              </w:rPr>
              <w:t> </w:t>
            </w:r>
            <w:r w:rsidRPr="004F572A">
              <w:rPr>
                <w:sz w:val="22"/>
                <w:szCs w:val="22"/>
              </w:rPr>
              <w:t>laipsni</w:t>
            </w:r>
            <w:r w:rsidR="00C0202A">
              <w:rPr>
                <w:sz w:val="22"/>
                <w:szCs w:val="22"/>
              </w:rPr>
              <w:t>s</w:t>
            </w:r>
          </w:p>
        </w:tc>
        <w:tc>
          <w:tcPr>
            <w:tcW w:w="1421" w:type="dxa"/>
            <w:vAlign w:val="center"/>
          </w:tcPr>
          <w:p w14:paraId="2CEA4D93" w14:textId="77777777" w:rsidR="00C0202A" w:rsidRDefault="00C0202A" w:rsidP="00C0202A">
            <w:pPr>
              <w:pStyle w:val="Default"/>
              <w:rPr>
                <w:sz w:val="22"/>
                <w:szCs w:val="22"/>
              </w:rPr>
            </w:pPr>
            <w:r>
              <w:rPr>
                <w:sz w:val="22"/>
                <w:szCs w:val="22"/>
              </w:rPr>
              <w:t xml:space="preserve">Visiškai nutraukti vartojimą </w:t>
            </w:r>
          </w:p>
          <w:p w14:paraId="7DB87882" w14:textId="73337A5F" w:rsidR="00BE6579" w:rsidRPr="004F572A" w:rsidRDefault="00BE6579" w:rsidP="00BE6579">
            <w:pPr>
              <w:rPr>
                <w:sz w:val="22"/>
                <w:szCs w:val="22"/>
              </w:rPr>
            </w:pPr>
          </w:p>
        </w:tc>
        <w:tc>
          <w:tcPr>
            <w:tcW w:w="3624" w:type="dxa"/>
            <w:vAlign w:val="center"/>
          </w:tcPr>
          <w:p w14:paraId="28F416E1" w14:textId="18EA9310" w:rsidR="00BE6579" w:rsidRPr="004F572A" w:rsidRDefault="009522F2" w:rsidP="00BE6579">
            <w:pPr>
              <w:rPr>
                <w:sz w:val="22"/>
                <w:szCs w:val="22"/>
              </w:rPr>
            </w:pPr>
            <w:r>
              <w:rPr>
                <w:sz w:val="22"/>
                <w:szCs w:val="22"/>
              </w:rPr>
              <w:t>Netęsti vartojimo.</w:t>
            </w:r>
          </w:p>
        </w:tc>
      </w:tr>
      <w:tr w:rsidR="00BE6579" w:rsidRPr="004F572A" w14:paraId="21B91814" w14:textId="77777777" w:rsidTr="00ED6E49">
        <w:trPr>
          <w:trHeight w:val="432"/>
        </w:trPr>
        <w:tc>
          <w:tcPr>
            <w:tcW w:w="2223" w:type="dxa"/>
            <w:vAlign w:val="center"/>
          </w:tcPr>
          <w:p w14:paraId="258BEB16" w14:textId="373A9967" w:rsidR="00BE6579" w:rsidRPr="004F572A" w:rsidRDefault="00BE6579" w:rsidP="00BE6579">
            <w:pPr>
              <w:rPr>
                <w:sz w:val="22"/>
                <w:szCs w:val="22"/>
              </w:rPr>
            </w:pPr>
            <w:r w:rsidRPr="004F572A">
              <w:rPr>
                <w:sz w:val="22"/>
                <w:szCs w:val="22"/>
              </w:rPr>
              <w:t>Pailgėjęs QT intervalas</w:t>
            </w:r>
          </w:p>
        </w:tc>
        <w:tc>
          <w:tcPr>
            <w:tcW w:w="1707" w:type="dxa"/>
            <w:vAlign w:val="center"/>
          </w:tcPr>
          <w:p w14:paraId="03C65FF8" w14:textId="3C1CC9CB" w:rsidR="00BE6579" w:rsidRPr="004F572A" w:rsidRDefault="00BE6579" w:rsidP="00BE6579">
            <w:pPr>
              <w:rPr>
                <w:sz w:val="22"/>
                <w:szCs w:val="22"/>
              </w:rPr>
            </w:pPr>
            <w:r w:rsidRPr="004F572A">
              <w:rPr>
                <w:sz w:val="22"/>
                <w:szCs w:val="22"/>
              </w:rPr>
              <w:t>&gt; 500 </w:t>
            </w:r>
            <w:proofErr w:type="spellStart"/>
            <w:r w:rsidRPr="004F572A">
              <w:rPr>
                <w:sz w:val="22"/>
                <w:szCs w:val="22"/>
              </w:rPr>
              <w:t>ms</w:t>
            </w:r>
            <w:proofErr w:type="spellEnd"/>
          </w:p>
        </w:tc>
        <w:tc>
          <w:tcPr>
            <w:tcW w:w="1421" w:type="dxa"/>
            <w:vAlign w:val="center"/>
          </w:tcPr>
          <w:p w14:paraId="32C94AE2" w14:textId="77777777" w:rsidR="00C0202A" w:rsidRDefault="00C0202A" w:rsidP="00C0202A">
            <w:pPr>
              <w:pStyle w:val="Default"/>
              <w:rPr>
                <w:sz w:val="22"/>
                <w:szCs w:val="22"/>
              </w:rPr>
            </w:pPr>
            <w:r>
              <w:rPr>
                <w:sz w:val="22"/>
                <w:szCs w:val="22"/>
              </w:rPr>
              <w:t xml:space="preserve">Laikinai sustabdyti vartojimą </w:t>
            </w:r>
          </w:p>
          <w:p w14:paraId="6C5C70AD" w14:textId="7A188CB9" w:rsidR="00BE6579" w:rsidRPr="004F572A" w:rsidRDefault="00BE6579" w:rsidP="00BE6579">
            <w:pPr>
              <w:rPr>
                <w:sz w:val="22"/>
                <w:szCs w:val="22"/>
              </w:rPr>
            </w:pPr>
          </w:p>
        </w:tc>
        <w:tc>
          <w:tcPr>
            <w:tcW w:w="3624" w:type="dxa"/>
            <w:vAlign w:val="center"/>
          </w:tcPr>
          <w:p w14:paraId="315B96E8" w14:textId="74A692D3" w:rsidR="00BE6579" w:rsidRPr="004F572A" w:rsidRDefault="009522F2" w:rsidP="00BE6579">
            <w:pPr>
              <w:rPr>
                <w:sz w:val="22"/>
                <w:szCs w:val="22"/>
              </w:rPr>
            </w:pPr>
            <w:r w:rsidRPr="009522F2">
              <w:rPr>
                <w:sz w:val="22"/>
                <w:szCs w:val="22"/>
              </w:rPr>
              <w:t>Susilpnėja iki &lt;</w:t>
            </w:r>
            <w:r w:rsidR="00DE3C81">
              <w:rPr>
                <w:sz w:val="22"/>
                <w:szCs w:val="22"/>
              </w:rPr>
              <w:t> </w:t>
            </w:r>
            <w:r w:rsidRPr="009522F2">
              <w:rPr>
                <w:sz w:val="22"/>
                <w:szCs w:val="22"/>
              </w:rPr>
              <w:t>480</w:t>
            </w:r>
            <w:r w:rsidR="00DE3C81">
              <w:rPr>
                <w:sz w:val="22"/>
                <w:szCs w:val="22"/>
              </w:rPr>
              <w:t> </w:t>
            </w:r>
            <w:proofErr w:type="spellStart"/>
            <w:r w:rsidRPr="009522F2">
              <w:rPr>
                <w:sz w:val="22"/>
                <w:szCs w:val="22"/>
              </w:rPr>
              <w:t>ms</w:t>
            </w:r>
            <w:proofErr w:type="spellEnd"/>
            <w:r w:rsidR="00BE6579" w:rsidRPr="004F572A">
              <w:rPr>
                <w:sz w:val="22"/>
                <w:szCs w:val="22"/>
              </w:rPr>
              <w:t xml:space="preserve"> ar</w:t>
            </w:r>
            <w:r>
              <w:rPr>
                <w:sz w:val="22"/>
                <w:szCs w:val="22"/>
              </w:rPr>
              <w:t>ba pradinio laipsnio.</w:t>
            </w:r>
          </w:p>
        </w:tc>
      </w:tr>
      <w:tr w:rsidR="00BE6579" w:rsidRPr="004F572A" w14:paraId="7355968C" w14:textId="77777777" w:rsidTr="00F67D19">
        <w:trPr>
          <w:trHeight w:val="432"/>
        </w:trPr>
        <w:tc>
          <w:tcPr>
            <w:tcW w:w="2223" w:type="dxa"/>
            <w:tcBorders>
              <w:bottom w:val="nil"/>
            </w:tcBorders>
            <w:vAlign w:val="center"/>
          </w:tcPr>
          <w:p w14:paraId="57279FE6" w14:textId="6E171E4C" w:rsidR="00BE6579" w:rsidRPr="004F572A" w:rsidRDefault="00BE6579" w:rsidP="00F67D19">
            <w:pPr>
              <w:rPr>
                <w:sz w:val="22"/>
                <w:szCs w:val="22"/>
              </w:rPr>
            </w:pPr>
            <w:r w:rsidRPr="004F572A">
              <w:rPr>
                <w:sz w:val="22"/>
                <w:szCs w:val="22"/>
              </w:rPr>
              <w:t>Viduriavimas</w:t>
            </w:r>
          </w:p>
        </w:tc>
        <w:tc>
          <w:tcPr>
            <w:tcW w:w="1707" w:type="dxa"/>
            <w:vAlign w:val="center"/>
          </w:tcPr>
          <w:p w14:paraId="262E1931" w14:textId="52E233B9" w:rsidR="00BE6579" w:rsidRPr="004F572A" w:rsidRDefault="00BE6579" w:rsidP="00F67D19">
            <w:pPr>
              <w:rPr>
                <w:sz w:val="22"/>
                <w:szCs w:val="22"/>
              </w:rPr>
            </w:pPr>
            <w:r w:rsidRPr="004F572A">
              <w:rPr>
                <w:sz w:val="22"/>
                <w:szCs w:val="22"/>
              </w:rPr>
              <w:t>3</w:t>
            </w:r>
            <w:r w:rsidR="00DE3C81">
              <w:rPr>
                <w:sz w:val="22"/>
                <w:szCs w:val="22"/>
              </w:rPr>
              <w:t> </w:t>
            </w:r>
            <w:r w:rsidRPr="004F572A">
              <w:rPr>
                <w:sz w:val="22"/>
                <w:szCs w:val="22"/>
              </w:rPr>
              <w:t>laipsni</w:t>
            </w:r>
            <w:r w:rsidR="00C0202A">
              <w:rPr>
                <w:sz w:val="22"/>
                <w:szCs w:val="22"/>
              </w:rPr>
              <w:t>s</w:t>
            </w:r>
          </w:p>
        </w:tc>
        <w:tc>
          <w:tcPr>
            <w:tcW w:w="1421" w:type="dxa"/>
            <w:vAlign w:val="center"/>
          </w:tcPr>
          <w:p w14:paraId="12CA78AD" w14:textId="77777777" w:rsidR="00C0202A" w:rsidRDefault="00C0202A" w:rsidP="00C0202A">
            <w:pPr>
              <w:pStyle w:val="Default"/>
              <w:rPr>
                <w:sz w:val="22"/>
                <w:szCs w:val="22"/>
              </w:rPr>
            </w:pPr>
            <w:r>
              <w:rPr>
                <w:sz w:val="22"/>
                <w:szCs w:val="22"/>
              </w:rPr>
              <w:t xml:space="preserve">Laikinai sustabdyti vartojimą </w:t>
            </w:r>
          </w:p>
          <w:p w14:paraId="51893016" w14:textId="4AE71CE5" w:rsidR="00BE6579" w:rsidRPr="004F572A" w:rsidRDefault="00BE6579" w:rsidP="00F67D19">
            <w:pPr>
              <w:rPr>
                <w:sz w:val="22"/>
                <w:szCs w:val="22"/>
              </w:rPr>
            </w:pPr>
          </w:p>
        </w:tc>
        <w:tc>
          <w:tcPr>
            <w:tcW w:w="3624" w:type="dxa"/>
            <w:vAlign w:val="center"/>
          </w:tcPr>
          <w:p w14:paraId="17069A2E" w14:textId="6642AF8B" w:rsidR="00BE6579" w:rsidRPr="004F572A" w:rsidRDefault="00DF2642" w:rsidP="00F67D19">
            <w:pPr>
              <w:rPr>
                <w:sz w:val="22"/>
                <w:szCs w:val="22"/>
              </w:rPr>
            </w:pPr>
            <w:r w:rsidRPr="004F572A">
              <w:rPr>
                <w:sz w:val="22"/>
                <w:szCs w:val="22"/>
              </w:rPr>
              <w:t>Susilpnėj</w:t>
            </w:r>
            <w:r w:rsidR="009522F2">
              <w:rPr>
                <w:sz w:val="22"/>
                <w:szCs w:val="22"/>
              </w:rPr>
              <w:t>a</w:t>
            </w:r>
            <w:r w:rsidRPr="004F572A">
              <w:rPr>
                <w:sz w:val="22"/>
                <w:szCs w:val="22"/>
              </w:rPr>
              <w:t xml:space="preserve"> iki 0</w:t>
            </w:r>
            <w:r w:rsidR="00DE3C81">
              <w:rPr>
                <w:sz w:val="22"/>
                <w:szCs w:val="22"/>
              </w:rPr>
              <w:noBreakHyphen/>
            </w:r>
            <w:r w:rsidRPr="004F572A">
              <w:rPr>
                <w:sz w:val="22"/>
                <w:szCs w:val="22"/>
              </w:rPr>
              <w:t>1</w:t>
            </w:r>
            <w:r w:rsidR="00DE3C81">
              <w:rPr>
                <w:sz w:val="22"/>
                <w:szCs w:val="22"/>
              </w:rPr>
              <w:t> </w:t>
            </w:r>
            <w:r w:rsidRPr="004F572A">
              <w:rPr>
                <w:sz w:val="22"/>
                <w:szCs w:val="22"/>
              </w:rPr>
              <w:t>laipsnio ar</w:t>
            </w:r>
            <w:r w:rsidR="009522F2">
              <w:rPr>
                <w:sz w:val="22"/>
                <w:szCs w:val="22"/>
              </w:rPr>
              <w:t>ba pradinio laipsnio.</w:t>
            </w:r>
          </w:p>
        </w:tc>
      </w:tr>
      <w:tr w:rsidR="00BE6579" w:rsidRPr="004F572A" w14:paraId="3EDD9335" w14:textId="77777777" w:rsidTr="00F67D19">
        <w:trPr>
          <w:trHeight w:val="432"/>
        </w:trPr>
        <w:tc>
          <w:tcPr>
            <w:tcW w:w="2223" w:type="dxa"/>
            <w:tcBorders>
              <w:top w:val="nil"/>
            </w:tcBorders>
            <w:vAlign w:val="center"/>
          </w:tcPr>
          <w:p w14:paraId="357D6FC6" w14:textId="77777777" w:rsidR="00BE6579" w:rsidRPr="004F572A" w:rsidRDefault="00BE6579" w:rsidP="00F67D19">
            <w:pPr>
              <w:rPr>
                <w:sz w:val="22"/>
                <w:szCs w:val="22"/>
              </w:rPr>
            </w:pPr>
          </w:p>
        </w:tc>
        <w:tc>
          <w:tcPr>
            <w:tcW w:w="1707" w:type="dxa"/>
            <w:vAlign w:val="center"/>
          </w:tcPr>
          <w:p w14:paraId="2835BC99" w14:textId="3C0C2483" w:rsidR="00BE6579" w:rsidRPr="004F572A" w:rsidRDefault="00BE6579" w:rsidP="00F67D19">
            <w:pPr>
              <w:rPr>
                <w:sz w:val="22"/>
                <w:szCs w:val="22"/>
              </w:rPr>
            </w:pPr>
            <w:r w:rsidRPr="004F572A">
              <w:rPr>
                <w:sz w:val="22"/>
                <w:szCs w:val="22"/>
              </w:rPr>
              <w:t>4</w:t>
            </w:r>
            <w:r w:rsidR="00DE3C81">
              <w:rPr>
                <w:sz w:val="22"/>
                <w:szCs w:val="22"/>
              </w:rPr>
              <w:t> </w:t>
            </w:r>
            <w:r w:rsidRPr="004F572A">
              <w:rPr>
                <w:sz w:val="22"/>
                <w:szCs w:val="22"/>
              </w:rPr>
              <w:t>laipsni</w:t>
            </w:r>
            <w:r w:rsidR="00C0202A">
              <w:rPr>
                <w:sz w:val="22"/>
                <w:szCs w:val="22"/>
              </w:rPr>
              <w:t>s</w:t>
            </w:r>
            <w:r w:rsidRPr="004F572A">
              <w:rPr>
                <w:sz w:val="22"/>
                <w:szCs w:val="22"/>
              </w:rPr>
              <w:t xml:space="preserve"> (nepaisant </w:t>
            </w:r>
            <w:r w:rsidR="009522F2">
              <w:rPr>
                <w:sz w:val="22"/>
                <w:szCs w:val="22"/>
              </w:rPr>
              <w:t>medicininio</w:t>
            </w:r>
            <w:r w:rsidR="009522F2" w:rsidRPr="004F572A">
              <w:rPr>
                <w:sz w:val="22"/>
                <w:szCs w:val="22"/>
              </w:rPr>
              <w:t xml:space="preserve"> </w:t>
            </w:r>
            <w:r w:rsidR="00DF2642" w:rsidRPr="004F572A">
              <w:rPr>
                <w:sz w:val="22"/>
                <w:szCs w:val="22"/>
              </w:rPr>
              <w:t>gydymo)</w:t>
            </w:r>
          </w:p>
        </w:tc>
        <w:tc>
          <w:tcPr>
            <w:tcW w:w="1421" w:type="dxa"/>
            <w:vAlign w:val="center"/>
          </w:tcPr>
          <w:p w14:paraId="14BA3281" w14:textId="77777777" w:rsidR="00C0202A" w:rsidRDefault="00C0202A" w:rsidP="00C0202A">
            <w:pPr>
              <w:pStyle w:val="Default"/>
              <w:rPr>
                <w:sz w:val="22"/>
                <w:szCs w:val="22"/>
              </w:rPr>
            </w:pPr>
            <w:r>
              <w:rPr>
                <w:sz w:val="22"/>
                <w:szCs w:val="22"/>
              </w:rPr>
              <w:t xml:space="preserve">Visiškai nutraukti vartojimą </w:t>
            </w:r>
          </w:p>
          <w:p w14:paraId="3090FFDE" w14:textId="38E180F8" w:rsidR="00BE6579" w:rsidRPr="004F572A" w:rsidRDefault="00BE6579" w:rsidP="00F67D19">
            <w:pPr>
              <w:rPr>
                <w:sz w:val="22"/>
                <w:szCs w:val="22"/>
              </w:rPr>
            </w:pPr>
          </w:p>
        </w:tc>
        <w:tc>
          <w:tcPr>
            <w:tcW w:w="3624" w:type="dxa"/>
            <w:vAlign w:val="center"/>
          </w:tcPr>
          <w:p w14:paraId="45B4A9A9" w14:textId="3E1D7998" w:rsidR="00BE6579" w:rsidRPr="004F572A" w:rsidRDefault="009522F2" w:rsidP="00F67D19">
            <w:pPr>
              <w:rPr>
                <w:sz w:val="22"/>
                <w:szCs w:val="22"/>
              </w:rPr>
            </w:pPr>
            <w:r>
              <w:rPr>
                <w:sz w:val="22"/>
                <w:szCs w:val="22"/>
              </w:rPr>
              <w:t>Netęsti vartojimo.</w:t>
            </w:r>
          </w:p>
        </w:tc>
      </w:tr>
      <w:tr w:rsidR="00DF2642" w:rsidRPr="004F572A" w14:paraId="7DD75A16" w14:textId="77777777" w:rsidTr="00DF2642">
        <w:trPr>
          <w:trHeight w:val="432"/>
        </w:trPr>
        <w:tc>
          <w:tcPr>
            <w:tcW w:w="8975" w:type="dxa"/>
            <w:gridSpan w:val="4"/>
            <w:vAlign w:val="center"/>
          </w:tcPr>
          <w:p w14:paraId="377A6EEF" w14:textId="71FBB80A" w:rsidR="00DF2642" w:rsidRPr="004F572A" w:rsidRDefault="00DF2642" w:rsidP="00B8291A">
            <w:pPr>
              <w:rPr>
                <w:sz w:val="22"/>
                <w:szCs w:val="22"/>
              </w:rPr>
            </w:pPr>
            <w:r w:rsidRPr="004F572A">
              <w:rPr>
                <w:sz w:val="22"/>
                <w:szCs w:val="22"/>
              </w:rPr>
              <w:t>*4</w:t>
            </w:r>
            <w:r w:rsidR="00DE3C81">
              <w:rPr>
                <w:sz w:val="22"/>
                <w:szCs w:val="22"/>
              </w:rPr>
              <w:t> </w:t>
            </w:r>
            <w:r w:rsidRPr="004F572A">
              <w:rPr>
                <w:sz w:val="22"/>
                <w:szCs w:val="22"/>
              </w:rPr>
              <w:t>laipsnio laboratorinių tyrimų rezultatų pokyči</w:t>
            </w:r>
            <w:r w:rsidR="009522F2">
              <w:rPr>
                <w:sz w:val="22"/>
                <w:szCs w:val="22"/>
              </w:rPr>
              <w:t>us</w:t>
            </w:r>
            <w:r w:rsidRPr="004F572A">
              <w:rPr>
                <w:sz w:val="22"/>
                <w:szCs w:val="22"/>
              </w:rPr>
              <w:t>, kurie laikomi nepavojingais gyvybei, gali</w:t>
            </w:r>
            <w:r w:rsidR="009522F2">
              <w:rPr>
                <w:sz w:val="22"/>
                <w:szCs w:val="22"/>
              </w:rPr>
              <w:t>ma</w:t>
            </w:r>
            <w:r w:rsidRPr="004F572A">
              <w:rPr>
                <w:sz w:val="22"/>
                <w:szCs w:val="22"/>
              </w:rPr>
              <w:t xml:space="preserve"> gyd</w:t>
            </w:r>
            <w:r w:rsidR="009522F2">
              <w:rPr>
                <w:sz w:val="22"/>
                <w:szCs w:val="22"/>
              </w:rPr>
              <w:t>yti</w:t>
            </w:r>
            <w:r w:rsidRPr="004F572A">
              <w:rPr>
                <w:sz w:val="22"/>
                <w:szCs w:val="22"/>
              </w:rPr>
              <w:t xml:space="preserve"> kaip sunki</w:t>
            </w:r>
            <w:r w:rsidR="009522F2">
              <w:rPr>
                <w:sz w:val="22"/>
                <w:szCs w:val="22"/>
              </w:rPr>
              <w:t>a</w:t>
            </w:r>
            <w:r w:rsidRPr="004F572A">
              <w:rPr>
                <w:sz w:val="22"/>
                <w:szCs w:val="22"/>
              </w:rPr>
              <w:t>s reakcij</w:t>
            </w:r>
            <w:r w:rsidR="009522F2">
              <w:rPr>
                <w:sz w:val="22"/>
                <w:szCs w:val="22"/>
              </w:rPr>
              <w:t>a</w:t>
            </w:r>
            <w:r w:rsidRPr="004F572A">
              <w:rPr>
                <w:sz w:val="22"/>
                <w:szCs w:val="22"/>
              </w:rPr>
              <w:t>s (pvz., 3</w:t>
            </w:r>
            <w:r w:rsidR="00DE3C81">
              <w:rPr>
                <w:sz w:val="22"/>
                <w:szCs w:val="22"/>
              </w:rPr>
              <w:t> </w:t>
            </w:r>
            <w:r w:rsidRPr="004F572A">
              <w:rPr>
                <w:sz w:val="22"/>
                <w:szCs w:val="22"/>
              </w:rPr>
              <w:t>laipsnio)</w:t>
            </w:r>
            <w:r w:rsidRPr="004F572A">
              <w:t xml:space="preserve"> </w:t>
            </w:r>
          </w:p>
        </w:tc>
      </w:tr>
    </w:tbl>
    <w:p w14:paraId="3B7B1AAE" w14:textId="77777777" w:rsidR="00C10995" w:rsidRPr="004F572A" w:rsidRDefault="00C10995" w:rsidP="000928CA">
      <w:pPr>
        <w:rPr>
          <w:sz w:val="22"/>
          <w:szCs w:val="22"/>
        </w:rPr>
      </w:pPr>
    </w:p>
    <w:p w14:paraId="3B3487A7" w14:textId="5546A44E" w:rsidR="00C10995" w:rsidRPr="004F572A" w:rsidRDefault="00DF2642" w:rsidP="000928CA">
      <w:pPr>
        <w:rPr>
          <w:sz w:val="22"/>
          <w:szCs w:val="22"/>
          <w:u w:val="single"/>
        </w:rPr>
      </w:pPr>
      <w:r w:rsidRPr="004F572A">
        <w:rPr>
          <w:sz w:val="22"/>
          <w:szCs w:val="22"/>
          <w:u w:val="single"/>
        </w:rPr>
        <w:t>Ypatingos populiacijos</w:t>
      </w:r>
    </w:p>
    <w:p w14:paraId="052878FF" w14:textId="77777777" w:rsidR="00DF2642" w:rsidRPr="004F572A" w:rsidRDefault="00DF2642" w:rsidP="00DF2642">
      <w:pPr>
        <w:rPr>
          <w:sz w:val="22"/>
          <w:szCs w:val="22"/>
        </w:rPr>
      </w:pPr>
    </w:p>
    <w:p w14:paraId="70118037" w14:textId="7EE7294D" w:rsidR="00DF2642" w:rsidRPr="004F572A" w:rsidRDefault="00DF2642" w:rsidP="00DF2642">
      <w:pPr>
        <w:rPr>
          <w:i/>
          <w:iCs/>
          <w:sz w:val="22"/>
          <w:szCs w:val="22"/>
        </w:rPr>
      </w:pPr>
      <w:r w:rsidRPr="004F572A">
        <w:rPr>
          <w:i/>
          <w:iCs/>
          <w:sz w:val="22"/>
          <w:szCs w:val="22"/>
        </w:rPr>
        <w:t>DSK</w:t>
      </w:r>
    </w:p>
    <w:p w14:paraId="7E48FF9F" w14:textId="77777777" w:rsidR="00DF2642" w:rsidRPr="004F572A" w:rsidRDefault="00DF2642" w:rsidP="00DF2642">
      <w:pPr>
        <w:rPr>
          <w:i/>
          <w:iCs/>
          <w:sz w:val="22"/>
          <w:szCs w:val="22"/>
        </w:rPr>
      </w:pPr>
    </w:p>
    <w:p w14:paraId="15369E74" w14:textId="4F4959C0" w:rsidR="00C10995" w:rsidRPr="004F572A" w:rsidRDefault="00DF2642" w:rsidP="00DF2642">
      <w:pPr>
        <w:rPr>
          <w:sz w:val="22"/>
          <w:szCs w:val="22"/>
        </w:rPr>
      </w:pPr>
      <w:r w:rsidRPr="004F572A">
        <w:rPr>
          <w:sz w:val="22"/>
          <w:szCs w:val="22"/>
        </w:rPr>
        <w:t>Azij</w:t>
      </w:r>
      <w:r w:rsidR="00AA5563">
        <w:rPr>
          <w:sz w:val="22"/>
          <w:szCs w:val="22"/>
        </w:rPr>
        <w:t>os</w:t>
      </w:r>
      <w:r w:rsidRPr="004F572A">
        <w:rPr>
          <w:sz w:val="22"/>
          <w:szCs w:val="22"/>
        </w:rPr>
        <w:t xml:space="preserve"> rasės ≥ 75</w:t>
      </w:r>
      <w:r w:rsidR="00DE3C81">
        <w:rPr>
          <w:sz w:val="22"/>
          <w:szCs w:val="22"/>
        </w:rPr>
        <w:t> </w:t>
      </w:r>
      <w:r w:rsidRPr="004F572A">
        <w:rPr>
          <w:sz w:val="22"/>
          <w:szCs w:val="22"/>
        </w:rPr>
        <w:t xml:space="preserve">metų pacientams, sergantiems gretutinėmis ligomis (pvz., </w:t>
      </w:r>
      <w:r w:rsidR="00AA5563">
        <w:rPr>
          <w:sz w:val="22"/>
          <w:szCs w:val="22"/>
        </w:rPr>
        <w:t xml:space="preserve">yra </w:t>
      </w:r>
      <w:r w:rsidRPr="004F572A">
        <w:rPr>
          <w:sz w:val="22"/>
          <w:szCs w:val="22"/>
        </w:rPr>
        <w:t>hipertenzija ir kepenų ar inkstų funkcijos sutrikim</w:t>
      </w:r>
      <w:r w:rsidR="00AA5563">
        <w:rPr>
          <w:sz w:val="22"/>
          <w:szCs w:val="22"/>
        </w:rPr>
        <w:t>as</w:t>
      </w:r>
      <w:r w:rsidRPr="004F572A">
        <w:rPr>
          <w:sz w:val="22"/>
          <w:szCs w:val="22"/>
        </w:rPr>
        <w:t xml:space="preserve">) arba kurių kūno svoris </w:t>
      </w:r>
      <w:r w:rsidR="00AA5563">
        <w:rPr>
          <w:sz w:val="22"/>
          <w:szCs w:val="22"/>
        </w:rPr>
        <w:t>nesiekia</w:t>
      </w:r>
      <w:r w:rsidRPr="004F572A">
        <w:rPr>
          <w:sz w:val="22"/>
          <w:szCs w:val="22"/>
        </w:rPr>
        <w:t xml:space="preserve"> 60</w:t>
      </w:r>
      <w:r w:rsidR="00A10DA6" w:rsidRPr="004F572A">
        <w:rPr>
          <w:sz w:val="22"/>
          <w:szCs w:val="22"/>
        </w:rPr>
        <w:t> </w:t>
      </w:r>
      <w:r w:rsidRPr="004F572A">
        <w:rPr>
          <w:sz w:val="22"/>
          <w:szCs w:val="22"/>
        </w:rPr>
        <w:t xml:space="preserve">kg, yra sumažėjęs </w:t>
      </w:r>
      <w:proofErr w:type="spellStart"/>
      <w:r w:rsidRPr="004F572A">
        <w:rPr>
          <w:sz w:val="22"/>
          <w:szCs w:val="22"/>
        </w:rPr>
        <w:t>lenvatinibo</w:t>
      </w:r>
      <w:proofErr w:type="spellEnd"/>
      <w:r w:rsidR="00A10DA6" w:rsidRPr="004F572A">
        <w:rPr>
          <w:sz w:val="22"/>
          <w:szCs w:val="22"/>
        </w:rPr>
        <w:t xml:space="preserve"> </w:t>
      </w:r>
      <w:r w:rsidRPr="004F572A">
        <w:rPr>
          <w:sz w:val="22"/>
          <w:szCs w:val="22"/>
        </w:rPr>
        <w:t>toleravimas (žr. 4.8 skyri</w:t>
      </w:r>
      <w:r w:rsidR="00A10DA6" w:rsidRPr="004F572A">
        <w:rPr>
          <w:sz w:val="22"/>
          <w:szCs w:val="22"/>
        </w:rPr>
        <w:t>ų</w:t>
      </w:r>
      <w:r w:rsidRPr="004F572A">
        <w:rPr>
          <w:sz w:val="22"/>
          <w:szCs w:val="22"/>
        </w:rPr>
        <w:t>). Visiems pacientams, išskyrus tuos, kuriems yra sunkus kepenų ar inkstų</w:t>
      </w:r>
      <w:r w:rsidR="00A10DA6" w:rsidRPr="004F572A">
        <w:rPr>
          <w:sz w:val="22"/>
          <w:szCs w:val="22"/>
        </w:rPr>
        <w:t xml:space="preserve"> </w:t>
      </w:r>
      <w:r w:rsidRPr="004F572A">
        <w:rPr>
          <w:sz w:val="22"/>
          <w:szCs w:val="22"/>
        </w:rPr>
        <w:t xml:space="preserve">funkcijos sutrikimas (žr. toliau), reikia pradėti </w:t>
      </w:r>
      <w:r w:rsidR="00AA5563" w:rsidRPr="004F572A">
        <w:rPr>
          <w:sz w:val="22"/>
          <w:szCs w:val="22"/>
        </w:rPr>
        <w:t>gydymą</w:t>
      </w:r>
      <w:r w:rsidR="00AA5563">
        <w:rPr>
          <w:sz w:val="22"/>
          <w:szCs w:val="22"/>
        </w:rPr>
        <w:t xml:space="preserve"> </w:t>
      </w:r>
      <w:r w:rsidRPr="004F572A">
        <w:rPr>
          <w:sz w:val="22"/>
          <w:szCs w:val="22"/>
        </w:rPr>
        <w:t>rekomenduojama 24</w:t>
      </w:r>
      <w:r w:rsidR="00A10DA6" w:rsidRPr="004F572A">
        <w:rPr>
          <w:sz w:val="22"/>
          <w:szCs w:val="22"/>
        </w:rPr>
        <w:t> </w:t>
      </w:r>
      <w:r w:rsidRPr="004F572A">
        <w:rPr>
          <w:sz w:val="22"/>
          <w:szCs w:val="22"/>
        </w:rPr>
        <w:t>mg doze, po to dozę reikia</w:t>
      </w:r>
      <w:r w:rsidR="00A10DA6" w:rsidRPr="004F572A">
        <w:rPr>
          <w:sz w:val="22"/>
          <w:szCs w:val="22"/>
        </w:rPr>
        <w:t xml:space="preserve"> </w:t>
      </w:r>
      <w:r w:rsidRPr="004F572A">
        <w:rPr>
          <w:sz w:val="22"/>
          <w:szCs w:val="22"/>
        </w:rPr>
        <w:t>dar koreguoti remiantis individualiu toleravimu</w:t>
      </w:r>
      <w:r w:rsidR="00A10DA6" w:rsidRPr="004F572A">
        <w:rPr>
          <w:sz w:val="22"/>
          <w:szCs w:val="22"/>
        </w:rPr>
        <w:t>.</w:t>
      </w:r>
    </w:p>
    <w:p w14:paraId="60228D8A" w14:textId="77777777" w:rsidR="00A10DA6" w:rsidRPr="004F572A" w:rsidRDefault="00A10DA6" w:rsidP="00DF2642">
      <w:pPr>
        <w:rPr>
          <w:sz w:val="22"/>
          <w:szCs w:val="22"/>
        </w:rPr>
      </w:pPr>
    </w:p>
    <w:p w14:paraId="6E8AC336" w14:textId="77777777" w:rsidR="00A10DA6" w:rsidRPr="004F572A" w:rsidRDefault="00A10DA6" w:rsidP="00A10DA6">
      <w:pPr>
        <w:rPr>
          <w:i/>
          <w:iCs/>
          <w:sz w:val="22"/>
          <w:szCs w:val="22"/>
        </w:rPr>
      </w:pPr>
      <w:r w:rsidRPr="004F572A">
        <w:rPr>
          <w:i/>
          <w:iCs/>
          <w:sz w:val="22"/>
          <w:szCs w:val="22"/>
        </w:rPr>
        <w:t>HCK</w:t>
      </w:r>
    </w:p>
    <w:p w14:paraId="40BF1806" w14:textId="77777777" w:rsidR="00A10DA6" w:rsidRPr="004F572A" w:rsidRDefault="00A10DA6" w:rsidP="00A10DA6">
      <w:pPr>
        <w:rPr>
          <w:sz w:val="22"/>
          <w:szCs w:val="22"/>
        </w:rPr>
      </w:pPr>
    </w:p>
    <w:p w14:paraId="48B1B382" w14:textId="41E49978" w:rsidR="00A10DA6" w:rsidRPr="004F572A" w:rsidRDefault="00A10DA6" w:rsidP="00A10DA6">
      <w:pPr>
        <w:rPr>
          <w:sz w:val="22"/>
          <w:szCs w:val="22"/>
        </w:rPr>
      </w:pPr>
      <w:r w:rsidRPr="004F572A">
        <w:rPr>
          <w:sz w:val="22"/>
          <w:szCs w:val="22"/>
        </w:rPr>
        <w:t>Balt</w:t>
      </w:r>
      <w:r w:rsidR="00AA5563">
        <w:rPr>
          <w:sz w:val="22"/>
          <w:szCs w:val="22"/>
        </w:rPr>
        <w:t>osios</w:t>
      </w:r>
      <w:r w:rsidRPr="004F572A">
        <w:rPr>
          <w:sz w:val="22"/>
          <w:szCs w:val="22"/>
        </w:rPr>
        <w:t xml:space="preserve"> rasės ≥ 75</w:t>
      </w:r>
      <w:r w:rsidR="00DE3C81">
        <w:rPr>
          <w:sz w:val="22"/>
          <w:szCs w:val="22"/>
        </w:rPr>
        <w:t> </w:t>
      </w:r>
      <w:r w:rsidRPr="004F572A">
        <w:rPr>
          <w:sz w:val="22"/>
          <w:szCs w:val="22"/>
        </w:rPr>
        <w:t>metų amžiaus pacientai vyrai ar moterys, ar asmenys, kuriems gydymo pradžioje pasireiškė sunkesnis kepenų pažeidimas (6</w:t>
      </w:r>
      <w:r w:rsidR="00DE3C81">
        <w:rPr>
          <w:sz w:val="22"/>
          <w:szCs w:val="22"/>
        </w:rPr>
        <w:t> </w:t>
      </w:r>
      <w:r w:rsidRPr="004F572A">
        <w:rPr>
          <w:sz w:val="22"/>
          <w:szCs w:val="22"/>
        </w:rPr>
        <w:t xml:space="preserve">balai pagal </w:t>
      </w:r>
      <w:proofErr w:type="spellStart"/>
      <w:r w:rsidR="001806A3" w:rsidRPr="001806A3">
        <w:rPr>
          <w:i/>
          <w:sz w:val="22"/>
          <w:szCs w:val="22"/>
        </w:rPr>
        <w:t>Child-Pugh</w:t>
      </w:r>
      <w:proofErr w:type="spellEnd"/>
      <w:r w:rsidRPr="00C53F07">
        <w:rPr>
          <w:sz w:val="22"/>
          <w:szCs w:val="22"/>
        </w:rPr>
        <w:t xml:space="preserve"> A,</w:t>
      </w:r>
      <w:r w:rsidRPr="004F572A">
        <w:rPr>
          <w:sz w:val="22"/>
          <w:szCs w:val="22"/>
        </w:rPr>
        <w:t xml:space="preserve"> palyginti su 5</w:t>
      </w:r>
      <w:r w:rsidR="00DE3C81">
        <w:rPr>
          <w:sz w:val="22"/>
          <w:szCs w:val="22"/>
        </w:rPr>
        <w:t> </w:t>
      </w:r>
      <w:r w:rsidRPr="004F572A">
        <w:rPr>
          <w:sz w:val="22"/>
          <w:szCs w:val="22"/>
        </w:rPr>
        <w:t xml:space="preserve">balais), </w:t>
      </w:r>
      <w:r w:rsidR="00AA5563">
        <w:rPr>
          <w:sz w:val="22"/>
          <w:szCs w:val="22"/>
        </w:rPr>
        <w:t xml:space="preserve">gydymą </w:t>
      </w:r>
      <w:proofErr w:type="spellStart"/>
      <w:r w:rsidRPr="004F572A">
        <w:rPr>
          <w:sz w:val="22"/>
          <w:szCs w:val="22"/>
        </w:rPr>
        <w:t>lenvatinib</w:t>
      </w:r>
      <w:r w:rsidR="00AA5563">
        <w:rPr>
          <w:sz w:val="22"/>
          <w:szCs w:val="22"/>
        </w:rPr>
        <w:t>u</w:t>
      </w:r>
      <w:proofErr w:type="spellEnd"/>
      <w:r w:rsidRPr="004F572A">
        <w:rPr>
          <w:sz w:val="22"/>
          <w:szCs w:val="22"/>
        </w:rPr>
        <w:t xml:space="preserve"> toler</w:t>
      </w:r>
      <w:r w:rsidR="00AA5563">
        <w:rPr>
          <w:sz w:val="22"/>
          <w:szCs w:val="22"/>
        </w:rPr>
        <w:t>avo prasčiau</w:t>
      </w:r>
      <w:r w:rsidRPr="004F572A">
        <w:rPr>
          <w:sz w:val="22"/>
          <w:szCs w:val="22"/>
        </w:rPr>
        <w:t>.</w:t>
      </w:r>
    </w:p>
    <w:p w14:paraId="499EAE1F" w14:textId="77777777" w:rsidR="00A10DA6" w:rsidRPr="004F572A" w:rsidRDefault="00A10DA6" w:rsidP="00A10DA6">
      <w:pPr>
        <w:rPr>
          <w:sz w:val="22"/>
          <w:szCs w:val="22"/>
        </w:rPr>
      </w:pPr>
    </w:p>
    <w:p w14:paraId="3D8A9280" w14:textId="54BB6DE6" w:rsidR="00A10DA6" w:rsidRPr="004F572A" w:rsidRDefault="00A10DA6" w:rsidP="00A1380D">
      <w:pPr>
        <w:rPr>
          <w:sz w:val="22"/>
          <w:szCs w:val="22"/>
        </w:rPr>
      </w:pPr>
      <w:proofErr w:type="spellStart"/>
      <w:r w:rsidRPr="004F572A">
        <w:rPr>
          <w:sz w:val="22"/>
          <w:szCs w:val="22"/>
        </w:rPr>
        <w:t>Hepatoceliuline</w:t>
      </w:r>
      <w:proofErr w:type="spellEnd"/>
      <w:r w:rsidRPr="004F572A">
        <w:rPr>
          <w:sz w:val="22"/>
          <w:szCs w:val="22"/>
        </w:rPr>
        <w:t xml:space="preserve"> karcinoma sergantiems pacientams, jei jiems </w:t>
      </w:r>
      <w:r w:rsidR="00AA5563">
        <w:rPr>
          <w:sz w:val="22"/>
          <w:szCs w:val="22"/>
        </w:rPr>
        <w:t>nepasireiškė</w:t>
      </w:r>
      <w:r w:rsidR="00AA5563" w:rsidRPr="004F572A">
        <w:rPr>
          <w:sz w:val="22"/>
          <w:szCs w:val="22"/>
        </w:rPr>
        <w:t xml:space="preserve"> </w:t>
      </w:r>
      <w:r w:rsidRPr="004F572A">
        <w:rPr>
          <w:sz w:val="22"/>
          <w:szCs w:val="22"/>
        </w:rPr>
        <w:t xml:space="preserve">vidutinio sunkumo ar sunkus kepenų </w:t>
      </w:r>
      <w:r w:rsidR="00AA5563">
        <w:rPr>
          <w:sz w:val="22"/>
          <w:szCs w:val="22"/>
        </w:rPr>
        <w:t>pažeidimas</w:t>
      </w:r>
      <w:r w:rsidRPr="004F572A">
        <w:rPr>
          <w:sz w:val="22"/>
          <w:szCs w:val="22"/>
        </w:rPr>
        <w:t xml:space="preserve"> ar sunkus inkstų </w:t>
      </w:r>
      <w:r w:rsidR="00AA5563">
        <w:rPr>
          <w:sz w:val="22"/>
          <w:szCs w:val="22"/>
        </w:rPr>
        <w:t>nepakankamumas</w:t>
      </w:r>
      <w:r w:rsidRPr="004F572A">
        <w:rPr>
          <w:sz w:val="22"/>
          <w:szCs w:val="22"/>
        </w:rPr>
        <w:t>, gydym</w:t>
      </w:r>
      <w:r w:rsidR="00AA5563">
        <w:rPr>
          <w:sz w:val="22"/>
          <w:szCs w:val="22"/>
        </w:rPr>
        <w:t>ą reikia pradėti skiriant</w:t>
      </w:r>
      <w:r w:rsidR="00A1380D" w:rsidRPr="004F572A">
        <w:rPr>
          <w:sz w:val="22"/>
          <w:szCs w:val="22"/>
        </w:rPr>
        <w:t xml:space="preserve"> </w:t>
      </w:r>
      <w:r w:rsidRPr="004F572A">
        <w:rPr>
          <w:sz w:val="22"/>
          <w:szCs w:val="22"/>
        </w:rPr>
        <w:t>rekomenduojam</w:t>
      </w:r>
      <w:r w:rsidR="00AA5563">
        <w:rPr>
          <w:sz w:val="22"/>
          <w:szCs w:val="22"/>
        </w:rPr>
        <w:t>ą</w:t>
      </w:r>
      <w:r w:rsidRPr="004F572A">
        <w:rPr>
          <w:sz w:val="22"/>
          <w:szCs w:val="22"/>
        </w:rPr>
        <w:t xml:space="preserve"> pradin</w:t>
      </w:r>
      <w:r w:rsidR="00AA5563">
        <w:rPr>
          <w:sz w:val="22"/>
          <w:szCs w:val="22"/>
        </w:rPr>
        <w:t>ę</w:t>
      </w:r>
      <w:r w:rsidRPr="004F572A">
        <w:rPr>
          <w:sz w:val="22"/>
          <w:szCs w:val="22"/>
        </w:rPr>
        <w:t xml:space="preserve"> 8</w:t>
      </w:r>
      <w:r w:rsidR="00A1380D" w:rsidRPr="004F572A">
        <w:rPr>
          <w:sz w:val="22"/>
          <w:szCs w:val="22"/>
        </w:rPr>
        <w:t> </w:t>
      </w:r>
      <w:r w:rsidRPr="004F572A">
        <w:rPr>
          <w:sz w:val="22"/>
          <w:szCs w:val="22"/>
        </w:rPr>
        <w:t>mg doz</w:t>
      </w:r>
      <w:r w:rsidR="00AA5563">
        <w:rPr>
          <w:sz w:val="22"/>
          <w:szCs w:val="22"/>
        </w:rPr>
        <w:t>ę</w:t>
      </w:r>
      <w:r w:rsidRPr="004F572A">
        <w:rPr>
          <w:sz w:val="22"/>
          <w:szCs w:val="22"/>
        </w:rPr>
        <w:t xml:space="preserve"> (dvi 4</w:t>
      </w:r>
      <w:r w:rsidR="00A1380D" w:rsidRPr="004F572A">
        <w:rPr>
          <w:sz w:val="22"/>
          <w:szCs w:val="22"/>
        </w:rPr>
        <w:t> </w:t>
      </w:r>
      <w:r w:rsidRPr="004F572A">
        <w:rPr>
          <w:sz w:val="22"/>
          <w:szCs w:val="22"/>
        </w:rPr>
        <w:t>mg kapsul</w:t>
      </w:r>
      <w:r w:rsidR="00AA5563">
        <w:rPr>
          <w:sz w:val="22"/>
          <w:szCs w:val="22"/>
        </w:rPr>
        <w:t>e</w:t>
      </w:r>
      <w:r w:rsidR="00A1380D" w:rsidRPr="004F572A">
        <w:rPr>
          <w:sz w:val="22"/>
          <w:szCs w:val="22"/>
        </w:rPr>
        <w:t>s</w:t>
      </w:r>
      <w:r w:rsidRPr="004F572A">
        <w:rPr>
          <w:sz w:val="22"/>
          <w:szCs w:val="22"/>
        </w:rPr>
        <w:t xml:space="preserve">), </w:t>
      </w:r>
      <w:r w:rsidR="00AA5563">
        <w:rPr>
          <w:sz w:val="22"/>
          <w:szCs w:val="22"/>
        </w:rPr>
        <w:t>kai</w:t>
      </w:r>
      <w:r w:rsidRPr="004F572A">
        <w:rPr>
          <w:sz w:val="22"/>
          <w:szCs w:val="22"/>
        </w:rPr>
        <w:t xml:space="preserve"> kūno svoris &lt;</w:t>
      </w:r>
      <w:r w:rsidR="00A1380D" w:rsidRPr="004F572A">
        <w:rPr>
          <w:sz w:val="22"/>
          <w:szCs w:val="22"/>
        </w:rPr>
        <w:t> </w:t>
      </w:r>
      <w:r w:rsidRPr="004F572A">
        <w:rPr>
          <w:sz w:val="22"/>
          <w:szCs w:val="22"/>
        </w:rPr>
        <w:t>60</w:t>
      </w:r>
      <w:r w:rsidR="00A1380D" w:rsidRPr="004F572A">
        <w:rPr>
          <w:sz w:val="22"/>
          <w:szCs w:val="22"/>
        </w:rPr>
        <w:t> </w:t>
      </w:r>
      <w:r w:rsidRPr="004F572A">
        <w:rPr>
          <w:sz w:val="22"/>
          <w:szCs w:val="22"/>
        </w:rPr>
        <w:t>kg, ir 12</w:t>
      </w:r>
      <w:r w:rsidR="00A1380D" w:rsidRPr="004F572A">
        <w:rPr>
          <w:sz w:val="22"/>
          <w:szCs w:val="22"/>
        </w:rPr>
        <w:t> </w:t>
      </w:r>
      <w:r w:rsidRPr="004F572A">
        <w:rPr>
          <w:sz w:val="22"/>
          <w:szCs w:val="22"/>
        </w:rPr>
        <w:t>mg dozę (tr</w:t>
      </w:r>
      <w:r w:rsidR="00AA5563">
        <w:rPr>
          <w:sz w:val="22"/>
          <w:szCs w:val="22"/>
        </w:rPr>
        <w:t>i</w:t>
      </w:r>
      <w:r w:rsidR="00A1380D" w:rsidRPr="004F572A">
        <w:rPr>
          <w:sz w:val="22"/>
          <w:szCs w:val="22"/>
        </w:rPr>
        <w:t xml:space="preserve">s </w:t>
      </w:r>
      <w:r w:rsidRPr="004F572A">
        <w:rPr>
          <w:sz w:val="22"/>
          <w:szCs w:val="22"/>
        </w:rPr>
        <w:t>4</w:t>
      </w:r>
      <w:r w:rsidR="00A1380D" w:rsidRPr="004F572A">
        <w:rPr>
          <w:sz w:val="22"/>
          <w:szCs w:val="22"/>
        </w:rPr>
        <w:t> </w:t>
      </w:r>
      <w:r w:rsidRPr="004F572A">
        <w:rPr>
          <w:sz w:val="22"/>
          <w:szCs w:val="22"/>
        </w:rPr>
        <w:t>mg kapsul</w:t>
      </w:r>
      <w:r w:rsidR="00AA5563">
        <w:rPr>
          <w:sz w:val="22"/>
          <w:szCs w:val="22"/>
        </w:rPr>
        <w:t>e</w:t>
      </w:r>
      <w:r w:rsidR="00A1380D" w:rsidRPr="004F572A">
        <w:rPr>
          <w:sz w:val="22"/>
          <w:szCs w:val="22"/>
        </w:rPr>
        <w:t>s</w:t>
      </w:r>
      <w:r w:rsidRPr="004F572A">
        <w:rPr>
          <w:sz w:val="22"/>
          <w:szCs w:val="22"/>
        </w:rPr>
        <w:t xml:space="preserve">), </w:t>
      </w:r>
      <w:r w:rsidR="00AA5563">
        <w:rPr>
          <w:sz w:val="22"/>
          <w:szCs w:val="22"/>
        </w:rPr>
        <w:t>kai</w:t>
      </w:r>
      <w:r w:rsidRPr="004F572A">
        <w:rPr>
          <w:sz w:val="22"/>
          <w:szCs w:val="22"/>
        </w:rPr>
        <w:t xml:space="preserve"> kūno svoris ≥</w:t>
      </w:r>
      <w:r w:rsidR="00A1380D" w:rsidRPr="004F572A">
        <w:rPr>
          <w:sz w:val="22"/>
          <w:szCs w:val="22"/>
        </w:rPr>
        <w:t> </w:t>
      </w:r>
      <w:r w:rsidRPr="004F572A">
        <w:rPr>
          <w:sz w:val="22"/>
          <w:szCs w:val="22"/>
        </w:rPr>
        <w:t>60</w:t>
      </w:r>
      <w:r w:rsidR="00DE3C81">
        <w:rPr>
          <w:sz w:val="22"/>
          <w:szCs w:val="22"/>
        </w:rPr>
        <w:t> </w:t>
      </w:r>
      <w:r w:rsidRPr="004F572A">
        <w:rPr>
          <w:sz w:val="22"/>
          <w:szCs w:val="22"/>
        </w:rPr>
        <w:t>kg</w:t>
      </w:r>
      <w:r w:rsidR="00A1380D" w:rsidRPr="004F572A">
        <w:rPr>
          <w:sz w:val="22"/>
          <w:szCs w:val="22"/>
        </w:rPr>
        <w:t>,</w:t>
      </w:r>
      <w:r w:rsidR="00A1380D" w:rsidRPr="004F572A">
        <w:t xml:space="preserve"> </w:t>
      </w:r>
      <w:r w:rsidR="00AA5563" w:rsidRPr="000D1CAE">
        <w:rPr>
          <w:sz w:val="22"/>
        </w:rPr>
        <w:t>vėliau</w:t>
      </w:r>
      <w:r w:rsidR="00A1380D" w:rsidRPr="004F572A">
        <w:rPr>
          <w:sz w:val="22"/>
          <w:szCs w:val="22"/>
        </w:rPr>
        <w:t xml:space="preserve"> dozę reikia koreguoti </w:t>
      </w:r>
      <w:r w:rsidR="00AA5563">
        <w:rPr>
          <w:sz w:val="22"/>
          <w:szCs w:val="22"/>
        </w:rPr>
        <w:t>atsižvelgiant į tai, kaip pacientas toleruoja gydymą</w:t>
      </w:r>
      <w:r w:rsidR="00A1380D" w:rsidRPr="004F572A">
        <w:rPr>
          <w:sz w:val="22"/>
          <w:szCs w:val="22"/>
        </w:rPr>
        <w:t>.</w:t>
      </w:r>
    </w:p>
    <w:p w14:paraId="08231A6F" w14:textId="77777777" w:rsidR="00A1380D" w:rsidRPr="004F572A" w:rsidRDefault="00A1380D" w:rsidP="00A10DA6">
      <w:pPr>
        <w:rPr>
          <w:sz w:val="22"/>
          <w:szCs w:val="22"/>
        </w:rPr>
      </w:pPr>
    </w:p>
    <w:p w14:paraId="64405924" w14:textId="190A352C" w:rsidR="00A10DA6" w:rsidRPr="004F572A" w:rsidRDefault="00AA5563" w:rsidP="00A10DA6">
      <w:pPr>
        <w:rPr>
          <w:i/>
          <w:iCs/>
          <w:sz w:val="22"/>
          <w:szCs w:val="22"/>
          <w:u w:val="single"/>
        </w:rPr>
      </w:pPr>
      <w:r>
        <w:rPr>
          <w:i/>
          <w:iCs/>
          <w:sz w:val="22"/>
          <w:szCs w:val="22"/>
          <w:u w:val="single"/>
        </w:rPr>
        <w:t>P</w:t>
      </w:r>
      <w:r w:rsidRPr="004F572A">
        <w:rPr>
          <w:i/>
          <w:iCs/>
          <w:sz w:val="22"/>
          <w:szCs w:val="22"/>
          <w:u w:val="single"/>
        </w:rPr>
        <w:t>acientai</w:t>
      </w:r>
      <w:r>
        <w:rPr>
          <w:i/>
          <w:iCs/>
          <w:sz w:val="22"/>
          <w:szCs w:val="22"/>
          <w:u w:val="single"/>
        </w:rPr>
        <w:t>,</w:t>
      </w:r>
      <w:r w:rsidRPr="004F572A">
        <w:rPr>
          <w:i/>
          <w:iCs/>
          <w:sz w:val="22"/>
          <w:szCs w:val="22"/>
          <w:u w:val="single"/>
        </w:rPr>
        <w:t xml:space="preserve"> sergantys </w:t>
      </w:r>
      <w:r>
        <w:rPr>
          <w:i/>
          <w:iCs/>
          <w:sz w:val="22"/>
          <w:szCs w:val="22"/>
          <w:u w:val="single"/>
        </w:rPr>
        <w:t>h</w:t>
      </w:r>
      <w:r w:rsidR="00A1380D" w:rsidRPr="004F572A">
        <w:rPr>
          <w:i/>
          <w:iCs/>
          <w:sz w:val="22"/>
          <w:szCs w:val="22"/>
          <w:u w:val="single"/>
        </w:rPr>
        <w:t xml:space="preserve">ipertenzija </w:t>
      </w:r>
    </w:p>
    <w:p w14:paraId="45746860" w14:textId="77777777" w:rsidR="00B90585" w:rsidRPr="004F572A" w:rsidRDefault="00B90585" w:rsidP="00A10DA6">
      <w:pPr>
        <w:rPr>
          <w:sz w:val="22"/>
          <w:szCs w:val="22"/>
        </w:rPr>
      </w:pPr>
    </w:p>
    <w:p w14:paraId="0B2C83A3" w14:textId="0DF99EED" w:rsidR="00A10DA6" w:rsidRPr="004F572A" w:rsidRDefault="00A1380D" w:rsidP="00A10DA6">
      <w:pPr>
        <w:rPr>
          <w:sz w:val="22"/>
          <w:szCs w:val="22"/>
        </w:rPr>
      </w:pPr>
      <w:r w:rsidRPr="004F572A">
        <w:rPr>
          <w:sz w:val="22"/>
          <w:szCs w:val="22"/>
        </w:rPr>
        <w:t>Kraujo</w:t>
      </w:r>
      <w:r w:rsidR="00AA5563">
        <w:rPr>
          <w:sz w:val="22"/>
          <w:szCs w:val="22"/>
        </w:rPr>
        <w:t>spūdį reikia atidžiai kontroliuoti</w:t>
      </w:r>
      <w:r w:rsidRPr="004F572A">
        <w:rPr>
          <w:sz w:val="22"/>
          <w:szCs w:val="22"/>
        </w:rPr>
        <w:t xml:space="preserve"> prieš </w:t>
      </w:r>
      <w:r w:rsidR="00AA5563">
        <w:rPr>
          <w:sz w:val="22"/>
          <w:szCs w:val="22"/>
        </w:rPr>
        <w:t xml:space="preserve">pradedant </w:t>
      </w:r>
      <w:r w:rsidRPr="004F572A">
        <w:rPr>
          <w:sz w:val="22"/>
          <w:szCs w:val="22"/>
        </w:rPr>
        <w:t xml:space="preserve">gydymą </w:t>
      </w:r>
      <w:proofErr w:type="spellStart"/>
      <w:r w:rsidRPr="004F572A">
        <w:rPr>
          <w:sz w:val="22"/>
          <w:szCs w:val="22"/>
        </w:rPr>
        <w:t>lenvatinibu</w:t>
      </w:r>
      <w:proofErr w:type="spellEnd"/>
      <w:r w:rsidRPr="004F572A">
        <w:rPr>
          <w:sz w:val="22"/>
          <w:szCs w:val="22"/>
        </w:rPr>
        <w:t xml:space="preserve"> ir reguliariai </w:t>
      </w:r>
      <w:r w:rsidR="00AA5563">
        <w:rPr>
          <w:sz w:val="22"/>
          <w:szCs w:val="22"/>
        </w:rPr>
        <w:t>stebėti</w:t>
      </w:r>
      <w:r w:rsidR="00AA5563" w:rsidRPr="004F572A">
        <w:rPr>
          <w:sz w:val="22"/>
          <w:szCs w:val="22"/>
        </w:rPr>
        <w:t xml:space="preserve"> </w:t>
      </w:r>
      <w:r w:rsidRPr="004F572A">
        <w:rPr>
          <w:sz w:val="22"/>
          <w:szCs w:val="22"/>
        </w:rPr>
        <w:t>gydymo metu (žr. 4.4 ir 4.8 skyrius).</w:t>
      </w:r>
      <w:r w:rsidR="00A10DA6" w:rsidRPr="004F572A">
        <w:rPr>
          <w:sz w:val="22"/>
          <w:szCs w:val="22"/>
        </w:rPr>
        <w:t xml:space="preserve"> </w:t>
      </w:r>
    </w:p>
    <w:p w14:paraId="5BF693FB" w14:textId="77777777" w:rsidR="00A10DA6" w:rsidRPr="004F572A" w:rsidRDefault="00A10DA6" w:rsidP="00DF2642">
      <w:pPr>
        <w:rPr>
          <w:sz w:val="22"/>
          <w:szCs w:val="22"/>
        </w:rPr>
      </w:pPr>
    </w:p>
    <w:p w14:paraId="281AD7B5" w14:textId="77777777" w:rsidR="00B90585" w:rsidRPr="00E27691" w:rsidRDefault="00B90585" w:rsidP="00B90585">
      <w:pPr>
        <w:rPr>
          <w:i/>
          <w:iCs/>
          <w:sz w:val="22"/>
          <w:szCs w:val="22"/>
          <w:u w:val="single"/>
        </w:rPr>
      </w:pPr>
      <w:r w:rsidRPr="00E27691">
        <w:rPr>
          <w:i/>
          <w:iCs/>
          <w:sz w:val="22"/>
          <w:szCs w:val="22"/>
          <w:u w:val="single"/>
        </w:rPr>
        <w:t xml:space="preserve">Pacientai, kurių kepenų funkcija sutrikusi </w:t>
      </w:r>
    </w:p>
    <w:p w14:paraId="1A762A8C" w14:textId="77777777" w:rsidR="00B90585" w:rsidRPr="004F572A" w:rsidRDefault="00B90585" w:rsidP="00B90585">
      <w:pPr>
        <w:rPr>
          <w:i/>
          <w:iCs/>
          <w:sz w:val="22"/>
          <w:szCs w:val="22"/>
        </w:rPr>
      </w:pPr>
    </w:p>
    <w:p w14:paraId="18539CA4" w14:textId="28D1FA25" w:rsidR="00B90585" w:rsidRPr="004F572A" w:rsidRDefault="00B90585" w:rsidP="00B90585">
      <w:pPr>
        <w:rPr>
          <w:i/>
          <w:iCs/>
          <w:sz w:val="22"/>
          <w:szCs w:val="22"/>
        </w:rPr>
      </w:pPr>
      <w:r w:rsidRPr="004F572A">
        <w:rPr>
          <w:i/>
          <w:iCs/>
          <w:sz w:val="22"/>
          <w:szCs w:val="22"/>
        </w:rPr>
        <w:t>DSK</w:t>
      </w:r>
    </w:p>
    <w:p w14:paraId="0F033F17" w14:textId="77777777" w:rsidR="00B90585" w:rsidRPr="004F572A" w:rsidRDefault="00B90585" w:rsidP="00B90585">
      <w:pPr>
        <w:rPr>
          <w:sz w:val="22"/>
          <w:szCs w:val="22"/>
        </w:rPr>
      </w:pPr>
    </w:p>
    <w:p w14:paraId="5AAD0A21" w14:textId="5BA31BA3" w:rsidR="00B90585" w:rsidRPr="004F572A" w:rsidRDefault="00B90585" w:rsidP="00B90585">
      <w:pPr>
        <w:rPr>
          <w:sz w:val="22"/>
          <w:szCs w:val="22"/>
        </w:rPr>
      </w:pPr>
      <w:r w:rsidRPr="004F572A">
        <w:rPr>
          <w:sz w:val="22"/>
          <w:szCs w:val="22"/>
        </w:rPr>
        <w:t xml:space="preserve">Pacientams, kuriems yra lengvas (A klasės pagal </w:t>
      </w:r>
      <w:proofErr w:type="spellStart"/>
      <w:r w:rsidRPr="000D1CAE">
        <w:rPr>
          <w:i/>
          <w:sz w:val="22"/>
          <w:szCs w:val="22"/>
        </w:rPr>
        <w:t>Child</w:t>
      </w:r>
      <w:r w:rsidR="00C53F07" w:rsidRPr="000D1CAE">
        <w:rPr>
          <w:i/>
          <w:sz w:val="22"/>
          <w:szCs w:val="22"/>
        </w:rPr>
        <w:t>-</w:t>
      </w:r>
      <w:r w:rsidRPr="000D1CAE">
        <w:rPr>
          <w:i/>
          <w:sz w:val="22"/>
          <w:szCs w:val="22"/>
        </w:rPr>
        <w:t>Pugh</w:t>
      </w:r>
      <w:proofErr w:type="spellEnd"/>
      <w:r w:rsidRPr="004F572A">
        <w:rPr>
          <w:sz w:val="22"/>
          <w:szCs w:val="22"/>
        </w:rPr>
        <w:t xml:space="preserve">) arba vidutinio sunkumo (B klasės pagal </w:t>
      </w:r>
      <w:proofErr w:type="spellStart"/>
      <w:r w:rsidRPr="000D1CAE">
        <w:rPr>
          <w:i/>
          <w:sz w:val="22"/>
          <w:szCs w:val="22"/>
        </w:rPr>
        <w:t>Child</w:t>
      </w:r>
      <w:r w:rsidR="00C53F07" w:rsidRPr="000D1CAE">
        <w:rPr>
          <w:i/>
          <w:sz w:val="22"/>
          <w:szCs w:val="22"/>
        </w:rPr>
        <w:t>-</w:t>
      </w:r>
      <w:r w:rsidRPr="000D1CAE">
        <w:rPr>
          <w:i/>
          <w:sz w:val="22"/>
          <w:szCs w:val="22"/>
        </w:rPr>
        <w:t>Pugh</w:t>
      </w:r>
      <w:proofErr w:type="spellEnd"/>
      <w:r w:rsidRPr="004F572A">
        <w:rPr>
          <w:sz w:val="22"/>
          <w:szCs w:val="22"/>
        </w:rPr>
        <w:t xml:space="preserve">) kepenų funkcijos sutrikimas, pradinės dozės koreguoti remiantis kepenų funkcija nereikia. Pacientams, kuriems yra sunkus (C klasės pagal </w:t>
      </w:r>
      <w:proofErr w:type="spellStart"/>
      <w:r w:rsidRPr="000D1CAE">
        <w:rPr>
          <w:i/>
          <w:sz w:val="22"/>
          <w:szCs w:val="22"/>
        </w:rPr>
        <w:t>Child</w:t>
      </w:r>
      <w:r w:rsidR="00C53F07" w:rsidRPr="000D1CAE">
        <w:rPr>
          <w:i/>
          <w:sz w:val="22"/>
          <w:szCs w:val="22"/>
        </w:rPr>
        <w:t>-</w:t>
      </w:r>
      <w:r w:rsidRPr="000D1CAE">
        <w:rPr>
          <w:i/>
          <w:sz w:val="22"/>
          <w:szCs w:val="22"/>
        </w:rPr>
        <w:t>Pugh</w:t>
      </w:r>
      <w:proofErr w:type="spellEnd"/>
      <w:r w:rsidRPr="004F572A">
        <w:rPr>
          <w:sz w:val="22"/>
          <w:szCs w:val="22"/>
        </w:rPr>
        <w:t xml:space="preserve">) kepenų funkcijos sutrikimas, rekomenduojama pradinė dozė yra 14 mg, vartojama kartą per parą. </w:t>
      </w:r>
      <w:bookmarkStart w:id="5" w:name="_Hlk195941393"/>
      <w:r w:rsidR="007B6494" w:rsidRPr="007B6494">
        <w:rPr>
          <w:sz w:val="22"/>
          <w:szCs w:val="22"/>
        </w:rPr>
        <w:t>Gali reikėti toliau koreguoti dozę, remiantis individualiu toleravimu.</w:t>
      </w:r>
      <w:bookmarkEnd w:id="5"/>
      <w:r w:rsidRPr="004F572A">
        <w:rPr>
          <w:sz w:val="22"/>
          <w:szCs w:val="22"/>
        </w:rPr>
        <w:t xml:space="preserve"> Taip pat žr. 4.8 skyriuje.</w:t>
      </w:r>
    </w:p>
    <w:p w14:paraId="314663C0" w14:textId="77777777" w:rsidR="00B90585" w:rsidRPr="004F572A" w:rsidRDefault="00B90585" w:rsidP="00B90585">
      <w:pPr>
        <w:rPr>
          <w:i/>
          <w:iCs/>
          <w:sz w:val="22"/>
          <w:szCs w:val="22"/>
        </w:rPr>
      </w:pPr>
    </w:p>
    <w:p w14:paraId="3B6A89ED" w14:textId="75574D88" w:rsidR="00B90585" w:rsidRPr="004F572A" w:rsidRDefault="00B90585" w:rsidP="00B90585">
      <w:pPr>
        <w:rPr>
          <w:i/>
          <w:iCs/>
          <w:sz w:val="22"/>
          <w:szCs w:val="22"/>
        </w:rPr>
      </w:pPr>
      <w:r w:rsidRPr="004F572A">
        <w:rPr>
          <w:i/>
          <w:iCs/>
          <w:sz w:val="22"/>
          <w:szCs w:val="22"/>
        </w:rPr>
        <w:t>HCK</w:t>
      </w:r>
    </w:p>
    <w:p w14:paraId="2AEC33E4" w14:textId="77777777" w:rsidR="00B90585" w:rsidRPr="004F572A" w:rsidRDefault="00B90585" w:rsidP="00B90585">
      <w:pPr>
        <w:rPr>
          <w:sz w:val="22"/>
          <w:szCs w:val="22"/>
        </w:rPr>
      </w:pPr>
    </w:p>
    <w:p w14:paraId="013A1F32" w14:textId="39C41B64" w:rsidR="00B90585" w:rsidRPr="004F572A" w:rsidRDefault="00B90585" w:rsidP="00B90585">
      <w:pPr>
        <w:rPr>
          <w:sz w:val="22"/>
          <w:szCs w:val="22"/>
        </w:rPr>
      </w:pPr>
      <w:proofErr w:type="spellStart"/>
      <w:r w:rsidRPr="004F572A">
        <w:rPr>
          <w:sz w:val="22"/>
          <w:szCs w:val="22"/>
        </w:rPr>
        <w:t>Hepatoceliulinės</w:t>
      </w:r>
      <w:proofErr w:type="spellEnd"/>
      <w:r w:rsidRPr="004F572A">
        <w:rPr>
          <w:sz w:val="22"/>
          <w:szCs w:val="22"/>
        </w:rPr>
        <w:t xml:space="preserve"> karcinomos tyrime dalyvavusių pacientų populiacijose dėl kepenų funkcijos dozės koreguoti nereikėjo pacientams</w:t>
      </w:r>
      <w:r w:rsidR="007B6494">
        <w:rPr>
          <w:sz w:val="22"/>
          <w:szCs w:val="22"/>
        </w:rPr>
        <w:t xml:space="preserve"> su lengvu </w:t>
      </w:r>
      <w:r w:rsidRPr="004F572A">
        <w:rPr>
          <w:sz w:val="22"/>
          <w:szCs w:val="22"/>
        </w:rPr>
        <w:t>kepenų funkcijos sutrikim</w:t>
      </w:r>
      <w:r w:rsidR="007B6494">
        <w:rPr>
          <w:sz w:val="22"/>
          <w:szCs w:val="22"/>
        </w:rPr>
        <w:t>u</w:t>
      </w:r>
      <w:r w:rsidRPr="004F572A">
        <w:rPr>
          <w:sz w:val="22"/>
          <w:szCs w:val="22"/>
        </w:rPr>
        <w:t xml:space="preserve"> (</w:t>
      </w:r>
      <w:proofErr w:type="spellStart"/>
      <w:r w:rsidR="001806A3" w:rsidRPr="001806A3">
        <w:rPr>
          <w:i/>
          <w:sz w:val="22"/>
          <w:szCs w:val="22"/>
        </w:rPr>
        <w:t>Child-Pugh</w:t>
      </w:r>
      <w:proofErr w:type="spellEnd"/>
      <w:r w:rsidRPr="004F572A">
        <w:rPr>
          <w:sz w:val="22"/>
          <w:szCs w:val="22"/>
        </w:rPr>
        <w:t xml:space="preserve"> A). Turimų labai </w:t>
      </w:r>
      <w:r w:rsidR="007B6494">
        <w:rPr>
          <w:sz w:val="22"/>
          <w:szCs w:val="22"/>
        </w:rPr>
        <w:t>ribotų</w:t>
      </w:r>
      <w:r w:rsidRPr="004F572A">
        <w:rPr>
          <w:sz w:val="22"/>
          <w:szCs w:val="22"/>
        </w:rPr>
        <w:t xml:space="preserve"> duomenų nepakanka pateikti dozavimo rekomendacijų </w:t>
      </w:r>
      <w:proofErr w:type="spellStart"/>
      <w:r w:rsidRPr="004F572A">
        <w:rPr>
          <w:sz w:val="22"/>
          <w:szCs w:val="22"/>
        </w:rPr>
        <w:t>hepatoceliuline</w:t>
      </w:r>
      <w:proofErr w:type="spellEnd"/>
      <w:r w:rsidRPr="004F572A">
        <w:rPr>
          <w:sz w:val="22"/>
          <w:szCs w:val="22"/>
        </w:rPr>
        <w:t xml:space="preserve"> karcinoma sergantiems pacientams, kuri</w:t>
      </w:r>
      <w:r w:rsidR="0030641A" w:rsidRPr="004F572A">
        <w:rPr>
          <w:sz w:val="22"/>
          <w:szCs w:val="22"/>
        </w:rPr>
        <w:t>e</w:t>
      </w:r>
      <w:r w:rsidRPr="004F572A">
        <w:rPr>
          <w:sz w:val="22"/>
          <w:szCs w:val="22"/>
        </w:rPr>
        <w:t xml:space="preserve">ms </w:t>
      </w:r>
      <w:r w:rsidR="007B6494" w:rsidRPr="007B6494">
        <w:rPr>
          <w:sz w:val="22"/>
          <w:szCs w:val="22"/>
        </w:rPr>
        <w:t>kepenų funkcija yra vidutiniškai sutrikusi</w:t>
      </w:r>
      <w:r w:rsidRPr="004F572A">
        <w:rPr>
          <w:sz w:val="22"/>
          <w:szCs w:val="22"/>
        </w:rPr>
        <w:t xml:space="preserve"> (</w:t>
      </w:r>
      <w:proofErr w:type="spellStart"/>
      <w:r w:rsidR="001806A3" w:rsidRPr="001806A3">
        <w:rPr>
          <w:i/>
          <w:sz w:val="22"/>
          <w:szCs w:val="22"/>
        </w:rPr>
        <w:t>Child-Pugh</w:t>
      </w:r>
      <w:proofErr w:type="spellEnd"/>
      <w:r w:rsidRPr="004F572A">
        <w:rPr>
          <w:sz w:val="22"/>
          <w:szCs w:val="22"/>
        </w:rPr>
        <w:t xml:space="preserve"> B). </w:t>
      </w:r>
      <w:bookmarkStart w:id="6" w:name="_Hlk195949647"/>
      <w:r w:rsidR="007B6494" w:rsidRPr="007B6494">
        <w:rPr>
          <w:sz w:val="22"/>
          <w:szCs w:val="22"/>
        </w:rPr>
        <w:t>Šiuos pacientus</w:t>
      </w:r>
      <w:r w:rsidR="007B6494">
        <w:rPr>
          <w:sz w:val="22"/>
          <w:szCs w:val="22"/>
        </w:rPr>
        <w:t xml:space="preserve"> r</w:t>
      </w:r>
      <w:r w:rsidRPr="004F572A">
        <w:rPr>
          <w:sz w:val="22"/>
          <w:szCs w:val="22"/>
        </w:rPr>
        <w:t xml:space="preserve">ekomenduojama </w:t>
      </w:r>
      <w:r w:rsidR="007B6494">
        <w:rPr>
          <w:sz w:val="22"/>
          <w:szCs w:val="22"/>
        </w:rPr>
        <w:t>bendrai</w:t>
      </w:r>
      <w:r w:rsidRPr="004F572A">
        <w:rPr>
          <w:sz w:val="22"/>
          <w:szCs w:val="22"/>
        </w:rPr>
        <w:t xml:space="preserve"> stebėti </w:t>
      </w:r>
      <w:r w:rsidR="007B6494">
        <w:rPr>
          <w:sz w:val="22"/>
          <w:szCs w:val="22"/>
        </w:rPr>
        <w:t>dėl saugumo</w:t>
      </w:r>
      <w:r w:rsidRPr="004F572A">
        <w:rPr>
          <w:sz w:val="22"/>
          <w:szCs w:val="22"/>
        </w:rPr>
        <w:t xml:space="preserve"> (žr. 4.4 ir 5.2 skyrius). </w:t>
      </w:r>
      <w:bookmarkEnd w:id="6"/>
      <w:r w:rsidR="007B6494" w:rsidRPr="007B6494">
        <w:rPr>
          <w:sz w:val="22"/>
          <w:szCs w:val="22"/>
        </w:rPr>
        <w:t>Sunkų kepenų nepakankamumą patiriantiems pacientams (</w:t>
      </w:r>
      <w:proofErr w:type="spellStart"/>
      <w:r w:rsidR="001806A3" w:rsidRPr="001806A3">
        <w:rPr>
          <w:i/>
          <w:sz w:val="22"/>
          <w:szCs w:val="22"/>
        </w:rPr>
        <w:t>Child-Pugh</w:t>
      </w:r>
      <w:proofErr w:type="spellEnd"/>
      <w:r w:rsidR="007B6494" w:rsidRPr="007B6494">
        <w:rPr>
          <w:sz w:val="22"/>
          <w:szCs w:val="22"/>
        </w:rPr>
        <w:t xml:space="preserve"> C) </w:t>
      </w:r>
      <w:proofErr w:type="spellStart"/>
      <w:r w:rsidR="007B6494" w:rsidRPr="007B6494">
        <w:rPr>
          <w:sz w:val="22"/>
          <w:szCs w:val="22"/>
        </w:rPr>
        <w:t>lenvatinibas</w:t>
      </w:r>
      <w:proofErr w:type="spellEnd"/>
      <w:r w:rsidR="007B6494" w:rsidRPr="007B6494">
        <w:rPr>
          <w:sz w:val="22"/>
          <w:szCs w:val="22"/>
        </w:rPr>
        <w:t xml:space="preserve"> netirtas, šiems pacientams vaist</w:t>
      </w:r>
      <w:r w:rsidR="00B30162">
        <w:rPr>
          <w:sz w:val="22"/>
          <w:szCs w:val="22"/>
        </w:rPr>
        <w:t>inio preparat</w:t>
      </w:r>
      <w:r w:rsidR="007B6494" w:rsidRPr="007B6494">
        <w:rPr>
          <w:sz w:val="22"/>
          <w:szCs w:val="22"/>
        </w:rPr>
        <w:t>o vartoti nerekomenduojama.</w:t>
      </w:r>
    </w:p>
    <w:p w14:paraId="5978099B" w14:textId="77777777" w:rsidR="0030641A" w:rsidRPr="004F572A" w:rsidRDefault="0030641A" w:rsidP="00B90585">
      <w:pPr>
        <w:rPr>
          <w:i/>
          <w:iCs/>
          <w:sz w:val="22"/>
          <w:szCs w:val="22"/>
        </w:rPr>
      </w:pPr>
    </w:p>
    <w:p w14:paraId="66B477C5" w14:textId="271B32C9" w:rsidR="00A10DA6" w:rsidRPr="004F572A" w:rsidRDefault="00B90585" w:rsidP="00B90585">
      <w:pPr>
        <w:rPr>
          <w:sz w:val="22"/>
          <w:szCs w:val="22"/>
        </w:rPr>
      </w:pPr>
      <w:r w:rsidRPr="004F572A">
        <w:rPr>
          <w:i/>
          <w:iCs/>
          <w:sz w:val="22"/>
          <w:szCs w:val="22"/>
        </w:rPr>
        <w:t>EK</w:t>
      </w:r>
    </w:p>
    <w:p w14:paraId="718DFB3F" w14:textId="77777777" w:rsidR="00A10DA6" w:rsidRPr="004F572A" w:rsidRDefault="00A10DA6" w:rsidP="00DF2642">
      <w:pPr>
        <w:rPr>
          <w:sz w:val="22"/>
          <w:szCs w:val="22"/>
        </w:rPr>
      </w:pPr>
    </w:p>
    <w:p w14:paraId="624EA9E4" w14:textId="48E169B7" w:rsidR="0030641A" w:rsidRPr="004F572A" w:rsidRDefault="0030641A" w:rsidP="0030641A">
      <w:pPr>
        <w:rPr>
          <w:sz w:val="22"/>
          <w:szCs w:val="22"/>
        </w:rPr>
      </w:pPr>
      <w:r w:rsidRPr="004F572A">
        <w:rPr>
          <w:sz w:val="22"/>
          <w:szCs w:val="22"/>
        </w:rPr>
        <w:t xml:space="preserve">Duomenų apie </w:t>
      </w:r>
      <w:proofErr w:type="spellStart"/>
      <w:r w:rsidRPr="004F572A">
        <w:rPr>
          <w:sz w:val="22"/>
          <w:szCs w:val="22"/>
        </w:rPr>
        <w:t>lenvatinibo</w:t>
      </w:r>
      <w:proofErr w:type="spellEnd"/>
      <w:r w:rsidRPr="004F572A">
        <w:rPr>
          <w:sz w:val="22"/>
          <w:szCs w:val="22"/>
        </w:rPr>
        <w:t xml:space="preserve"> ir </w:t>
      </w:r>
      <w:proofErr w:type="spellStart"/>
      <w:r w:rsidRPr="004F572A">
        <w:rPr>
          <w:sz w:val="22"/>
          <w:szCs w:val="22"/>
        </w:rPr>
        <w:t>pembrolizumabo</w:t>
      </w:r>
      <w:proofErr w:type="spellEnd"/>
      <w:r w:rsidRPr="004F572A">
        <w:rPr>
          <w:sz w:val="22"/>
          <w:szCs w:val="22"/>
        </w:rPr>
        <w:t xml:space="preserve"> derinį pacientams, kurių kepenų funkcija sutrikusi, yra nedaug. Pacientams, kuriems yra lengvas (</w:t>
      </w:r>
      <w:proofErr w:type="spellStart"/>
      <w:r w:rsidR="001806A3" w:rsidRPr="001806A3">
        <w:rPr>
          <w:i/>
          <w:sz w:val="22"/>
          <w:szCs w:val="22"/>
        </w:rPr>
        <w:t>Child-Pugh</w:t>
      </w:r>
      <w:proofErr w:type="spellEnd"/>
      <w:r w:rsidRPr="004F572A">
        <w:rPr>
          <w:sz w:val="22"/>
          <w:szCs w:val="22"/>
        </w:rPr>
        <w:t xml:space="preserve"> A) ar vidutinio sunkumo (</w:t>
      </w:r>
      <w:proofErr w:type="spellStart"/>
      <w:r w:rsidR="001806A3" w:rsidRPr="001806A3">
        <w:rPr>
          <w:i/>
          <w:sz w:val="22"/>
          <w:szCs w:val="22"/>
        </w:rPr>
        <w:t>Child-Pugh</w:t>
      </w:r>
      <w:proofErr w:type="spellEnd"/>
      <w:r w:rsidRPr="004F572A">
        <w:rPr>
          <w:sz w:val="22"/>
          <w:szCs w:val="22"/>
        </w:rPr>
        <w:t xml:space="preserve"> B) kepenų funkcijos sutrikimas, pradinės derinio dozės koreguoti</w:t>
      </w:r>
      <w:r w:rsidR="0059730A">
        <w:rPr>
          <w:sz w:val="22"/>
          <w:szCs w:val="22"/>
        </w:rPr>
        <w:t>,</w:t>
      </w:r>
      <w:r w:rsidRPr="004F572A">
        <w:rPr>
          <w:sz w:val="22"/>
          <w:szCs w:val="22"/>
        </w:rPr>
        <w:t xml:space="preserve"> atsižvelgiant į kepenų funkciją</w:t>
      </w:r>
      <w:r w:rsidR="0059730A">
        <w:rPr>
          <w:sz w:val="22"/>
          <w:szCs w:val="22"/>
        </w:rPr>
        <w:t>,</w:t>
      </w:r>
      <w:r w:rsidR="00C53F07" w:rsidRPr="00C53F07">
        <w:rPr>
          <w:sz w:val="22"/>
          <w:szCs w:val="22"/>
        </w:rPr>
        <w:t xml:space="preserve"> </w:t>
      </w:r>
      <w:r w:rsidR="00C53F07" w:rsidRPr="004F572A">
        <w:rPr>
          <w:sz w:val="22"/>
          <w:szCs w:val="22"/>
        </w:rPr>
        <w:t>nereikia</w:t>
      </w:r>
      <w:r w:rsidRPr="004F572A">
        <w:rPr>
          <w:sz w:val="22"/>
          <w:szCs w:val="22"/>
        </w:rPr>
        <w:t>. Pacientams, kuriems yra sunkus (</w:t>
      </w:r>
      <w:proofErr w:type="spellStart"/>
      <w:r w:rsidR="001806A3" w:rsidRPr="001806A3">
        <w:rPr>
          <w:i/>
          <w:sz w:val="22"/>
          <w:szCs w:val="22"/>
        </w:rPr>
        <w:t>Child-Pugh</w:t>
      </w:r>
      <w:proofErr w:type="spellEnd"/>
      <w:r w:rsidRPr="004F572A">
        <w:rPr>
          <w:sz w:val="22"/>
          <w:szCs w:val="22"/>
        </w:rPr>
        <w:t xml:space="preserve"> C) kepenų funkcijos sutrikimas, rekomenduojama pradinė </w:t>
      </w:r>
      <w:proofErr w:type="spellStart"/>
      <w:r w:rsidRPr="004F572A">
        <w:rPr>
          <w:sz w:val="22"/>
          <w:szCs w:val="22"/>
        </w:rPr>
        <w:t>lenvatinibo</w:t>
      </w:r>
      <w:proofErr w:type="spellEnd"/>
      <w:r w:rsidRPr="004F572A">
        <w:rPr>
          <w:sz w:val="22"/>
          <w:szCs w:val="22"/>
        </w:rPr>
        <w:t xml:space="preserve"> dozė yra 10 mg, vartojama vieną kartą per parą. Žr. </w:t>
      </w:r>
      <w:proofErr w:type="spellStart"/>
      <w:r w:rsidRPr="004F572A">
        <w:rPr>
          <w:sz w:val="22"/>
          <w:szCs w:val="22"/>
        </w:rPr>
        <w:t>pembrolizumabo</w:t>
      </w:r>
      <w:proofErr w:type="spellEnd"/>
      <w:r w:rsidRPr="004F572A">
        <w:rPr>
          <w:sz w:val="22"/>
          <w:szCs w:val="22"/>
        </w:rPr>
        <w:t xml:space="preserve"> dozavimo charakteristikų santrauką pacientams, kurių kepenų funkcija sutrikusi. </w:t>
      </w:r>
      <w:r w:rsidR="00F94FE2" w:rsidRPr="004F572A">
        <w:rPr>
          <w:sz w:val="22"/>
          <w:szCs w:val="22"/>
        </w:rPr>
        <w:t>Atsižvelgiant į individualų toleravimą</w:t>
      </w:r>
      <w:r w:rsidR="007B6494">
        <w:rPr>
          <w:sz w:val="22"/>
          <w:szCs w:val="22"/>
        </w:rPr>
        <w:t>,</w:t>
      </w:r>
      <w:r w:rsidR="00F94FE2" w:rsidRPr="004F572A">
        <w:rPr>
          <w:sz w:val="22"/>
          <w:szCs w:val="22"/>
        </w:rPr>
        <w:t xml:space="preserve"> gali </w:t>
      </w:r>
      <w:r w:rsidR="007B6494" w:rsidRPr="007B6494">
        <w:rPr>
          <w:sz w:val="22"/>
          <w:szCs w:val="22"/>
        </w:rPr>
        <w:t>prireikti toliau koreguoti dozę</w:t>
      </w:r>
      <w:r w:rsidRPr="004F572A">
        <w:rPr>
          <w:sz w:val="22"/>
          <w:szCs w:val="22"/>
        </w:rPr>
        <w:t>.</w:t>
      </w:r>
    </w:p>
    <w:p w14:paraId="40C7889B" w14:textId="77777777" w:rsidR="0030641A" w:rsidRPr="004F572A" w:rsidRDefault="0030641A" w:rsidP="0030641A">
      <w:pPr>
        <w:rPr>
          <w:i/>
          <w:iCs/>
          <w:sz w:val="22"/>
          <w:szCs w:val="22"/>
        </w:rPr>
      </w:pPr>
    </w:p>
    <w:p w14:paraId="4578FCF8" w14:textId="77777777" w:rsidR="007B6494" w:rsidRPr="00E27691" w:rsidRDefault="0030641A" w:rsidP="0030641A">
      <w:pPr>
        <w:rPr>
          <w:i/>
          <w:iCs/>
          <w:sz w:val="22"/>
          <w:szCs w:val="22"/>
          <w:u w:val="single"/>
        </w:rPr>
      </w:pPr>
      <w:r w:rsidRPr="00E27691">
        <w:rPr>
          <w:i/>
          <w:iCs/>
          <w:sz w:val="22"/>
          <w:szCs w:val="22"/>
          <w:u w:val="single"/>
        </w:rPr>
        <w:t xml:space="preserve">Pacientai, kurių inkstų funkcija sutrikusi </w:t>
      </w:r>
    </w:p>
    <w:p w14:paraId="175FA9BC" w14:textId="77777777" w:rsidR="007B6494" w:rsidRDefault="007B6494" w:rsidP="0030641A">
      <w:pPr>
        <w:rPr>
          <w:i/>
          <w:iCs/>
          <w:sz w:val="22"/>
          <w:szCs w:val="22"/>
        </w:rPr>
      </w:pPr>
    </w:p>
    <w:p w14:paraId="7ED8756D" w14:textId="286720BD" w:rsidR="0030641A" w:rsidRPr="004F572A" w:rsidRDefault="0030641A" w:rsidP="0030641A">
      <w:pPr>
        <w:rPr>
          <w:i/>
          <w:iCs/>
          <w:sz w:val="22"/>
          <w:szCs w:val="22"/>
        </w:rPr>
      </w:pPr>
      <w:r w:rsidRPr="004F572A">
        <w:rPr>
          <w:i/>
          <w:iCs/>
          <w:sz w:val="22"/>
          <w:szCs w:val="22"/>
        </w:rPr>
        <w:t>DSK</w:t>
      </w:r>
    </w:p>
    <w:p w14:paraId="7329B2A6" w14:textId="77777777" w:rsidR="0030641A" w:rsidRPr="004F572A" w:rsidRDefault="0030641A" w:rsidP="0030641A">
      <w:pPr>
        <w:rPr>
          <w:sz w:val="22"/>
          <w:szCs w:val="22"/>
        </w:rPr>
      </w:pPr>
    </w:p>
    <w:p w14:paraId="511DE27D" w14:textId="6F4E270F" w:rsidR="0030641A" w:rsidRPr="004F572A" w:rsidRDefault="0030641A" w:rsidP="0030641A">
      <w:pPr>
        <w:rPr>
          <w:sz w:val="22"/>
          <w:szCs w:val="22"/>
        </w:rPr>
      </w:pPr>
      <w:r w:rsidRPr="004F572A">
        <w:rPr>
          <w:sz w:val="22"/>
          <w:szCs w:val="22"/>
        </w:rPr>
        <w:t xml:space="preserve">Pacientams, kuriems yra lengvas arba vidutinio sunkumo inkstų funkcijos sutrikimas, pradinės dozės koreguoti </w:t>
      </w:r>
      <w:r w:rsidR="00F56BE4">
        <w:rPr>
          <w:sz w:val="22"/>
          <w:szCs w:val="22"/>
        </w:rPr>
        <w:t>remiantis</w:t>
      </w:r>
      <w:r w:rsidRPr="004F572A">
        <w:rPr>
          <w:sz w:val="22"/>
          <w:szCs w:val="22"/>
        </w:rPr>
        <w:t xml:space="preserve"> inkstų funkcij</w:t>
      </w:r>
      <w:r w:rsidR="00F56BE4">
        <w:rPr>
          <w:sz w:val="22"/>
          <w:szCs w:val="22"/>
        </w:rPr>
        <w:t>a</w:t>
      </w:r>
      <w:r w:rsidRPr="004F572A">
        <w:rPr>
          <w:sz w:val="22"/>
          <w:szCs w:val="22"/>
        </w:rPr>
        <w:t xml:space="preserve"> nereikia. Pacientams, kuriems yra sunkus inkstų funkcijos sutrikimas, rekomenduojama pradinė dozė yra 14 mg, vartojama kartą per parą. Gali reikėti toliau koreguoti dozę, remiantis individualiu toleravimu. Pacientai, sergantys galutinės stadijos inkstų liga, ne</w:t>
      </w:r>
      <w:r w:rsidR="00F56BE4">
        <w:rPr>
          <w:sz w:val="22"/>
          <w:szCs w:val="22"/>
        </w:rPr>
        <w:t>iš</w:t>
      </w:r>
      <w:r w:rsidRPr="004F572A">
        <w:rPr>
          <w:sz w:val="22"/>
          <w:szCs w:val="22"/>
        </w:rPr>
        <w:t xml:space="preserve">tirti, todėl šiems pacientams </w:t>
      </w:r>
      <w:proofErr w:type="spellStart"/>
      <w:r w:rsidRPr="004F572A">
        <w:rPr>
          <w:sz w:val="22"/>
          <w:szCs w:val="22"/>
        </w:rPr>
        <w:t>lenvatinibo</w:t>
      </w:r>
      <w:proofErr w:type="spellEnd"/>
      <w:r w:rsidRPr="004F572A">
        <w:rPr>
          <w:sz w:val="22"/>
          <w:szCs w:val="22"/>
        </w:rPr>
        <w:t xml:space="preserve"> vartoti nerekomenduojama (</w:t>
      </w:r>
      <w:r w:rsidR="0059730A">
        <w:rPr>
          <w:sz w:val="22"/>
          <w:szCs w:val="22"/>
        </w:rPr>
        <w:t>t</w:t>
      </w:r>
      <w:r w:rsidRPr="004F572A">
        <w:rPr>
          <w:sz w:val="22"/>
          <w:szCs w:val="22"/>
        </w:rPr>
        <w:t>aip pat žr. 4.8 skyrių).</w:t>
      </w:r>
    </w:p>
    <w:p w14:paraId="4F8ED1E9" w14:textId="77777777" w:rsidR="0030641A" w:rsidRPr="004F572A" w:rsidRDefault="0030641A" w:rsidP="0030641A">
      <w:pPr>
        <w:rPr>
          <w:i/>
          <w:iCs/>
          <w:sz w:val="22"/>
          <w:szCs w:val="22"/>
        </w:rPr>
      </w:pPr>
    </w:p>
    <w:p w14:paraId="02DB3151" w14:textId="18C4C38E" w:rsidR="00A10DA6" w:rsidRPr="004F572A" w:rsidRDefault="0030641A" w:rsidP="0030641A">
      <w:pPr>
        <w:rPr>
          <w:sz w:val="22"/>
          <w:szCs w:val="22"/>
        </w:rPr>
      </w:pPr>
      <w:r w:rsidRPr="004F572A">
        <w:rPr>
          <w:i/>
          <w:iCs/>
          <w:sz w:val="22"/>
          <w:szCs w:val="22"/>
        </w:rPr>
        <w:t>HCK</w:t>
      </w:r>
    </w:p>
    <w:p w14:paraId="4259B0F0" w14:textId="77777777" w:rsidR="00A10DA6" w:rsidRPr="004F572A" w:rsidRDefault="00A10DA6" w:rsidP="00DF2642">
      <w:pPr>
        <w:rPr>
          <w:sz w:val="22"/>
          <w:szCs w:val="22"/>
        </w:rPr>
      </w:pPr>
    </w:p>
    <w:p w14:paraId="77F09B76" w14:textId="6875FDB2" w:rsidR="00123E32" w:rsidRPr="004F572A" w:rsidRDefault="00F56BE4" w:rsidP="00123E32">
      <w:pPr>
        <w:rPr>
          <w:sz w:val="22"/>
          <w:szCs w:val="22"/>
        </w:rPr>
      </w:pPr>
      <w:r w:rsidRPr="00F56BE4">
        <w:rPr>
          <w:sz w:val="22"/>
          <w:szCs w:val="22"/>
        </w:rPr>
        <w:t>Dėl inkstų funkcijos dozės koreguoti nereikėjo nesunkų ir vidutinio sunkumo inkstų nepakankamumą patiriantiems pacientams</w:t>
      </w:r>
      <w:r w:rsidR="00123E32" w:rsidRPr="004F572A">
        <w:rPr>
          <w:sz w:val="22"/>
          <w:szCs w:val="22"/>
        </w:rPr>
        <w:t xml:space="preserve">. Turimų duomenų nepakanka pateikti dozavimo rekomendacijų </w:t>
      </w:r>
      <w:proofErr w:type="spellStart"/>
      <w:r w:rsidR="00123E32" w:rsidRPr="004F572A">
        <w:rPr>
          <w:sz w:val="22"/>
          <w:szCs w:val="22"/>
        </w:rPr>
        <w:t>hepatoceliuline</w:t>
      </w:r>
      <w:proofErr w:type="spellEnd"/>
      <w:r w:rsidR="00123E32" w:rsidRPr="004F572A">
        <w:rPr>
          <w:sz w:val="22"/>
          <w:szCs w:val="22"/>
        </w:rPr>
        <w:t xml:space="preserve"> karcinoma sergantiems pacientams</w:t>
      </w:r>
      <w:r>
        <w:rPr>
          <w:sz w:val="22"/>
          <w:szCs w:val="22"/>
        </w:rPr>
        <w:t xml:space="preserve"> su sunkiai sutrikusia </w:t>
      </w:r>
      <w:r w:rsidR="00123E32" w:rsidRPr="004F572A">
        <w:rPr>
          <w:sz w:val="22"/>
          <w:szCs w:val="22"/>
        </w:rPr>
        <w:t>inkstų funkcij</w:t>
      </w:r>
      <w:r>
        <w:rPr>
          <w:sz w:val="22"/>
          <w:szCs w:val="22"/>
        </w:rPr>
        <w:t>a</w:t>
      </w:r>
      <w:r w:rsidR="00123E32" w:rsidRPr="004F572A">
        <w:rPr>
          <w:sz w:val="22"/>
          <w:szCs w:val="22"/>
        </w:rPr>
        <w:t>.</w:t>
      </w:r>
    </w:p>
    <w:p w14:paraId="1B8CEC96" w14:textId="77777777" w:rsidR="00123E32" w:rsidRPr="004F572A" w:rsidRDefault="00123E32" w:rsidP="00123E32">
      <w:pPr>
        <w:rPr>
          <w:i/>
          <w:iCs/>
          <w:sz w:val="22"/>
          <w:szCs w:val="22"/>
        </w:rPr>
      </w:pPr>
    </w:p>
    <w:p w14:paraId="648907E2" w14:textId="4D1AE340" w:rsidR="00123E32" w:rsidRPr="004F572A" w:rsidRDefault="00123E32" w:rsidP="00123E32">
      <w:pPr>
        <w:rPr>
          <w:i/>
          <w:iCs/>
          <w:sz w:val="22"/>
          <w:szCs w:val="22"/>
        </w:rPr>
      </w:pPr>
      <w:r w:rsidRPr="004F572A">
        <w:rPr>
          <w:i/>
          <w:iCs/>
          <w:sz w:val="22"/>
          <w:szCs w:val="22"/>
        </w:rPr>
        <w:t>EK</w:t>
      </w:r>
    </w:p>
    <w:p w14:paraId="7379935F" w14:textId="77777777" w:rsidR="00123E32" w:rsidRPr="004F572A" w:rsidRDefault="00123E32" w:rsidP="00123E32">
      <w:pPr>
        <w:rPr>
          <w:sz w:val="22"/>
          <w:szCs w:val="22"/>
        </w:rPr>
      </w:pPr>
    </w:p>
    <w:p w14:paraId="6B7077A7" w14:textId="627962B1" w:rsidR="0030641A" w:rsidRPr="004F572A" w:rsidRDefault="00123E32" w:rsidP="00123E32">
      <w:pPr>
        <w:rPr>
          <w:sz w:val="22"/>
          <w:szCs w:val="22"/>
        </w:rPr>
      </w:pPr>
      <w:r w:rsidRPr="004F572A">
        <w:rPr>
          <w:sz w:val="22"/>
          <w:szCs w:val="22"/>
        </w:rPr>
        <w:t>Pacientams, kuriems yra lengvas ar vidutinio sunkumo inkstų funkcijos sutrikimas, pradin</w:t>
      </w:r>
      <w:r w:rsidR="00F56BE4">
        <w:rPr>
          <w:sz w:val="22"/>
          <w:szCs w:val="22"/>
        </w:rPr>
        <w:t>ės</w:t>
      </w:r>
      <w:r w:rsidRPr="004F572A">
        <w:rPr>
          <w:sz w:val="22"/>
          <w:szCs w:val="22"/>
        </w:rPr>
        <w:t xml:space="preserve"> doz</w:t>
      </w:r>
      <w:r w:rsidR="00F56BE4">
        <w:rPr>
          <w:sz w:val="22"/>
          <w:szCs w:val="22"/>
        </w:rPr>
        <w:t>ės koreguoti</w:t>
      </w:r>
      <w:r w:rsidR="0059730A">
        <w:rPr>
          <w:sz w:val="22"/>
          <w:szCs w:val="22"/>
        </w:rPr>
        <w:t>,</w:t>
      </w:r>
      <w:r w:rsidR="00F56BE4">
        <w:rPr>
          <w:sz w:val="22"/>
          <w:szCs w:val="22"/>
        </w:rPr>
        <w:t xml:space="preserve"> </w:t>
      </w:r>
      <w:r w:rsidRPr="004F572A">
        <w:rPr>
          <w:sz w:val="22"/>
          <w:szCs w:val="22"/>
        </w:rPr>
        <w:t>atsižvelgiant į inkstų funkciją</w:t>
      </w:r>
      <w:r w:rsidR="0059730A">
        <w:rPr>
          <w:sz w:val="22"/>
          <w:szCs w:val="22"/>
        </w:rPr>
        <w:t>,</w:t>
      </w:r>
      <w:r w:rsidR="0059730A" w:rsidRPr="0059730A">
        <w:rPr>
          <w:sz w:val="22"/>
          <w:szCs w:val="22"/>
        </w:rPr>
        <w:t xml:space="preserve"> </w:t>
      </w:r>
      <w:r w:rsidR="0059730A">
        <w:rPr>
          <w:sz w:val="22"/>
          <w:szCs w:val="22"/>
        </w:rPr>
        <w:t>nereikia</w:t>
      </w:r>
      <w:r w:rsidRPr="004F572A">
        <w:rPr>
          <w:sz w:val="22"/>
          <w:szCs w:val="22"/>
        </w:rPr>
        <w:t xml:space="preserve">. Pacientams, kuriems yra sunkus inkstų funkcijos sutrikimas, rekomenduojama pradinė dozė yra 10 mg </w:t>
      </w:r>
      <w:proofErr w:type="spellStart"/>
      <w:r w:rsidRPr="004F572A">
        <w:rPr>
          <w:sz w:val="22"/>
          <w:szCs w:val="22"/>
        </w:rPr>
        <w:t>lenvatinibo</w:t>
      </w:r>
      <w:proofErr w:type="spellEnd"/>
      <w:r w:rsidRPr="004F572A">
        <w:rPr>
          <w:sz w:val="22"/>
          <w:szCs w:val="22"/>
        </w:rPr>
        <w:t xml:space="preserve">, vartojamo vieną kartą per parą. Žr. </w:t>
      </w:r>
      <w:proofErr w:type="spellStart"/>
      <w:r w:rsidRPr="004F572A">
        <w:rPr>
          <w:sz w:val="22"/>
          <w:szCs w:val="22"/>
        </w:rPr>
        <w:t>pembrolizumabo</w:t>
      </w:r>
      <w:proofErr w:type="spellEnd"/>
      <w:r w:rsidRPr="004F572A">
        <w:rPr>
          <w:sz w:val="22"/>
          <w:szCs w:val="22"/>
        </w:rPr>
        <w:t xml:space="preserve"> </w:t>
      </w:r>
      <w:r w:rsidR="00F56BE4">
        <w:rPr>
          <w:sz w:val="22"/>
          <w:szCs w:val="22"/>
        </w:rPr>
        <w:t xml:space="preserve">dozavimo </w:t>
      </w:r>
      <w:r w:rsidRPr="004F572A">
        <w:rPr>
          <w:sz w:val="22"/>
          <w:szCs w:val="22"/>
        </w:rPr>
        <w:t>charakteristikų santrauką</w:t>
      </w:r>
      <w:r w:rsidR="00D63E87">
        <w:rPr>
          <w:sz w:val="22"/>
          <w:szCs w:val="22"/>
        </w:rPr>
        <w:t xml:space="preserve"> </w:t>
      </w:r>
      <w:r w:rsidRPr="004F572A">
        <w:rPr>
          <w:sz w:val="22"/>
          <w:szCs w:val="22"/>
        </w:rPr>
        <w:t xml:space="preserve">pacientams, kurių inkstų funkcija sutrikusi. </w:t>
      </w:r>
      <w:r w:rsidR="00F94FE2" w:rsidRPr="004F572A">
        <w:rPr>
          <w:sz w:val="22"/>
          <w:szCs w:val="22"/>
        </w:rPr>
        <w:t>Atsižvelgiant į individualų toleravimą</w:t>
      </w:r>
      <w:r w:rsidR="00F56BE4">
        <w:rPr>
          <w:sz w:val="22"/>
          <w:szCs w:val="22"/>
        </w:rPr>
        <w:t>,</w:t>
      </w:r>
      <w:r w:rsidR="00F94FE2" w:rsidRPr="004F572A">
        <w:rPr>
          <w:sz w:val="22"/>
          <w:szCs w:val="22"/>
        </w:rPr>
        <w:t xml:space="preserve"> gali </w:t>
      </w:r>
      <w:r w:rsidR="00F56BE4">
        <w:rPr>
          <w:sz w:val="22"/>
          <w:szCs w:val="22"/>
        </w:rPr>
        <w:t>prireikti</w:t>
      </w:r>
      <w:r w:rsidR="00F94FE2" w:rsidRPr="004F572A">
        <w:rPr>
          <w:sz w:val="22"/>
          <w:szCs w:val="22"/>
        </w:rPr>
        <w:t xml:space="preserve"> tol</w:t>
      </w:r>
      <w:r w:rsidR="00F56BE4">
        <w:rPr>
          <w:sz w:val="22"/>
          <w:szCs w:val="22"/>
        </w:rPr>
        <w:t>iau koreguoti dozę</w:t>
      </w:r>
      <w:r w:rsidRPr="004F572A">
        <w:rPr>
          <w:sz w:val="22"/>
          <w:szCs w:val="22"/>
        </w:rPr>
        <w:t xml:space="preserve">. Pacientai, sergantys galutinės stadijos inkstų liga, nebuvo tirti, todėl šiems pacientams </w:t>
      </w:r>
      <w:proofErr w:type="spellStart"/>
      <w:r w:rsidRPr="004F572A">
        <w:rPr>
          <w:sz w:val="22"/>
          <w:szCs w:val="22"/>
        </w:rPr>
        <w:t>lenvatinibo</w:t>
      </w:r>
      <w:proofErr w:type="spellEnd"/>
      <w:r w:rsidRPr="004F572A">
        <w:rPr>
          <w:sz w:val="22"/>
          <w:szCs w:val="22"/>
        </w:rPr>
        <w:t xml:space="preserve"> vartoti nerekomenduojama.</w:t>
      </w:r>
    </w:p>
    <w:p w14:paraId="47308F2C" w14:textId="77777777" w:rsidR="0030641A" w:rsidRPr="004F572A" w:rsidRDefault="0030641A" w:rsidP="00DF2642">
      <w:pPr>
        <w:rPr>
          <w:sz w:val="22"/>
          <w:szCs w:val="22"/>
        </w:rPr>
      </w:pPr>
    </w:p>
    <w:p w14:paraId="20930DB4" w14:textId="4FAD5A57" w:rsidR="00F94FE2" w:rsidRPr="004F572A" w:rsidRDefault="00F94FE2" w:rsidP="00F94FE2">
      <w:pPr>
        <w:rPr>
          <w:i/>
          <w:iCs/>
          <w:sz w:val="22"/>
          <w:szCs w:val="22"/>
          <w:u w:val="single"/>
        </w:rPr>
      </w:pPr>
      <w:r w:rsidRPr="004F572A">
        <w:rPr>
          <w:i/>
          <w:iCs/>
          <w:sz w:val="22"/>
          <w:szCs w:val="22"/>
          <w:u w:val="single"/>
        </w:rPr>
        <w:t>Senyv</w:t>
      </w:r>
      <w:r w:rsidR="00F56BE4">
        <w:rPr>
          <w:i/>
          <w:iCs/>
          <w:sz w:val="22"/>
          <w:szCs w:val="22"/>
          <w:u w:val="single"/>
        </w:rPr>
        <w:t>ų</w:t>
      </w:r>
      <w:r w:rsidRPr="004F572A">
        <w:rPr>
          <w:i/>
          <w:iCs/>
          <w:sz w:val="22"/>
          <w:szCs w:val="22"/>
          <w:u w:val="single"/>
        </w:rPr>
        <w:t xml:space="preserve"> žmon</w:t>
      </w:r>
      <w:r w:rsidR="00F56BE4">
        <w:rPr>
          <w:i/>
          <w:iCs/>
          <w:sz w:val="22"/>
          <w:szCs w:val="22"/>
          <w:u w:val="single"/>
        </w:rPr>
        <w:t>ių populiacija</w:t>
      </w:r>
    </w:p>
    <w:p w14:paraId="5749CA76" w14:textId="77777777" w:rsidR="00F94FE2" w:rsidRPr="004F572A" w:rsidRDefault="00F94FE2" w:rsidP="00F94FE2">
      <w:pPr>
        <w:rPr>
          <w:sz w:val="22"/>
          <w:szCs w:val="22"/>
        </w:rPr>
      </w:pPr>
    </w:p>
    <w:p w14:paraId="448175E7" w14:textId="7C7266A8" w:rsidR="00F94FE2" w:rsidRPr="004F572A" w:rsidRDefault="00F56BE4" w:rsidP="00F94FE2">
      <w:pPr>
        <w:rPr>
          <w:sz w:val="22"/>
          <w:szCs w:val="22"/>
        </w:rPr>
      </w:pPr>
      <w:bookmarkStart w:id="7" w:name="_Hlk195942462"/>
      <w:r w:rsidRPr="00F56BE4">
        <w:rPr>
          <w:sz w:val="22"/>
          <w:szCs w:val="22"/>
        </w:rPr>
        <w:t>Pradinės dozės koreguoti remiantis amžiumi nereikia</w:t>
      </w:r>
      <w:bookmarkEnd w:id="7"/>
      <w:r w:rsidR="00F94FE2" w:rsidRPr="004F572A">
        <w:rPr>
          <w:sz w:val="22"/>
          <w:szCs w:val="22"/>
        </w:rPr>
        <w:t>. Duomenų apie vartojimą ≥ 75</w:t>
      </w:r>
      <w:r w:rsidR="00D53FC3">
        <w:rPr>
          <w:sz w:val="22"/>
          <w:szCs w:val="22"/>
        </w:rPr>
        <w:t> </w:t>
      </w:r>
      <w:r w:rsidR="00F94FE2" w:rsidRPr="004F572A">
        <w:rPr>
          <w:sz w:val="22"/>
          <w:szCs w:val="22"/>
        </w:rPr>
        <w:t xml:space="preserve">metų pacientams </w:t>
      </w:r>
      <w:r>
        <w:rPr>
          <w:sz w:val="22"/>
          <w:szCs w:val="22"/>
        </w:rPr>
        <w:t>nepakanka</w:t>
      </w:r>
      <w:r w:rsidR="00F94FE2" w:rsidRPr="004F572A">
        <w:rPr>
          <w:sz w:val="22"/>
          <w:szCs w:val="22"/>
        </w:rPr>
        <w:t xml:space="preserve"> (žr. 4.8 skyrių). </w:t>
      </w:r>
    </w:p>
    <w:p w14:paraId="46538151" w14:textId="77777777" w:rsidR="00F94FE2" w:rsidRPr="004F572A" w:rsidRDefault="00F94FE2" w:rsidP="00F94FE2">
      <w:pPr>
        <w:rPr>
          <w:i/>
          <w:iCs/>
          <w:sz w:val="22"/>
          <w:szCs w:val="22"/>
        </w:rPr>
      </w:pPr>
    </w:p>
    <w:p w14:paraId="3594EBA5" w14:textId="00A7F44B" w:rsidR="00F94FE2" w:rsidRPr="004F572A" w:rsidRDefault="00F94FE2" w:rsidP="00F94FE2">
      <w:pPr>
        <w:rPr>
          <w:i/>
          <w:iCs/>
          <w:sz w:val="22"/>
          <w:szCs w:val="22"/>
          <w:u w:val="single"/>
        </w:rPr>
      </w:pPr>
      <w:r w:rsidRPr="004F572A">
        <w:rPr>
          <w:i/>
          <w:iCs/>
          <w:sz w:val="22"/>
          <w:szCs w:val="22"/>
          <w:u w:val="single"/>
        </w:rPr>
        <w:t>Vaikų populiacija</w:t>
      </w:r>
    </w:p>
    <w:p w14:paraId="36C5F053" w14:textId="77777777" w:rsidR="00F94FE2" w:rsidRPr="004F572A" w:rsidRDefault="00F94FE2" w:rsidP="00F94FE2">
      <w:pPr>
        <w:rPr>
          <w:i/>
          <w:iCs/>
          <w:sz w:val="22"/>
          <w:szCs w:val="22"/>
        </w:rPr>
      </w:pPr>
    </w:p>
    <w:p w14:paraId="640EB454" w14:textId="644A0694" w:rsidR="00F94FE2" w:rsidRPr="004F572A" w:rsidRDefault="00F94FE2" w:rsidP="00F94FE2">
      <w:pPr>
        <w:rPr>
          <w:sz w:val="22"/>
          <w:szCs w:val="22"/>
        </w:rPr>
      </w:pPr>
      <w:proofErr w:type="spellStart"/>
      <w:r w:rsidRPr="004F572A">
        <w:rPr>
          <w:sz w:val="22"/>
          <w:szCs w:val="22"/>
        </w:rPr>
        <w:t>Lenvatinibo</w:t>
      </w:r>
      <w:proofErr w:type="spellEnd"/>
      <w:r w:rsidRPr="004F572A">
        <w:rPr>
          <w:sz w:val="22"/>
          <w:szCs w:val="22"/>
        </w:rPr>
        <w:t xml:space="preserve"> saugumas ir veiksmingumas vaikams nuo 2 iki &lt; 18</w:t>
      </w:r>
      <w:r w:rsidR="00D53FC3">
        <w:rPr>
          <w:sz w:val="22"/>
          <w:szCs w:val="22"/>
        </w:rPr>
        <w:t> </w:t>
      </w:r>
      <w:r w:rsidRPr="004F572A">
        <w:rPr>
          <w:sz w:val="22"/>
          <w:szCs w:val="22"/>
        </w:rPr>
        <w:t xml:space="preserve">metų </w:t>
      </w:r>
      <w:r w:rsidR="00F56BE4">
        <w:rPr>
          <w:sz w:val="22"/>
          <w:szCs w:val="22"/>
        </w:rPr>
        <w:t xml:space="preserve">amžiaus </w:t>
      </w:r>
      <w:r w:rsidRPr="004F572A">
        <w:rPr>
          <w:sz w:val="22"/>
          <w:szCs w:val="22"/>
        </w:rPr>
        <w:t xml:space="preserve">neištirti. Šiuo metu turimi duomenys pateikiami 4.8, 5.1 ir 5.2 skyriuose, tačiau dozavimo rekomendacijų pateikti negalima. </w:t>
      </w:r>
      <w:r w:rsidR="00F56BE4" w:rsidRPr="00F56BE4">
        <w:rPr>
          <w:sz w:val="22"/>
          <w:szCs w:val="22"/>
        </w:rPr>
        <w:t xml:space="preserve">Dėl tyrimais su gyvūnais nustatyto galimo pavojaus saugumui </w:t>
      </w:r>
      <w:proofErr w:type="spellStart"/>
      <w:r w:rsidR="00F56BE4" w:rsidRPr="00F56BE4">
        <w:rPr>
          <w:sz w:val="22"/>
          <w:szCs w:val="22"/>
        </w:rPr>
        <w:t>lenvatinibo</w:t>
      </w:r>
      <w:proofErr w:type="spellEnd"/>
      <w:r w:rsidR="00F56BE4" w:rsidRPr="00F56BE4">
        <w:rPr>
          <w:sz w:val="22"/>
          <w:szCs w:val="22"/>
        </w:rPr>
        <w:t xml:space="preserve"> negalima vartoti jaunesniems nei 2</w:t>
      </w:r>
      <w:r w:rsidR="00D53FC3">
        <w:rPr>
          <w:sz w:val="22"/>
          <w:szCs w:val="22"/>
        </w:rPr>
        <w:t> </w:t>
      </w:r>
      <w:r w:rsidR="00F56BE4" w:rsidRPr="00F56BE4">
        <w:rPr>
          <w:sz w:val="22"/>
          <w:szCs w:val="22"/>
        </w:rPr>
        <w:t>metų vaikams, kadangi yra abejonių dėl saugumo</w:t>
      </w:r>
      <w:r w:rsidR="00F56BE4" w:rsidRPr="00F56BE4" w:rsidDel="00F56BE4">
        <w:rPr>
          <w:sz w:val="22"/>
          <w:szCs w:val="22"/>
        </w:rPr>
        <w:t xml:space="preserve"> </w:t>
      </w:r>
      <w:r w:rsidRPr="004F572A">
        <w:rPr>
          <w:sz w:val="22"/>
          <w:szCs w:val="22"/>
        </w:rPr>
        <w:t>(žr. 5.3 skyrių).</w:t>
      </w:r>
    </w:p>
    <w:p w14:paraId="5D7E5946" w14:textId="77777777" w:rsidR="004D198E" w:rsidRPr="004F572A" w:rsidRDefault="004D198E" w:rsidP="00F94FE2">
      <w:pPr>
        <w:rPr>
          <w:i/>
          <w:iCs/>
          <w:sz w:val="22"/>
          <w:szCs w:val="22"/>
        </w:rPr>
      </w:pPr>
    </w:p>
    <w:p w14:paraId="2328D3E8" w14:textId="7E31F484" w:rsidR="00F94FE2" w:rsidRPr="004F572A" w:rsidRDefault="00F94FE2" w:rsidP="00F94FE2">
      <w:pPr>
        <w:rPr>
          <w:i/>
          <w:iCs/>
          <w:sz w:val="22"/>
          <w:szCs w:val="22"/>
          <w:u w:val="single"/>
        </w:rPr>
      </w:pPr>
      <w:r w:rsidRPr="004F572A">
        <w:rPr>
          <w:i/>
          <w:iCs/>
          <w:sz w:val="22"/>
          <w:szCs w:val="22"/>
          <w:u w:val="single"/>
        </w:rPr>
        <w:t>Rasė</w:t>
      </w:r>
    </w:p>
    <w:p w14:paraId="007BA3B5" w14:textId="77777777" w:rsidR="004D198E" w:rsidRPr="004F572A" w:rsidRDefault="004D198E" w:rsidP="00F94FE2">
      <w:pPr>
        <w:rPr>
          <w:sz w:val="22"/>
          <w:szCs w:val="22"/>
        </w:rPr>
      </w:pPr>
    </w:p>
    <w:p w14:paraId="70563981" w14:textId="4592C833" w:rsidR="00F94FE2" w:rsidRPr="004F572A" w:rsidRDefault="004D198E" w:rsidP="00F94FE2">
      <w:pPr>
        <w:rPr>
          <w:sz w:val="22"/>
          <w:szCs w:val="22"/>
        </w:rPr>
      </w:pPr>
      <w:r w:rsidRPr="004F572A">
        <w:rPr>
          <w:sz w:val="22"/>
          <w:szCs w:val="22"/>
        </w:rPr>
        <w:t>Pradinės dozės koreg</w:t>
      </w:r>
      <w:r w:rsidR="00F56BE4">
        <w:rPr>
          <w:sz w:val="22"/>
          <w:szCs w:val="22"/>
        </w:rPr>
        <w:t>uoti remiantis</w:t>
      </w:r>
      <w:r w:rsidRPr="004F572A">
        <w:rPr>
          <w:sz w:val="22"/>
          <w:szCs w:val="22"/>
        </w:rPr>
        <w:t xml:space="preserve"> ras</w:t>
      </w:r>
      <w:r w:rsidR="00F56BE4">
        <w:rPr>
          <w:sz w:val="22"/>
          <w:szCs w:val="22"/>
        </w:rPr>
        <w:t>e</w:t>
      </w:r>
      <w:r w:rsidRPr="004F572A">
        <w:rPr>
          <w:sz w:val="22"/>
          <w:szCs w:val="22"/>
        </w:rPr>
        <w:t xml:space="preserve"> nereik</w:t>
      </w:r>
      <w:r w:rsidR="00F56BE4">
        <w:rPr>
          <w:sz w:val="22"/>
          <w:szCs w:val="22"/>
        </w:rPr>
        <w:t>i</w:t>
      </w:r>
      <w:r w:rsidRPr="004F572A">
        <w:rPr>
          <w:sz w:val="22"/>
          <w:szCs w:val="22"/>
        </w:rPr>
        <w:t xml:space="preserve">a </w:t>
      </w:r>
      <w:r w:rsidR="00F94FE2" w:rsidRPr="004F572A">
        <w:rPr>
          <w:sz w:val="22"/>
          <w:szCs w:val="22"/>
        </w:rPr>
        <w:t xml:space="preserve">(žr. 5.2 skyrių). Duomenų apie vartojimą pacientams, kurie yra ne europidų ar azijiečių etninės kilmės, </w:t>
      </w:r>
      <w:r w:rsidR="00F56BE4">
        <w:rPr>
          <w:sz w:val="22"/>
          <w:szCs w:val="22"/>
        </w:rPr>
        <w:t>nepakanka</w:t>
      </w:r>
      <w:r w:rsidR="00F94FE2" w:rsidRPr="004F572A">
        <w:rPr>
          <w:sz w:val="22"/>
          <w:szCs w:val="22"/>
        </w:rPr>
        <w:t xml:space="preserve"> (taip pat žr. 4.8 skyri</w:t>
      </w:r>
      <w:r w:rsidRPr="004F572A">
        <w:rPr>
          <w:sz w:val="22"/>
          <w:szCs w:val="22"/>
        </w:rPr>
        <w:t>ų</w:t>
      </w:r>
      <w:r w:rsidR="00F94FE2" w:rsidRPr="004F572A">
        <w:rPr>
          <w:sz w:val="22"/>
          <w:szCs w:val="22"/>
        </w:rPr>
        <w:t>).</w:t>
      </w:r>
    </w:p>
    <w:p w14:paraId="4096DD00" w14:textId="77777777" w:rsidR="00AB6065" w:rsidRPr="004F572A" w:rsidRDefault="00AB6065" w:rsidP="00F94FE2">
      <w:pPr>
        <w:rPr>
          <w:sz w:val="22"/>
          <w:szCs w:val="22"/>
        </w:rPr>
      </w:pPr>
    </w:p>
    <w:p w14:paraId="36E8FBFB" w14:textId="4DC95A37" w:rsidR="00F94FE2" w:rsidRPr="004F572A" w:rsidRDefault="00F94FE2" w:rsidP="00F94FE2">
      <w:pPr>
        <w:rPr>
          <w:sz w:val="22"/>
          <w:szCs w:val="22"/>
          <w:u w:val="single"/>
        </w:rPr>
      </w:pPr>
      <w:r w:rsidRPr="004F572A">
        <w:rPr>
          <w:sz w:val="22"/>
          <w:szCs w:val="22"/>
          <w:u w:val="single"/>
        </w:rPr>
        <w:t>Vartojimo metodas</w:t>
      </w:r>
    </w:p>
    <w:p w14:paraId="28021CC5" w14:textId="77777777" w:rsidR="00B83E94" w:rsidRPr="004F572A" w:rsidRDefault="00B83E94" w:rsidP="00AB6065">
      <w:pPr>
        <w:rPr>
          <w:sz w:val="22"/>
          <w:szCs w:val="22"/>
        </w:rPr>
      </w:pPr>
    </w:p>
    <w:p w14:paraId="57FBEEA0" w14:textId="3F45B2E3" w:rsidR="00AB6065" w:rsidRPr="004F572A" w:rsidRDefault="00F94FE2" w:rsidP="00AB6065">
      <w:pPr>
        <w:rPr>
          <w:sz w:val="22"/>
          <w:szCs w:val="22"/>
        </w:rPr>
      </w:pPr>
      <w:proofErr w:type="spellStart"/>
      <w:r w:rsidRPr="004F572A">
        <w:rPr>
          <w:sz w:val="22"/>
          <w:szCs w:val="22"/>
        </w:rPr>
        <w:t>Lenvatinibas</w:t>
      </w:r>
      <w:proofErr w:type="spellEnd"/>
      <w:r w:rsidRPr="004F572A">
        <w:rPr>
          <w:sz w:val="22"/>
          <w:szCs w:val="22"/>
        </w:rPr>
        <w:t xml:space="preserve"> skirtas vartoti per burną.</w:t>
      </w:r>
      <w:r w:rsidR="00AB6065" w:rsidRPr="004F572A">
        <w:rPr>
          <w:sz w:val="22"/>
          <w:szCs w:val="22"/>
        </w:rPr>
        <w:t xml:space="preserve"> Kapsules reikia vartoti kasdien maždaug tuo </w:t>
      </w:r>
      <w:r w:rsidR="00F56BE4">
        <w:rPr>
          <w:sz w:val="22"/>
          <w:szCs w:val="22"/>
        </w:rPr>
        <w:t>pat metu</w:t>
      </w:r>
      <w:r w:rsidR="00AB6065" w:rsidRPr="004F572A">
        <w:rPr>
          <w:sz w:val="22"/>
          <w:szCs w:val="22"/>
        </w:rPr>
        <w:t xml:space="preserve">, valgio metu arba </w:t>
      </w:r>
      <w:r w:rsidR="00F56BE4">
        <w:rPr>
          <w:sz w:val="22"/>
          <w:szCs w:val="22"/>
        </w:rPr>
        <w:t>nevalgius</w:t>
      </w:r>
      <w:r w:rsidR="00AB6065" w:rsidRPr="004F572A">
        <w:rPr>
          <w:sz w:val="22"/>
          <w:szCs w:val="22"/>
        </w:rPr>
        <w:t xml:space="preserve"> (žr.</w:t>
      </w:r>
      <w:r w:rsidR="00F56BE4">
        <w:rPr>
          <w:sz w:val="22"/>
          <w:szCs w:val="22"/>
        </w:rPr>
        <w:t xml:space="preserve"> </w:t>
      </w:r>
      <w:r w:rsidR="00AB6065" w:rsidRPr="004F572A">
        <w:rPr>
          <w:sz w:val="22"/>
          <w:szCs w:val="22"/>
        </w:rPr>
        <w:t xml:space="preserve">5.2 skyrių). </w:t>
      </w:r>
      <w:r w:rsidR="00F56BE4">
        <w:rPr>
          <w:sz w:val="22"/>
          <w:szCs w:val="22"/>
        </w:rPr>
        <w:t>Globėjai</w:t>
      </w:r>
      <w:r w:rsidR="00AB6065" w:rsidRPr="004F572A">
        <w:rPr>
          <w:sz w:val="22"/>
          <w:szCs w:val="22"/>
        </w:rPr>
        <w:t xml:space="preserve"> turi neat</w:t>
      </w:r>
      <w:r w:rsidR="00F56BE4">
        <w:rPr>
          <w:sz w:val="22"/>
          <w:szCs w:val="22"/>
        </w:rPr>
        <w:t>idaryti</w:t>
      </w:r>
      <w:r w:rsidR="00AB6065" w:rsidRPr="004F572A">
        <w:rPr>
          <w:sz w:val="22"/>
          <w:szCs w:val="22"/>
        </w:rPr>
        <w:t xml:space="preserve"> kapsulės, kad </w:t>
      </w:r>
      <w:r w:rsidR="00F56BE4">
        <w:rPr>
          <w:sz w:val="22"/>
          <w:szCs w:val="22"/>
        </w:rPr>
        <w:t xml:space="preserve">būtų </w:t>
      </w:r>
      <w:r w:rsidR="00AB6065" w:rsidRPr="004F572A">
        <w:rPr>
          <w:sz w:val="22"/>
          <w:szCs w:val="22"/>
        </w:rPr>
        <w:t>išvengt</w:t>
      </w:r>
      <w:r w:rsidR="00F56BE4">
        <w:rPr>
          <w:sz w:val="22"/>
          <w:szCs w:val="22"/>
        </w:rPr>
        <w:t>a</w:t>
      </w:r>
      <w:r w:rsidR="00AB6065" w:rsidRPr="004F572A">
        <w:rPr>
          <w:sz w:val="22"/>
          <w:szCs w:val="22"/>
        </w:rPr>
        <w:t xml:space="preserve"> pakartotinės kapsulės turinio ekspozicijos.</w:t>
      </w:r>
    </w:p>
    <w:p w14:paraId="388B6114" w14:textId="77777777" w:rsidR="00AB6065" w:rsidRPr="004F572A" w:rsidRDefault="00AB6065" w:rsidP="00AB6065">
      <w:pPr>
        <w:rPr>
          <w:sz w:val="22"/>
          <w:szCs w:val="22"/>
        </w:rPr>
      </w:pPr>
    </w:p>
    <w:p w14:paraId="17AFB4A4" w14:textId="1FF342A4" w:rsidR="00AB6065" w:rsidRPr="004F572A" w:rsidRDefault="00AB6065" w:rsidP="008F6A26">
      <w:pPr>
        <w:rPr>
          <w:sz w:val="22"/>
          <w:szCs w:val="22"/>
        </w:rPr>
      </w:pPr>
      <w:proofErr w:type="spellStart"/>
      <w:r w:rsidRPr="004F572A">
        <w:rPr>
          <w:sz w:val="22"/>
          <w:szCs w:val="22"/>
        </w:rPr>
        <w:t>Lenvatinibo</w:t>
      </w:r>
      <w:proofErr w:type="spellEnd"/>
      <w:r w:rsidRPr="004F572A">
        <w:rPr>
          <w:sz w:val="22"/>
          <w:szCs w:val="22"/>
        </w:rPr>
        <w:t xml:space="preserve"> kapsul</w:t>
      </w:r>
      <w:r w:rsidR="00F56BE4">
        <w:rPr>
          <w:sz w:val="22"/>
          <w:szCs w:val="22"/>
        </w:rPr>
        <w:t>ę</w:t>
      </w:r>
      <w:r w:rsidRPr="004F572A">
        <w:rPr>
          <w:sz w:val="22"/>
          <w:szCs w:val="22"/>
        </w:rPr>
        <w:t xml:space="preserve"> galima </w:t>
      </w:r>
      <w:r w:rsidR="00F56BE4">
        <w:rPr>
          <w:sz w:val="22"/>
          <w:szCs w:val="22"/>
        </w:rPr>
        <w:t>praryti visą,</w:t>
      </w:r>
      <w:r w:rsidRPr="004F572A">
        <w:rPr>
          <w:sz w:val="22"/>
          <w:szCs w:val="22"/>
        </w:rPr>
        <w:t xml:space="preserve"> užgeriant vandeniu</w:t>
      </w:r>
      <w:r w:rsidR="008F6A26">
        <w:rPr>
          <w:sz w:val="22"/>
          <w:szCs w:val="22"/>
        </w:rPr>
        <w:t>.</w:t>
      </w:r>
      <w:r w:rsidR="008F6A26" w:rsidRPr="008F6A26">
        <w:t xml:space="preserve"> </w:t>
      </w:r>
      <w:r w:rsidR="008F6A26" w:rsidRPr="008F6A26">
        <w:rPr>
          <w:sz w:val="22"/>
          <w:szCs w:val="22"/>
        </w:rPr>
        <w:t xml:space="preserve">Pacientams, kuriems sunku nuryti, reikėtų vartoti kitus vaistinius preparatus, kurių sudėtyje yra </w:t>
      </w:r>
      <w:proofErr w:type="spellStart"/>
      <w:r w:rsidR="008F6A26" w:rsidRPr="008F6A26">
        <w:rPr>
          <w:sz w:val="22"/>
          <w:szCs w:val="22"/>
        </w:rPr>
        <w:t>lenvatinibo</w:t>
      </w:r>
      <w:proofErr w:type="spellEnd"/>
      <w:r w:rsidR="008F6A26" w:rsidRPr="008F6A26">
        <w:rPr>
          <w:sz w:val="22"/>
          <w:szCs w:val="22"/>
        </w:rPr>
        <w:t>.</w:t>
      </w:r>
    </w:p>
    <w:p w14:paraId="6C23BFED" w14:textId="77777777" w:rsidR="00E14AB9" w:rsidRPr="004F572A" w:rsidRDefault="00E14AB9" w:rsidP="00AB6065">
      <w:pPr>
        <w:rPr>
          <w:sz w:val="22"/>
          <w:szCs w:val="22"/>
        </w:rPr>
      </w:pPr>
    </w:p>
    <w:p w14:paraId="60E25191" w14:textId="08804BA8" w:rsidR="0030641A" w:rsidRPr="004F572A" w:rsidRDefault="00AB6065" w:rsidP="00AB6065">
      <w:pPr>
        <w:rPr>
          <w:sz w:val="22"/>
          <w:szCs w:val="22"/>
        </w:rPr>
      </w:pPr>
      <w:r w:rsidRPr="004F572A">
        <w:rPr>
          <w:sz w:val="22"/>
          <w:szCs w:val="22"/>
        </w:rPr>
        <w:t xml:space="preserve">Kaip </w:t>
      </w:r>
      <w:r w:rsidR="00E14AB9" w:rsidRPr="004F572A">
        <w:rPr>
          <w:sz w:val="22"/>
          <w:szCs w:val="22"/>
        </w:rPr>
        <w:t>vartoti</w:t>
      </w:r>
      <w:r w:rsidRPr="004F572A">
        <w:rPr>
          <w:sz w:val="22"/>
          <w:szCs w:val="22"/>
        </w:rPr>
        <w:t xml:space="preserve"> kartu su </w:t>
      </w:r>
      <w:proofErr w:type="spellStart"/>
      <w:r w:rsidRPr="004F572A">
        <w:rPr>
          <w:sz w:val="22"/>
          <w:szCs w:val="22"/>
        </w:rPr>
        <w:t>pembrolizumabu</w:t>
      </w:r>
      <w:proofErr w:type="spellEnd"/>
      <w:r w:rsidRPr="004F572A">
        <w:rPr>
          <w:sz w:val="22"/>
          <w:szCs w:val="22"/>
        </w:rPr>
        <w:t xml:space="preserve">, žr. </w:t>
      </w:r>
      <w:proofErr w:type="spellStart"/>
      <w:r w:rsidRPr="004F572A">
        <w:rPr>
          <w:sz w:val="22"/>
          <w:szCs w:val="22"/>
        </w:rPr>
        <w:t>pembrolizumabo</w:t>
      </w:r>
      <w:proofErr w:type="spellEnd"/>
      <w:r w:rsidRPr="004F572A">
        <w:rPr>
          <w:sz w:val="22"/>
          <w:szCs w:val="22"/>
        </w:rPr>
        <w:t xml:space="preserve"> preparato charakteristikų santrauką</w:t>
      </w:r>
      <w:r w:rsidR="00E14AB9" w:rsidRPr="004F572A">
        <w:rPr>
          <w:sz w:val="22"/>
          <w:szCs w:val="22"/>
        </w:rPr>
        <w:t>.</w:t>
      </w:r>
    </w:p>
    <w:p w14:paraId="5C3B0394" w14:textId="77777777" w:rsidR="000928CA" w:rsidRPr="004F572A" w:rsidRDefault="000928CA" w:rsidP="000928CA">
      <w:pPr>
        <w:rPr>
          <w:sz w:val="22"/>
          <w:szCs w:val="22"/>
        </w:rPr>
      </w:pPr>
    </w:p>
    <w:p w14:paraId="5F05292B" w14:textId="77777777" w:rsidR="000928CA" w:rsidRPr="004F572A" w:rsidRDefault="000928CA" w:rsidP="000928CA">
      <w:pPr>
        <w:pStyle w:val="Antrat4"/>
        <w:rPr>
          <w:rFonts w:ascii="Times New Roman" w:hAnsi="Times New Roman"/>
          <w:sz w:val="22"/>
          <w:szCs w:val="22"/>
          <w:lang w:val="lt-LT"/>
        </w:rPr>
      </w:pPr>
      <w:r w:rsidRPr="004F572A">
        <w:rPr>
          <w:rFonts w:ascii="Times New Roman" w:hAnsi="Times New Roman" w:cs="Times New Roman"/>
          <w:sz w:val="22"/>
          <w:szCs w:val="22"/>
          <w:lang w:val="lt-LT"/>
        </w:rPr>
        <w:t xml:space="preserve">4.3 </w:t>
      </w:r>
      <w:r w:rsidRPr="004F572A">
        <w:rPr>
          <w:rFonts w:ascii="Times New Roman" w:hAnsi="Times New Roman" w:cs="Times New Roman"/>
          <w:sz w:val="22"/>
          <w:szCs w:val="22"/>
          <w:lang w:val="lt-LT"/>
        </w:rPr>
        <w:tab/>
        <w:t>Kontraindikacijos</w:t>
      </w:r>
    </w:p>
    <w:p w14:paraId="64093FBE" w14:textId="77777777" w:rsidR="000928CA" w:rsidRPr="004F572A" w:rsidRDefault="000928CA" w:rsidP="000928CA">
      <w:pPr>
        <w:rPr>
          <w:sz w:val="22"/>
          <w:szCs w:val="22"/>
        </w:rPr>
      </w:pPr>
    </w:p>
    <w:p w14:paraId="7FF91937" w14:textId="4AF75FD6" w:rsidR="000928CA" w:rsidRPr="004F572A" w:rsidRDefault="00E14AB9" w:rsidP="000928CA">
      <w:pPr>
        <w:rPr>
          <w:sz w:val="22"/>
          <w:szCs w:val="22"/>
        </w:rPr>
      </w:pPr>
      <w:r w:rsidRPr="004F572A">
        <w:rPr>
          <w:sz w:val="22"/>
          <w:szCs w:val="22"/>
        </w:rPr>
        <w:t>Padidėjęs jautrumas veikliajai arba bet kuriai 6.1 skyriuje nurodytai pagalbinei medžiagai.</w:t>
      </w:r>
      <w:r w:rsidRPr="004F572A">
        <w:rPr>
          <w:sz w:val="22"/>
          <w:szCs w:val="22"/>
        </w:rPr>
        <w:cr/>
        <w:t>Žindymas (žr. 4.6 skyrių).</w:t>
      </w:r>
    </w:p>
    <w:p w14:paraId="203FF850" w14:textId="77777777" w:rsidR="000928CA" w:rsidRPr="004F572A" w:rsidRDefault="000928CA" w:rsidP="000928CA">
      <w:pPr>
        <w:rPr>
          <w:sz w:val="22"/>
          <w:szCs w:val="22"/>
        </w:rPr>
      </w:pPr>
    </w:p>
    <w:p w14:paraId="5125CB29" w14:textId="77777777" w:rsidR="000928CA" w:rsidRPr="004F572A" w:rsidRDefault="000928CA" w:rsidP="000928CA">
      <w:pPr>
        <w:pStyle w:val="Antrat4"/>
        <w:rPr>
          <w:rFonts w:ascii="Times New Roman" w:hAnsi="Times New Roman"/>
          <w:sz w:val="22"/>
          <w:szCs w:val="22"/>
          <w:lang w:val="lt-LT"/>
        </w:rPr>
      </w:pPr>
      <w:r w:rsidRPr="004F572A">
        <w:rPr>
          <w:rFonts w:ascii="Times New Roman" w:hAnsi="Times New Roman" w:cs="Times New Roman"/>
          <w:sz w:val="22"/>
          <w:szCs w:val="22"/>
          <w:lang w:val="lt-LT"/>
        </w:rPr>
        <w:t xml:space="preserve">4.4 </w:t>
      </w:r>
      <w:r w:rsidRPr="004F572A">
        <w:rPr>
          <w:rFonts w:ascii="Times New Roman" w:hAnsi="Times New Roman" w:cs="Times New Roman"/>
          <w:sz w:val="22"/>
          <w:szCs w:val="22"/>
          <w:lang w:val="lt-LT"/>
        </w:rPr>
        <w:tab/>
        <w:t>Specialūs įspėjimai ir atsargumo priemonės</w:t>
      </w:r>
    </w:p>
    <w:p w14:paraId="31EFC348" w14:textId="77777777" w:rsidR="000928CA" w:rsidRPr="004F572A" w:rsidRDefault="000928CA" w:rsidP="000928CA">
      <w:pPr>
        <w:rPr>
          <w:sz w:val="22"/>
          <w:szCs w:val="22"/>
        </w:rPr>
      </w:pPr>
    </w:p>
    <w:p w14:paraId="680A6813" w14:textId="77777777" w:rsidR="00B17652" w:rsidRPr="004F572A" w:rsidRDefault="00B17652" w:rsidP="00B17652">
      <w:pPr>
        <w:rPr>
          <w:sz w:val="22"/>
          <w:szCs w:val="22"/>
          <w:u w:val="single"/>
        </w:rPr>
      </w:pPr>
      <w:r w:rsidRPr="004F572A">
        <w:rPr>
          <w:sz w:val="22"/>
          <w:szCs w:val="22"/>
          <w:u w:val="single"/>
        </w:rPr>
        <w:t>Hipertenzija</w:t>
      </w:r>
    </w:p>
    <w:p w14:paraId="3E97ACF3" w14:textId="77777777" w:rsidR="00B17652" w:rsidRPr="004F572A" w:rsidRDefault="00B17652" w:rsidP="00B17652">
      <w:pPr>
        <w:rPr>
          <w:sz w:val="22"/>
          <w:szCs w:val="22"/>
        </w:rPr>
      </w:pPr>
    </w:p>
    <w:p w14:paraId="29AC845C" w14:textId="1C7F85BD" w:rsidR="00B17652" w:rsidRPr="004F572A" w:rsidRDefault="00B17652" w:rsidP="00B17652">
      <w:pPr>
        <w:rPr>
          <w:sz w:val="22"/>
          <w:szCs w:val="22"/>
        </w:rPr>
      </w:pPr>
      <w:proofErr w:type="spellStart"/>
      <w:r w:rsidRPr="004F572A">
        <w:rPr>
          <w:sz w:val="22"/>
          <w:szCs w:val="22"/>
        </w:rPr>
        <w:t>Lenvatinibu</w:t>
      </w:r>
      <w:proofErr w:type="spellEnd"/>
      <w:r w:rsidRPr="004F572A">
        <w:rPr>
          <w:sz w:val="22"/>
          <w:szCs w:val="22"/>
        </w:rPr>
        <w:t xml:space="preserve"> gydomiems pacientams nustatyta hipertenzija, paprastai pasireiškianti </w:t>
      </w:r>
      <w:r w:rsidR="00336FFE" w:rsidRPr="004F572A">
        <w:rPr>
          <w:sz w:val="22"/>
          <w:szCs w:val="22"/>
        </w:rPr>
        <w:t>ankst</w:t>
      </w:r>
      <w:r w:rsidR="00420362">
        <w:rPr>
          <w:sz w:val="22"/>
          <w:szCs w:val="22"/>
        </w:rPr>
        <w:t>i</w:t>
      </w:r>
      <w:r w:rsidR="00336FFE" w:rsidRPr="004F572A">
        <w:rPr>
          <w:sz w:val="22"/>
          <w:szCs w:val="22"/>
        </w:rPr>
        <w:t xml:space="preserve"> gydymo </w:t>
      </w:r>
      <w:r w:rsidR="00420362">
        <w:rPr>
          <w:sz w:val="22"/>
          <w:szCs w:val="22"/>
        </w:rPr>
        <w:t>eigoje</w:t>
      </w:r>
      <w:r w:rsidR="00420362" w:rsidRPr="004F572A">
        <w:rPr>
          <w:sz w:val="22"/>
          <w:szCs w:val="22"/>
        </w:rPr>
        <w:t xml:space="preserve"> </w:t>
      </w:r>
      <w:r w:rsidRPr="004F572A">
        <w:rPr>
          <w:sz w:val="22"/>
          <w:szCs w:val="22"/>
        </w:rPr>
        <w:t xml:space="preserve">(žr. 4.8 skyrių). </w:t>
      </w:r>
      <w:r w:rsidR="00420362" w:rsidRPr="00420362">
        <w:rPr>
          <w:sz w:val="22"/>
          <w:szCs w:val="22"/>
        </w:rPr>
        <w:t xml:space="preserve">Kraujospūdį (KS) reikia tinkamai kontroliuoti prieš pradedant gydymą </w:t>
      </w:r>
      <w:proofErr w:type="spellStart"/>
      <w:r w:rsidR="00420362" w:rsidRPr="00420362">
        <w:rPr>
          <w:sz w:val="22"/>
          <w:szCs w:val="22"/>
        </w:rPr>
        <w:t>lenvatinibu</w:t>
      </w:r>
      <w:proofErr w:type="spellEnd"/>
      <w:r w:rsidRPr="004F572A">
        <w:rPr>
          <w:sz w:val="22"/>
          <w:szCs w:val="22"/>
        </w:rPr>
        <w:t xml:space="preserve"> ir, jei pacientams yra hipertenzija, mažiausiai 1 savaitę iki gydymo </w:t>
      </w:r>
      <w:proofErr w:type="spellStart"/>
      <w:r w:rsidRPr="004F572A">
        <w:rPr>
          <w:sz w:val="22"/>
          <w:szCs w:val="22"/>
        </w:rPr>
        <w:t>lenvatinibu</w:t>
      </w:r>
      <w:proofErr w:type="spellEnd"/>
      <w:r w:rsidRPr="004F572A">
        <w:rPr>
          <w:sz w:val="22"/>
          <w:szCs w:val="22"/>
        </w:rPr>
        <w:t xml:space="preserve"> jiems reikia vartoti stabilią </w:t>
      </w:r>
      <w:proofErr w:type="spellStart"/>
      <w:r w:rsidRPr="004F572A">
        <w:rPr>
          <w:sz w:val="22"/>
          <w:szCs w:val="22"/>
        </w:rPr>
        <w:t>antihipertenzinio</w:t>
      </w:r>
      <w:proofErr w:type="spellEnd"/>
      <w:r w:rsidRPr="004F572A">
        <w:rPr>
          <w:sz w:val="22"/>
          <w:szCs w:val="22"/>
        </w:rPr>
        <w:t xml:space="preserve"> vaistinio preparato dozę. </w:t>
      </w:r>
      <w:r w:rsidR="00420362">
        <w:rPr>
          <w:sz w:val="22"/>
          <w:szCs w:val="22"/>
        </w:rPr>
        <w:t>P</w:t>
      </w:r>
      <w:r w:rsidR="00336FFE" w:rsidRPr="004F572A">
        <w:rPr>
          <w:sz w:val="22"/>
          <w:szCs w:val="22"/>
        </w:rPr>
        <w:t>raneš</w:t>
      </w:r>
      <w:r w:rsidR="00420362">
        <w:rPr>
          <w:sz w:val="22"/>
          <w:szCs w:val="22"/>
        </w:rPr>
        <w:t>ta</w:t>
      </w:r>
      <w:r w:rsidR="00336FFE" w:rsidRPr="004F572A">
        <w:rPr>
          <w:sz w:val="22"/>
          <w:szCs w:val="22"/>
        </w:rPr>
        <w:t xml:space="preserve"> sunki</w:t>
      </w:r>
      <w:r w:rsidR="00420362">
        <w:rPr>
          <w:sz w:val="22"/>
          <w:szCs w:val="22"/>
        </w:rPr>
        <w:t>ų</w:t>
      </w:r>
      <w:r w:rsidRPr="004F572A">
        <w:rPr>
          <w:sz w:val="22"/>
          <w:szCs w:val="22"/>
        </w:rPr>
        <w:t xml:space="preserve"> komplikacij</w:t>
      </w:r>
      <w:r w:rsidR="00420362">
        <w:rPr>
          <w:sz w:val="22"/>
          <w:szCs w:val="22"/>
        </w:rPr>
        <w:t>ų</w:t>
      </w:r>
      <w:r w:rsidRPr="004F572A">
        <w:rPr>
          <w:sz w:val="22"/>
          <w:szCs w:val="22"/>
        </w:rPr>
        <w:t xml:space="preserve"> dėl prastai suvaldytos hipertenzijos, įskaitant aortos </w:t>
      </w:r>
      <w:proofErr w:type="spellStart"/>
      <w:r w:rsidRPr="004F572A">
        <w:rPr>
          <w:sz w:val="22"/>
          <w:szCs w:val="22"/>
        </w:rPr>
        <w:t>disek</w:t>
      </w:r>
      <w:r w:rsidR="00180041" w:rsidRPr="004F572A">
        <w:rPr>
          <w:sz w:val="22"/>
          <w:szCs w:val="22"/>
        </w:rPr>
        <w:t>a</w:t>
      </w:r>
      <w:r w:rsidRPr="004F572A">
        <w:rPr>
          <w:sz w:val="22"/>
          <w:szCs w:val="22"/>
        </w:rPr>
        <w:t>ciją</w:t>
      </w:r>
      <w:proofErr w:type="spellEnd"/>
      <w:r w:rsidRPr="004F572A">
        <w:rPr>
          <w:sz w:val="22"/>
          <w:szCs w:val="22"/>
        </w:rPr>
        <w:t xml:space="preserve">. Svarbu hipertenziją anksti aptikti ir veiksmingai gydyti, kad </w:t>
      </w:r>
      <w:r w:rsidR="00420362">
        <w:rPr>
          <w:sz w:val="22"/>
          <w:szCs w:val="22"/>
        </w:rPr>
        <w:t xml:space="preserve">būtų </w:t>
      </w:r>
      <w:r w:rsidR="00336FFE" w:rsidRPr="004F572A">
        <w:rPr>
          <w:sz w:val="22"/>
          <w:szCs w:val="22"/>
        </w:rPr>
        <w:t>sumažint</w:t>
      </w:r>
      <w:r w:rsidR="00420362">
        <w:rPr>
          <w:sz w:val="22"/>
          <w:szCs w:val="22"/>
        </w:rPr>
        <w:t>a</w:t>
      </w:r>
      <w:r w:rsidR="00336FFE" w:rsidRPr="004F572A">
        <w:rPr>
          <w:sz w:val="22"/>
          <w:szCs w:val="22"/>
        </w:rPr>
        <w:t xml:space="preserve"> </w:t>
      </w:r>
      <w:r w:rsidR="00420362" w:rsidRPr="00420362">
        <w:rPr>
          <w:sz w:val="22"/>
          <w:szCs w:val="22"/>
        </w:rPr>
        <w:t xml:space="preserve">būtinybė laikinai sustabdyti </w:t>
      </w:r>
      <w:proofErr w:type="spellStart"/>
      <w:r w:rsidR="00420362" w:rsidRPr="00420362">
        <w:rPr>
          <w:sz w:val="22"/>
          <w:szCs w:val="22"/>
        </w:rPr>
        <w:t>lenvatinibo</w:t>
      </w:r>
      <w:proofErr w:type="spellEnd"/>
      <w:r w:rsidR="00420362" w:rsidRPr="00420362">
        <w:rPr>
          <w:sz w:val="22"/>
          <w:szCs w:val="22"/>
        </w:rPr>
        <w:t xml:space="preserve"> vartojimą ir mažinti dozę</w:t>
      </w:r>
      <w:r w:rsidRPr="004F572A">
        <w:rPr>
          <w:sz w:val="22"/>
          <w:szCs w:val="22"/>
        </w:rPr>
        <w:t xml:space="preserve">. Gydymą </w:t>
      </w:r>
      <w:proofErr w:type="spellStart"/>
      <w:r w:rsidRPr="004F572A">
        <w:rPr>
          <w:sz w:val="22"/>
          <w:szCs w:val="22"/>
        </w:rPr>
        <w:t>antihipertenziniais</w:t>
      </w:r>
      <w:proofErr w:type="spellEnd"/>
      <w:r w:rsidRPr="004F572A">
        <w:rPr>
          <w:sz w:val="22"/>
          <w:szCs w:val="22"/>
        </w:rPr>
        <w:t xml:space="preserve"> vaistiniais preparatais reikia pradėti, kai tik patvirtinamas padidėjęs KS</w:t>
      </w:r>
      <w:r w:rsidR="00336FFE" w:rsidRPr="004F572A">
        <w:rPr>
          <w:sz w:val="22"/>
          <w:szCs w:val="22"/>
        </w:rPr>
        <w:t>. KS</w:t>
      </w:r>
      <w:r w:rsidRPr="004F572A">
        <w:rPr>
          <w:sz w:val="22"/>
          <w:szCs w:val="22"/>
        </w:rPr>
        <w:t xml:space="preserve"> reikia tikrinti praėjus 1 savaitei nuo gydymo </w:t>
      </w:r>
      <w:proofErr w:type="spellStart"/>
      <w:r w:rsidRPr="004F572A">
        <w:rPr>
          <w:sz w:val="22"/>
          <w:szCs w:val="22"/>
        </w:rPr>
        <w:t>lenvatinibu</w:t>
      </w:r>
      <w:proofErr w:type="spellEnd"/>
      <w:r w:rsidRPr="004F572A">
        <w:rPr>
          <w:sz w:val="22"/>
          <w:szCs w:val="22"/>
        </w:rPr>
        <w:t xml:space="preserve"> pradžios, po to pirmuosius 2</w:t>
      </w:r>
      <w:r w:rsidR="00D53FC3">
        <w:rPr>
          <w:sz w:val="22"/>
          <w:szCs w:val="22"/>
        </w:rPr>
        <w:t> </w:t>
      </w:r>
      <w:r w:rsidRPr="004F572A">
        <w:rPr>
          <w:sz w:val="22"/>
          <w:szCs w:val="22"/>
        </w:rPr>
        <w:t>mėnesius kas 2</w:t>
      </w:r>
      <w:r w:rsidR="00D53FC3">
        <w:rPr>
          <w:sz w:val="22"/>
          <w:szCs w:val="22"/>
        </w:rPr>
        <w:t> </w:t>
      </w:r>
      <w:r w:rsidRPr="004F572A">
        <w:rPr>
          <w:sz w:val="22"/>
          <w:szCs w:val="22"/>
        </w:rPr>
        <w:t xml:space="preserve">savaites, </w:t>
      </w:r>
      <w:r w:rsidR="00420362">
        <w:rPr>
          <w:sz w:val="22"/>
          <w:szCs w:val="22"/>
        </w:rPr>
        <w:t>po to</w:t>
      </w:r>
      <w:r w:rsidR="00420362" w:rsidRPr="004F572A">
        <w:rPr>
          <w:sz w:val="22"/>
          <w:szCs w:val="22"/>
        </w:rPr>
        <w:t xml:space="preserve"> </w:t>
      </w:r>
      <w:r w:rsidRPr="004F572A">
        <w:rPr>
          <w:sz w:val="22"/>
          <w:szCs w:val="22"/>
        </w:rPr>
        <w:t xml:space="preserve">kas mėnesį. </w:t>
      </w:r>
      <w:proofErr w:type="spellStart"/>
      <w:r w:rsidRPr="004F572A">
        <w:rPr>
          <w:sz w:val="22"/>
          <w:szCs w:val="22"/>
        </w:rPr>
        <w:t>Antihipertenzinis</w:t>
      </w:r>
      <w:proofErr w:type="spellEnd"/>
      <w:r w:rsidRPr="004F572A">
        <w:rPr>
          <w:sz w:val="22"/>
          <w:szCs w:val="22"/>
        </w:rPr>
        <w:t xml:space="preserve"> gydymas turi būti parenkamas individualiai pagal paciento klinikinę būklę ir </w:t>
      </w:r>
      <w:r w:rsidR="00420362">
        <w:rPr>
          <w:sz w:val="22"/>
          <w:szCs w:val="22"/>
        </w:rPr>
        <w:t>turi atitikti</w:t>
      </w:r>
      <w:r w:rsidR="00420362" w:rsidRPr="004F572A">
        <w:rPr>
          <w:sz w:val="22"/>
          <w:szCs w:val="22"/>
        </w:rPr>
        <w:t xml:space="preserve"> </w:t>
      </w:r>
      <w:r w:rsidRPr="004F572A">
        <w:rPr>
          <w:sz w:val="22"/>
          <w:szCs w:val="22"/>
        </w:rPr>
        <w:t>standartin</w:t>
      </w:r>
      <w:r w:rsidR="00420362">
        <w:rPr>
          <w:sz w:val="22"/>
          <w:szCs w:val="22"/>
        </w:rPr>
        <w:t>ę</w:t>
      </w:r>
      <w:r w:rsidRPr="004F572A">
        <w:rPr>
          <w:sz w:val="22"/>
          <w:szCs w:val="22"/>
        </w:rPr>
        <w:t xml:space="preserve"> medicin</w:t>
      </w:r>
      <w:r w:rsidR="00420362">
        <w:rPr>
          <w:sz w:val="22"/>
          <w:szCs w:val="22"/>
        </w:rPr>
        <w:t>inę</w:t>
      </w:r>
      <w:r w:rsidRPr="004F572A">
        <w:rPr>
          <w:sz w:val="22"/>
          <w:szCs w:val="22"/>
        </w:rPr>
        <w:t xml:space="preserve"> praktik</w:t>
      </w:r>
      <w:r w:rsidR="00420362">
        <w:rPr>
          <w:sz w:val="22"/>
          <w:szCs w:val="22"/>
        </w:rPr>
        <w:t>ą</w:t>
      </w:r>
      <w:r w:rsidRPr="004F572A">
        <w:rPr>
          <w:sz w:val="22"/>
          <w:szCs w:val="22"/>
        </w:rPr>
        <w:t xml:space="preserve">. </w:t>
      </w:r>
      <w:r w:rsidR="00420362">
        <w:rPr>
          <w:sz w:val="22"/>
          <w:szCs w:val="22"/>
        </w:rPr>
        <w:t>Tiriamiesiems</w:t>
      </w:r>
      <w:r w:rsidRPr="004F572A">
        <w:rPr>
          <w:sz w:val="22"/>
          <w:szCs w:val="22"/>
        </w:rPr>
        <w:t>, kurių kraujo</w:t>
      </w:r>
      <w:r w:rsidR="00FF2A4E" w:rsidRPr="004F572A">
        <w:rPr>
          <w:sz w:val="22"/>
          <w:szCs w:val="22"/>
        </w:rPr>
        <w:t xml:space="preserve"> spaudimas</w:t>
      </w:r>
      <w:r w:rsidRPr="004F572A">
        <w:rPr>
          <w:sz w:val="22"/>
          <w:szCs w:val="22"/>
        </w:rPr>
        <w:t xml:space="preserve"> anksčiau buvo normalus, pastebėjus padidėjusį KS, reikia pradėti </w:t>
      </w:r>
      <w:proofErr w:type="spellStart"/>
      <w:r w:rsidRPr="004F572A">
        <w:rPr>
          <w:sz w:val="22"/>
          <w:szCs w:val="22"/>
        </w:rPr>
        <w:t>monoterapiją</w:t>
      </w:r>
      <w:proofErr w:type="spellEnd"/>
      <w:r w:rsidRPr="004F572A">
        <w:rPr>
          <w:sz w:val="22"/>
          <w:szCs w:val="22"/>
        </w:rPr>
        <w:t xml:space="preserve"> vienu iš </w:t>
      </w:r>
      <w:proofErr w:type="spellStart"/>
      <w:r w:rsidRPr="004F572A">
        <w:rPr>
          <w:sz w:val="22"/>
          <w:szCs w:val="22"/>
        </w:rPr>
        <w:t>antihipertenzinių</w:t>
      </w:r>
      <w:proofErr w:type="spellEnd"/>
      <w:r w:rsidRPr="004F572A">
        <w:rPr>
          <w:sz w:val="22"/>
          <w:szCs w:val="22"/>
        </w:rPr>
        <w:t xml:space="preserve"> vaistų klasės vaistinių preparatų. </w:t>
      </w:r>
      <w:r w:rsidR="00061EBF">
        <w:rPr>
          <w:sz w:val="22"/>
          <w:szCs w:val="22"/>
        </w:rPr>
        <w:t>Tiriamiesiems</w:t>
      </w:r>
      <w:r w:rsidRPr="004F572A">
        <w:rPr>
          <w:sz w:val="22"/>
          <w:szCs w:val="22"/>
        </w:rPr>
        <w:t xml:space="preserve">, kurie jau vartoja </w:t>
      </w:r>
      <w:proofErr w:type="spellStart"/>
      <w:r w:rsidRPr="004F572A">
        <w:rPr>
          <w:sz w:val="22"/>
          <w:szCs w:val="22"/>
        </w:rPr>
        <w:t>antihipertenzinį</w:t>
      </w:r>
      <w:proofErr w:type="spellEnd"/>
      <w:r w:rsidRPr="004F572A">
        <w:rPr>
          <w:sz w:val="22"/>
          <w:szCs w:val="22"/>
        </w:rPr>
        <w:t xml:space="preserve"> vaistinį preparatą, </w:t>
      </w:r>
      <w:r w:rsidR="00061EBF">
        <w:rPr>
          <w:sz w:val="22"/>
          <w:szCs w:val="22"/>
        </w:rPr>
        <w:t>jei reikia,</w:t>
      </w:r>
      <w:r w:rsidRPr="004F572A">
        <w:rPr>
          <w:sz w:val="22"/>
          <w:szCs w:val="22"/>
        </w:rPr>
        <w:t xml:space="preserve"> galima padidinti vartojamo vaistinio preparato dozę arba papildomai skirti</w:t>
      </w:r>
      <w:r w:rsidR="00FF2A4E" w:rsidRPr="004F572A">
        <w:t xml:space="preserve"> </w:t>
      </w:r>
      <w:r w:rsidR="00FF2A4E" w:rsidRPr="004F572A">
        <w:rPr>
          <w:sz w:val="22"/>
          <w:szCs w:val="22"/>
        </w:rPr>
        <w:t>vien</w:t>
      </w:r>
      <w:r w:rsidR="00061EBF">
        <w:rPr>
          <w:sz w:val="22"/>
          <w:szCs w:val="22"/>
        </w:rPr>
        <w:t>ą</w:t>
      </w:r>
      <w:r w:rsidR="00FF2A4E" w:rsidRPr="004F572A">
        <w:rPr>
          <w:sz w:val="22"/>
          <w:szCs w:val="22"/>
        </w:rPr>
        <w:t xml:space="preserve"> ar keli</w:t>
      </w:r>
      <w:r w:rsidR="00061EBF">
        <w:rPr>
          <w:sz w:val="22"/>
          <w:szCs w:val="22"/>
        </w:rPr>
        <w:t>s</w:t>
      </w:r>
      <w:r w:rsidR="00FF2A4E" w:rsidRPr="004F572A">
        <w:rPr>
          <w:sz w:val="22"/>
          <w:szCs w:val="22"/>
        </w:rPr>
        <w:t xml:space="preserve"> kitos </w:t>
      </w:r>
      <w:proofErr w:type="spellStart"/>
      <w:r w:rsidR="00FF2A4E" w:rsidRPr="004F572A">
        <w:rPr>
          <w:sz w:val="22"/>
          <w:szCs w:val="22"/>
        </w:rPr>
        <w:t>antihipertenzinių</w:t>
      </w:r>
      <w:proofErr w:type="spellEnd"/>
      <w:r w:rsidR="00FF2A4E" w:rsidRPr="004F572A">
        <w:rPr>
          <w:sz w:val="22"/>
          <w:szCs w:val="22"/>
        </w:rPr>
        <w:t xml:space="preserve"> vaistų klasės vaistini</w:t>
      </w:r>
      <w:r w:rsidR="00061EBF">
        <w:rPr>
          <w:sz w:val="22"/>
          <w:szCs w:val="22"/>
        </w:rPr>
        <w:t>us</w:t>
      </w:r>
      <w:r w:rsidR="00FF2A4E" w:rsidRPr="004F572A">
        <w:rPr>
          <w:sz w:val="22"/>
          <w:szCs w:val="22"/>
        </w:rPr>
        <w:t xml:space="preserve"> preparat</w:t>
      </w:r>
      <w:r w:rsidR="00061EBF">
        <w:rPr>
          <w:sz w:val="22"/>
          <w:szCs w:val="22"/>
        </w:rPr>
        <w:t>us</w:t>
      </w:r>
      <w:r w:rsidR="00FF2A4E" w:rsidRPr="004F572A">
        <w:rPr>
          <w:sz w:val="22"/>
          <w:szCs w:val="22"/>
        </w:rPr>
        <w:t xml:space="preserve">. </w:t>
      </w:r>
      <w:r w:rsidR="00061EBF">
        <w:rPr>
          <w:sz w:val="22"/>
          <w:szCs w:val="22"/>
        </w:rPr>
        <w:t>Jei reikia</w:t>
      </w:r>
      <w:r w:rsidR="00FF2A4E" w:rsidRPr="004F572A">
        <w:rPr>
          <w:sz w:val="22"/>
          <w:szCs w:val="22"/>
        </w:rPr>
        <w:t xml:space="preserve">, </w:t>
      </w:r>
      <w:r w:rsidR="00061EBF">
        <w:rPr>
          <w:sz w:val="22"/>
          <w:szCs w:val="22"/>
        </w:rPr>
        <w:t>gydykite</w:t>
      </w:r>
      <w:r w:rsidR="00FF2A4E" w:rsidRPr="004F572A">
        <w:rPr>
          <w:sz w:val="22"/>
          <w:szCs w:val="22"/>
        </w:rPr>
        <w:t xml:space="preserve"> </w:t>
      </w:r>
      <w:r w:rsidR="00F24552" w:rsidRPr="004F572A">
        <w:rPr>
          <w:sz w:val="22"/>
          <w:szCs w:val="22"/>
        </w:rPr>
        <w:t>hipertenzij</w:t>
      </w:r>
      <w:r w:rsidR="00061EBF">
        <w:rPr>
          <w:sz w:val="22"/>
          <w:szCs w:val="22"/>
        </w:rPr>
        <w:t>ą</w:t>
      </w:r>
      <w:r w:rsidR="00FF2A4E" w:rsidRPr="004F572A">
        <w:rPr>
          <w:sz w:val="22"/>
          <w:szCs w:val="22"/>
        </w:rPr>
        <w:t xml:space="preserve">, kaip rekomenduojama 5 lentelėje. </w:t>
      </w:r>
    </w:p>
    <w:p w14:paraId="75A21EC4" w14:textId="77777777" w:rsidR="00B17652" w:rsidRPr="004F572A" w:rsidRDefault="00B17652" w:rsidP="000928CA">
      <w:pPr>
        <w:rPr>
          <w:sz w:val="22"/>
          <w:szCs w:val="22"/>
        </w:rPr>
      </w:pPr>
    </w:p>
    <w:tbl>
      <w:tblPr>
        <w:tblStyle w:val="Lentelstinklelis"/>
        <w:tblW w:w="0" w:type="auto"/>
        <w:tblLook w:val="04A0" w:firstRow="1" w:lastRow="0" w:firstColumn="1" w:lastColumn="0" w:noHBand="0" w:noVBand="1"/>
      </w:tblPr>
      <w:tblGrid>
        <w:gridCol w:w="4530"/>
        <w:gridCol w:w="4530"/>
      </w:tblGrid>
      <w:tr w:rsidR="00FF2A4E" w:rsidRPr="004F572A" w14:paraId="63F40CF0" w14:textId="77777777" w:rsidTr="00FF2A4E">
        <w:trPr>
          <w:trHeight w:val="288"/>
        </w:trPr>
        <w:tc>
          <w:tcPr>
            <w:tcW w:w="9060" w:type="dxa"/>
            <w:gridSpan w:val="2"/>
            <w:vAlign w:val="center"/>
          </w:tcPr>
          <w:p w14:paraId="1457D594" w14:textId="633A5590" w:rsidR="00FF2A4E" w:rsidRPr="004F572A" w:rsidRDefault="00FF2A4E" w:rsidP="00FF2A4E">
            <w:pPr>
              <w:rPr>
                <w:b/>
                <w:bCs/>
                <w:sz w:val="22"/>
                <w:szCs w:val="22"/>
              </w:rPr>
            </w:pPr>
            <w:r w:rsidRPr="004F572A">
              <w:rPr>
                <w:b/>
                <w:bCs/>
                <w:sz w:val="22"/>
                <w:szCs w:val="22"/>
              </w:rPr>
              <w:t>5</w:t>
            </w:r>
            <w:r w:rsidR="00D53FC3">
              <w:rPr>
                <w:b/>
                <w:bCs/>
                <w:sz w:val="22"/>
                <w:szCs w:val="22"/>
              </w:rPr>
              <w:t> </w:t>
            </w:r>
            <w:r w:rsidRPr="004F572A">
              <w:rPr>
                <w:b/>
                <w:bCs/>
                <w:sz w:val="22"/>
                <w:szCs w:val="22"/>
              </w:rPr>
              <w:t>lentelė</w:t>
            </w:r>
            <w:r w:rsidR="00F24552" w:rsidRPr="004F572A">
              <w:rPr>
                <w:b/>
                <w:bCs/>
                <w:sz w:val="22"/>
                <w:szCs w:val="22"/>
              </w:rPr>
              <w:t>.</w:t>
            </w:r>
            <w:r w:rsidRPr="004F572A">
              <w:rPr>
                <w:b/>
                <w:bCs/>
                <w:sz w:val="22"/>
                <w:szCs w:val="22"/>
              </w:rPr>
              <w:t xml:space="preserve"> Rekomenduojamas hipertenzijos gydymas </w:t>
            </w:r>
          </w:p>
        </w:tc>
      </w:tr>
      <w:tr w:rsidR="00FF2A4E" w:rsidRPr="004F572A" w14:paraId="4556B406" w14:textId="77777777" w:rsidTr="00FF2A4E">
        <w:trPr>
          <w:trHeight w:val="288"/>
        </w:trPr>
        <w:tc>
          <w:tcPr>
            <w:tcW w:w="4530" w:type="dxa"/>
            <w:vAlign w:val="center"/>
          </w:tcPr>
          <w:p w14:paraId="24A148AD" w14:textId="04A31F8C" w:rsidR="00FF2A4E" w:rsidRPr="004F572A" w:rsidRDefault="00F24552" w:rsidP="00FF2A4E">
            <w:pPr>
              <w:rPr>
                <w:b/>
                <w:bCs/>
                <w:sz w:val="22"/>
                <w:szCs w:val="22"/>
              </w:rPr>
            </w:pPr>
            <w:r w:rsidRPr="004F572A">
              <w:rPr>
                <w:b/>
                <w:bCs/>
                <w:sz w:val="22"/>
                <w:szCs w:val="22"/>
              </w:rPr>
              <w:t>Kraujo spaudimo (KS) lygis</w:t>
            </w:r>
          </w:p>
        </w:tc>
        <w:tc>
          <w:tcPr>
            <w:tcW w:w="4530" w:type="dxa"/>
            <w:vAlign w:val="center"/>
          </w:tcPr>
          <w:p w14:paraId="5A6DE77E" w14:textId="40538F4F" w:rsidR="00FF2A4E" w:rsidRPr="004F572A" w:rsidRDefault="00F24552" w:rsidP="00FF2A4E">
            <w:pPr>
              <w:rPr>
                <w:b/>
                <w:bCs/>
                <w:sz w:val="22"/>
                <w:szCs w:val="22"/>
              </w:rPr>
            </w:pPr>
            <w:r w:rsidRPr="004F572A">
              <w:rPr>
                <w:b/>
                <w:bCs/>
                <w:sz w:val="22"/>
                <w:szCs w:val="22"/>
              </w:rPr>
              <w:t>Rekomenduojamas veiksmas</w:t>
            </w:r>
          </w:p>
        </w:tc>
      </w:tr>
      <w:tr w:rsidR="00FF2A4E" w:rsidRPr="004F572A" w14:paraId="60CC38F6" w14:textId="77777777" w:rsidTr="00FF2A4E">
        <w:trPr>
          <w:trHeight w:val="288"/>
        </w:trPr>
        <w:tc>
          <w:tcPr>
            <w:tcW w:w="4530" w:type="dxa"/>
            <w:vAlign w:val="center"/>
          </w:tcPr>
          <w:p w14:paraId="7BC37BB0" w14:textId="77777777" w:rsidR="00061EBF" w:rsidRDefault="00F24552" w:rsidP="00D50D3C">
            <w:pPr>
              <w:spacing w:after="120"/>
              <w:rPr>
                <w:sz w:val="22"/>
                <w:szCs w:val="22"/>
              </w:rPr>
            </w:pPr>
            <w:proofErr w:type="spellStart"/>
            <w:r w:rsidRPr="004F572A">
              <w:rPr>
                <w:sz w:val="22"/>
                <w:szCs w:val="22"/>
              </w:rPr>
              <w:t>Sistolinis</w:t>
            </w:r>
            <w:proofErr w:type="spellEnd"/>
            <w:r w:rsidRPr="004F572A">
              <w:rPr>
                <w:sz w:val="22"/>
                <w:szCs w:val="22"/>
              </w:rPr>
              <w:t xml:space="preserve"> KS nuo ≥ 140 </w:t>
            </w:r>
            <w:proofErr w:type="spellStart"/>
            <w:r w:rsidRPr="004F572A">
              <w:rPr>
                <w:sz w:val="22"/>
                <w:szCs w:val="22"/>
              </w:rPr>
              <w:t>mmHg</w:t>
            </w:r>
            <w:proofErr w:type="spellEnd"/>
            <w:r w:rsidRPr="004F572A">
              <w:rPr>
                <w:sz w:val="22"/>
                <w:szCs w:val="22"/>
              </w:rPr>
              <w:t xml:space="preserve"> iki &lt; 160 </w:t>
            </w:r>
            <w:proofErr w:type="spellStart"/>
            <w:r w:rsidRPr="004F572A">
              <w:rPr>
                <w:sz w:val="22"/>
                <w:szCs w:val="22"/>
              </w:rPr>
              <w:t>mmHg</w:t>
            </w:r>
            <w:proofErr w:type="spellEnd"/>
            <w:r w:rsidRPr="004F572A">
              <w:rPr>
                <w:sz w:val="22"/>
                <w:szCs w:val="22"/>
              </w:rPr>
              <w:t xml:space="preserve"> arba </w:t>
            </w:r>
          </w:p>
          <w:p w14:paraId="2A452F8F" w14:textId="4FF14E1A" w:rsidR="00FF2A4E" w:rsidRPr="004F572A" w:rsidRDefault="00F24552" w:rsidP="00D50D3C">
            <w:pPr>
              <w:spacing w:after="120"/>
              <w:rPr>
                <w:sz w:val="22"/>
                <w:szCs w:val="22"/>
              </w:rPr>
            </w:pPr>
            <w:proofErr w:type="spellStart"/>
            <w:r w:rsidRPr="004F572A">
              <w:rPr>
                <w:sz w:val="22"/>
                <w:szCs w:val="22"/>
              </w:rPr>
              <w:t>diastolinis</w:t>
            </w:r>
            <w:proofErr w:type="spellEnd"/>
            <w:r w:rsidRPr="004F572A">
              <w:rPr>
                <w:sz w:val="22"/>
                <w:szCs w:val="22"/>
              </w:rPr>
              <w:t xml:space="preserve"> KS nuo ≥ 90 </w:t>
            </w:r>
            <w:proofErr w:type="spellStart"/>
            <w:r w:rsidRPr="004F572A">
              <w:rPr>
                <w:sz w:val="22"/>
                <w:szCs w:val="22"/>
              </w:rPr>
              <w:t>mmHg</w:t>
            </w:r>
            <w:proofErr w:type="spellEnd"/>
            <w:r w:rsidRPr="004F572A">
              <w:rPr>
                <w:sz w:val="22"/>
                <w:szCs w:val="22"/>
              </w:rPr>
              <w:t xml:space="preserve"> iki &lt; 100 </w:t>
            </w:r>
            <w:proofErr w:type="spellStart"/>
            <w:r w:rsidRPr="004F572A">
              <w:rPr>
                <w:sz w:val="22"/>
                <w:szCs w:val="22"/>
              </w:rPr>
              <w:t>mmHg</w:t>
            </w:r>
            <w:proofErr w:type="spellEnd"/>
          </w:p>
        </w:tc>
        <w:tc>
          <w:tcPr>
            <w:tcW w:w="4530" w:type="dxa"/>
            <w:vAlign w:val="center"/>
          </w:tcPr>
          <w:p w14:paraId="3B3E5193" w14:textId="58AA0E9D" w:rsidR="00F24552" w:rsidRPr="004F572A" w:rsidRDefault="00F24552" w:rsidP="00D50D3C">
            <w:pPr>
              <w:spacing w:after="120"/>
              <w:rPr>
                <w:sz w:val="22"/>
                <w:szCs w:val="22"/>
              </w:rPr>
            </w:pPr>
            <w:r w:rsidRPr="004F572A">
              <w:rPr>
                <w:sz w:val="22"/>
                <w:szCs w:val="22"/>
              </w:rPr>
              <w:t xml:space="preserve">Toliau vartokite </w:t>
            </w:r>
            <w:proofErr w:type="spellStart"/>
            <w:r w:rsidRPr="004F572A">
              <w:rPr>
                <w:sz w:val="22"/>
                <w:szCs w:val="22"/>
              </w:rPr>
              <w:t>lenvatinibo</w:t>
            </w:r>
            <w:proofErr w:type="spellEnd"/>
            <w:r w:rsidRPr="004F572A">
              <w:rPr>
                <w:sz w:val="22"/>
                <w:szCs w:val="22"/>
              </w:rPr>
              <w:t xml:space="preserve"> ir pradėkite</w:t>
            </w:r>
            <w:r w:rsidR="00180041" w:rsidRPr="004F572A">
              <w:rPr>
                <w:sz w:val="22"/>
                <w:szCs w:val="22"/>
              </w:rPr>
              <w:t xml:space="preserve"> </w:t>
            </w:r>
            <w:proofErr w:type="spellStart"/>
            <w:r w:rsidRPr="004F572A">
              <w:rPr>
                <w:sz w:val="22"/>
                <w:szCs w:val="22"/>
              </w:rPr>
              <w:t>antihipertenzinį</w:t>
            </w:r>
            <w:proofErr w:type="spellEnd"/>
            <w:r w:rsidRPr="004F572A">
              <w:rPr>
                <w:sz w:val="22"/>
                <w:szCs w:val="22"/>
              </w:rPr>
              <w:t xml:space="preserve"> gydymą, je</w:t>
            </w:r>
            <w:r w:rsidR="001806A3">
              <w:rPr>
                <w:sz w:val="22"/>
                <w:szCs w:val="22"/>
              </w:rPr>
              <w:t>i</w:t>
            </w:r>
            <w:r w:rsidRPr="004F572A">
              <w:rPr>
                <w:sz w:val="22"/>
                <w:szCs w:val="22"/>
              </w:rPr>
              <w:t xml:space="preserve"> dar nepradėtas</w:t>
            </w:r>
          </w:p>
          <w:p w14:paraId="2A4BC877" w14:textId="77777777" w:rsidR="00F24552" w:rsidRPr="004F572A" w:rsidRDefault="00F24552" w:rsidP="00D50D3C">
            <w:pPr>
              <w:spacing w:after="120"/>
              <w:rPr>
                <w:sz w:val="22"/>
                <w:szCs w:val="22"/>
              </w:rPr>
            </w:pPr>
            <w:r w:rsidRPr="004F572A">
              <w:rPr>
                <w:sz w:val="22"/>
                <w:szCs w:val="22"/>
              </w:rPr>
              <w:t>ARBA</w:t>
            </w:r>
          </w:p>
          <w:p w14:paraId="385650A0" w14:textId="3EC5B73E" w:rsidR="00FF2A4E" w:rsidRPr="004F572A" w:rsidRDefault="00F24552" w:rsidP="00D50D3C">
            <w:pPr>
              <w:spacing w:after="120"/>
              <w:rPr>
                <w:sz w:val="22"/>
                <w:szCs w:val="22"/>
              </w:rPr>
            </w:pPr>
            <w:r w:rsidRPr="004F572A">
              <w:rPr>
                <w:sz w:val="22"/>
                <w:szCs w:val="22"/>
              </w:rPr>
              <w:t xml:space="preserve">toliau vartokite </w:t>
            </w:r>
            <w:proofErr w:type="spellStart"/>
            <w:r w:rsidRPr="004F572A">
              <w:rPr>
                <w:sz w:val="22"/>
                <w:szCs w:val="22"/>
              </w:rPr>
              <w:t>lenvatinibo</w:t>
            </w:r>
            <w:proofErr w:type="spellEnd"/>
            <w:r w:rsidRPr="004F572A">
              <w:rPr>
                <w:sz w:val="22"/>
                <w:szCs w:val="22"/>
              </w:rPr>
              <w:t xml:space="preserve"> ir padidinkite </w:t>
            </w:r>
            <w:r w:rsidR="00061EBF">
              <w:rPr>
                <w:sz w:val="22"/>
                <w:szCs w:val="22"/>
              </w:rPr>
              <w:t>dabar</w:t>
            </w:r>
            <w:r w:rsidRPr="004F572A">
              <w:rPr>
                <w:sz w:val="22"/>
                <w:szCs w:val="22"/>
              </w:rPr>
              <w:t xml:space="preserve"> vartojamą </w:t>
            </w:r>
            <w:proofErr w:type="spellStart"/>
            <w:r w:rsidRPr="004F572A">
              <w:rPr>
                <w:sz w:val="22"/>
                <w:szCs w:val="22"/>
              </w:rPr>
              <w:t>antihipertenzinio</w:t>
            </w:r>
            <w:proofErr w:type="spellEnd"/>
            <w:r w:rsidRPr="004F572A">
              <w:rPr>
                <w:sz w:val="22"/>
                <w:szCs w:val="22"/>
              </w:rPr>
              <w:t xml:space="preserve"> vaistinio preparato </w:t>
            </w:r>
            <w:r w:rsidRPr="004F572A">
              <w:rPr>
                <w:sz w:val="22"/>
                <w:szCs w:val="22"/>
              </w:rPr>
              <w:lastRenderedPageBreak/>
              <w:t xml:space="preserve">dozę arba pradėkite papildomą </w:t>
            </w:r>
            <w:proofErr w:type="spellStart"/>
            <w:r w:rsidRPr="004F572A">
              <w:rPr>
                <w:sz w:val="22"/>
                <w:szCs w:val="22"/>
              </w:rPr>
              <w:t>antihipertenzinį</w:t>
            </w:r>
            <w:proofErr w:type="spellEnd"/>
            <w:r w:rsidRPr="004F572A">
              <w:rPr>
                <w:sz w:val="22"/>
                <w:szCs w:val="22"/>
              </w:rPr>
              <w:t xml:space="preserve"> gydymą</w:t>
            </w:r>
          </w:p>
        </w:tc>
      </w:tr>
      <w:tr w:rsidR="00FF2A4E" w:rsidRPr="004F572A" w14:paraId="13BC393A" w14:textId="77777777" w:rsidTr="00FF2A4E">
        <w:trPr>
          <w:trHeight w:val="288"/>
        </w:trPr>
        <w:tc>
          <w:tcPr>
            <w:tcW w:w="4530" w:type="dxa"/>
            <w:vAlign w:val="center"/>
          </w:tcPr>
          <w:p w14:paraId="10E1D61A" w14:textId="77777777" w:rsidR="00061EBF" w:rsidRDefault="00F24552" w:rsidP="00D50D3C">
            <w:pPr>
              <w:spacing w:after="120"/>
              <w:rPr>
                <w:sz w:val="22"/>
                <w:szCs w:val="22"/>
              </w:rPr>
            </w:pPr>
            <w:proofErr w:type="spellStart"/>
            <w:r w:rsidRPr="004F572A">
              <w:rPr>
                <w:sz w:val="22"/>
                <w:szCs w:val="22"/>
              </w:rPr>
              <w:lastRenderedPageBreak/>
              <w:t>Sistolinis</w:t>
            </w:r>
            <w:proofErr w:type="spellEnd"/>
            <w:r w:rsidRPr="004F572A">
              <w:rPr>
                <w:sz w:val="22"/>
                <w:szCs w:val="22"/>
              </w:rPr>
              <w:t xml:space="preserve"> KS ≥ 160 </w:t>
            </w:r>
            <w:proofErr w:type="spellStart"/>
            <w:r w:rsidRPr="004F572A">
              <w:rPr>
                <w:sz w:val="22"/>
                <w:szCs w:val="22"/>
              </w:rPr>
              <w:t>mmHg</w:t>
            </w:r>
            <w:proofErr w:type="spellEnd"/>
            <w:r w:rsidRPr="004F572A">
              <w:rPr>
                <w:sz w:val="22"/>
                <w:szCs w:val="22"/>
              </w:rPr>
              <w:t xml:space="preserve"> </w:t>
            </w:r>
          </w:p>
          <w:p w14:paraId="2206E492" w14:textId="77777777" w:rsidR="00061EBF" w:rsidRDefault="00F24552" w:rsidP="00D50D3C">
            <w:pPr>
              <w:spacing w:after="120"/>
              <w:rPr>
                <w:sz w:val="22"/>
                <w:szCs w:val="22"/>
              </w:rPr>
            </w:pPr>
            <w:r w:rsidRPr="004F572A">
              <w:rPr>
                <w:sz w:val="22"/>
                <w:szCs w:val="22"/>
              </w:rPr>
              <w:t xml:space="preserve">arba </w:t>
            </w:r>
            <w:proofErr w:type="spellStart"/>
            <w:r w:rsidRPr="004F572A">
              <w:rPr>
                <w:sz w:val="22"/>
                <w:szCs w:val="22"/>
              </w:rPr>
              <w:t>diastolinis</w:t>
            </w:r>
            <w:proofErr w:type="spellEnd"/>
            <w:r w:rsidRPr="004F572A">
              <w:rPr>
                <w:sz w:val="22"/>
                <w:szCs w:val="22"/>
              </w:rPr>
              <w:t xml:space="preserve"> KS ≥ 100 </w:t>
            </w:r>
            <w:proofErr w:type="spellStart"/>
            <w:r w:rsidRPr="004F572A">
              <w:rPr>
                <w:sz w:val="22"/>
                <w:szCs w:val="22"/>
              </w:rPr>
              <w:t>mmHg</w:t>
            </w:r>
            <w:proofErr w:type="spellEnd"/>
            <w:r w:rsidRPr="004F572A">
              <w:rPr>
                <w:sz w:val="22"/>
                <w:szCs w:val="22"/>
              </w:rPr>
              <w:t xml:space="preserve">, </w:t>
            </w:r>
          </w:p>
          <w:p w14:paraId="15B216ED" w14:textId="4213A150" w:rsidR="00FF2A4E" w:rsidRPr="004F572A" w:rsidRDefault="00F24552" w:rsidP="00D50D3C">
            <w:pPr>
              <w:spacing w:after="120"/>
              <w:rPr>
                <w:sz w:val="22"/>
                <w:szCs w:val="22"/>
              </w:rPr>
            </w:pPr>
            <w:r w:rsidRPr="004F572A">
              <w:rPr>
                <w:sz w:val="22"/>
                <w:szCs w:val="22"/>
              </w:rPr>
              <w:t xml:space="preserve">nepaisant optimalaus </w:t>
            </w:r>
            <w:proofErr w:type="spellStart"/>
            <w:r w:rsidRPr="004F572A">
              <w:rPr>
                <w:sz w:val="22"/>
                <w:szCs w:val="22"/>
              </w:rPr>
              <w:t>antihipertenzinio</w:t>
            </w:r>
            <w:proofErr w:type="spellEnd"/>
            <w:r w:rsidRPr="004F572A">
              <w:rPr>
                <w:sz w:val="22"/>
                <w:szCs w:val="22"/>
              </w:rPr>
              <w:t xml:space="preserve"> gydymo</w:t>
            </w:r>
          </w:p>
        </w:tc>
        <w:tc>
          <w:tcPr>
            <w:tcW w:w="4530" w:type="dxa"/>
            <w:vAlign w:val="center"/>
          </w:tcPr>
          <w:p w14:paraId="18690F70" w14:textId="06204119" w:rsidR="00F24552" w:rsidRPr="004F572A" w:rsidRDefault="00F24552" w:rsidP="00D50D3C">
            <w:pPr>
              <w:spacing w:after="120"/>
              <w:rPr>
                <w:sz w:val="22"/>
                <w:szCs w:val="22"/>
              </w:rPr>
            </w:pPr>
            <w:r w:rsidRPr="004F572A">
              <w:rPr>
                <w:sz w:val="22"/>
                <w:szCs w:val="22"/>
              </w:rPr>
              <w:t xml:space="preserve">1. </w:t>
            </w:r>
            <w:r w:rsidR="00061EBF">
              <w:rPr>
                <w:sz w:val="22"/>
                <w:szCs w:val="22"/>
              </w:rPr>
              <w:t>Atidėkite</w:t>
            </w:r>
            <w:r w:rsidR="00061EBF" w:rsidRPr="004F572A">
              <w:rPr>
                <w:sz w:val="22"/>
                <w:szCs w:val="22"/>
              </w:rPr>
              <w:t xml:space="preserve"> </w:t>
            </w:r>
            <w:proofErr w:type="spellStart"/>
            <w:r w:rsidRPr="004F572A">
              <w:rPr>
                <w:sz w:val="22"/>
                <w:szCs w:val="22"/>
              </w:rPr>
              <w:t>lenvatinibo</w:t>
            </w:r>
            <w:proofErr w:type="spellEnd"/>
            <w:r w:rsidRPr="004F572A">
              <w:rPr>
                <w:sz w:val="22"/>
                <w:szCs w:val="22"/>
              </w:rPr>
              <w:t xml:space="preserve"> vartojimą</w:t>
            </w:r>
          </w:p>
          <w:p w14:paraId="6C26489A" w14:textId="088C2F1F" w:rsidR="00FF2A4E" w:rsidRPr="004F572A" w:rsidRDefault="00F24552" w:rsidP="00D50D3C">
            <w:pPr>
              <w:spacing w:after="120"/>
              <w:ind w:left="218" w:hanging="218"/>
              <w:rPr>
                <w:sz w:val="22"/>
                <w:szCs w:val="22"/>
              </w:rPr>
            </w:pPr>
            <w:r w:rsidRPr="004F572A">
              <w:rPr>
                <w:sz w:val="22"/>
                <w:szCs w:val="22"/>
              </w:rPr>
              <w:t xml:space="preserve">2. Kai </w:t>
            </w:r>
            <w:proofErr w:type="spellStart"/>
            <w:r w:rsidRPr="004F572A">
              <w:rPr>
                <w:sz w:val="22"/>
                <w:szCs w:val="22"/>
              </w:rPr>
              <w:t>sistolinis</w:t>
            </w:r>
            <w:proofErr w:type="spellEnd"/>
            <w:r w:rsidRPr="004F572A">
              <w:rPr>
                <w:sz w:val="22"/>
                <w:szCs w:val="22"/>
              </w:rPr>
              <w:t xml:space="preserve"> KS </w:t>
            </w:r>
            <w:r w:rsidR="00061EBF">
              <w:rPr>
                <w:sz w:val="22"/>
                <w:szCs w:val="22"/>
              </w:rPr>
              <w:t>yra</w:t>
            </w:r>
            <w:r w:rsidR="00180041" w:rsidRPr="004F572A">
              <w:rPr>
                <w:sz w:val="22"/>
                <w:szCs w:val="22"/>
              </w:rPr>
              <w:t xml:space="preserve"> </w:t>
            </w:r>
            <w:r w:rsidRPr="004F572A">
              <w:rPr>
                <w:sz w:val="22"/>
                <w:szCs w:val="22"/>
              </w:rPr>
              <w:t>≤ 150 </w:t>
            </w:r>
            <w:proofErr w:type="spellStart"/>
            <w:r w:rsidRPr="004F572A">
              <w:rPr>
                <w:sz w:val="22"/>
                <w:szCs w:val="22"/>
              </w:rPr>
              <w:t>mmHg</w:t>
            </w:r>
            <w:proofErr w:type="spellEnd"/>
            <w:r w:rsidRPr="004F572A">
              <w:rPr>
                <w:sz w:val="22"/>
                <w:szCs w:val="22"/>
              </w:rPr>
              <w:t xml:space="preserve">, </w:t>
            </w:r>
            <w:proofErr w:type="spellStart"/>
            <w:r w:rsidRPr="004F572A">
              <w:rPr>
                <w:sz w:val="22"/>
                <w:szCs w:val="22"/>
              </w:rPr>
              <w:t>diastolinis</w:t>
            </w:r>
            <w:proofErr w:type="spellEnd"/>
            <w:r w:rsidRPr="004F572A">
              <w:rPr>
                <w:sz w:val="22"/>
                <w:szCs w:val="22"/>
              </w:rPr>
              <w:t xml:space="preserve"> KS </w:t>
            </w:r>
            <w:r w:rsidR="00061EBF">
              <w:rPr>
                <w:sz w:val="22"/>
                <w:szCs w:val="22"/>
              </w:rPr>
              <w:t xml:space="preserve">yra </w:t>
            </w:r>
            <w:r w:rsidRPr="004F572A">
              <w:rPr>
                <w:sz w:val="22"/>
                <w:szCs w:val="22"/>
              </w:rPr>
              <w:t>≤</w:t>
            </w:r>
            <w:r w:rsidR="00180041" w:rsidRPr="004F572A">
              <w:rPr>
                <w:sz w:val="22"/>
                <w:szCs w:val="22"/>
              </w:rPr>
              <w:t> </w:t>
            </w:r>
            <w:r w:rsidRPr="004F572A">
              <w:rPr>
                <w:sz w:val="22"/>
                <w:szCs w:val="22"/>
              </w:rPr>
              <w:t>95</w:t>
            </w:r>
            <w:r w:rsidR="00180041" w:rsidRPr="004F572A">
              <w:rPr>
                <w:sz w:val="22"/>
                <w:szCs w:val="22"/>
              </w:rPr>
              <w:t> </w:t>
            </w:r>
            <w:proofErr w:type="spellStart"/>
            <w:r w:rsidRPr="004F572A">
              <w:rPr>
                <w:sz w:val="22"/>
                <w:szCs w:val="22"/>
              </w:rPr>
              <w:t>mmHg</w:t>
            </w:r>
            <w:proofErr w:type="spellEnd"/>
            <w:r w:rsidRPr="004F572A">
              <w:rPr>
                <w:sz w:val="22"/>
                <w:szCs w:val="22"/>
              </w:rPr>
              <w:t xml:space="preserve"> ir pacientas vartoja stabilią </w:t>
            </w:r>
            <w:proofErr w:type="spellStart"/>
            <w:r w:rsidRPr="004F572A">
              <w:rPr>
                <w:sz w:val="22"/>
                <w:szCs w:val="22"/>
              </w:rPr>
              <w:t>antihipertenzinio</w:t>
            </w:r>
            <w:proofErr w:type="spellEnd"/>
            <w:r w:rsidRPr="004F572A">
              <w:rPr>
                <w:sz w:val="22"/>
                <w:szCs w:val="22"/>
              </w:rPr>
              <w:t xml:space="preserve"> vaistinio preparato dozę mažiausiai 48</w:t>
            </w:r>
            <w:r w:rsidR="00D53FC3">
              <w:rPr>
                <w:sz w:val="22"/>
                <w:szCs w:val="22"/>
              </w:rPr>
              <w:t> </w:t>
            </w:r>
            <w:r w:rsidRPr="004F572A">
              <w:rPr>
                <w:sz w:val="22"/>
                <w:szCs w:val="22"/>
              </w:rPr>
              <w:t>valandas,</w:t>
            </w:r>
            <w:r w:rsidR="00180041" w:rsidRPr="004F572A">
              <w:rPr>
                <w:sz w:val="22"/>
                <w:szCs w:val="22"/>
              </w:rPr>
              <w:t xml:space="preserve"> </w:t>
            </w:r>
            <w:r w:rsidR="00061EBF">
              <w:rPr>
                <w:sz w:val="22"/>
                <w:szCs w:val="22"/>
              </w:rPr>
              <w:t>tęskite</w:t>
            </w:r>
            <w:r w:rsidRPr="004F572A">
              <w:rPr>
                <w:sz w:val="22"/>
                <w:szCs w:val="22"/>
              </w:rPr>
              <w:t xml:space="preserve"> </w:t>
            </w:r>
            <w:proofErr w:type="spellStart"/>
            <w:r w:rsidRPr="004F572A">
              <w:rPr>
                <w:sz w:val="22"/>
                <w:szCs w:val="22"/>
              </w:rPr>
              <w:t>lenvatinibo</w:t>
            </w:r>
            <w:proofErr w:type="spellEnd"/>
            <w:r w:rsidRPr="004F572A">
              <w:rPr>
                <w:sz w:val="22"/>
                <w:szCs w:val="22"/>
              </w:rPr>
              <w:t xml:space="preserve"> vartojimą sumažinta doze (žr. 4.2 skyrių)</w:t>
            </w:r>
          </w:p>
        </w:tc>
      </w:tr>
      <w:tr w:rsidR="00FF2A4E" w:rsidRPr="004F572A" w14:paraId="5F0B5AD5" w14:textId="77777777" w:rsidTr="00FF2A4E">
        <w:trPr>
          <w:trHeight w:val="288"/>
        </w:trPr>
        <w:tc>
          <w:tcPr>
            <w:tcW w:w="4530" w:type="dxa"/>
            <w:vAlign w:val="center"/>
          </w:tcPr>
          <w:p w14:paraId="7C2E3190" w14:textId="77777777" w:rsidR="00061EBF" w:rsidRDefault="00D50D3C" w:rsidP="00D50D3C">
            <w:pPr>
              <w:spacing w:after="120"/>
              <w:rPr>
                <w:sz w:val="22"/>
                <w:szCs w:val="22"/>
              </w:rPr>
            </w:pPr>
            <w:r w:rsidRPr="004F572A">
              <w:rPr>
                <w:sz w:val="22"/>
                <w:szCs w:val="22"/>
              </w:rPr>
              <w:t xml:space="preserve">Gyvybei pavojingos pasekmės </w:t>
            </w:r>
          </w:p>
          <w:p w14:paraId="2289E070" w14:textId="292587F8" w:rsidR="00FF2A4E" w:rsidRPr="004F572A" w:rsidRDefault="00D50D3C" w:rsidP="00D50D3C">
            <w:pPr>
              <w:spacing w:after="120"/>
              <w:rPr>
                <w:sz w:val="22"/>
                <w:szCs w:val="22"/>
              </w:rPr>
            </w:pPr>
            <w:r w:rsidRPr="004F572A">
              <w:rPr>
                <w:sz w:val="22"/>
                <w:szCs w:val="22"/>
              </w:rPr>
              <w:t>(piktybinė hipertenzija, neurologini</w:t>
            </w:r>
            <w:r w:rsidR="00061EBF">
              <w:rPr>
                <w:sz w:val="22"/>
                <w:szCs w:val="22"/>
              </w:rPr>
              <w:t>ai</w:t>
            </w:r>
            <w:r w:rsidRPr="004F572A">
              <w:rPr>
                <w:sz w:val="22"/>
                <w:szCs w:val="22"/>
              </w:rPr>
              <w:t xml:space="preserve"> sutrikima</w:t>
            </w:r>
            <w:r w:rsidR="00061EBF">
              <w:rPr>
                <w:sz w:val="22"/>
                <w:szCs w:val="22"/>
              </w:rPr>
              <w:t>i</w:t>
            </w:r>
            <w:r w:rsidRPr="004F572A">
              <w:rPr>
                <w:sz w:val="22"/>
                <w:szCs w:val="22"/>
              </w:rPr>
              <w:t xml:space="preserve"> arba </w:t>
            </w:r>
            <w:proofErr w:type="spellStart"/>
            <w:r w:rsidRPr="004F572A">
              <w:rPr>
                <w:sz w:val="22"/>
                <w:szCs w:val="22"/>
              </w:rPr>
              <w:t>hipertenzinė</w:t>
            </w:r>
            <w:proofErr w:type="spellEnd"/>
            <w:r w:rsidRPr="004F572A">
              <w:rPr>
                <w:sz w:val="22"/>
                <w:szCs w:val="22"/>
              </w:rPr>
              <w:t xml:space="preserve"> krizė)</w:t>
            </w:r>
          </w:p>
        </w:tc>
        <w:tc>
          <w:tcPr>
            <w:tcW w:w="4530" w:type="dxa"/>
            <w:vAlign w:val="center"/>
          </w:tcPr>
          <w:p w14:paraId="1E73E455" w14:textId="20FEC5E4" w:rsidR="00FF2A4E" w:rsidRPr="004F572A" w:rsidRDefault="00F24552" w:rsidP="00D50D3C">
            <w:pPr>
              <w:spacing w:after="120"/>
              <w:rPr>
                <w:sz w:val="22"/>
                <w:szCs w:val="22"/>
              </w:rPr>
            </w:pPr>
            <w:r w:rsidRPr="004F572A">
              <w:rPr>
                <w:sz w:val="22"/>
                <w:szCs w:val="22"/>
              </w:rPr>
              <w:t xml:space="preserve">Reikalinga skubi intervencija. Nutraukite </w:t>
            </w:r>
            <w:proofErr w:type="spellStart"/>
            <w:r w:rsidRPr="004F572A">
              <w:rPr>
                <w:sz w:val="22"/>
                <w:szCs w:val="22"/>
              </w:rPr>
              <w:t>lenvatinibo</w:t>
            </w:r>
            <w:proofErr w:type="spellEnd"/>
            <w:r w:rsidRPr="004F572A">
              <w:rPr>
                <w:sz w:val="22"/>
                <w:szCs w:val="22"/>
              </w:rPr>
              <w:t xml:space="preserve"> vartojimą ir pradėkite </w:t>
            </w:r>
            <w:r w:rsidR="00061EBF">
              <w:rPr>
                <w:sz w:val="22"/>
                <w:szCs w:val="22"/>
              </w:rPr>
              <w:t>atitinkamą</w:t>
            </w:r>
            <w:r w:rsidR="00061EBF" w:rsidRPr="004F572A">
              <w:rPr>
                <w:sz w:val="22"/>
                <w:szCs w:val="22"/>
              </w:rPr>
              <w:t xml:space="preserve"> </w:t>
            </w:r>
            <w:r w:rsidRPr="004F572A">
              <w:rPr>
                <w:sz w:val="22"/>
                <w:szCs w:val="22"/>
              </w:rPr>
              <w:t>medicininį gydymą.</w:t>
            </w:r>
          </w:p>
        </w:tc>
      </w:tr>
    </w:tbl>
    <w:p w14:paraId="337A67FA" w14:textId="77777777" w:rsidR="00B17652" w:rsidRPr="004F572A" w:rsidRDefault="00B17652" w:rsidP="000928CA">
      <w:pPr>
        <w:rPr>
          <w:sz w:val="22"/>
          <w:szCs w:val="22"/>
        </w:rPr>
      </w:pPr>
    </w:p>
    <w:p w14:paraId="1F5FDEEE" w14:textId="77777777" w:rsidR="00754340" w:rsidRPr="004F572A" w:rsidRDefault="00754340" w:rsidP="00754340">
      <w:pPr>
        <w:rPr>
          <w:sz w:val="22"/>
          <w:szCs w:val="22"/>
          <w:u w:val="single"/>
        </w:rPr>
      </w:pPr>
      <w:r w:rsidRPr="004F572A">
        <w:rPr>
          <w:sz w:val="22"/>
          <w:szCs w:val="22"/>
          <w:u w:val="single"/>
        </w:rPr>
        <w:t xml:space="preserve">Aneurizmos ir arterijų </w:t>
      </w:r>
      <w:proofErr w:type="spellStart"/>
      <w:r w:rsidRPr="004F572A">
        <w:rPr>
          <w:sz w:val="22"/>
          <w:szCs w:val="22"/>
          <w:u w:val="single"/>
        </w:rPr>
        <w:t>disekacijos</w:t>
      </w:r>
      <w:proofErr w:type="spellEnd"/>
    </w:p>
    <w:p w14:paraId="3BF8201C" w14:textId="23795E4E" w:rsidR="00754340" w:rsidRPr="004F572A" w:rsidRDefault="00754340" w:rsidP="00754340">
      <w:pPr>
        <w:rPr>
          <w:sz w:val="22"/>
          <w:szCs w:val="22"/>
        </w:rPr>
      </w:pPr>
      <w:r w:rsidRPr="004F572A">
        <w:rPr>
          <w:sz w:val="22"/>
          <w:szCs w:val="22"/>
        </w:rPr>
        <w:t xml:space="preserve">KEAF reakcijų sekos inhibitorių vartojimas gali skatinti aneurizmų ir (arba) arterijos </w:t>
      </w:r>
      <w:proofErr w:type="spellStart"/>
      <w:r w:rsidRPr="004F572A">
        <w:rPr>
          <w:sz w:val="22"/>
          <w:szCs w:val="22"/>
        </w:rPr>
        <w:t>disekacijų</w:t>
      </w:r>
      <w:proofErr w:type="spellEnd"/>
      <w:r w:rsidRPr="004F572A">
        <w:rPr>
          <w:sz w:val="22"/>
          <w:szCs w:val="22"/>
        </w:rPr>
        <w:t xml:space="preserve"> formavimąsi pacientams, kuriems </w:t>
      </w:r>
      <w:r w:rsidR="000D31D5">
        <w:rPr>
          <w:sz w:val="22"/>
          <w:szCs w:val="22"/>
        </w:rPr>
        <w:t>diagnozuota arba nediagnozuota</w:t>
      </w:r>
      <w:r w:rsidRPr="004F572A">
        <w:rPr>
          <w:sz w:val="22"/>
          <w:szCs w:val="22"/>
        </w:rPr>
        <w:t xml:space="preserve"> hipertenzija. Prieš pradedant gydyti </w:t>
      </w:r>
      <w:proofErr w:type="spellStart"/>
      <w:r w:rsidRPr="004F572A">
        <w:rPr>
          <w:sz w:val="22"/>
          <w:szCs w:val="22"/>
        </w:rPr>
        <w:t>lenvatinibu</w:t>
      </w:r>
      <w:proofErr w:type="spellEnd"/>
      <w:r w:rsidRPr="004F572A">
        <w:rPr>
          <w:sz w:val="22"/>
          <w:szCs w:val="22"/>
        </w:rPr>
        <w:t xml:space="preserve">, reikia atidžiai įvertinti šią riziką pacientams, kuriems nustatyta tokių rizikos veiksnių, kaip hipertenzija arba </w:t>
      </w:r>
      <w:r w:rsidR="000D31D5">
        <w:rPr>
          <w:sz w:val="22"/>
          <w:szCs w:val="22"/>
        </w:rPr>
        <w:t>anksčiau diagnozuota</w:t>
      </w:r>
      <w:r w:rsidRPr="004F572A">
        <w:rPr>
          <w:sz w:val="22"/>
          <w:szCs w:val="22"/>
        </w:rPr>
        <w:t xml:space="preserve"> aortos aneurizma.</w:t>
      </w:r>
    </w:p>
    <w:p w14:paraId="61471080" w14:textId="77777777" w:rsidR="00754340" w:rsidRPr="004F572A" w:rsidRDefault="00754340" w:rsidP="00754340">
      <w:pPr>
        <w:rPr>
          <w:sz w:val="22"/>
          <w:szCs w:val="22"/>
        </w:rPr>
      </w:pPr>
    </w:p>
    <w:p w14:paraId="38F4AF3C" w14:textId="26493370" w:rsidR="00754340" w:rsidRPr="004F572A" w:rsidRDefault="00754340" w:rsidP="00754340">
      <w:pPr>
        <w:rPr>
          <w:sz w:val="22"/>
          <w:szCs w:val="22"/>
          <w:u w:val="single"/>
        </w:rPr>
      </w:pPr>
      <w:proofErr w:type="spellStart"/>
      <w:r w:rsidRPr="004F572A">
        <w:rPr>
          <w:sz w:val="22"/>
          <w:szCs w:val="22"/>
          <w:u w:val="single"/>
        </w:rPr>
        <w:t>Proteinurija</w:t>
      </w:r>
      <w:proofErr w:type="spellEnd"/>
    </w:p>
    <w:p w14:paraId="1DF35B34" w14:textId="3AD3408E" w:rsidR="00754340" w:rsidRPr="004F572A" w:rsidRDefault="00754340" w:rsidP="00754340">
      <w:pPr>
        <w:rPr>
          <w:sz w:val="22"/>
          <w:szCs w:val="22"/>
        </w:rPr>
      </w:pPr>
      <w:proofErr w:type="spellStart"/>
      <w:r w:rsidRPr="004F572A">
        <w:rPr>
          <w:sz w:val="22"/>
          <w:szCs w:val="22"/>
        </w:rPr>
        <w:t>Lenvatinibu</w:t>
      </w:r>
      <w:proofErr w:type="spellEnd"/>
      <w:r w:rsidRPr="004F572A">
        <w:rPr>
          <w:sz w:val="22"/>
          <w:szCs w:val="22"/>
        </w:rPr>
        <w:t xml:space="preserve"> gydomiems pacientams nustatyta </w:t>
      </w:r>
      <w:proofErr w:type="spellStart"/>
      <w:r w:rsidRPr="004F572A">
        <w:rPr>
          <w:sz w:val="22"/>
          <w:szCs w:val="22"/>
        </w:rPr>
        <w:t>proteinurija</w:t>
      </w:r>
      <w:proofErr w:type="spellEnd"/>
      <w:r w:rsidRPr="004F572A">
        <w:rPr>
          <w:sz w:val="22"/>
          <w:szCs w:val="22"/>
        </w:rPr>
        <w:t>, paprastai pasireiškianti ankst</w:t>
      </w:r>
      <w:r w:rsidR="000D31D5">
        <w:rPr>
          <w:sz w:val="22"/>
          <w:szCs w:val="22"/>
        </w:rPr>
        <w:t>i</w:t>
      </w:r>
      <w:r w:rsidRPr="004F572A">
        <w:rPr>
          <w:sz w:val="22"/>
          <w:szCs w:val="22"/>
        </w:rPr>
        <w:t xml:space="preserve"> gydymo </w:t>
      </w:r>
      <w:r w:rsidR="000D31D5">
        <w:rPr>
          <w:sz w:val="22"/>
          <w:szCs w:val="22"/>
        </w:rPr>
        <w:t>eigoje</w:t>
      </w:r>
      <w:r w:rsidRPr="004F572A">
        <w:rPr>
          <w:sz w:val="22"/>
          <w:szCs w:val="22"/>
        </w:rPr>
        <w:t xml:space="preserve"> (žr. 4.8 skyrių). Reikia reguliariai </w:t>
      </w:r>
      <w:r w:rsidR="000D31D5">
        <w:rPr>
          <w:sz w:val="22"/>
          <w:szCs w:val="22"/>
        </w:rPr>
        <w:t>stebėti</w:t>
      </w:r>
      <w:r w:rsidR="000D31D5" w:rsidRPr="004F572A">
        <w:rPr>
          <w:sz w:val="22"/>
          <w:szCs w:val="22"/>
        </w:rPr>
        <w:t xml:space="preserve"> </w:t>
      </w:r>
      <w:r w:rsidRPr="004F572A">
        <w:rPr>
          <w:sz w:val="22"/>
          <w:szCs w:val="22"/>
        </w:rPr>
        <w:t>baltymo kiekį šlapime. Šlapimo tyrimu aptikus ≥</w:t>
      </w:r>
      <w:r w:rsidR="00D53FC3">
        <w:rPr>
          <w:sz w:val="22"/>
          <w:szCs w:val="22"/>
        </w:rPr>
        <w:t> </w:t>
      </w:r>
      <w:r w:rsidRPr="004F572A">
        <w:rPr>
          <w:sz w:val="22"/>
          <w:szCs w:val="22"/>
        </w:rPr>
        <w:t xml:space="preserve">2+ </w:t>
      </w:r>
      <w:proofErr w:type="spellStart"/>
      <w:r w:rsidRPr="004F572A">
        <w:rPr>
          <w:sz w:val="22"/>
          <w:szCs w:val="22"/>
        </w:rPr>
        <w:t>proteinuriją</w:t>
      </w:r>
      <w:proofErr w:type="spellEnd"/>
      <w:r w:rsidRPr="004F572A">
        <w:rPr>
          <w:sz w:val="22"/>
          <w:szCs w:val="22"/>
        </w:rPr>
        <w:t xml:space="preserve">, gali reikėti laikinai sustabdyti ar visiškai nutraukti </w:t>
      </w:r>
      <w:r w:rsidR="000D31D5">
        <w:rPr>
          <w:sz w:val="22"/>
          <w:szCs w:val="22"/>
        </w:rPr>
        <w:t xml:space="preserve">vaistinio preparato </w:t>
      </w:r>
      <w:r w:rsidR="00C64038" w:rsidRPr="004F572A">
        <w:rPr>
          <w:sz w:val="22"/>
          <w:szCs w:val="22"/>
        </w:rPr>
        <w:t>vartojimą</w:t>
      </w:r>
      <w:r w:rsidRPr="004F572A">
        <w:rPr>
          <w:sz w:val="22"/>
          <w:szCs w:val="22"/>
        </w:rPr>
        <w:t xml:space="preserve"> </w:t>
      </w:r>
      <w:r w:rsidR="000D31D5">
        <w:rPr>
          <w:sz w:val="22"/>
          <w:szCs w:val="22"/>
        </w:rPr>
        <w:t xml:space="preserve">arba koreguoti dozę </w:t>
      </w:r>
      <w:r w:rsidRPr="004F572A">
        <w:rPr>
          <w:sz w:val="22"/>
          <w:szCs w:val="22"/>
        </w:rPr>
        <w:t xml:space="preserve">(žr. 4.2 skyrių). </w:t>
      </w:r>
      <w:proofErr w:type="spellStart"/>
      <w:r w:rsidR="000D31D5" w:rsidRPr="000D31D5">
        <w:rPr>
          <w:sz w:val="22"/>
          <w:szCs w:val="22"/>
        </w:rPr>
        <w:t>Lenvatinibą</w:t>
      </w:r>
      <w:proofErr w:type="spellEnd"/>
      <w:r w:rsidR="000D31D5" w:rsidRPr="000D31D5">
        <w:rPr>
          <w:sz w:val="22"/>
          <w:szCs w:val="22"/>
        </w:rPr>
        <w:t xml:space="preserve"> vartojantiems pacientams buvo nustatyta </w:t>
      </w:r>
      <w:proofErr w:type="spellStart"/>
      <w:r w:rsidR="000D31D5" w:rsidRPr="000D31D5">
        <w:rPr>
          <w:sz w:val="22"/>
          <w:szCs w:val="22"/>
        </w:rPr>
        <w:t>nefrozinio</w:t>
      </w:r>
      <w:proofErr w:type="spellEnd"/>
      <w:r w:rsidR="000D31D5" w:rsidRPr="000D31D5">
        <w:rPr>
          <w:sz w:val="22"/>
          <w:szCs w:val="22"/>
        </w:rPr>
        <w:t xml:space="preserve"> sindromo atvejų. Pasireiškus </w:t>
      </w:r>
      <w:proofErr w:type="spellStart"/>
      <w:r w:rsidR="000D31D5" w:rsidRPr="000D31D5">
        <w:rPr>
          <w:sz w:val="22"/>
          <w:szCs w:val="22"/>
        </w:rPr>
        <w:t>nefroziniam</w:t>
      </w:r>
      <w:proofErr w:type="spellEnd"/>
      <w:r w:rsidR="000D31D5" w:rsidRPr="000D31D5">
        <w:rPr>
          <w:sz w:val="22"/>
          <w:szCs w:val="22"/>
        </w:rPr>
        <w:t xml:space="preserve"> sindromui, </w:t>
      </w:r>
      <w:proofErr w:type="spellStart"/>
      <w:r w:rsidR="000D31D5" w:rsidRPr="000D31D5">
        <w:rPr>
          <w:sz w:val="22"/>
          <w:szCs w:val="22"/>
        </w:rPr>
        <w:t>lenvatinibo</w:t>
      </w:r>
      <w:proofErr w:type="spellEnd"/>
      <w:r w:rsidR="000D31D5" w:rsidRPr="000D31D5">
        <w:rPr>
          <w:sz w:val="22"/>
          <w:szCs w:val="22"/>
        </w:rPr>
        <w:t xml:space="preserve"> vartojimą reikia nutraukti</w:t>
      </w:r>
      <w:r w:rsidRPr="004F572A">
        <w:rPr>
          <w:sz w:val="22"/>
          <w:szCs w:val="22"/>
        </w:rPr>
        <w:t>.</w:t>
      </w:r>
    </w:p>
    <w:p w14:paraId="684DD051" w14:textId="77777777" w:rsidR="00C64038" w:rsidRPr="004F572A" w:rsidRDefault="00C64038" w:rsidP="00754340">
      <w:pPr>
        <w:rPr>
          <w:sz w:val="22"/>
          <w:szCs w:val="22"/>
        </w:rPr>
      </w:pPr>
    </w:p>
    <w:p w14:paraId="1BFE9B88" w14:textId="1F039A94" w:rsidR="00754340" w:rsidRPr="004F572A" w:rsidRDefault="00754340" w:rsidP="00754340">
      <w:pPr>
        <w:rPr>
          <w:sz w:val="22"/>
          <w:szCs w:val="22"/>
          <w:u w:val="single"/>
        </w:rPr>
      </w:pPr>
      <w:r w:rsidRPr="004F572A">
        <w:rPr>
          <w:sz w:val="22"/>
          <w:szCs w:val="22"/>
          <w:u w:val="single"/>
        </w:rPr>
        <w:t>Toksinis poveikis kepenims</w:t>
      </w:r>
    </w:p>
    <w:p w14:paraId="346C0CD2" w14:textId="77777777" w:rsidR="00C64038" w:rsidRPr="004F572A" w:rsidRDefault="00C64038" w:rsidP="00754340">
      <w:pPr>
        <w:rPr>
          <w:sz w:val="22"/>
          <w:szCs w:val="22"/>
        </w:rPr>
      </w:pPr>
    </w:p>
    <w:p w14:paraId="11A16861" w14:textId="393EB409" w:rsidR="00754340" w:rsidRPr="004F572A" w:rsidRDefault="000D31D5" w:rsidP="00754340">
      <w:pPr>
        <w:rPr>
          <w:sz w:val="22"/>
          <w:szCs w:val="22"/>
        </w:rPr>
      </w:pPr>
      <w:proofErr w:type="spellStart"/>
      <w:r w:rsidRPr="000D31D5">
        <w:rPr>
          <w:sz w:val="22"/>
          <w:szCs w:val="22"/>
        </w:rPr>
        <w:t>Lenvatinibu</w:t>
      </w:r>
      <w:proofErr w:type="spellEnd"/>
      <w:r w:rsidRPr="000D31D5">
        <w:rPr>
          <w:sz w:val="22"/>
          <w:szCs w:val="22"/>
        </w:rPr>
        <w:t xml:space="preserve"> gydomiems</w:t>
      </w:r>
      <w:r>
        <w:rPr>
          <w:sz w:val="22"/>
          <w:szCs w:val="22"/>
        </w:rPr>
        <w:t xml:space="preserve"> </w:t>
      </w:r>
      <w:r w:rsidR="00C64038" w:rsidRPr="004F572A">
        <w:rPr>
          <w:sz w:val="22"/>
          <w:szCs w:val="22"/>
        </w:rPr>
        <w:t xml:space="preserve">DSK sergantiems pacientams </w:t>
      </w:r>
      <w:r w:rsidR="00754340" w:rsidRPr="004F572A">
        <w:rPr>
          <w:sz w:val="22"/>
          <w:szCs w:val="22"/>
        </w:rPr>
        <w:t>dažniausiai nustatytos su kepenimis susijusios nepageidaujamos reakcijos buvo padidėjęs alaninaminotransferazės (ALT) aktyvumas, padidėjęs aspartataminotransferazės (AST) aktyvumas</w:t>
      </w:r>
      <w:r w:rsidR="00C64038" w:rsidRPr="004F572A">
        <w:rPr>
          <w:sz w:val="22"/>
          <w:szCs w:val="22"/>
        </w:rPr>
        <w:t xml:space="preserve"> ir</w:t>
      </w:r>
      <w:r w:rsidR="00754340" w:rsidRPr="004F572A">
        <w:rPr>
          <w:sz w:val="22"/>
          <w:szCs w:val="22"/>
        </w:rPr>
        <w:t xml:space="preserve"> padidėjęs </w:t>
      </w:r>
      <w:proofErr w:type="spellStart"/>
      <w:r w:rsidR="00754340" w:rsidRPr="004F572A">
        <w:rPr>
          <w:sz w:val="22"/>
          <w:szCs w:val="22"/>
        </w:rPr>
        <w:t>bilirubino</w:t>
      </w:r>
      <w:proofErr w:type="spellEnd"/>
      <w:r w:rsidR="00754340" w:rsidRPr="004F572A">
        <w:rPr>
          <w:sz w:val="22"/>
          <w:szCs w:val="22"/>
        </w:rPr>
        <w:t xml:space="preserve"> kiekis kraujyje. </w:t>
      </w:r>
      <w:proofErr w:type="spellStart"/>
      <w:r w:rsidRPr="000D31D5">
        <w:rPr>
          <w:sz w:val="22"/>
          <w:szCs w:val="22"/>
        </w:rPr>
        <w:t>Lenvatinibu</w:t>
      </w:r>
      <w:proofErr w:type="spellEnd"/>
      <w:r w:rsidRPr="000D31D5">
        <w:rPr>
          <w:sz w:val="22"/>
          <w:szCs w:val="22"/>
        </w:rPr>
        <w:t xml:space="preserve"> gydomiems DSK sergantiems pacientams nustatytas kepenų nepakankamumas ir ūminis hepatitas</w:t>
      </w:r>
      <w:r w:rsidRPr="000D31D5" w:rsidDel="000D31D5">
        <w:rPr>
          <w:sz w:val="22"/>
          <w:szCs w:val="22"/>
        </w:rPr>
        <w:t xml:space="preserve"> </w:t>
      </w:r>
      <w:r w:rsidR="00C64038" w:rsidRPr="004F572A">
        <w:rPr>
          <w:sz w:val="22"/>
          <w:szCs w:val="22"/>
        </w:rPr>
        <w:t>(&lt;</w:t>
      </w:r>
      <w:r w:rsidR="00D53FC3">
        <w:rPr>
          <w:sz w:val="22"/>
          <w:szCs w:val="22"/>
        </w:rPr>
        <w:t> </w:t>
      </w:r>
      <w:r w:rsidR="00C64038" w:rsidRPr="004F572A">
        <w:rPr>
          <w:sz w:val="22"/>
          <w:szCs w:val="22"/>
        </w:rPr>
        <w:t>1</w:t>
      </w:r>
      <w:r w:rsidR="00D53FC3">
        <w:rPr>
          <w:sz w:val="22"/>
          <w:szCs w:val="22"/>
        </w:rPr>
        <w:t> </w:t>
      </w:r>
      <w:r w:rsidR="00C64038" w:rsidRPr="004F572A">
        <w:rPr>
          <w:sz w:val="22"/>
          <w:szCs w:val="22"/>
        </w:rPr>
        <w:t>%; žr. 4.8 skyrių)</w:t>
      </w:r>
      <w:r w:rsidR="00754340" w:rsidRPr="004F572A">
        <w:rPr>
          <w:sz w:val="22"/>
          <w:szCs w:val="22"/>
        </w:rPr>
        <w:t xml:space="preserve">. Kepenų nepakankamumo atvejai paprastai nustatyti pacientams, sergantiems </w:t>
      </w:r>
      <w:r w:rsidRPr="000D31D5">
        <w:rPr>
          <w:sz w:val="22"/>
          <w:szCs w:val="22"/>
        </w:rPr>
        <w:t xml:space="preserve">progresuojančia </w:t>
      </w:r>
      <w:proofErr w:type="spellStart"/>
      <w:r w:rsidRPr="000D31D5">
        <w:rPr>
          <w:sz w:val="22"/>
          <w:szCs w:val="22"/>
        </w:rPr>
        <w:t>metastazuojančia</w:t>
      </w:r>
      <w:proofErr w:type="spellEnd"/>
      <w:r w:rsidRPr="000D31D5">
        <w:rPr>
          <w:sz w:val="22"/>
          <w:szCs w:val="22"/>
        </w:rPr>
        <w:t xml:space="preserve"> kepenų liga</w:t>
      </w:r>
      <w:r w:rsidR="00754340" w:rsidRPr="004F572A">
        <w:rPr>
          <w:sz w:val="22"/>
          <w:szCs w:val="22"/>
        </w:rPr>
        <w:t>.</w:t>
      </w:r>
    </w:p>
    <w:p w14:paraId="3CD850E8" w14:textId="77777777" w:rsidR="003C623A" w:rsidRPr="004F572A" w:rsidRDefault="003C623A" w:rsidP="00754340">
      <w:pPr>
        <w:rPr>
          <w:sz w:val="22"/>
          <w:szCs w:val="22"/>
        </w:rPr>
      </w:pPr>
    </w:p>
    <w:p w14:paraId="4F8DF28C" w14:textId="0E101126" w:rsidR="0010302B" w:rsidRPr="004F572A" w:rsidRDefault="00754340" w:rsidP="0010302B">
      <w:pPr>
        <w:rPr>
          <w:sz w:val="22"/>
          <w:szCs w:val="22"/>
        </w:rPr>
      </w:pPr>
      <w:r w:rsidRPr="004F572A">
        <w:rPr>
          <w:sz w:val="22"/>
          <w:szCs w:val="22"/>
        </w:rPr>
        <w:t xml:space="preserve">REFLECT tyrime HCK sergantiems </w:t>
      </w:r>
      <w:proofErr w:type="spellStart"/>
      <w:r w:rsidRPr="004F572A">
        <w:rPr>
          <w:sz w:val="22"/>
          <w:szCs w:val="22"/>
        </w:rPr>
        <w:t>lenvatinibu</w:t>
      </w:r>
      <w:proofErr w:type="spellEnd"/>
      <w:r w:rsidRPr="004F572A">
        <w:rPr>
          <w:sz w:val="22"/>
          <w:szCs w:val="22"/>
        </w:rPr>
        <w:t xml:space="preserve"> gydytiems pacientams dažniau </w:t>
      </w:r>
      <w:r w:rsidR="000D31D5">
        <w:rPr>
          <w:sz w:val="22"/>
          <w:szCs w:val="22"/>
        </w:rPr>
        <w:t>buvo registruojamos</w:t>
      </w:r>
      <w:r w:rsidRPr="004F572A">
        <w:rPr>
          <w:sz w:val="22"/>
          <w:szCs w:val="22"/>
        </w:rPr>
        <w:t xml:space="preserve"> su kepenimis susijusi</w:t>
      </w:r>
      <w:r w:rsidR="000D31D5">
        <w:rPr>
          <w:sz w:val="22"/>
          <w:szCs w:val="22"/>
        </w:rPr>
        <w:t>o</w:t>
      </w:r>
      <w:r w:rsidRPr="004F572A">
        <w:rPr>
          <w:sz w:val="22"/>
          <w:szCs w:val="22"/>
        </w:rPr>
        <w:t>s nepageidaujam</w:t>
      </w:r>
      <w:r w:rsidR="000D31D5">
        <w:rPr>
          <w:sz w:val="22"/>
          <w:szCs w:val="22"/>
        </w:rPr>
        <w:t>o</w:t>
      </w:r>
      <w:r w:rsidRPr="004F572A">
        <w:rPr>
          <w:sz w:val="22"/>
          <w:szCs w:val="22"/>
        </w:rPr>
        <w:t>s reakcij</w:t>
      </w:r>
      <w:r w:rsidR="000D31D5">
        <w:rPr>
          <w:sz w:val="22"/>
          <w:szCs w:val="22"/>
        </w:rPr>
        <w:t>o</w:t>
      </w:r>
      <w:r w:rsidRPr="004F572A">
        <w:rPr>
          <w:sz w:val="22"/>
          <w:szCs w:val="22"/>
        </w:rPr>
        <w:t xml:space="preserve">s, įskaitant </w:t>
      </w:r>
      <w:proofErr w:type="spellStart"/>
      <w:r w:rsidRPr="004F572A">
        <w:rPr>
          <w:sz w:val="22"/>
          <w:szCs w:val="22"/>
        </w:rPr>
        <w:t>hepatinę</w:t>
      </w:r>
      <w:proofErr w:type="spellEnd"/>
      <w:r w:rsidRPr="004F572A">
        <w:rPr>
          <w:sz w:val="22"/>
          <w:szCs w:val="22"/>
        </w:rPr>
        <w:t xml:space="preserve"> </w:t>
      </w:r>
      <w:proofErr w:type="spellStart"/>
      <w:r w:rsidRPr="004F572A">
        <w:rPr>
          <w:sz w:val="22"/>
          <w:szCs w:val="22"/>
        </w:rPr>
        <w:t>encefalopatiją</w:t>
      </w:r>
      <w:proofErr w:type="spellEnd"/>
      <w:r w:rsidRPr="004F572A">
        <w:rPr>
          <w:sz w:val="22"/>
          <w:szCs w:val="22"/>
        </w:rPr>
        <w:t xml:space="preserve"> ir kepenų nepakankamumą (</w:t>
      </w:r>
      <w:r w:rsidR="00E603F5">
        <w:rPr>
          <w:sz w:val="22"/>
          <w:szCs w:val="22"/>
        </w:rPr>
        <w:t>su</w:t>
      </w:r>
      <w:r w:rsidR="00E603F5" w:rsidRPr="004F572A">
        <w:rPr>
          <w:sz w:val="22"/>
          <w:szCs w:val="22"/>
        </w:rPr>
        <w:t xml:space="preserve"> </w:t>
      </w:r>
      <w:r w:rsidR="003C623A" w:rsidRPr="004F572A">
        <w:rPr>
          <w:sz w:val="22"/>
          <w:szCs w:val="22"/>
        </w:rPr>
        <w:t>mirtin</w:t>
      </w:r>
      <w:r w:rsidR="00E603F5">
        <w:rPr>
          <w:sz w:val="22"/>
          <w:szCs w:val="22"/>
        </w:rPr>
        <w:t>omi</w:t>
      </w:r>
      <w:r w:rsidR="003C623A" w:rsidRPr="004F572A">
        <w:rPr>
          <w:sz w:val="22"/>
          <w:szCs w:val="22"/>
        </w:rPr>
        <w:t>s</w:t>
      </w:r>
      <w:r w:rsidRPr="004F572A">
        <w:rPr>
          <w:sz w:val="22"/>
          <w:szCs w:val="22"/>
        </w:rPr>
        <w:t xml:space="preserve"> reakcij</w:t>
      </w:r>
      <w:r w:rsidR="00E603F5">
        <w:rPr>
          <w:sz w:val="22"/>
          <w:szCs w:val="22"/>
        </w:rPr>
        <w:t>omis</w:t>
      </w:r>
      <w:r w:rsidRPr="004F572A">
        <w:rPr>
          <w:sz w:val="22"/>
          <w:szCs w:val="22"/>
        </w:rPr>
        <w:t xml:space="preserve">) (žr. 4.8 skyrių), palyginti su </w:t>
      </w:r>
      <w:proofErr w:type="spellStart"/>
      <w:r w:rsidRPr="004F572A">
        <w:rPr>
          <w:sz w:val="22"/>
          <w:szCs w:val="22"/>
        </w:rPr>
        <w:t>sorafenibu</w:t>
      </w:r>
      <w:proofErr w:type="spellEnd"/>
      <w:r w:rsidRPr="004F572A">
        <w:rPr>
          <w:sz w:val="22"/>
          <w:szCs w:val="22"/>
        </w:rPr>
        <w:t xml:space="preserve"> gydytais pacientais. </w:t>
      </w:r>
      <w:r w:rsidR="00E603F5" w:rsidRPr="00E603F5">
        <w:rPr>
          <w:sz w:val="22"/>
          <w:szCs w:val="22"/>
        </w:rPr>
        <w:t xml:space="preserve">Sunkesnį kepenų nepakankamumą ir (arba) didesnę neigiamą naviko įtaką patiriantiems pacientams grėsė </w:t>
      </w:r>
      <w:r w:rsidR="0010302B" w:rsidRPr="004F572A">
        <w:rPr>
          <w:sz w:val="22"/>
          <w:szCs w:val="22"/>
        </w:rPr>
        <w:t xml:space="preserve">didesnė </w:t>
      </w:r>
      <w:proofErr w:type="spellStart"/>
      <w:r w:rsidRPr="004F572A">
        <w:rPr>
          <w:sz w:val="22"/>
          <w:szCs w:val="22"/>
        </w:rPr>
        <w:t>hepatinės</w:t>
      </w:r>
      <w:proofErr w:type="spellEnd"/>
      <w:r w:rsidRPr="004F572A">
        <w:rPr>
          <w:sz w:val="22"/>
          <w:szCs w:val="22"/>
        </w:rPr>
        <w:t xml:space="preserve"> </w:t>
      </w:r>
      <w:proofErr w:type="spellStart"/>
      <w:r w:rsidRPr="004F572A">
        <w:rPr>
          <w:sz w:val="22"/>
          <w:szCs w:val="22"/>
        </w:rPr>
        <w:t>encefalopatijos</w:t>
      </w:r>
      <w:proofErr w:type="spellEnd"/>
      <w:r w:rsidRPr="004F572A">
        <w:rPr>
          <w:sz w:val="22"/>
          <w:szCs w:val="22"/>
        </w:rPr>
        <w:t xml:space="preserve"> ir kepenų nepakankamumo išsivystymo rizika. </w:t>
      </w:r>
      <w:proofErr w:type="spellStart"/>
      <w:r w:rsidRPr="004F572A">
        <w:rPr>
          <w:sz w:val="22"/>
          <w:szCs w:val="22"/>
        </w:rPr>
        <w:t>Hepatinė</w:t>
      </w:r>
      <w:proofErr w:type="spellEnd"/>
      <w:r w:rsidRPr="004F572A">
        <w:rPr>
          <w:sz w:val="22"/>
          <w:szCs w:val="22"/>
        </w:rPr>
        <w:t xml:space="preserve"> </w:t>
      </w:r>
      <w:proofErr w:type="spellStart"/>
      <w:r w:rsidRPr="004F572A">
        <w:rPr>
          <w:sz w:val="22"/>
          <w:szCs w:val="22"/>
        </w:rPr>
        <w:t>encefalopatija</w:t>
      </w:r>
      <w:proofErr w:type="spellEnd"/>
      <w:r w:rsidRPr="004F572A">
        <w:rPr>
          <w:sz w:val="22"/>
          <w:szCs w:val="22"/>
        </w:rPr>
        <w:t xml:space="preserve"> taip pat dažniau </w:t>
      </w:r>
      <w:r w:rsidR="00E603F5">
        <w:rPr>
          <w:sz w:val="22"/>
          <w:szCs w:val="22"/>
        </w:rPr>
        <w:t>vystėsi</w:t>
      </w:r>
      <w:r w:rsidR="00E603F5" w:rsidRPr="004F572A">
        <w:rPr>
          <w:sz w:val="22"/>
          <w:szCs w:val="22"/>
        </w:rPr>
        <w:t xml:space="preserve"> </w:t>
      </w:r>
      <w:r w:rsidRPr="004F572A">
        <w:rPr>
          <w:sz w:val="22"/>
          <w:szCs w:val="22"/>
        </w:rPr>
        <w:t>75</w:t>
      </w:r>
      <w:r w:rsidR="00D53FC3">
        <w:rPr>
          <w:sz w:val="22"/>
          <w:szCs w:val="22"/>
        </w:rPr>
        <w:t> </w:t>
      </w:r>
      <w:r w:rsidRPr="004F572A">
        <w:rPr>
          <w:sz w:val="22"/>
          <w:szCs w:val="22"/>
        </w:rPr>
        <w:t xml:space="preserve">metų </w:t>
      </w:r>
      <w:r w:rsidR="00E603F5">
        <w:rPr>
          <w:sz w:val="22"/>
          <w:szCs w:val="22"/>
        </w:rPr>
        <w:t xml:space="preserve">amžiaus </w:t>
      </w:r>
      <w:r w:rsidRPr="004F572A">
        <w:rPr>
          <w:sz w:val="22"/>
          <w:szCs w:val="22"/>
        </w:rPr>
        <w:t>ir vyresniems pacientams. Maždaug</w:t>
      </w:r>
      <w:r w:rsidR="0010302B" w:rsidRPr="004F572A">
        <w:rPr>
          <w:rFonts w:ascii="TimesNewRomanPSMT" w:eastAsia="Times New Roman" w:hAnsi="TimesNewRomanPSMT"/>
          <w:sz w:val="22"/>
          <w:szCs w:val="22"/>
          <w:lang w:eastAsia="en-US"/>
        </w:rPr>
        <w:t xml:space="preserve"> </w:t>
      </w:r>
      <w:r w:rsidR="0010302B" w:rsidRPr="004F572A">
        <w:rPr>
          <w:sz w:val="22"/>
          <w:szCs w:val="22"/>
        </w:rPr>
        <w:t xml:space="preserve">pusė kepenų nepakankamumo ir trečdalis </w:t>
      </w:r>
      <w:proofErr w:type="spellStart"/>
      <w:r w:rsidR="0010302B" w:rsidRPr="004F572A">
        <w:rPr>
          <w:sz w:val="22"/>
          <w:szCs w:val="22"/>
        </w:rPr>
        <w:t>hepatinės</w:t>
      </w:r>
      <w:proofErr w:type="spellEnd"/>
      <w:r w:rsidR="0010302B" w:rsidRPr="004F572A">
        <w:rPr>
          <w:sz w:val="22"/>
          <w:szCs w:val="22"/>
        </w:rPr>
        <w:t xml:space="preserve"> </w:t>
      </w:r>
      <w:proofErr w:type="spellStart"/>
      <w:r w:rsidR="0010302B" w:rsidRPr="004F572A">
        <w:rPr>
          <w:sz w:val="22"/>
          <w:szCs w:val="22"/>
        </w:rPr>
        <w:t>encefalopatijos</w:t>
      </w:r>
      <w:proofErr w:type="spellEnd"/>
      <w:r w:rsidR="0010302B" w:rsidRPr="004F572A">
        <w:rPr>
          <w:sz w:val="22"/>
          <w:szCs w:val="22"/>
        </w:rPr>
        <w:t xml:space="preserve"> atvejų užregistruota pacientams, kurių liga progresavo.</w:t>
      </w:r>
    </w:p>
    <w:p w14:paraId="6A9C40B9" w14:textId="77777777" w:rsidR="0010302B" w:rsidRPr="004F572A" w:rsidRDefault="0010302B" w:rsidP="0010302B">
      <w:pPr>
        <w:rPr>
          <w:sz w:val="22"/>
          <w:szCs w:val="22"/>
        </w:rPr>
      </w:pPr>
    </w:p>
    <w:p w14:paraId="139EC3CC" w14:textId="0BD31649" w:rsidR="0010302B" w:rsidRPr="004F572A" w:rsidRDefault="0010302B" w:rsidP="0010302B">
      <w:pPr>
        <w:rPr>
          <w:sz w:val="22"/>
          <w:szCs w:val="22"/>
        </w:rPr>
      </w:pPr>
      <w:r w:rsidRPr="004F572A">
        <w:rPr>
          <w:sz w:val="22"/>
          <w:szCs w:val="22"/>
        </w:rPr>
        <w:t xml:space="preserve">Duomenų apie HCK sergančius pacientus, kuriems </w:t>
      </w:r>
      <w:r w:rsidR="00E603F5">
        <w:rPr>
          <w:sz w:val="22"/>
          <w:szCs w:val="22"/>
        </w:rPr>
        <w:t>pasireiškė</w:t>
      </w:r>
      <w:r w:rsidR="00E603F5" w:rsidRPr="004F572A">
        <w:rPr>
          <w:sz w:val="22"/>
          <w:szCs w:val="22"/>
        </w:rPr>
        <w:t xml:space="preserve"> </w:t>
      </w:r>
      <w:r w:rsidRPr="004F572A">
        <w:rPr>
          <w:sz w:val="22"/>
          <w:szCs w:val="22"/>
        </w:rPr>
        <w:t xml:space="preserve">vidutinio sunkumo kepenų </w:t>
      </w:r>
      <w:r w:rsidR="00E603F5">
        <w:rPr>
          <w:sz w:val="22"/>
          <w:szCs w:val="22"/>
        </w:rPr>
        <w:t>nepakankamumas</w:t>
      </w:r>
      <w:r w:rsidRPr="004F572A">
        <w:rPr>
          <w:sz w:val="22"/>
          <w:szCs w:val="22"/>
        </w:rPr>
        <w:t xml:space="preserve"> (B pagal </w:t>
      </w:r>
      <w:proofErr w:type="spellStart"/>
      <w:r w:rsidRPr="000D1CAE">
        <w:rPr>
          <w:i/>
          <w:sz w:val="22"/>
          <w:szCs w:val="22"/>
        </w:rPr>
        <w:t>Child-Pugh</w:t>
      </w:r>
      <w:proofErr w:type="spellEnd"/>
      <w:r w:rsidRPr="004F572A">
        <w:rPr>
          <w:sz w:val="22"/>
          <w:szCs w:val="22"/>
        </w:rPr>
        <w:t xml:space="preserve"> yra labai nedaug, o duomenų apie HCK pacientus</w:t>
      </w:r>
      <w:r w:rsidR="00E603F5">
        <w:rPr>
          <w:sz w:val="22"/>
          <w:szCs w:val="22"/>
        </w:rPr>
        <w:t xml:space="preserve"> su </w:t>
      </w:r>
      <w:r w:rsidRPr="004F572A">
        <w:rPr>
          <w:sz w:val="22"/>
          <w:szCs w:val="22"/>
        </w:rPr>
        <w:t>sunk</w:t>
      </w:r>
      <w:r w:rsidR="00E603F5">
        <w:rPr>
          <w:sz w:val="22"/>
          <w:szCs w:val="22"/>
        </w:rPr>
        <w:t>iu</w:t>
      </w:r>
      <w:r w:rsidRPr="004F572A">
        <w:rPr>
          <w:sz w:val="22"/>
          <w:szCs w:val="22"/>
        </w:rPr>
        <w:t xml:space="preserve"> kepenų </w:t>
      </w:r>
      <w:r w:rsidR="00E603F5">
        <w:rPr>
          <w:sz w:val="22"/>
          <w:szCs w:val="22"/>
        </w:rPr>
        <w:t>nepakankamumu</w:t>
      </w:r>
      <w:r w:rsidRPr="004F572A">
        <w:rPr>
          <w:sz w:val="22"/>
          <w:szCs w:val="22"/>
        </w:rPr>
        <w:t xml:space="preserve"> (C pagal </w:t>
      </w:r>
      <w:proofErr w:type="spellStart"/>
      <w:r w:rsidRPr="000D1CAE">
        <w:rPr>
          <w:i/>
          <w:sz w:val="22"/>
          <w:szCs w:val="22"/>
        </w:rPr>
        <w:t>Child-Pugh</w:t>
      </w:r>
      <w:proofErr w:type="spellEnd"/>
      <w:r w:rsidRPr="004F572A">
        <w:rPr>
          <w:sz w:val="22"/>
          <w:szCs w:val="22"/>
        </w:rPr>
        <w:t xml:space="preserve">) šiuo metu nėra. Kadangi </w:t>
      </w:r>
      <w:proofErr w:type="spellStart"/>
      <w:r w:rsidRPr="004F572A">
        <w:rPr>
          <w:sz w:val="22"/>
          <w:szCs w:val="22"/>
        </w:rPr>
        <w:t>lenvatinib</w:t>
      </w:r>
      <w:r w:rsidR="00E603F5">
        <w:rPr>
          <w:sz w:val="22"/>
          <w:szCs w:val="22"/>
        </w:rPr>
        <w:t>as</w:t>
      </w:r>
      <w:proofErr w:type="spellEnd"/>
      <w:r w:rsidRPr="004F572A">
        <w:rPr>
          <w:sz w:val="22"/>
          <w:szCs w:val="22"/>
        </w:rPr>
        <w:t xml:space="preserve"> daugiausia </w:t>
      </w:r>
      <w:proofErr w:type="spellStart"/>
      <w:r w:rsidRPr="004F572A">
        <w:rPr>
          <w:sz w:val="22"/>
          <w:szCs w:val="22"/>
        </w:rPr>
        <w:t>metabolizuoja</w:t>
      </w:r>
      <w:r w:rsidR="00E603F5">
        <w:rPr>
          <w:sz w:val="22"/>
          <w:szCs w:val="22"/>
        </w:rPr>
        <w:t>mas</w:t>
      </w:r>
      <w:proofErr w:type="spellEnd"/>
      <w:r w:rsidRPr="004F572A">
        <w:rPr>
          <w:sz w:val="22"/>
          <w:szCs w:val="22"/>
        </w:rPr>
        <w:t xml:space="preserve"> kepenys</w:t>
      </w:r>
      <w:r w:rsidR="00E603F5">
        <w:rPr>
          <w:sz w:val="22"/>
          <w:szCs w:val="22"/>
        </w:rPr>
        <w:t>e</w:t>
      </w:r>
      <w:r w:rsidRPr="004F572A">
        <w:rPr>
          <w:sz w:val="22"/>
          <w:szCs w:val="22"/>
        </w:rPr>
        <w:t xml:space="preserve">, tikėtina, kad vaistinio preparato </w:t>
      </w:r>
      <w:r w:rsidR="00E603F5">
        <w:rPr>
          <w:sz w:val="22"/>
          <w:szCs w:val="22"/>
        </w:rPr>
        <w:t xml:space="preserve">poveikis </w:t>
      </w:r>
      <w:r w:rsidR="00E603F5" w:rsidRPr="00E603F5">
        <w:rPr>
          <w:sz w:val="22"/>
          <w:szCs w:val="22"/>
        </w:rPr>
        <w:t>vidutinį ar sunkų kepenų nepakankamumą patiriantiems pacientams sustiprėja</w:t>
      </w:r>
      <w:r w:rsidRPr="004F572A">
        <w:rPr>
          <w:sz w:val="22"/>
          <w:szCs w:val="22"/>
        </w:rPr>
        <w:t>.</w:t>
      </w:r>
    </w:p>
    <w:p w14:paraId="19505D72" w14:textId="77777777" w:rsidR="0010302B" w:rsidRPr="004F572A" w:rsidRDefault="0010302B" w:rsidP="0010302B">
      <w:pPr>
        <w:rPr>
          <w:sz w:val="22"/>
          <w:szCs w:val="22"/>
        </w:rPr>
      </w:pPr>
    </w:p>
    <w:p w14:paraId="4CCA21E8" w14:textId="3FC7985E" w:rsidR="0010302B" w:rsidRPr="004F572A" w:rsidRDefault="0010302B" w:rsidP="0010302B">
      <w:pPr>
        <w:rPr>
          <w:sz w:val="22"/>
          <w:szCs w:val="22"/>
        </w:rPr>
      </w:pPr>
      <w:r w:rsidRPr="004F572A">
        <w:rPr>
          <w:sz w:val="22"/>
          <w:szCs w:val="22"/>
        </w:rPr>
        <w:t xml:space="preserve">EK atveju su kepenimis susijusios nepageidaujamos reakcijos, apie kurias dažniausiai </w:t>
      </w:r>
      <w:r w:rsidR="00E603F5">
        <w:rPr>
          <w:sz w:val="22"/>
          <w:szCs w:val="22"/>
        </w:rPr>
        <w:t>pranešta</w:t>
      </w:r>
      <w:r w:rsidRPr="004F572A">
        <w:rPr>
          <w:sz w:val="22"/>
          <w:szCs w:val="22"/>
        </w:rPr>
        <w:t xml:space="preserve"> pacientams, gydytiems </w:t>
      </w:r>
      <w:proofErr w:type="spellStart"/>
      <w:r w:rsidRPr="004F572A">
        <w:rPr>
          <w:sz w:val="22"/>
          <w:szCs w:val="22"/>
        </w:rPr>
        <w:t>lenvatinibu</w:t>
      </w:r>
      <w:proofErr w:type="spellEnd"/>
      <w:r w:rsidRPr="004F572A">
        <w:rPr>
          <w:sz w:val="22"/>
          <w:szCs w:val="22"/>
        </w:rPr>
        <w:t xml:space="preserve"> ir </w:t>
      </w:r>
      <w:proofErr w:type="spellStart"/>
      <w:r w:rsidRPr="004F572A">
        <w:rPr>
          <w:sz w:val="22"/>
          <w:szCs w:val="22"/>
        </w:rPr>
        <w:t>pembrolizumabu</w:t>
      </w:r>
      <w:proofErr w:type="spellEnd"/>
      <w:r w:rsidRPr="004F572A">
        <w:rPr>
          <w:sz w:val="22"/>
          <w:szCs w:val="22"/>
        </w:rPr>
        <w:t>, buvo alaninaminotransferazės (ALT) ir aspartataminotransferazės (AST) aktyvumo padidėjimas. Buvo pranešta apie kepenų nepakankamumą ir hepatitą (&lt;</w:t>
      </w:r>
      <w:r w:rsidR="00E603F5">
        <w:rPr>
          <w:sz w:val="22"/>
          <w:szCs w:val="22"/>
        </w:rPr>
        <w:t> </w:t>
      </w:r>
      <w:r w:rsidRPr="004F572A">
        <w:rPr>
          <w:sz w:val="22"/>
          <w:szCs w:val="22"/>
        </w:rPr>
        <w:t>1</w:t>
      </w:r>
      <w:r w:rsidR="00E603F5">
        <w:rPr>
          <w:sz w:val="22"/>
          <w:szCs w:val="22"/>
        </w:rPr>
        <w:t> </w:t>
      </w:r>
      <w:r w:rsidRPr="004F572A">
        <w:rPr>
          <w:sz w:val="22"/>
          <w:szCs w:val="22"/>
        </w:rPr>
        <w:t>%; žr. 4.8 skyrių) pacientams</w:t>
      </w:r>
      <w:r w:rsidR="00E603F5">
        <w:rPr>
          <w:sz w:val="22"/>
          <w:szCs w:val="22"/>
        </w:rPr>
        <w:t>,</w:t>
      </w:r>
      <w:r w:rsidR="00E603F5" w:rsidRPr="00E603F5">
        <w:rPr>
          <w:sz w:val="22"/>
          <w:szCs w:val="22"/>
        </w:rPr>
        <w:t xml:space="preserve"> </w:t>
      </w:r>
      <w:r w:rsidR="00E603F5" w:rsidRPr="004F572A">
        <w:rPr>
          <w:sz w:val="22"/>
          <w:szCs w:val="22"/>
        </w:rPr>
        <w:t>sergantiems</w:t>
      </w:r>
      <w:r w:rsidR="00E603F5">
        <w:rPr>
          <w:sz w:val="22"/>
          <w:szCs w:val="22"/>
        </w:rPr>
        <w:t xml:space="preserve"> EC</w:t>
      </w:r>
      <w:r w:rsidRPr="004F572A">
        <w:rPr>
          <w:sz w:val="22"/>
          <w:szCs w:val="22"/>
        </w:rPr>
        <w:t xml:space="preserve">, </w:t>
      </w:r>
      <w:r w:rsidR="00E603F5">
        <w:rPr>
          <w:sz w:val="22"/>
          <w:szCs w:val="22"/>
        </w:rPr>
        <w:t>gydytiems</w:t>
      </w:r>
      <w:r w:rsidRPr="004F572A">
        <w:rPr>
          <w:sz w:val="22"/>
          <w:szCs w:val="22"/>
        </w:rPr>
        <w:t xml:space="preserve"> </w:t>
      </w:r>
      <w:proofErr w:type="spellStart"/>
      <w:r w:rsidRPr="004F572A">
        <w:rPr>
          <w:sz w:val="22"/>
          <w:szCs w:val="22"/>
        </w:rPr>
        <w:t>lenvatinibu</w:t>
      </w:r>
      <w:proofErr w:type="spellEnd"/>
      <w:r w:rsidRPr="004F572A">
        <w:rPr>
          <w:sz w:val="22"/>
          <w:szCs w:val="22"/>
        </w:rPr>
        <w:t xml:space="preserve"> ir </w:t>
      </w:r>
      <w:proofErr w:type="spellStart"/>
      <w:r w:rsidRPr="004F572A">
        <w:rPr>
          <w:sz w:val="22"/>
          <w:szCs w:val="22"/>
        </w:rPr>
        <w:t>pembrolizumabu</w:t>
      </w:r>
      <w:proofErr w:type="spellEnd"/>
      <w:r w:rsidRPr="004F572A">
        <w:rPr>
          <w:sz w:val="22"/>
          <w:szCs w:val="22"/>
        </w:rPr>
        <w:t>.</w:t>
      </w:r>
    </w:p>
    <w:p w14:paraId="1EB5D31D" w14:textId="77777777" w:rsidR="00AB0086" w:rsidRPr="004F572A" w:rsidRDefault="00AB0086" w:rsidP="0010302B">
      <w:pPr>
        <w:rPr>
          <w:sz w:val="22"/>
          <w:szCs w:val="22"/>
        </w:rPr>
      </w:pPr>
    </w:p>
    <w:p w14:paraId="42B6A6BC" w14:textId="7E022AED" w:rsidR="00AB0086" w:rsidRPr="004F572A" w:rsidRDefault="00E603F5" w:rsidP="00AB0086">
      <w:pPr>
        <w:rPr>
          <w:sz w:val="22"/>
          <w:szCs w:val="22"/>
        </w:rPr>
      </w:pPr>
      <w:r w:rsidRPr="00E603F5">
        <w:rPr>
          <w:sz w:val="22"/>
          <w:szCs w:val="22"/>
        </w:rPr>
        <w:t>Nesunkų ar vidutinio sunkumo kepenų nepakankamumą patiriančius pacientus reikia stebėti bendro saugumo sumetimais</w:t>
      </w:r>
      <w:r w:rsidRPr="00E603F5" w:rsidDel="00E603F5">
        <w:rPr>
          <w:sz w:val="22"/>
          <w:szCs w:val="22"/>
        </w:rPr>
        <w:t xml:space="preserve"> </w:t>
      </w:r>
      <w:r w:rsidR="00AB0086" w:rsidRPr="004F572A">
        <w:rPr>
          <w:sz w:val="22"/>
          <w:szCs w:val="22"/>
        </w:rPr>
        <w:t>(žr. 4.4 ir 5.2 skyrius).</w:t>
      </w:r>
      <w:r w:rsidR="0010302B" w:rsidRPr="004F572A">
        <w:rPr>
          <w:sz w:val="22"/>
          <w:szCs w:val="22"/>
        </w:rPr>
        <w:t xml:space="preserve"> Kepenų funkcijos tyrim</w:t>
      </w:r>
      <w:r>
        <w:rPr>
          <w:sz w:val="22"/>
          <w:szCs w:val="22"/>
        </w:rPr>
        <w:t>us reikia atlikti</w:t>
      </w:r>
      <w:r w:rsidR="0010302B" w:rsidRPr="004F572A">
        <w:rPr>
          <w:sz w:val="22"/>
          <w:szCs w:val="22"/>
        </w:rPr>
        <w:t xml:space="preserve"> </w:t>
      </w:r>
      <w:r w:rsidR="00AB0086" w:rsidRPr="004F572A">
        <w:rPr>
          <w:sz w:val="22"/>
          <w:szCs w:val="22"/>
        </w:rPr>
        <w:t>prieš pradedant gydymą, po to pirmuosius 2</w:t>
      </w:r>
      <w:r w:rsidR="00D53FC3">
        <w:rPr>
          <w:sz w:val="22"/>
          <w:szCs w:val="22"/>
        </w:rPr>
        <w:t> </w:t>
      </w:r>
      <w:r w:rsidR="00AB0086" w:rsidRPr="004F572A">
        <w:rPr>
          <w:sz w:val="22"/>
          <w:szCs w:val="22"/>
        </w:rPr>
        <w:t>mėnesius kas 2</w:t>
      </w:r>
      <w:r w:rsidR="00D53FC3">
        <w:rPr>
          <w:sz w:val="22"/>
          <w:szCs w:val="22"/>
        </w:rPr>
        <w:t> </w:t>
      </w:r>
      <w:r w:rsidR="00AB0086" w:rsidRPr="004F572A">
        <w:rPr>
          <w:sz w:val="22"/>
          <w:szCs w:val="22"/>
        </w:rPr>
        <w:t xml:space="preserve">savaites, </w:t>
      </w:r>
      <w:r>
        <w:rPr>
          <w:sz w:val="22"/>
          <w:szCs w:val="22"/>
        </w:rPr>
        <w:t>po to</w:t>
      </w:r>
      <w:r w:rsidR="00AB0086" w:rsidRPr="004F572A">
        <w:rPr>
          <w:sz w:val="22"/>
          <w:szCs w:val="22"/>
        </w:rPr>
        <w:t xml:space="preserve"> gydymo metu kas mėnesį. Reikia </w:t>
      </w:r>
      <w:r>
        <w:rPr>
          <w:sz w:val="22"/>
          <w:szCs w:val="22"/>
        </w:rPr>
        <w:t>stebėti</w:t>
      </w:r>
      <w:r w:rsidR="00AB0086" w:rsidRPr="004F572A">
        <w:rPr>
          <w:sz w:val="22"/>
          <w:szCs w:val="22"/>
        </w:rPr>
        <w:t>, ar HCK sergantiems pacientams neblogėja kepenų funkcij</w:t>
      </w:r>
      <w:r>
        <w:rPr>
          <w:sz w:val="22"/>
          <w:szCs w:val="22"/>
        </w:rPr>
        <w:t>a</w:t>
      </w:r>
      <w:r w:rsidR="00AB0086" w:rsidRPr="004F572A">
        <w:rPr>
          <w:sz w:val="22"/>
          <w:szCs w:val="22"/>
        </w:rPr>
        <w:t xml:space="preserve">, </w:t>
      </w:r>
      <w:r>
        <w:rPr>
          <w:sz w:val="22"/>
          <w:szCs w:val="22"/>
        </w:rPr>
        <w:t>ar nesivysto</w:t>
      </w:r>
      <w:r w:rsidR="00AB0086" w:rsidRPr="004F572A">
        <w:rPr>
          <w:sz w:val="22"/>
          <w:szCs w:val="22"/>
        </w:rPr>
        <w:t xml:space="preserve"> </w:t>
      </w:r>
      <w:proofErr w:type="spellStart"/>
      <w:r w:rsidR="00AB0086" w:rsidRPr="004F572A">
        <w:rPr>
          <w:sz w:val="22"/>
          <w:szCs w:val="22"/>
        </w:rPr>
        <w:t>hepatin</w:t>
      </w:r>
      <w:r>
        <w:rPr>
          <w:sz w:val="22"/>
          <w:szCs w:val="22"/>
        </w:rPr>
        <w:t>ė</w:t>
      </w:r>
      <w:proofErr w:type="spellEnd"/>
      <w:r w:rsidR="00AB0086" w:rsidRPr="004F572A">
        <w:rPr>
          <w:sz w:val="22"/>
          <w:szCs w:val="22"/>
        </w:rPr>
        <w:t xml:space="preserve"> </w:t>
      </w:r>
      <w:proofErr w:type="spellStart"/>
      <w:r w:rsidR="00AB0086" w:rsidRPr="004F572A">
        <w:rPr>
          <w:sz w:val="22"/>
          <w:szCs w:val="22"/>
        </w:rPr>
        <w:t>encefalopatij</w:t>
      </w:r>
      <w:r>
        <w:rPr>
          <w:sz w:val="22"/>
          <w:szCs w:val="22"/>
        </w:rPr>
        <w:t>a</w:t>
      </w:r>
      <w:proofErr w:type="spellEnd"/>
      <w:r w:rsidR="00AB0086" w:rsidRPr="004F572A">
        <w:rPr>
          <w:sz w:val="22"/>
          <w:szCs w:val="22"/>
        </w:rPr>
        <w:t xml:space="preserve">. Toksinio poveikio kepenims atveju gali reikėti </w:t>
      </w:r>
      <w:r>
        <w:rPr>
          <w:sz w:val="22"/>
          <w:szCs w:val="22"/>
        </w:rPr>
        <w:t>laikinai sustabdyti</w:t>
      </w:r>
      <w:r w:rsidR="008E4600" w:rsidRPr="004F572A">
        <w:rPr>
          <w:sz w:val="22"/>
          <w:szCs w:val="22"/>
        </w:rPr>
        <w:t xml:space="preserve"> </w:t>
      </w:r>
      <w:r w:rsidR="00AB0086" w:rsidRPr="004F572A">
        <w:rPr>
          <w:sz w:val="22"/>
          <w:szCs w:val="22"/>
        </w:rPr>
        <w:t xml:space="preserve">ar visiškai nutraukti vaistinio preparato vartojimą </w:t>
      </w:r>
      <w:r>
        <w:rPr>
          <w:sz w:val="22"/>
          <w:szCs w:val="22"/>
        </w:rPr>
        <w:t xml:space="preserve">arba koreguoti dozę </w:t>
      </w:r>
      <w:r w:rsidR="00AB0086" w:rsidRPr="004F572A">
        <w:rPr>
          <w:sz w:val="22"/>
          <w:szCs w:val="22"/>
        </w:rPr>
        <w:t>(žr. 4.2 skyrių).</w:t>
      </w:r>
    </w:p>
    <w:p w14:paraId="50EEE7DA" w14:textId="77777777" w:rsidR="00AB0086" w:rsidRPr="004F572A" w:rsidRDefault="00AB0086" w:rsidP="00AB0086">
      <w:pPr>
        <w:rPr>
          <w:sz w:val="22"/>
          <w:szCs w:val="22"/>
        </w:rPr>
      </w:pPr>
    </w:p>
    <w:p w14:paraId="742745BF" w14:textId="56AD49A3" w:rsidR="00AB0086" w:rsidRPr="004F572A" w:rsidRDefault="00AB0086" w:rsidP="00AB0086">
      <w:pPr>
        <w:rPr>
          <w:sz w:val="22"/>
          <w:szCs w:val="22"/>
          <w:u w:val="single"/>
        </w:rPr>
      </w:pPr>
      <w:r w:rsidRPr="004F572A">
        <w:rPr>
          <w:sz w:val="22"/>
          <w:szCs w:val="22"/>
          <w:u w:val="single"/>
        </w:rPr>
        <w:t>Inkstų nepakankamumas ir funkcijos sutrikimas</w:t>
      </w:r>
    </w:p>
    <w:p w14:paraId="02768F4E" w14:textId="77777777" w:rsidR="00AB0086" w:rsidRPr="004F572A" w:rsidRDefault="00AB0086" w:rsidP="00AB0086">
      <w:pPr>
        <w:rPr>
          <w:sz w:val="22"/>
          <w:szCs w:val="22"/>
        </w:rPr>
      </w:pPr>
    </w:p>
    <w:p w14:paraId="21ABAD38" w14:textId="752B6381" w:rsidR="00AB0086" w:rsidRPr="004F572A" w:rsidRDefault="00E603F5" w:rsidP="00AB0086">
      <w:pPr>
        <w:rPr>
          <w:sz w:val="22"/>
          <w:szCs w:val="22"/>
        </w:rPr>
      </w:pPr>
      <w:proofErr w:type="spellStart"/>
      <w:r w:rsidRPr="00E603F5">
        <w:rPr>
          <w:sz w:val="22"/>
          <w:szCs w:val="22"/>
        </w:rPr>
        <w:t>Lenvatinibu</w:t>
      </w:r>
      <w:proofErr w:type="spellEnd"/>
      <w:r w:rsidRPr="00E603F5">
        <w:rPr>
          <w:sz w:val="22"/>
          <w:szCs w:val="22"/>
        </w:rPr>
        <w:t xml:space="preserve"> gydomiems pacientams nustatytas inkstų funkcijos sutrikimas ir nepakankamumas</w:t>
      </w:r>
      <w:r w:rsidRPr="00E603F5" w:rsidDel="00E603F5">
        <w:rPr>
          <w:sz w:val="22"/>
          <w:szCs w:val="22"/>
        </w:rPr>
        <w:t xml:space="preserve"> </w:t>
      </w:r>
      <w:r w:rsidR="00AB0086" w:rsidRPr="004F572A">
        <w:rPr>
          <w:sz w:val="22"/>
          <w:szCs w:val="22"/>
        </w:rPr>
        <w:t xml:space="preserve">(žr. 4.8 skyrių). </w:t>
      </w:r>
      <w:r>
        <w:rPr>
          <w:sz w:val="22"/>
          <w:szCs w:val="22"/>
        </w:rPr>
        <w:t>Pirminis</w:t>
      </w:r>
      <w:r w:rsidRPr="004F572A">
        <w:rPr>
          <w:sz w:val="22"/>
          <w:szCs w:val="22"/>
        </w:rPr>
        <w:t xml:space="preserve"> </w:t>
      </w:r>
      <w:r w:rsidR="00AB0086" w:rsidRPr="004F572A">
        <w:rPr>
          <w:sz w:val="22"/>
          <w:szCs w:val="22"/>
        </w:rPr>
        <w:t xml:space="preserve">nustatytas rizikos veiksnys buvo dehidratacija ir (arba) </w:t>
      </w:r>
      <w:proofErr w:type="spellStart"/>
      <w:r w:rsidR="00AB0086" w:rsidRPr="004F572A">
        <w:rPr>
          <w:sz w:val="22"/>
          <w:szCs w:val="22"/>
        </w:rPr>
        <w:t>hipovolemija</w:t>
      </w:r>
      <w:proofErr w:type="spellEnd"/>
      <w:r>
        <w:rPr>
          <w:sz w:val="22"/>
          <w:szCs w:val="22"/>
        </w:rPr>
        <w:t>, kurią sukėlė</w:t>
      </w:r>
      <w:r w:rsidR="00AB0086" w:rsidRPr="004F572A">
        <w:rPr>
          <w:sz w:val="22"/>
          <w:szCs w:val="22"/>
        </w:rPr>
        <w:t xml:space="preserve"> toksini</w:t>
      </w:r>
      <w:r>
        <w:rPr>
          <w:sz w:val="22"/>
          <w:szCs w:val="22"/>
        </w:rPr>
        <w:t>s</w:t>
      </w:r>
      <w:r w:rsidR="00AB0086" w:rsidRPr="004F572A">
        <w:rPr>
          <w:sz w:val="22"/>
          <w:szCs w:val="22"/>
        </w:rPr>
        <w:t xml:space="preserve"> poveiki</w:t>
      </w:r>
      <w:r>
        <w:rPr>
          <w:sz w:val="22"/>
          <w:szCs w:val="22"/>
        </w:rPr>
        <w:t>s</w:t>
      </w:r>
      <w:r w:rsidR="00AB0086" w:rsidRPr="004F572A">
        <w:rPr>
          <w:sz w:val="22"/>
          <w:szCs w:val="22"/>
        </w:rPr>
        <w:t xml:space="preserve"> virškinimo traktui. Reikia aktyviai valdyti toksinį poveikį virškinimo traktui, siekiant sumažinti inkstų funkcijos sutrikimo arba nepakankamumo </w:t>
      </w:r>
      <w:r>
        <w:rPr>
          <w:sz w:val="22"/>
          <w:szCs w:val="22"/>
        </w:rPr>
        <w:t>pasireiškimo</w:t>
      </w:r>
      <w:r w:rsidR="00AB0086" w:rsidRPr="004F572A">
        <w:rPr>
          <w:sz w:val="22"/>
          <w:szCs w:val="22"/>
        </w:rPr>
        <w:t xml:space="preserve"> riziką. Gali reikėti </w:t>
      </w:r>
      <w:r>
        <w:rPr>
          <w:sz w:val="22"/>
          <w:szCs w:val="22"/>
        </w:rPr>
        <w:t xml:space="preserve">laikinai sustabdyti </w:t>
      </w:r>
      <w:r w:rsidR="00BD5493" w:rsidRPr="004F572A">
        <w:rPr>
          <w:sz w:val="22"/>
          <w:szCs w:val="22"/>
        </w:rPr>
        <w:t xml:space="preserve">ar visiškai nutraukti vaistinio preparato vartojimą </w:t>
      </w:r>
      <w:r>
        <w:rPr>
          <w:sz w:val="22"/>
          <w:szCs w:val="22"/>
        </w:rPr>
        <w:t xml:space="preserve">arba koreguoti dozę </w:t>
      </w:r>
      <w:r w:rsidR="00AB0086" w:rsidRPr="004F572A">
        <w:rPr>
          <w:sz w:val="22"/>
          <w:szCs w:val="22"/>
        </w:rPr>
        <w:t>(žr. 4.2 skyrių).</w:t>
      </w:r>
    </w:p>
    <w:p w14:paraId="1B9D9CBB" w14:textId="77777777" w:rsidR="00BD5493" w:rsidRPr="004F572A" w:rsidRDefault="00BD5493" w:rsidP="00AB0086">
      <w:pPr>
        <w:rPr>
          <w:sz w:val="22"/>
          <w:szCs w:val="22"/>
        </w:rPr>
      </w:pPr>
    </w:p>
    <w:p w14:paraId="131D5A7B" w14:textId="0024FA84" w:rsidR="00B17652" w:rsidRPr="004F572A" w:rsidRDefault="00AB0086" w:rsidP="00AB0086">
      <w:pPr>
        <w:rPr>
          <w:sz w:val="22"/>
          <w:szCs w:val="22"/>
        </w:rPr>
      </w:pPr>
      <w:r w:rsidRPr="004F572A">
        <w:rPr>
          <w:sz w:val="22"/>
          <w:szCs w:val="22"/>
        </w:rPr>
        <w:t>Jei</w:t>
      </w:r>
      <w:r w:rsidR="00BD5493" w:rsidRPr="004F572A">
        <w:rPr>
          <w:sz w:val="22"/>
          <w:szCs w:val="22"/>
        </w:rPr>
        <w:t>gu</w:t>
      </w:r>
      <w:r w:rsidRPr="004F572A">
        <w:rPr>
          <w:sz w:val="22"/>
          <w:szCs w:val="22"/>
        </w:rPr>
        <w:t xml:space="preserve"> pacientams yra sunkus inkstų funkcijos sutrikimas, </w:t>
      </w:r>
      <w:r w:rsidR="00E603F5">
        <w:rPr>
          <w:sz w:val="22"/>
          <w:szCs w:val="22"/>
        </w:rPr>
        <w:t>reikia koreguoti</w:t>
      </w:r>
      <w:r w:rsidR="00BD5493" w:rsidRPr="004F572A">
        <w:rPr>
          <w:sz w:val="22"/>
          <w:szCs w:val="22"/>
        </w:rPr>
        <w:t xml:space="preserve"> pradin</w:t>
      </w:r>
      <w:r w:rsidR="00E603F5">
        <w:rPr>
          <w:sz w:val="22"/>
          <w:szCs w:val="22"/>
        </w:rPr>
        <w:t>ę</w:t>
      </w:r>
      <w:r w:rsidRPr="004F572A">
        <w:rPr>
          <w:sz w:val="22"/>
          <w:szCs w:val="22"/>
        </w:rPr>
        <w:t xml:space="preserve"> </w:t>
      </w:r>
      <w:proofErr w:type="spellStart"/>
      <w:r w:rsidRPr="004F572A">
        <w:rPr>
          <w:sz w:val="22"/>
          <w:szCs w:val="22"/>
        </w:rPr>
        <w:t>lenvatinibo</w:t>
      </w:r>
      <w:proofErr w:type="spellEnd"/>
      <w:r w:rsidRPr="004F572A">
        <w:rPr>
          <w:sz w:val="22"/>
          <w:szCs w:val="22"/>
        </w:rPr>
        <w:t xml:space="preserve"> doz</w:t>
      </w:r>
      <w:r w:rsidR="00E603F5">
        <w:rPr>
          <w:sz w:val="22"/>
          <w:szCs w:val="22"/>
        </w:rPr>
        <w:t>ę</w:t>
      </w:r>
      <w:r w:rsidRPr="004F572A">
        <w:rPr>
          <w:sz w:val="22"/>
          <w:szCs w:val="22"/>
        </w:rPr>
        <w:t xml:space="preserve"> (žr. 4.2 ir 5.2 skyrius)</w:t>
      </w:r>
    </w:p>
    <w:p w14:paraId="6750C18C" w14:textId="77777777" w:rsidR="00B17652" w:rsidRPr="004F572A" w:rsidRDefault="00B17652" w:rsidP="000928CA">
      <w:pPr>
        <w:rPr>
          <w:sz w:val="22"/>
          <w:szCs w:val="22"/>
        </w:rPr>
      </w:pPr>
    </w:p>
    <w:p w14:paraId="3C577D74" w14:textId="7931D139" w:rsidR="00B17652" w:rsidRPr="004F572A" w:rsidRDefault="00BD5493" w:rsidP="000928CA">
      <w:pPr>
        <w:rPr>
          <w:sz w:val="22"/>
          <w:szCs w:val="22"/>
          <w:u w:val="single"/>
        </w:rPr>
      </w:pPr>
      <w:r w:rsidRPr="004F572A">
        <w:rPr>
          <w:sz w:val="22"/>
          <w:szCs w:val="22"/>
          <w:u w:val="single"/>
        </w:rPr>
        <w:t>Viduriavimas</w:t>
      </w:r>
    </w:p>
    <w:p w14:paraId="2A8E5E04" w14:textId="77777777" w:rsidR="00B17652" w:rsidRPr="004F572A" w:rsidRDefault="00B17652" w:rsidP="000928CA">
      <w:pPr>
        <w:rPr>
          <w:sz w:val="22"/>
          <w:szCs w:val="22"/>
        </w:rPr>
      </w:pPr>
    </w:p>
    <w:p w14:paraId="592A5033" w14:textId="78A1EA5B" w:rsidR="00BD5493" w:rsidRPr="004F572A" w:rsidRDefault="00E603F5" w:rsidP="00BD5493">
      <w:pPr>
        <w:rPr>
          <w:sz w:val="22"/>
          <w:szCs w:val="22"/>
        </w:rPr>
      </w:pPr>
      <w:proofErr w:type="spellStart"/>
      <w:r w:rsidRPr="00E603F5">
        <w:rPr>
          <w:sz w:val="22"/>
          <w:szCs w:val="22"/>
        </w:rPr>
        <w:t>Lenvatinibu</w:t>
      </w:r>
      <w:proofErr w:type="spellEnd"/>
      <w:r w:rsidRPr="00E603F5">
        <w:rPr>
          <w:sz w:val="22"/>
          <w:szCs w:val="22"/>
        </w:rPr>
        <w:t xml:space="preserve"> gydomiems pacientams dažnai nustatytas viduriavimas, paprastai pasireiškiantis anksti gydymo eigoje</w:t>
      </w:r>
      <w:r w:rsidRPr="00E603F5" w:rsidDel="00E603F5">
        <w:rPr>
          <w:sz w:val="22"/>
          <w:szCs w:val="22"/>
        </w:rPr>
        <w:t xml:space="preserve"> </w:t>
      </w:r>
      <w:r w:rsidR="00BD5493" w:rsidRPr="004F572A">
        <w:rPr>
          <w:sz w:val="22"/>
          <w:szCs w:val="22"/>
        </w:rPr>
        <w:t>(žr. 4.8 skyrių). Kad būtų išvengta dehidra</w:t>
      </w:r>
      <w:r w:rsidR="00DB0DD1" w:rsidRPr="004F572A">
        <w:rPr>
          <w:sz w:val="22"/>
          <w:szCs w:val="22"/>
        </w:rPr>
        <w:t>ta</w:t>
      </w:r>
      <w:r w:rsidR="00BD5493" w:rsidRPr="004F572A">
        <w:rPr>
          <w:sz w:val="22"/>
          <w:szCs w:val="22"/>
        </w:rPr>
        <w:t>cijos, reikia nedelsiant pradėti medicini</w:t>
      </w:r>
      <w:r>
        <w:rPr>
          <w:sz w:val="22"/>
          <w:szCs w:val="22"/>
        </w:rPr>
        <w:t>škai gydyti</w:t>
      </w:r>
      <w:r w:rsidR="00DB0DD1" w:rsidRPr="004F572A">
        <w:rPr>
          <w:sz w:val="22"/>
          <w:szCs w:val="22"/>
        </w:rPr>
        <w:t xml:space="preserve"> viduriavim</w:t>
      </w:r>
      <w:r>
        <w:rPr>
          <w:sz w:val="22"/>
          <w:szCs w:val="22"/>
        </w:rPr>
        <w:t>ą</w:t>
      </w:r>
      <w:r w:rsidR="00BD5493" w:rsidRPr="004F572A">
        <w:rPr>
          <w:sz w:val="22"/>
          <w:szCs w:val="22"/>
        </w:rPr>
        <w:t xml:space="preserve">. Jei nepaisant medicininio gydymo išlieka 4 laipsnio viduriavimas, </w:t>
      </w:r>
      <w:proofErr w:type="spellStart"/>
      <w:r w:rsidR="00BD5493" w:rsidRPr="004F572A">
        <w:rPr>
          <w:sz w:val="22"/>
          <w:szCs w:val="22"/>
        </w:rPr>
        <w:t>lenvatinibo</w:t>
      </w:r>
      <w:proofErr w:type="spellEnd"/>
      <w:r w:rsidR="00BD5493" w:rsidRPr="004F572A">
        <w:rPr>
          <w:sz w:val="22"/>
          <w:szCs w:val="22"/>
        </w:rPr>
        <w:t xml:space="preserve"> vartojim</w:t>
      </w:r>
      <w:r w:rsidR="00041046">
        <w:rPr>
          <w:sz w:val="22"/>
          <w:szCs w:val="22"/>
        </w:rPr>
        <w:t>ą reikia visiškai nutraukti</w:t>
      </w:r>
      <w:r w:rsidR="00BD5493" w:rsidRPr="004F572A">
        <w:rPr>
          <w:sz w:val="22"/>
          <w:szCs w:val="22"/>
        </w:rPr>
        <w:t>.</w:t>
      </w:r>
    </w:p>
    <w:p w14:paraId="6B77268D" w14:textId="77777777" w:rsidR="00DB0DD1" w:rsidRPr="004F572A" w:rsidRDefault="00DB0DD1" w:rsidP="00BD5493">
      <w:pPr>
        <w:rPr>
          <w:sz w:val="22"/>
          <w:szCs w:val="22"/>
        </w:rPr>
      </w:pPr>
    </w:p>
    <w:p w14:paraId="4753915D" w14:textId="76A88C75" w:rsidR="00BD5493" w:rsidRPr="004F572A" w:rsidRDefault="00BD5493" w:rsidP="00BD5493">
      <w:pPr>
        <w:rPr>
          <w:sz w:val="22"/>
          <w:szCs w:val="22"/>
          <w:u w:val="single"/>
        </w:rPr>
      </w:pPr>
      <w:r w:rsidRPr="004F572A">
        <w:rPr>
          <w:sz w:val="22"/>
          <w:szCs w:val="22"/>
          <w:u w:val="single"/>
        </w:rPr>
        <w:t xml:space="preserve">Širdies </w:t>
      </w:r>
      <w:r w:rsidR="00041046">
        <w:rPr>
          <w:sz w:val="22"/>
          <w:szCs w:val="22"/>
          <w:u w:val="single"/>
        </w:rPr>
        <w:t>dis</w:t>
      </w:r>
      <w:r w:rsidR="00DB0DD1" w:rsidRPr="004F572A">
        <w:rPr>
          <w:sz w:val="22"/>
          <w:szCs w:val="22"/>
          <w:u w:val="single"/>
        </w:rPr>
        <w:t>funkcij</w:t>
      </w:r>
      <w:r w:rsidR="00041046">
        <w:rPr>
          <w:sz w:val="22"/>
          <w:szCs w:val="22"/>
          <w:u w:val="single"/>
        </w:rPr>
        <w:t>a</w:t>
      </w:r>
    </w:p>
    <w:p w14:paraId="158B8C40" w14:textId="77777777" w:rsidR="00DB0DD1" w:rsidRPr="004F572A" w:rsidRDefault="00DB0DD1" w:rsidP="00BD5493">
      <w:pPr>
        <w:rPr>
          <w:sz w:val="22"/>
          <w:szCs w:val="22"/>
        </w:rPr>
      </w:pPr>
    </w:p>
    <w:p w14:paraId="6BFC78A5" w14:textId="49BADD6E" w:rsidR="00BD5493" w:rsidRPr="004F572A" w:rsidRDefault="00041046" w:rsidP="00BD5493">
      <w:pPr>
        <w:rPr>
          <w:sz w:val="22"/>
          <w:szCs w:val="22"/>
        </w:rPr>
      </w:pPr>
      <w:proofErr w:type="spellStart"/>
      <w:r w:rsidRPr="00041046">
        <w:rPr>
          <w:sz w:val="22"/>
          <w:szCs w:val="22"/>
        </w:rPr>
        <w:t>Lenvatinibu</w:t>
      </w:r>
      <w:proofErr w:type="spellEnd"/>
      <w:r w:rsidRPr="00041046">
        <w:rPr>
          <w:sz w:val="22"/>
          <w:szCs w:val="22"/>
        </w:rPr>
        <w:t xml:space="preserve"> gydomiems pacientams nustatytas širdies nepakankamumas</w:t>
      </w:r>
      <w:r w:rsidRPr="00041046" w:rsidDel="00041046">
        <w:rPr>
          <w:sz w:val="22"/>
          <w:szCs w:val="22"/>
        </w:rPr>
        <w:t xml:space="preserve"> </w:t>
      </w:r>
      <w:r w:rsidR="00BD5493" w:rsidRPr="004F572A">
        <w:rPr>
          <w:sz w:val="22"/>
          <w:szCs w:val="22"/>
        </w:rPr>
        <w:t>(&lt;</w:t>
      </w:r>
      <w:r w:rsidR="00D53FC3">
        <w:rPr>
          <w:sz w:val="22"/>
          <w:szCs w:val="22"/>
        </w:rPr>
        <w:t> </w:t>
      </w:r>
      <w:r w:rsidR="00BD5493" w:rsidRPr="004F572A">
        <w:rPr>
          <w:sz w:val="22"/>
          <w:szCs w:val="22"/>
        </w:rPr>
        <w:t>1</w:t>
      </w:r>
      <w:r w:rsidR="00DB0DD1" w:rsidRPr="004F572A">
        <w:rPr>
          <w:sz w:val="22"/>
          <w:szCs w:val="22"/>
        </w:rPr>
        <w:t> </w:t>
      </w:r>
      <w:r w:rsidR="00BD5493" w:rsidRPr="004F572A">
        <w:rPr>
          <w:sz w:val="22"/>
          <w:szCs w:val="22"/>
        </w:rPr>
        <w:t>%) ir sumažėjus</w:t>
      </w:r>
      <w:r w:rsidR="00DB0DD1" w:rsidRPr="004F572A">
        <w:rPr>
          <w:sz w:val="22"/>
          <w:szCs w:val="22"/>
        </w:rPr>
        <w:t>i</w:t>
      </w:r>
      <w:r w:rsidR="00BD5493" w:rsidRPr="004F572A">
        <w:rPr>
          <w:sz w:val="22"/>
          <w:szCs w:val="22"/>
        </w:rPr>
        <w:t xml:space="preserve"> kairiojo skilvelio išstūmimo frakcij</w:t>
      </w:r>
      <w:r>
        <w:rPr>
          <w:sz w:val="22"/>
          <w:szCs w:val="22"/>
        </w:rPr>
        <w:t>a</w:t>
      </w:r>
      <w:r w:rsidR="00DB0DD1" w:rsidRPr="004F572A">
        <w:rPr>
          <w:sz w:val="22"/>
          <w:szCs w:val="22"/>
        </w:rPr>
        <w:t xml:space="preserve"> </w:t>
      </w:r>
      <w:r w:rsidR="00BD5493" w:rsidRPr="004F572A">
        <w:rPr>
          <w:sz w:val="22"/>
          <w:szCs w:val="22"/>
        </w:rPr>
        <w:t xml:space="preserve">(žr. 4.8 skyrių). </w:t>
      </w:r>
      <w:r>
        <w:rPr>
          <w:sz w:val="22"/>
          <w:szCs w:val="22"/>
        </w:rPr>
        <w:t>Reikia stebėti, ar pacientams nepasireiškia</w:t>
      </w:r>
      <w:r w:rsidR="00BD5493" w:rsidRPr="004F572A">
        <w:rPr>
          <w:sz w:val="22"/>
          <w:szCs w:val="22"/>
        </w:rPr>
        <w:t xml:space="preserve"> širdies </w:t>
      </w:r>
      <w:proofErr w:type="spellStart"/>
      <w:r w:rsidR="00BD5493" w:rsidRPr="004F572A">
        <w:rPr>
          <w:sz w:val="22"/>
          <w:szCs w:val="22"/>
        </w:rPr>
        <w:t>dekompensacijos</w:t>
      </w:r>
      <w:proofErr w:type="spellEnd"/>
      <w:r w:rsidR="00BD5493" w:rsidRPr="004F572A">
        <w:rPr>
          <w:sz w:val="22"/>
          <w:szCs w:val="22"/>
        </w:rPr>
        <w:t xml:space="preserve"> klinikini</w:t>
      </w:r>
      <w:r>
        <w:rPr>
          <w:sz w:val="22"/>
          <w:szCs w:val="22"/>
        </w:rPr>
        <w:t>ai</w:t>
      </w:r>
      <w:r w:rsidR="00BD5493" w:rsidRPr="004F572A">
        <w:rPr>
          <w:sz w:val="22"/>
          <w:szCs w:val="22"/>
        </w:rPr>
        <w:t xml:space="preserve"> simptom</w:t>
      </w:r>
      <w:r>
        <w:rPr>
          <w:sz w:val="22"/>
          <w:szCs w:val="22"/>
        </w:rPr>
        <w:t>ai</w:t>
      </w:r>
      <w:r w:rsidR="00BD5493" w:rsidRPr="004F572A">
        <w:rPr>
          <w:sz w:val="22"/>
          <w:szCs w:val="22"/>
        </w:rPr>
        <w:t xml:space="preserve"> ar požymi</w:t>
      </w:r>
      <w:r>
        <w:rPr>
          <w:sz w:val="22"/>
          <w:szCs w:val="22"/>
        </w:rPr>
        <w:t>ai</w:t>
      </w:r>
      <w:r w:rsidR="00BD5493" w:rsidRPr="004F572A">
        <w:rPr>
          <w:sz w:val="22"/>
          <w:szCs w:val="22"/>
        </w:rPr>
        <w:t xml:space="preserve">, </w:t>
      </w:r>
      <w:r>
        <w:rPr>
          <w:sz w:val="22"/>
          <w:szCs w:val="22"/>
        </w:rPr>
        <w:t>nes</w:t>
      </w:r>
      <w:r w:rsidR="00662B04" w:rsidRPr="004F572A">
        <w:rPr>
          <w:sz w:val="22"/>
          <w:szCs w:val="22"/>
        </w:rPr>
        <w:t xml:space="preserve"> gali reikėti </w:t>
      </w:r>
      <w:r>
        <w:rPr>
          <w:sz w:val="22"/>
          <w:szCs w:val="22"/>
        </w:rPr>
        <w:t xml:space="preserve">laikinai sustabdyti </w:t>
      </w:r>
      <w:r w:rsidR="00662B04" w:rsidRPr="004F572A">
        <w:rPr>
          <w:sz w:val="22"/>
          <w:szCs w:val="22"/>
        </w:rPr>
        <w:t xml:space="preserve">ar visiškai nutraukti vaistinio preparato vartojimą </w:t>
      </w:r>
      <w:r>
        <w:rPr>
          <w:sz w:val="22"/>
          <w:szCs w:val="22"/>
        </w:rPr>
        <w:t xml:space="preserve">arba koreguoti dozę </w:t>
      </w:r>
      <w:r w:rsidR="00662B04" w:rsidRPr="004F572A">
        <w:rPr>
          <w:sz w:val="22"/>
          <w:szCs w:val="22"/>
        </w:rPr>
        <w:t>(žr. 4.2 skyrių</w:t>
      </w:r>
      <w:r>
        <w:rPr>
          <w:sz w:val="22"/>
          <w:szCs w:val="22"/>
        </w:rPr>
        <w:t>).</w:t>
      </w:r>
    </w:p>
    <w:p w14:paraId="4FBD7CC0" w14:textId="77777777" w:rsidR="00662B04" w:rsidRPr="004F572A" w:rsidRDefault="00662B04" w:rsidP="00BD5493">
      <w:pPr>
        <w:rPr>
          <w:sz w:val="22"/>
          <w:szCs w:val="22"/>
        </w:rPr>
      </w:pPr>
    </w:p>
    <w:p w14:paraId="4FAD464E" w14:textId="77777777" w:rsidR="00BD5493" w:rsidRPr="004F572A" w:rsidRDefault="00BD5493" w:rsidP="00BD5493">
      <w:pPr>
        <w:rPr>
          <w:sz w:val="22"/>
          <w:szCs w:val="22"/>
          <w:u w:val="single"/>
        </w:rPr>
      </w:pPr>
      <w:r w:rsidRPr="004F572A">
        <w:rPr>
          <w:sz w:val="22"/>
          <w:szCs w:val="22"/>
          <w:u w:val="single"/>
        </w:rPr>
        <w:t xml:space="preserve">Grįžtamosios užpakalinės </w:t>
      </w:r>
      <w:proofErr w:type="spellStart"/>
      <w:r w:rsidRPr="004F572A">
        <w:rPr>
          <w:sz w:val="22"/>
          <w:szCs w:val="22"/>
          <w:u w:val="single"/>
        </w:rPr>
        <w:t>encefalopatijos</w:t>
      </w:r>
      <w:proofErr w:type="spellEnd"/>
      <w:r w:rsidRPr="004F572A">
        <w:rPr>
          <w:sz w:val="22"/>
          <w:szCs w:val="22"/>
          <w:u w:val="single"/>
        </w:rPr>
        <w:t xml:space="preserve"> sindromas (GUES) / grįžtamosios užpakalinės </w:t>
      </w:r>
      <w:proofErr w:type="spellStart"/>
      <w:r w:rsidRPr="004F572A">
        <w:rPr>
          <w:sz w:val="22"/>
          <w:szCs w:val="22"/>
          <w:u w:val="single"/>
        </w:rPr>
        <w:t>leukoencefalopatijos</w:t>
      </w:r>
      <w:proofErr w:type="spellEnd"/>
      <w:r w:rsidRPr="004F572A">
        <w:rPr>
          <w:sz w:val="22"/>
          <w:szCs w:val="22"/>
          <w:u w:val="single"/>
        </w:rPr>
        <w:t xml:space="preserve"> sindromas (GULS)</w:t>
      </w:r>
    </w:p>
    <w:p w14:paraId="2EC94804" w14:textId="77777777" w:rsidR="00662B04" w:rsidRPr="004F572A" w:rsidRDefault="00662B04" w:rsidP="00BD5493">
      <w:pPr>
        <w:rPr>
          <w:sz w:val="22"/>
          <w:szCs w:val="22"/>
        </w:rPr>
      </w:pPr>
    </w:p>
    <w:p w14:paraId="129FC1ED" w14:textId="18F1332B" w:rsidR="00B17652" w:rsidRPr="004F572A" w:rsidRDefault="00F07A92" w:rsidP="00BD5493">
      <w:pPr>
        <w:rPr>
          <w:sz w:val="22"/>
          <w:szCs w:val="22"/>
        </w:rPr>
      </w:pPr>
      <w:proofErr w:type="spellStart"/>
      <w:r w:rsidRPr="00F07A92">
        <w:rPr>
          <w:sz w:val="22"/>
          <w:szCs w:val="22"/>
        </w:rPr>
        <w:t>Lenvatinibu</w:t>
      </w:r>
      <w:proofErr w:type="spellEnd"/>
      <w:r w:rsidRPr="00F07A92">
        <w:rPr>
          <w:sz w:val="22"/>
          <w:szCs w:val="22"/>
        </w:rPr>
        <w:t xml:space="preserve"> gydomiems pacientams nustatytas GUES, dar vadinamas GULS</w:t>
      </w:r>
      <w:r w:rsidRPr="00F07A92" w:rsidDel="00F07A92">
        <w:rPr>
          <w:sz w:val="22"/>
          <w:szCs w:val="22"/>
        </w:rPr>
        <w:t xml:space="preserve"> </w:t>
      </w:r>
      <w:r w:rsidR="005F14AD" w:rsidRPr="004F572A">
        <w:rPr>
          <w:sz w:val="22"/>
          <w:szCs w:val="22"/>
        </w:rPr>
        <w:t>(&lt;</w:t>
      </w:r>
      <w:r w:rsidR="00D53FC3">
        <w:rPr>
          <w:sz w:val="22"/>
          <w:szCs w:val="22"/>
        </w:rPr>
        <w:t> </w:t>
      </w:r>
      <w:r w:rsidR="005F14AD" w:rsidRPr="004F572A">
        <w:rPr>
          <w:sz w:val="22"/>
          <w:szCs w:val="22"/>
        </w:rPr>
        <w:t>1</w:t>
      </w:r>
      <w:r w:rsidR="00D53FC3">
        <w:rPr>
          <w:sz w:val="22"/>
          <w:szCs w:val="22"/>
        </w:rPr>
        <w:t> </w:t>
      </w:r>
      <w:r w:rsidR="005F14AD" w:rsidRPr="004F572A">
        <w:rPr>
          <w:sz w:val="22"/>
          <w:szCs w:val="22"/>
        </w:rPr>
        <w:t>%; žr. 4.8 skyrių).</w:t>
      </w:r>
      <w:r w:rsidR="00BD5493" w:rsidRPr="004F572A">
        <w:rPr>
          <w:sz w:val="22"/>
          <w:szCs w:val="22"/>
        </w:rPr>
        <w:t xml:space="preserve"> GUES yra neurologinis sutrikimas, kuris gali pasireikšti galvos skausmu, traukuliais, letargija, </w:t>
      </w:r>
      <w:r w:rsidR="00F12E07">
        <w:rPr>
          <w:sz w:val="22"/>
          <w:szCs w:val="22"/>
        </w:rPr>
        <w:t>sumišimu</w:t>
      </w:r>
      <w:r w:rsidR="00BD5493" w:rsidRPr="004F572A">
        <w:rPr>
          <w:sz w:val="22"/>
          <w:szCs w:val="22"/>
        </w:rPr>
        <w:t xml:space="preserve">, pakitusia psichine būkle, aklumu ir kitais regos ar neurologiniais sutrikimais. Gali pasireikšti </w:t>
      </w:r>
      <w:r w:rsidR="005F14AD" w:rsidRPr="004F572A">
        <w:rPr>
          <w:sz w:val="22"/>
          <w:szCs w:val="22"/>
        </w:rPr>
        <w:t>lengv</w:t>
      </w:r>
      <w:r>
        <w:rPr>
          <w:sz w:val="22"/>
          <w:szCs w:val="22"/>
        </w:rPr>
        <w:t>a ar</w:t>
      </w:r>
      <w:r w:rsidR="005F14AD" w:rsidRPr="004F572A">
        <w:rPr>
          <w:sz w:val="22"/>
          <w:szCs w:val="22"/>
        </w:rPr>
        <w:t xml:space="preserve"> sunk</w:t>
      </w:r>
      <w:r>
        <w:rPr>
          <w:sz w:val="22"/>
          <w:szCs w:val="22"/>
        </w:rPr>
        <w:t>i</w:t>
      </w:r>
      <w:r w:rsidR="005F14AD" w:rsidRPr="004F572A">
        <w:rPr>
          <w:sz w:val="22"/>
          <w:szCs w:val="22"/>
        </w:rPr>
        <w:t xml:space="preserve"> </w:t>
      </w:r>
      <w:r w:rsidR="00BD5493" w:rsidRPr="004F572A">
        <w:rPr>
          <w:sz w:val="22"/>
          <w:szCs w:val="22"/>
        </w:rPr>
        <w:t xml:space="preserve">hipertenzija. GUES diagnozei patvirtinti reikia atlikti magnetinio rezonanso tyrimą. Reikia imtis </w:t>
      </w:r>
      <w:r>
        <w:rPr>
          <w:sz w:val="22"/>
          <w:szCs w:val="22"/>
        </w:rPr>
        <w:t>ati</w:t>
      </w:r>
      <w:r w:rsidR="00BD5493" w:rsidRPr="004F572A">
        <w:rPr>
          <w:sz w:val="22"/>
          <w:szCs w:val="22"/>
        </w:rPr>
        <w:t>tinkamų priemonių kraujo</w:t>
      </w:r>
      <w:r w:rsidR="005F14AD" w:rsidRPr="004F572A">
        <w:rPr>
          <w:sz w:val="22"/>
          <w:szCs w:val="22"/>
        </w:rPr>
        <w:t>sp</w:t>
      </w:r>
      <w:r>
        <w:rPr>
          <w:sz w:val="22"/>
          <w:szCs w:val="22"/>
        </w:rPr>
        <w:t>ūdžiui kontroliuoti</w:t>
      </w:r>
      <w:r w:rsidR="00BD5493" w:rsidRPr="004F572A">
        <w:rPr>
          <w:sz w:val="22"/>
          <w:szCs w:val="22"/>
        </w:rPr>
        <w:t xml:space="preserve"> (žr. 4.4 skyrių). Pacientams, kuriems yra GUES požymių ar simptomų, </w:t>
      </w:r>
      <w:r w:rsidR="005F14AD" w:rsidRPr="004F572A">
        <w:rPr>
          <w:color w:val="000000" w:themeColor="text1"/>
          <w:sz w:val="22"/>
          <w:szCs w:val="22"/>
        </w:rPr>
        <w:t xml:space="preserve">gali reikėti </w:t>
      </w:r>
      <w:r>
        <w:rPr>
          <w:color w:val="000000" w:themeColor="text1"/>
          <w:sz w:val="22"/>
          <w:szCs w:val="22"/>
        </w:rPr>
        <w:t xml:space="preserve">laikinai stabdyti </w:t>
      </w:r>
      <w:r w:rsidR="005F14AD" w:rsidRPr="004F572A">
        <w:rPr>
          <w:color w:val="000000" w:themeColor="text1"/>
          <w:sz w:val="22"/>
          <w:szCs w:val="22"/>
        </w:rPr>
        <w:t>ar visiškai nutraukti vaistinio preparato vartojimą</w:t>
      </w:r>
      <w:r w:rsidR="00BD5493" w:rsidRPr="004F572A">
        <w:rPr>
          <w:color w:val="000000" w:themeColor="text1"/>
          <w:sz w:val="22"/>
          <w:szCs w:val="22"/>
        </w:rPr>
        <w:t xml:space="preserve"> </w:t>
      </w:r>
      <w:r>
        <w:rPr>
          <w:color w:val="000000" w:themeColor="text1"/>
          <w:sz w:val="22"/>
          <w:szCs w:val="22"/>
        </w:rPr>
        <w:t xml:space="preserve">arba koreguoti dozę </w:t>
      </w:r>
      <w:r w:rsidR="00BD5493" w:rsidRPr="004F572A">
        <w:rPr>
          <w:sz w:val="22"/>
          <w:szCs w:val="22"/>
        </w:rPr>
        <w:t>(žr. 4.2 skyrių).</w:t>
      </w:r>
    </w:p>
    <w:p w14:paraId="24D0A436" w14:textId="77777777" w:rsidR="00BD5493" w:rsidRPr="004F572A" w:rsidRDefault="00BD5493" w:rsidP="000928CA">
      <w:pPr>
        <w:rPr>
          <w:sz w:val="22"/>
          <w:szCs w:val="22"/>
        </w:rPr>
      </w:pPr>
    </w:p>
    <w:p w14:paraId="6FAC0078" w14:textId="77777777" w:rsidR="005F14AD" w:rsidRPr="004F572A" w:rsidRDefault="005F14AD" w:rsidP="005F14AD">
      <w:pPr>
        <w:rPr>
          <w:sz w:val="22"/>
          <w:szCs w:val="22"/>
          <w:u w:val="single"/>
        </w:rPr>
      </w:pPr>
      <w:r w:rsidRPr="004F572A">
        <w:rPr>
          <w:sz w:val="22"/>
          <w:szCs w:val="22"/>
          <w:u w:val="single"/>
        </w:rPr>
        <w:t>Arterinė tromboembolija</w:t>
      </w:r>
    </w:p>
    <w:p w14:paraId="3F4F092F" w14:textId="77777777" w:rsidR="005F14AD" w:rsidRPr="004F572A" w:rsidRDefault="005F14AD" w:rsidP="005F14AD">
      <w:pPr>
        <w:rPr>
          <w:sz w:val="22"/>
          <w:szCs w:val="22"/>
        </w:rPr>
      </w:pPr>
    </w:p>
    <w:p w14:paraId="349AF2A8" w14:textId="572B34FF" w:rsidR="005F14AD" w:rsidRPr="004F572A" w:rsidRDefault="00F07A92" w:rsidP="005F14AD">
      <w:pPr>
        <w:rPr>
          <w:sz w:val="22"/>
          <w:szCs w:val="22"/>
        </w:rPr>
      </w:pPr>
      <w:proofErr w:type="spellStart"/>
      <w:r w:rsidRPr="00F07A92">
        <w:rPr>
          <w:sz w:val="22"/>
          <w:szCs w:val="22"/>
        </w:rPr>
        <w:t>Lenvatinibu</w:t>
      </w:r>
      <w:proofErr w:type="spellEnd"/>
      <w:r w:rsidRPr="00F07A92">
        <w:rPr>
          <w:sz w:val="22"/>
          <w:szCs w:val="22"/>
        </w:rPr>
        <w:t xml:space="preserve"> gydomiems pacientams nustatyta arterinė tromboembolija</w:t>
      </w:r>
      <w:r w:rsidRPr="00F07A92" w:rsidDel="00F07A92">
        <w:rPr>
          <w:sz w:val="22"/>
          <w:szCs w:val="22"/>
        </w:rPr>
        <w:t xml:space="preserve"> </w:t>
      </w:r>
      <w:r w:rsidR="005F14AD" w:rsidRPr="004F572A">
        <w:rPr>
          <w:sz w:val="22"/>
          <w:szCs w:val="22"/>
        </w:rPr>
        <w:t>(</w:t>
      </w:r>
      <w:proofErr w:type="spellStart"/>
      <w:r w:rsidR="005F14AD" w:rsidRPr="004F572A">
        <w:rPr>
          <w:sz w:val="22"/>
          <w:szCs w:val="22"/>
        </w:rPr>
        <w:t>cerebrovaskulin</w:t>
      </w:r>
      <w:r>
        <w:rPr>
          <w:sz w:val="22"/>
          <w:szCs w:val="22"/>
        </w:rPr>
        <w:t>is</w:t>
      </w:r>
      <w:proofErr w:type="spellEnd"/>
      <w:r w:rsidR="005F14AD" w:rsidRPr="004F572A">
        <w:rPr>
          <w:sz w:val="22"/>
          <w:szCs w:val="22"/>
        </w:rPr>
        <w:t xml:space="preserve"> reiškin</w:t>
      </w:r>
      <w:r>
        <w:rPr>
          <w:sz w:val="22"/>
          <w:szCs w:val="22"/>
        </w:rPr>
        <w:t>ys</w:t>
      </w:r>
      <w:r w:rsidR="005F14AD" w:rsidRPr="004F572A">
        <w:rPr>
          <w:sz w:val="22"/>
          <w:szCs w:val="22"/>
        </w:rPr>
        <w:t>, praeinant</w:t>
      </w:r>
      <w:r>
        <w:rPr>
          <w:sz w:val="22"/>
          <w:szCs w:val="22"/>
        </w:rPr>
        <w:t>ysis</w:t>
      </w:r>
      <w:r w:rsidR="005F14AD" w:rsidRPr="004F572A">
        <w:rPr>
          <w:sz w:val="22"/>
          <w:szCs w:val="22"/>
        </w:rPr>
        <w:t xml:space="preserve"> smegenų išemijos priepuol</w:t>
      </w:r>
      <w:r>
        <w:rPr>
          <w:sz w:val="22"/>
          <w:szCs w:val="22"/>
        </w:rPr>
        <w:t>is</w:t>
      </w:r>
      <w:r w:rsidR="005F14AD" w:rsidRPr="004F572A">
        <w:rPr>
          <w:sz w:val="22"/>
          <w:szCs w:val="22"/>
        </w:rPr>
        <w:t xml:space="preserve"> ir miokardo infarkt</w:t>
      </w:r>
      <w:r>
        <w:rPr>
          <w:sz w:val="22"/>
          <w:szCs w:val="22"/>
        </w:rPr>
        <w:t>as</w:t>
      </w:r>
      <w:r w:rsidR="005F14AD" w:rsidRPr="004F572A">
        <w:rPr>
          <w:sz w:val="22"/>
          <w:szCs w:val="22"/>
        </w:rPr>
        <w:t>)</w:t>
      </w:r>
      <w:r w:rsidR="00857486" w:rsidRPr="004F572A">
        <w:rPr>
          <w:sz w:val="22"/>
          <w:szCs w:val="22"/>
        </w:rPr>
        <w:t xml:space="preserve"> </w:t>
      </w:r>
      <w:r w:rsidR="005F14AD" w:rsidRPr="004F572A">
        <w:rPr>
          <w:sz w:val="22"/>
          <w:szCs w:val="22"/>
        </w:rPr>
        <w:t>(žr. 4.8 skyrių). Pacientams, kuriems per ankstesnius 6</w:t>
      </w:r>
      <w:r w:rsidR="00D53FC3">
        <w:rPr>
          <w:sz w:val="22"/>
          <w:szCs w:val="22"/>
        </w:rPr>
        <w:t> </w:t>
      </w:r>
      <w:r w:rsidR="005F14AD" w:rsidRPr="004F572A">
        <w:rPr>
          <w:sz w:val="22"/>
          <w:szCs w:val="22"/>
        </w:rPr>
        <w:t xml:space="preserve">mėnesius buvo arterinė tromboembolija, </w:t>
      </w:r>
      <w:proofErr w:type="spellStart"/>
      <w:r w:rsidR="005F14AD" w:rsidRPr="004F572A">
        <w:rPr>
          <w:sz w:val="22"/>
          <w:szCs w:val="22"/>
        </w:rPr>
        <w:t>lenvatinibo</w:t>
      </w:r>
      <w:proofErr w:type="spellEnd"/>
      <w:r w:rsidR="005F14AD" w:rsidRPr="004F572A">
        <w:rPr>
          <w:sz w:val="22"/>
          <w:szCs w:val="22"/>
        </w:rPr>
        <w:t xml:space="preserve"> vartojimas ne</w:t>
      </w:r>
      <w:r>
        <w:rPr>
          <w:sz w:val="22"/>
          <w:szCs w:val="22"/>
        </w:rPr>
        <w:t>iš</w:t>
      </w:r>
      <w:r w:rsidR="005F14AD" w:rsidRPr="004F572A">
        <w:rPr>
          <w:sz w:val="22"/>
          <w:szCs w:val="22"/>
        </w:rPr>
        <w:t xml:space="preserve">tirtas, todėl tokiems pacientams </w:t>
      </w:r>
      <w:r>
        <w:rPr>
          <w:sz w:val="22"/>
          <w:szCs w:val="22"/>
        </w:rPr>
        <w:t>jį reikia vartoti</w:t>
      </w:r>
      <w:r w:rsidR="005F14AD" w:rsidRPr="004F572A">
        <w:rPr>
          <w:sz w:val="22"/>
          <w:szCs w:val="22"/>
        </w:rPr>
        <w:t xml:space="preserve"> atsargiai. Sprendimas skirti gydymą turi būti priimtas remiantis </w:t>
      </w:r>
      <w:r w:rsidRPr="00F07A92">
        <w:rPr>
          <w:sz w:val="22"/>
          <w:szCs w:val="22"/>
        </w:rPr>
        <w:t>konkretaus paciento naudos ir rizikos įvertinimu</w:t>
      </w:r>
      <w:r w:rsidR="005F14AD" w:rsidRPr="004F572A">
        <w:rPr>
          <w:sz w:val="22"/>
          <w:szCs w:val="22"/>
        </w:rPr>
        <w:t xml:space="preserve">. Atsiradus arterijų trombozės reiškiniui, </w:t>
      </w:r>
      <w:proofErr w:type="spellStart"/>
      <w:r w:rsidR="005F14AD" w:rsidRPr="004F572A">
        <w:rPr>
          <w:sz w:val="22"/>
          <w:szCs w:val="22"/>
        </w:rPr>
        <w:t>lenvatinibo</w:t>
      </w:r>
      <w:proofErr w:type="spellEnd"/>
      <w:r w:rsidR="005F14AD" w:rsidRPr="004F572A">
        <w:rPr>
          <w:sz w:val="22"/>
          <w:szCs w:val="22"/>
        </w:rPr>
        <w:t xml:space="preserve"> vartojim</w:t>
      </w:r>
      <w:r>
        <w:rPr>
          <w:sz w:val="22"/>
          <w:szCs w:val="22"/>
        </w:rPr>
        <w:t>ą reikia</w:t>
      </w:r>
      <w:r w:rsidR="00857486" w:rsidRPr="004F572A">
        <w:rPr>
          <w:sz w:val="22"/>
          <w:szCs w:val="22"/>
        </w:rPr>
        <w:t xml:space="preserve"> nutraukt</w:t>
      </w:r>
      <w:r>
        <w:rPr>
          <w:sz w:val="22"/>
          <w:szCs w:val="22"/>
        </w:rPr>
        <w:t>i</w:t>
      </w:r>
      <w:r w:rsidR="005F14AD" w:rsidRPr="004F572A">
        <w:rPr>
          <w:sz w:val="22"/>
          <w:szCs w:val="22"/>
        </w:rPr>
        <w:t>.</w:t>
      </w:r>
    </w:p>
    <w:p w14:paraId="00439DD6" w14:textId="77777777" w:rsidR="00857486" w:rsidRPr="004F572A" w:rsidRDefault="00857486" w:rsidP="005F14AD">
      <w:pPr>
        <w:rPr>
          <w:sz w:val="22"/>
          <w:szCs w:val="22"/>
        </w:rPr>
      </w:pPr>
    </w:p>
    <w:p w14:paraId="375BE2A2" w14:textId="3871C948" w:rsidR="005F14AD" w:rsidRPr="004F572A" w:rsidRDefault="005F14AD" w:rsidP="005F14AD">
      <w:pPr>
        <w:rPr>
          <w:sz w:val="22"/>
          <w:szCs w:val="22"/>
          <w:u w:val="single"/>
        </w:rPr>
      </w:pPr>
      <w:r w:rsidRPr="004F572A">
        <w:rPr>
          <w:sz w:val="22"/>
          <w:szCs w:val="22"/>
          <w:u w:val="single"/>
        </w:rPr>
        <w:t>Vaisingos moterys</w:t>
      </w:r>
    </w:p>
    <w:p w14:paraId="60FDDE61" w14:textId="77777777" w:rsidR="00857486" w:rsidRPr="004F572A" w:rsidRDefault="00857486" w:rsidP="005F14AD">
      <w:pPr>
        <w:rPr>
          <w:sz w:val="22"/>
          <w:szCs w:val="22"/>
        </w:rPr>
      </w:pPr>
    </w:p>
    <w:p w14:paraId="5B124541" w14:textId="3D0AC394" w:rsidR="005F14AD" w:rsidRPr="004F572A" w:rsidRDefault="005F14AD" w:rsidP="005F14AD">
      <w:pPr>
        <w:rPr>
          <w:sz w:val="22"/>
          <w:szCs w:val="22"/>
        </w:rPr>
      </w:pPr>
      <w:r w:rsidRPr="004F572A">
        <w:rPr>
          <w:sz w:val="22"/>
          <w:szCs w:val="22"/>
        </w:rPr>
        <w:lastRenderedPageBreak/>
        <w:t xml:space="preserve">Per gydymo </w:t>
      </w:r>
      <w:proofErr w:type="spellStart"/>
      <w:r w:rsidRPr="004F572A">
        <w:rPr>
          <w:sz w:val="22"/>
          <w:szCs w:val="22"/>
        </w:rPr>
        <w:t>lenvatinibu</w:t>
      </w:r>
      <w:proofErr w:type="spellEnd"/>
      <w:r w:rsidRPr="004F572A">
        <w:rPr>
          <w:sz w:val="22"/>
          <w:szCs w:val="22"/>
        </w:rPr>
        <w:t xml:space="preserve"> laikotarpį ir dar mėnesį nutraukus gydymą vaisingos moterys turi naudoti labai veiksmingą kontracepcijos metodą (žr. 4.6 skyrių). Šiuo metu nežinoma, ar </w:t>
      </w:r>
      <w:proofErr w:type="spellStart"/>
      <w:r w:rsidRPr="004F572A">
        <w:rPr>
          <w:sz w:val="22"/>
          <w:szCs w:val="22"/>
        </w:rPr>
        <w:t>lenvatinibas</w:t>
      </w:r>
      <w:proofErr w:type="spellEnd"/>
      <w:r w:rsidRPr="004F572A">
        <w:rPr>
          <w:sz w:val="22"/>
          <w:szCs w:val="22"/>
        </w:rPr>
        <w:t xml:space="preserve">, vartojamas kartu su geriamaisiais kontraceptikais, didina </w:t>
      </w:r>
      <w:proofErr w:type="spellStart"/>
      <w:r w:rsidRPr="004F572A">
        <w:rPr>
          <w:sz w:val="22"/>
          <w:szCs w:val="22"/>
        </w:rPr>
        <w:t>tromboembolinių</w:t>
      </w:r>
      <w:proofErr w:type="spellEnd"/>
      <w:r w:rsidRPr="004F572A">
        <w:rPr>
          <w:sz w:val="22"/>
          <w:szCs w:val="22"/>
        </w:rPr>
        <w:t xml:space="preserve"> reiškinių riziką.</w:t>
      </w:r>
    </w:p>
    <w:p w14:paraId="3E7A6D12" w14:textId="77777777" w:rsidR="00857486" w:rsidRPr="004F572A" w:rsidRDefault="00857486" w:rsidP="005F14AD">
      <w:pPr>
        <w:rPr>
          <w:sz w:val="22"/>
          <w:szCs w:val="22"/>
        </w:rPr>
      </w:pPr>
    </w:p>
    <w:p w14:paraId="66F7B7BC" w14:textId="2F9D04E3" w:rsidR="005F14AD" w:rsidRPr="004F572A" w:rsidRDefault="00F07A92" w:rsidP="005F14AD">
      <w:pPr>
        <w:rPr>
          <w:sz w:val="22"/>
          <w:szCs w:val="22"/>
          <w:u w:val="single"/>
        </w:rPr>
      </w:pPr>
      <w:proofErr w:type="spellStart"/>
      <w:r>
        <w:rPr>
          <w:sz w:val="22"/>
          <w:szCs w:val="22"/>
          <w:u w:val="single"/>
        </w:rPr>
        <w:t>Hemoragija</w:t>
      </w:r>
      <w:proofErr w:type="spellEnd"/>
    </w:p>
    <w:p w14:paraId="02610912" w14:textId="77777777" w:rsidR="00857486" w:rsidRPr="004F572A" w:rsidRDefault="00857486" w:rsidP="005F14AD">
      <w:pPr>
        <w:rPr>
          <w:sz w:val="22"/>
          <w:szCs w:val="22"/>
        </w:rPr>
      </w:pPr>
    </w:p>
    <w:p w14:paraId="4850A16E" w14:textId="43887E06" w:rsidR="005F14AD" w:rsidRPr="004F572A" w:rsidRDefault="00F07A92" w:rsidP="005F14AD">
      <w:pPr>
        <w:rPr>
          <w:sz w:val="22"/>
          <w:szCs w:val="22"/>
        </w:rPr>
      </w:pPr>
      <w:r w:rsidRPr="00F07A92">
        <w:rPr>
          <w:sz w:val="22"/>
          <w:szCs w:val="22"/>
        </w:rPr>
        <w:t>Klinikinių tyrimų metu ir po vaistinio preparato registracijos nustatyti sunkaus su naviku susijusio kraujavimo atvejai, įskaitant mirtimi pasibaigusius kraujavimo reiškinius</w:t>
      </w:r>
      <w:r w:rsidRPr="00F07A92" w:rsidDel="00F07A92">
        <w:rPr>
          <w:sz w:val="22"/>
          <w:szCs w:val="22"/>
        </w:rPr>
        <w:t xml:space="preserve"> </w:t>
      </w:r>
      <w:r w:rsidR="005F14AD" w:rsidRPr="004F572A">
        <w:rPr>
          <w:sz w:val="22"/>
          <w:szCs w:val="22"/>
        </w:rPr>
        <w:t xml:space="preserve">(žr. 4.8 skyrių). Stebėjimo po vaistinio preparato registracijos laikotarpiu sunkūs ir mirtimi pasibaigę kraujavimo iš miego arterijos atvejai dažniau nustatyti pacientams, kuriems buvo </w:t>
      </w:r>
      <w:proofErr w:type="spellStart"/>
      <w:r w:rsidR="005F14AD" w:rsidRPr="004F572A">
        <w:rPr>
          <w:sz w:val="22"/>
          <w:szCs w:val="22"/>
        </w:rPr>
        <w:t>anapla</w:t>
      </w:r>
      <w:r>
        <w:rPr>
          <w:sz w:val="22"/>
          <w:szCs w:val="22"/>
        </w:rPr>
        <w:t>stinė</w:t>
      </w:r>
      <w:proofErr w:type="spellEnd"/>
      <w:r w:rsidR="005F14AD" w:rsidRPr="004F572A">
        <w:rPr>
          <w:sz w:val="22"/>
          <w:szCs w:val="22"/>
        </w:rPr>
        <w:t xml:space="preserve"> skydliaukės karcinoma</w:t>
      </w:r>
      <w:r w:rsidR="00581C10" w:rsidRPr="004F572A">
        <w:rPr>
          <w:sz w:val="22"/>
          <w:szCs w:val="22"/>
        </w:rPr>
        <w:t>,</w:t>
      </w:r>
      <w:r w:rsidR="005F14AD" w:rsidRPr="004F572A">
        <w:rPr>
          <w:sz w:val="22"/>
          <w:szCs w:val="22"/>
        </w:rPr>
        <w:t xml:space="preserve"> nei diferencijuota skydliaukės karcinoma ar kitų tipų navikai. Dėl galimo</w:t>
      </w:r>
      <w:r w:rsidR="00581C10" w:rsidRPr="004F572A">
        <w:rPr>
          <w:sz w:val="22"/>
          <w:szCs w:val="22"/>
        </w:rPr>
        <w:t>s</w:t>
      </w:r>
      <w:r w:rsidR="005F14AD" w:rsidRPr="004F572A">
        <w:rPr>
          <w:sz w:val="22"/>
          <w:szCs w:val="22"/>
        </w:rPr>
        <w:t xml:space="preserve"> sunkaus kraujavimo, susijusio su naviko traukimusi / nekroze po gydymo </w:t>
      </w:r>
      <w:proofErr w:type="spellStart"/>
      <w:r w:rsidR="005F14AD" w:rsidRPr="004F572A">
        <w:rPr>
          <w:sz w:val="22"/>
          <w:szCs w:val="22"/>
        </w:rPr>
        <w:t>lenvatinibu</w:t>
      </w:r>
      <w:proofErr w:type="spellEnd"/>
      <w:r w:rsidR="005F14AD" w:rsidRPr="004F572A">
        <w:rPr>
          <w:sz w:val="22"/>
          <w:szCs w:val="22"/>
        </w:rPr>
        <w:t>,</w:t>
      </w:r>
      <w:r w:rsidR="00581C10" w:rsidRPr="004F572A">
        <w:rPr>
          <w:sz w:val="22"/>
          <w:szCs w:val="22"/>
        </w:rPr>
        <w:t xml:space="preserve"> rizikos</w:t>
      </w:r>
      <w:r w:rsidR="005F14AD" w:rsidRPr="004F572A">
        <w:rPr>
          <w:sz w:val="22"/>
          <w:szCs w:val="22"/>
        </w:rPr>
        <w:t xml:space="preserve"> reikia atsižvelgti į naviko invazijos / infiltracijos į pagrindines kraujagysles (pvz., miego arteriją) laipsnį. Kai kurie kraujavimo atvejai nustatyti naviko susitraukimo ir fistulės, pvz., trachėjos</w:t>
      </w:r>
      <w:r w:rsidR="00905C9A">
        <w:rPr>
          <w:sz w:val="22"/>
          <w:szCs w:val="22"/>
        </w:rPr>
        <w:t xml:space="preserve"> ir </w:t>
      </w:r>
      <w:r w:rsidR="005F14AD" w:rsidRPr="004F572A">
        <w:rPr>
          <w:sz w:val="22"/>
          <w:szCs w:val="22"/>
        </w:rPr>
        <w:t>stemplės fistul</w:t>
      </w:r>
      <w:r w:rsidR="00905C9A">
        <w:rPr>
          <w:sz w:val="22"/>
          <w:szCs w:val="22"/>
        </w:rPr>
        <w:t>ių</w:t>
      </w:r>
      <w:r w:rsidR="005F14AD" w:rsidRPr="004F572A">
        <w:rPr>
          <w:sz w:val="22"/>
          <w:szCs w:val="22"/>
        </w:rPr>
        <w:t xml:space="preserve">, </w:t>
      </w:r>
      <w:r w:rsidR="00581C10" w:rsidRPr="004F572A">
        <w:rPr>
          <w:sz w:val="22"/>
          <w:szCs w:val="22"/>
        </w:rPr>
        <w:t>susi</w:t>
      </w:r>
      <w:r w:rsidR="00905C9A">
        <w:rPr>
          <w:sz w:val="22"/>
          <w:szCs w:val="22"/>
        </w:rPr>
        <w:t>darymo</w:t>
      </w:r>
      <w:r w:rsidR="005F14AD" w:rsidRPr="004F572A">
        <w:rPr>
          <w:sz w:val="22"/>
          <w:szCs w:val="22"/>
        </w:rPr>
        <w:t xml:space="preserve"> fone. </w:t>
      </w:r>
      <w:r w:rsidR="00905C9A" w:rsidRPr="00905C9A">
        <w:rPr>
          <w:sz w:val="22"/>
          <w:szCs w:val="22"/>
        </w:rPr>
        <w:t xml:space="preserve">Kai kuriems pacientams, kuriems buvo arba nebuvo smegenų metastazių, nustatyti mirtino </w:t>
      </w:r>
      <w:proofErr w:type="spellStart"/>
      <w:r w:rsidR="00905C9A" w:rsidRPr="00905C9A">
        <w:rPr>
          <w:sz w:val="22"/>
          <w:szCs w:val="22"/>
        </w:rPr>
        <w:t>intrakranijinio</w:t>
      </w:r>
      <w:proofErr w:type="spellEnd"/>
      <w:r w:rsidR="00905C9A" w:rsidRPr="00905C9A">
        <w:rPr>
          <w:sz w:val="22"/>
          <w:szCs w:val="22"/>
        </w:rPr>
        <w:t xml:space="preserve"> kraujavimo atvejai</w:t>
      </w:r>
      <w:r w:rsidR="005F14AD" w:rsidRPr="004F572A">
        <w:rPr>
          <w:sz w:val="22"/>
          <w:szCs w:val="22"/>
        </w:rPr>
        <w:t xml:space="preserve">. Taip pat </w:t>
      </w:r>
      <w:r w:rsidR="00581C10" w:rsidRPr="004F572A">
        <w:rPr>
          <w:sz w:val="22"/>
          <w:szCs w:val="22"/>
        </w:rPr>
        <w:t xml:space="preserve">buvo </w:t>
      </w:r>
      <w:r w:rsidR="00905C9A">
        <w:rPr>
          <w:sz w:val="22"/>
          <w:szCs w:val="22"/>
        </w:rPr>
        <w:t>nustatytas</w:t>
      </w:r>
      <w:r w:rsidR="00581C10" w:rsidRPr="004F572A">
        <w:rPr>
          <w:sz w:val="22"/>
          <w:szCs w:val="22"/>
        </w:rPr>
        <w:t xml:space="preserve"> kraujavim</w:t>
      </w:r>
      <w:r w:rsidR="00905C9A">
        <w:rPr>
          <w:sz w:val="22"/>
          <w:szCs w:val="22"/>
        </w:rPr>
        <w:t>as</w:t>
      </w:r>
      <w:r w:rsidR="005F14AD" w:rsidRPr="004F572A">
        <w:rPr>
          <w:sz w:val="22"/>
          <w:szCs w:val="22"/>
        </w:rPr>
        <w:t xml:space="preserve"> ne smegenyse, o kitose vietose (pvz., trachėjoje, pilve, plaučiuose). Pranešta apie vieną HCK sergančio paciento mirtimi pasibaigusį kraujavimą iš kepenų naviko.</w:t>
      </w:r>
    </w:p>
    <w:p w14:paraId="66EFD3F5" w14:textId="77777777" w:rsidR="00F85CB6" w:rsidRPr="004F572A" w:rsidRDefault="00F85CB6" w:rsidP="005F14AD">
      <w:pPr>
        <w:rPr>
          <w:sz w:val="22"/>
          <w:szCs w:val="22"/>
        </w:rPr>
      </w:pPr>
    </w:p>
    <w:p w14:paraId="454B9132" w14:textId="00D557D4" w:rsidR="00F85CB6" w:rsidRDefault="00905C9A" w:rsidP="00F85CB6">
      <w:pPr>
        <w:rPr>
          <w:sz w:val="22"/>
          <w:szCs w:val="22"/>
        </w:rPr>
      </w:pPr>
      <w:r w:rsidRPr="00905C9A">
        <w:rPr>
          <w:sz w:val="22"/>
          <w:szCs w:val="22"/>
        </w:rPr>
        <w:t xml:space="preserve">Prieš pradedant gydyti </w:t>
      </w:r>
      <w:proofErr w:type="spellStart"/>
      <w:r w:rsidRPr="00905C9A">
        <w:rPr>
          <w:sz w:val="22"/>
          <w:szCs w:val="22"/>
        </w:rPr>
        <w:t>lenvatinibu</w:t>
      </w:r>
      <w:proofErr w:type="spellEnd"/>
      <w:r w:rsidRPr="00905C9A">
        <w:rPr>
          <w:sz w:val="22"/>
          <w:szCs w:val="22"/>
        </w:rPr>
        <w:t xml:space="preserve"> vadovaujantis standartine praktika ciroze sergantiems pacientams reikia atlikti stemplės </w:t>
      </w:r>
      <w:proofErr w:type="spellStart"/>
      <w:r w:rsidRPr="00905C9A">
        <w:rPr>
          <w:sz w:val="22"/>
          <w:szCs w:val="22"/>
        </w:rPr>
        <w:t>varikozinių</w:t>
      </w:r>
      <w:proofErr w:type="spellEnd"/>
      <w:r w:rsidRPr="00905C9A">
        <w:rPr>
          <w:sz w:val="22"/>
          <w:szCs w:val="22"/>
        </w:rPr>
        <w:t xml:space="preserve"> venų tyrimą ir taikyti reikiamą gydymą</w:t>
      </w:r>
      <w:r w:rsidR="00F85CB6" w:rsidRPr="004F572A">
        <w:rPr>
          <w:sz w:val="22"/>
          <w:szCs w:val="22"/>
        </w:rPr>
        <w:t>.</w:t>
      </w:r>
    </w:p>
    <w:p w14:paraId="0C0091FA" w14:textId="77777777" w:rsidR="00905C9A" w:rsidRPr="004F572A" w:rsidRDefault="00905C9A" w:rsidP="00F85CB6">
      <w:pPr>
        <w:rPr>
          <w:sz w:val="22"/>
          <w:szCs w:val="22"/>
        </w:rPr>
      </w:pPr>
    </w:p>
    <w:p w14:paraId="7F0E0E11" w14:textId="1396FE97" w:rsidR="00F85CB6" w:rsidRPr="004F572A" w:rsidRDefault="00F85CB6" w:rsidP="00F85CB6">
      <w:pPr>
        <w:rPr>
          <w:sz w:val="22"/>
          <w:szCs w:val="22"/>
        </w:rPr>
      </w:pPr>
      <w:r w:rsidRPr="004F572A">
        <w:rPr>
          <w:sz w:val="22"/>
          <w:szCs w:val="22"/>
        </w:rPr>
        <w:t xml:space="preserve">Kraujavimo atveju </w:t>
      </w:r>
      <w:r w:rsidR="00713C99" w:rsidRPr="004F572A">
        <w:rPr>
          <w:sz w:val="22"/>
          <w:szCs w:val="22"/>
        </w:rPr>
        <w:t xml:space="preserve">gali reikėti </w:t>
      </w:r>
      <w:r w:rsidR="00905C9A">
        <w:rPr>
          <w:sz w:val="22"/>
          <w:szCs w:val="22"/>
        </w:rPr>
        <w:t xml:space="preserve">laikinai </w:t>
      </w:r>
      <w:r w:rsidR="00713C99" w:rsidRPr="004F572A">
        <w:rPr>
          <w:sz w:val="22"/>
          <w:szCs w:val="22"/>
        </w:rPr>
        <w:t xml:space="preserve">ar visiškai nutraukti vaistinio preparato vartojimą </w:t>
      </w:r>
      <w:r w:rsidR="00905C9A">
        <w:rPr>
          <w:sz w:val="22"/>
          <w:szCs w:val="22"/>
        </w:rPr>
        <w:t xml:space="preserve">arba koreguoti dozę </w:t>
      </w:r>
      <w:r w:rsidRPr="004F572A">
        <w:rPr>
          <w:sz w:val="22"/>
          <w:szCs w:val="22"/>
        </w:rPr>
        <w:t xml:space="preserve">(žr. 4.2 skyrių, </w:t>
      </w:r>
      <w:r w:rsidR="00713C99" w:rsidRPr="004F572A">
        <w:rPr>
          <w:sz w:val="22"/>
          <w:szCs w:val="22"/>
        </w:rPr>
        <w:t>4</w:t>
      </w:r>
      <w:r w:rsidRPr="004F572A">
        <w:rPr>
          <w:sz w:val="22"/>
          <w:szCs w:val="22"/>
        </w:rPr>
        <w:t xml:space="preserve"> lentelę).</w:t>
      </w:r>
    </w:p>
    <w:p w14:paraId="3081AC4E" w14:textId="77777777" w:rsidR="00713C99" w:rsidRPr="004F572A" w:rsidRDefault="00713C99" w:rsidP="00F85CB6">
      <w:pPr>
        <w:rPr>
          <w:sz w:val="22"/>
          <w:szCs w:val="22"/>
        </w:rPr>
      </w:pPr>
    </w:p>
    <w:p w14:paraId="593E9963" w14:textId="4C30B0D5" w:rsidR="00F85CB6" w:rsidRPr="004F572A" w:rsidRDefault="00F85CB6" w:rsidP="00F85CB6">
      <w:pPr>
        <w:rPr>
          <w:sz w:val="22"/>
          <w:szCs w:val="22"/>
          <w:u w:val="single"/>
        </w:rPr>
      </w:pPr>
      <w:r w:rsidRPr="004F572A">
        <w:rPr>
          <w:sz w:val="22"/>
          <w:szCs w:val="22"/>
          <w:u w:val="single"/>
        </w:rPr>
        <w:t xml:space="preserve">Virškinimo trakto perforacija </w:t>
      </w:r>
      <w:r w:rsidR="00905C9A">
        <w:rPr>
          <w:sz w:val="22"/>
          <w:szCs w:val="22"/>
          <w:u w:val="single"/>
        </w:rPr>
        <w:t>bei</w:t>
      </w:r>
      <w:r w:rsidRPr="004F572A">
        <w:rPr>
          <w:sz w:val="22"/>
          <w:szCs w:val="22"/>
          <w:u w:val="single"/>
        </w:rPr>
        <w:t xml:space="preserve"> fistul</w:t>
      </w:r>
      <w:r w:rsidR="00905C9A">
        <w:rPr>
          <w:sz w:val="22"/>
          <w:szCs w:val="22"/>
          <w:u w:val="single"/>
        </w:rPr>
        <w:t>ių susidarymas</w:t>
      </w:r>
    </w:p>
    <w:p w14:paraId="39F2E44D" w14:textId="77777777" w:rsidR="00713C99" w:rsidRPr="004F572A" w:rsidRDefault="00713C99" w:rsidP="00F85CB6">
      <w:pPr>
        <w:rPr>
          <w:sz w:val="22"/>
          <w:szCs w:val="22"/>
        </w:rPr>
      </w:pPr>
    </w:p>
    <w:p w14:paraId="518F4481" w14:textId="1F3ABB12" w:rsidR="00F85CB6" w:rsidRPr="004F572A" w:rsidRDefault="00905C9A" w:rsidP="00F85CB6">
      <w:pPr>
        <w:rPr>
          <w:sz w:val="22"/>
          <w:szCs w:val="22"/>
        </w:rPr>
      </w:pPr>
      <w:proofErr w:type="spellStart"/>
      <w:r w:rsidRPr="00905C9A">
        <w:rPr>
          <w:sz w:val="22"/>
          <w:szCs w:val="22"/>
        </w:rPr>
        <w:t>Lenvatinibu</w:t>
      </w:r>
      <w:proofErr w:type="spellEnd"/>
      <w:r w:rsidRPr="00905C9A">
        <w:rPr>
          <w:sz w:val="22"/>
          <w:szCs w:val="22"/>
        </w:rPr>
        <w:t xml:space="preserve"> gydomiems pacientams nustatyta virškinimo trakto perforacija bei fistulių susidarymas</w:t>
      </w:r>
      <w:r w:rsidRPr="00905C9A" w:rsidDel="00905C9A">
        <w:rPr>
          <w:sz w:val="22"/>
          <w:szCs w:val="22"/>
        </w:rPr>
        <w:t xml:space="preserve"> </w:t>
      </w:r>
      <w:r w:rsidR="00F85CB6" w:rsidRPr="004F572A">
        <w:rPr>
          <w:sz w:val="22"/>
          <w:szCs w:val="22"/>
        </w:rPr>
        <w:t xml:space="preserve">(žr. 4.8 skyrių). Daugumoje atvejų virškinimo trakto perforacija bei fistulių </w:t>
      </w:r>
      <w:r>
        <w:rPr>
          <w:sz w:val="22"/>
          <w:szCs w:val="22"/>
        </w:rPr>
        <w:t>susidarymas</w:t>
      </w:r>
      <w:r w:rsidRPr="004F572A">
        <w:rPr>
          <w:sz w:val="22"/>
          <w:szCs w:val="22"/>
        </w:rPr>
        <w:t xml:space="preserve"> </w:t>
      </w:r>
      <w:r w:rsidR="00F85CB6" w:rsidRPr="004F572A">
        <w:rPr>
          <w:sz w:val="22"/>
          <w:szCs w:val="22"/>
        </w:rPr>
        <w:t xml:space="preserve">nustatytas pacientams, kuriems buvo rizikos veiksnių, pvz., anksčiau atlikta operacija arba taikyta radioterapija. Virškinimo trakto perforacijos bei fistulių </w:t>
      </w:r>
      <w:r>
        <w:rPr>
          <w:sz w:val="22"/>
          <w:szCs w:val="22"/>
        </w:rPr>
        <w:t>susidarymo</w:t>
      </w:r>
      <w:r w:rsidR="00F85CB6" w:rsidRPr="004F572A">
        <w:rPr>
          <w:sz w:val="22"/>
          <w:szCs w:val="22"/>
        </w:rPr>
        <w:t xml:space="preserve"> atveju gali reikėti </w:t>
      </w:r>
      <w:r>
        <w:rPr>
          <w:sz w:val="22"/>
          <w:szCs w:val="22"/>
        </w:rPr>
        <w:t xml:space="preserve">laikinai </w:t>
      </w:r>
      <w:r w:rsidR="00C036E3" w:rsidRPr="004F572A">
        <w:rPr>
          <w:sz w:val="22"/>
          <w:szCs w:val="22"/>
        </w:rPr>
        <w:t xml:space="preserve">ar visiškai nutraukti vaistinio preparato vartojimą </w:t>
      </w:r>
      <w:r>
        <w:rPr>
          <w:sz w:val="22"/>
          <w:szCs w:val="22"/>
        </w:rPr>
        <w:t xml:space="preserve">arba koreguoti dozę </w:t>
      </w:r>
      <w:r w:rsidR="00F85CB6" w:rsidRPr="004F572A">
        <w:rPr>
          <w:sz w:val="22"/>
          <w:szCs w:val="22"/>
        </w:rPr>
        <w:t>(žr. 4.2 skyrių).</w:t>
      </w:r>
    </w:p>
    <w:p w14:paraId="142CB905" w14:textId="77777777" w:rsidR="00C036E3" w:rsidRPr="004F572A" w:rsidRDefault="00C036E3" w:rsidP="00F85CB6">
      <w:pPr>
        <w:rPr>
          <w:sz w:val="22"/>
          <w:szCs w:val="22"/>
        </w:rPr>
      </w:pPr>
    </w:p>
    <w:p w14:paraId="0043E507" w14:textId="0F2832AC" w:rsidR="00F85CB6" w:rsidRPr="004F572A" w:rsidRDefault="00F85CB6" w:rsidP="00F85CB6">
      <w:pPr>
        <w:rPr>
          <w:sz w:val="22"/>
          <w:szCs w:val="22"/>
          <w:u w:val="single"/>
        </w:rPr>
      </w:pPr>
      <w:r w:rsidRPr="004F572A">
        <w:rPr>
          <w:sz w:val="22"/>
          <w:szCs w:val="22"/>
          <w:u w:val="single"/>
        </w:rPr>
        <w:t>Ne virškinimo trakto fistulė</w:t>
      </w:r>
    </w:p>
    <w:p w14:paraId="4FC2224C" w14:textId="77777777" w:rsidR="00C036E3" w:rsidRPr="004F572A" w:rsidRDefault="00C036E3" w:rsidP="00F85CB6">
      <w:pPr>
        <w:rPr>
          <w:sz w:val="22"/>
          <w:szCs w:val="22"/>
        </w:rPr>
      </w:pPr>
    </w:p>
    <w:p w14:paraId="6C16B6B8" w14:textId="2C9375B9" w:rsidR="007E063C" w:rsidRPr="004F572A" w:rsidRDefault="00F85CB6" w:rsidP="007E063C">
      <w:pPr>
        <w:rPr>
          <w:sz w:val="22"/>
          <w:szCs w:val="22"/>
        </w:rPr>
      </w:pPr>
      <w:r w:rsidRPr="004F572A">
        <w:rPr>
          <w:sz w:val="22"/>
          <w:szCs w:val="22"/>
        </w:rPr>
        <w:t xml:space="preserve">Gydant </w:t>
      </w:r>
      <w:proofErr w:type="spellStart"/>
      <w:r w:rsidRPr="004F572A">
        <w:rPr>
          <w:sz w:val="22"/>
          <w:szCs w:val="22"/>
        </w:rPr>
        <w:t>lenvatinibu</w:t>
      </w:r>
      <w:proofErr w:type="spellEnd"/>
      <w:r w:rsidRPr="004F572A">
        <w:rPr>
          <w:sz w:val="22"/>
          <w:szCs w:val="22"/>
        </w:rPr>
        <w:t xml:space="preserve"> pacientams gali būti padidėjusi fistulių </w:t>
      </w:r>
      <w:r w:rsidR="00905C9A">
        <w:rPr>
          <w:sz w:val="22"/>
          <w:szCs w:val="22"/>
        </w:rPr>
        <w:t>susidarymo</w:t>
      </w:r>
      <w:r w:rsidR="00905C9A" w:rsidRPr="004F572A">
        <w:rPr>
          <w:sz w:val="22"/>
          <w:szCs w:val="22"/>
        </w:rPr>
        <w:t xml:space="preserve"> </w:t>
      </w:r>
      <w:r w:rsidRPr="004F572A">
        <w:rPr>
          <w:sz w:val="22"/>
          <w:szCs w:val="22"/>
        </w:rPr>
        <w:t xml:space="preserve">rizika. Klinikinių tyrimų metu ir po vaistinio preparato registracijos nustatyti fistulių </w:t>
      </w:r>
      <w:r w:rsidR="00905C9A">
        <w:rPr>
          <w:sz w:val="22"/>
          <w:szCs w:val="22"/>
        </w:rPr>
        <w:t>susidarymo</w:t>
      </w:r>
      <w:r w:rsidRPr="004F572A">
        <w:rPr>
          <w:sz w:val="22"/>
          <w:szCs w:val="22"/>
        </w:rPr>
        <w:t xml:space="preserve"> ar padidėjimo ne skrandyje ar žarnyne, o kitose kūno srityse (pvz., trachėjos, trachėjos</w:t>
      </w:r>
      <w:r w:rsidR="00905C9A">
        <w:rPr>
          <w:sz w:val="22"/>
          <w:szCs w:val="22"/>
        </w:rPr>
        <w:t xml:space="preserve"> ir </w:t>
      </w:r>
      <w:r w:rsidRPr="004F572A">
        <w:rPr>
          <w:sz w:val="22"/>
          <w:szCs w:val="22"/>
        </w:rPr>
        <w:t xml:space="preserve">stemplės, stemplės, odos, moters lyties organų fistulės) atvejai. Be to, </w:t>
      </w:r>
      <w:r w:rsidR="00905C9A">
        <w:rPr>
          <w:sz w:val="22"/>
          <w:szCs w:val="22"/>
        </w:rPr>
        <w:t>buvo nustatytas</w:t>
      </w:r>
      <w:r w:rsidRPr="004F572A">
        <w:rPr>
          <w:sz w:val="22"/>
          <w:szCs w:val="22"/>
        </w:rPr>
        <w:t xml:space="preserve"> </w:t>
      </w:r>
      <w:proofErr w:type="spellStart"/>
      <w:r w:rsidRPr="004F572A">
        <w:rPr>
          <w:sz w:val="22"/>
          <w:szCs w:val="22"/>
        </w:rPr>
        <w:t>pneumotoraks</w:t>
      </w:r>
      <w:r w:rsidR="00905C9A">
        <w:rPr>
          <w:sz w:val="22"/>
          <w:szCs w:val="22"/>
        </w:rPr>
        <w:t>as</w:t>
      </w:r>
      <w:proofErr w:type="spellEnd"/>
      <w:r w:rsidRPr="004F572A">
        <w:rPr>
          <w:sz w:val="22"/>
          <w:szCs w:val="22"/>
        </w:rPr>
        <w:t xml:space="preserve"> su aiškiais bronchų-pleuros fistulės požymiais arba be jų. Buvo keletas pranešimų apie fistulę ir </w:t>
      </w:r>
      <w:proofErr w:type="spellStart"/>
      <w:r w:rsidRPr="004F572A">
        <w:rPr>
          <w:sz w:val="22"/>
          <w:szCs w:val="22"/>
        </w:rPr>
        <w:t>pneumotoraksą</w:t>
      </w:r>
      <w:proofErr w:type="spellEnd"/>
      <w:r w:rsidRPr="004F572A">
        <w:rPr>
          <w:sz w:val="22"/>
          <w:szCs w:val="22"/>
        </w:rPr>
        <w:t xml:space="preserve">, susijusių su naviko </w:t>
      </w:r>
      <w:r w:rsidR="00C036E3" w:rsidRPr="004F572A">
        <w:rPr>
          <w:sz w:val="22"/>
          <w:szCs w:val="22"/>
        </w:rPr>
        <w:t>regresija</w:t>
      </w:r>
      <w:r w:rsidRPr="004F572A">
        <w:rPr>
          <w:sz w:val="22"/>
          <w:szCs w:val="22"/>
        </w:rPr>
        <w:t xml:space="preserve"> arba nekroze. </w:t>
      </w:r>
      <w:r w:rsidR="00905C9A">
        <w:rPr>
          <w:sz w:val="22"/>
          <w:szCs w:val="22"/>
        </w:rPr>
        <w:t>Tarp r</w:t>
      </w:r>
      <w:r w:rsidR="007E063C" w:rsidRPr="004F572A">
        <w:rPr>
          <w:sz w:val="22"/>
          <w:szCs w:val="22"/>
        </w:rPr>
        <w:t>izikos veiksni</w:t>
      </w:r>
      <w:r w:rsidR="00905C9A">
        <w:rPr>
          <w:sz w:val="22"/>
          <w:szCs w:val="22"/>
        </w:rPr>
        <w:t>ų</w:t>
      </w:r>
      <w:r w:rsidRPr="004F572A">
        <w:rPr>
          <w:sz w:val="22"/>
          <w:szCs w:val="22"/>
        </w:rPr>
        <w:t xml:space="preserve"> gali būti anksčiau atlikta operacija ir radioterapija. Plaučių metastazės taip pat gali padidinti </w:t>
      </w:r>
      <w:proofErr w:type="spellStart"/>
      <w:r w:rsidRPr="004F572A">
        <w:rPr>
          <w:sz w:val="22"/>
          <w:szCs w:val="22"/>
        </w:rPr>
        <w:t>pneumotorakso</w:t>
      </w:r>
      <w:proofErr w:type="spellEnd"/>
      <w:r w:rsidRPr="004F572A">
        <w:rPr>
          <w:sz w:val="22"/>
          <w:szCs w:val="22"/>
        </w:rPr>
        <w:t xml:space="preserve"> riziką. Pacientams, kuriems yra fistul</w:t>
      </w:r>
      <w:r w:rsidR="00905C9A">
        <w:rPr>
          <w:sz w:val="22"/>
          <w:szCs w:val="22"/>
        </w:rPr>
        <w:t>ių</w:t>
      </w:r>
      <w:r w:rsidRPr="004F572A">
        <w:rPr>
          <w:sz w:val="22"/>
          <w:szCs w:val="22"/>
        </w:rPr>
        <w:t xml:space="preserve">, gydymo </w:t>
      </w:r>
      <w:proofErr w:type="spellStart"/>
      <w:r w:rsidRPr="004F572A">
        <w:rPr>
          <w:sz w:val="22"/>
          <w:szCs w:val="22"/>
        </w:rPr>
        <w:t>lenvatinibu</w:t>
      </w:r>
      <w:proofErr w:type="spellEnd"/>
      <w:r w:rsidRPr="004F572A">
        <w:rPr>
          <w:sz w:val="22"/>
          <w:szCs w:val="22"/>
        </w:rPr>
        <w:t xml:space="preserve"> pradėti negalima, kad būtų išvengta pasunkėjimo; pacientams, kuriems yra stemplės arba trachėjos ir bronchų fistulė arba bet kokia 4</w:t>
      </w:r>
      <w:r w:rsidR="00D53FC3">
        <w:rPr>
          <w:sz w:val="22"/>
          <w:szCs w:val="22"/>
        </w:rPr>
        <w:t> </w:t>
      </w:r>
      <w:r w:rsidRPr="004F572A">
        <w:rPr>
          <w:sz w:val="22"/>
          <w:szCs w:val="22"/>
        </w:rPr>
        <w:t xml:space="preserve">laipsnio fistulė, </w:t>
      </w:r>
      <w:proofErr w:type="spellStart"/>
      <w:r w:rsidRPr="004F572A">
        <w:rPr>
          <w:sz w:val="22"/>
          <w:szCs w:val="22"/>
        </w:rPr>
        <w:t>lenvatinibo</w:t>
      </w:r>
      <w:proofErr w:type="spellEnd"/>
      <w:r w:rsidRPr="004F572A">
        <w:rPr>
          <w:sz w:val="22"/>
          <w:szCs w:val="22"/>
        </w:rPr>
        <w:t xml:space="preserve"> vartojimą reikia </w:t>
      </w:r>
      <w:r w:rsidR="00905C9A">
        <w:rPr>
          <w:sz w:val="22"/>
          <w:szCs w:val="22"/>
        </w:rPr>
        <w:t xml:space="preserve">visiškai </w:t>
      </w:r>
      <w:r w:rsidRPr="004F572A">
        <w:rPr>
          <w:sz w:val="22"/>
          <w:szCs w:val="22"/>
        </w:rPr>
        <w:t xml:space="preserve">nutraukti (žr. 4.2 skyrių); informacijos apie </w:t>
      </w:r>
      <w:r w:rsidR="00905C9A">
        <w:rPr>
          <w:sz w:val="22"/>
          <w:szCs w:val="22"/>
        </w:rPr>
        <w:t>laikiną vartojimo nutraukimą arba dozės mažinimą gydant</w:t>
      </w:r>
      <w:r w:rsidR="007E063C" w:rsidRPr="004F572A">
        <w:rPr>
          <w:rFonts w:ascii="TimesNewRomanPSMT" w:eastAsia="Times New Roman" w:hAnsi="TimesNewRomanPSMT"/>
          <w:sz w:val="22"/>
          <w:szCs w:val="22"/>
          <w:lang w:eastAsia="en-US"/>
        </w:rPr>
        <w:t xml:space="preserve"> </w:t>
      </w:r>
      <w:r w:rsidR="007E063C" w:rsidRPr="004F572A">
        <w:rPr>
          <w:sz w:val="22"/>
          <w:szCs w:val="22"/>
        </w:rPr>
        <w:t xml:space="preserve">kitus reiškinius </w:t>
      </w:r>
      <w:r w:rsidR="00905C9A">
        <w:rPr>
          <w:sz w:val="22"/>
          <w:szCs w:val="22"/>
        </w:rPr>
        <w:t>nepakanka</w:t>
      </w:r>
      <w:r w:rsidR="007E063C" w:rsidRPr="004F572A">
        <w:rPr>
          <w:sz w:val="22"/>
          <w:szCs w:val="22"/>
        </w:rPr>
        <w:t xml:space="preserve">, tačiau kai kuriais atvejais nustatytas pasunkėjimas ir reikia imtis atsargumo priemonių. </w:t>
      </w:r>
      <w:proofErr w:type="spellStart"/>
      <w:r w:rsidR="007E063C" w:rsidRPr="004F572A">
        <w:rPr>
          <w:sz w:val="22"/>
          <w:szCs w:val="22"/>
        </w:rPr>
        <w:t>Lenvatinibas</w:t>
      </w:r>
      <w:proofErr w:type="spellEnd"/>
      <w:r w:rsidR="007E063C" w:rsidRPr="004F572A">
        <w:rPr>
          <w:sz w:val="22"/>
          <w:szCs w:val="22"/>
        </w:rPr>
        <w:t xml:space="preserve">, kaip ir kitos tos pačios klasės </w:t>
      </w:r>
      <w:r w:rsidR="00905C9A">
        <w:rPr>
          <w:sz w:val="22"/>
          <w:szCs w:val="22"/>
        </w:rPr>
        <w:t>vaistiniai preparatai</w:t>
      </w:r>
      <w:r w:rsidR="007E063C" w:rsidRPr="004F572A">
        <w:rPr>
          <w:sz w:val="22"/>
          <w:szCs w:val="22"/>
        </w:rPr>
        <w:t xml:space="preserve">, gali </w:t>
      </w:r>
      <w:r w:rsidR="00905C9A">
        <w:rPr>
          <w:sz w:val="22"/>
          <w:szCs w:val="22"/>
        </w:rPr>
        <w:t>neigiamai veikti</w:t>
      </w:r>
      <w:r w:rsidR="007E063C" w:rsidRPr="004F572A">
        <w:rPr>
          <w:sz w:val="22"/>
          <w:szCs w:val="22"/>
        </w:rPr>
        <w:t xml:space="preserve"> žaizdų gijim</w:t>
      </w:r>
      <w:r w:rsidR="00905C9A">
        <w:rPr>
          <w:sz w:val="22"/>
          <w:szCs w:val="22"/>
        </w:rPr>
        <w:t>ą</w:t>
      </w:r>
      <w:r w:rsidR="007E063C" w:rsidRPr="004F572A">
        <w:rPr>
          <w:sz w:val="22"/>
          <w:szCs w:val="22"/>
        </w:rPr>
        <w:t>.</w:t>
      </w:r>
    </w:p>
    <w:p w14:paraId="1EF67E65" w14:textId="77777777" w:rsidR="007E063C" w:rsidRPr="004F572A" w:rsidRDefault="007E063C" w:rsidP="007E063C">
      <w:pPr>
        <w:rPr>
          <w:sz w:val="22"/>
          <w:szCs w:val="22"/>
        </w:rPr>
      </w:pPr>
    </w:p>
    <w:p w14:paraId="3E6C91E0" w14:textId="2D75E59D" w:rsidR="007E063C" w:rsidRPr="004F572A" w:rsidRDefault="007E063C" w:rsidP="007E063C">
      <w:pPr>
        <w:rPr>
          <w:sz w:val="22"/>
          <w:szCs w:val="22"/>
          <w:u w:val="single"/>
        </w:rPr>
      </w:pPr>
      <w:r w:rsidRPr="004F572A">
        <w:rPr>
          <w:sz w:val="22"/>
          <w:szCs w:val="22"/>
          <w:u w:val="single"/>
        </w:rPr>
        <w:t>Pailgėjęs QT intervalas</w:t>
      </w:r>
    </w:p>
    <w:p w14:paraId="65BBEA2D" w14:textId="77777777" w:rsidR="007E063C" w:rsidRPr="004F572A" w:rsidRDefault="007E063C" w:rsidP="007E063C">
      <w:pPr>
        <w:rPr>
          <w:sz w:val="22"/>
          <w:szCs w:val="22"/>
        </w:rPr>
      </w:pPr>
    </w:p>
    <w:p w14:paraId="4258D9E0" w14:textId="08568367" w:rsidR="00B367FA" w:rsidRPr="004F572A" w:rsidRDefault="00905C9A" w:rsidP="007E063C">
      <w:pPr>
        <w:rPr>
          <w:sz w:val="22"/>
          <w:szCs w:val="22"/>
        </w:rPr>
      </w:pPr>
      <w:proofErr w:type="spellStart"/>
      <w:r w:rsidRPr="00905C9A">
        <w:rPr>
          <w:sz w:val="22"/>
          <w:szCs w:val="22"/>
        </w:rPr>
        <w:t>Lenvatinibu</w:t>
      </w:r>
      <w:proofErr w:type="spellEnd"/>
      <w:r w:rsidRPr="00905C9A">
        <w:rPr>
          <w:sz w:val="22"/>
          <w:szCs w:val="22"/>
        </w:rPr>
        <w:t xml:space="preserve"> gydomiems pacientams dažniau nei placebą vartojusiems pacientams nustatytas pailgėjęs</w:t>
      </w:r>
      <w:r>
        <w:rPr>
          <w:sz w:val="22"/>
          <w:szCs w:val="22"/>
        </w:rPr>
        <w:t xml:space="preserve"> </w:t>
      </w:r>
      <w:r w:rsidR="00B367FA" w:rsidRPr="004F572A">
        <w:rPr>
          <w:sz w:val="22"/>
          <w:szCs w:val="22"/>
        </w:rPr>
        <w:t xml:space="preserve">QT / </w:t>
      </w:r>
      <w:proofErr w:type="spellStart"/>
      <w:r w:rsidR="00B367FA" w:rsidRPr="004F572A">
        <w:rPr>
          <w:sz w:val="22"/>
          <w:szCs w:val="22"/>
        </w:rPr>
        <w:t>QTc</w:t>
      </w:r>
      <w:proofErr w:type="spellEnd"/>
      <w:r w:rsidR="00B367FA" w:rsidRPr="004F572A">
        <w:rPr>
          <w:sz w:val="22"/>
          <w:szCs w:val="22"/>
        </w:rPr>
        <w:t xml:space="preserve"> interval</w:t>
      </w:r>
      <w:r>
        <w:rPr>
          <w:sz w:val="22"/>
          <w:szCs w:val="22"/>
        </w:rPr>
        <w:t xml:space="preserve">as </w:t>
      </w:r>
      <w:r w:rsidR="007E063C" w:rsidRPr="004F572A">
        <w:rPr>
          <w:sz w:val="22"/>
          <w:szCs w:val="22"/>
        </w:rPr>
        <w:t>(žr. 4.8 skyrių). Visiems pacientams gydymo pradžioje ir reguliariai per gydymo laikotarpį reikia stebėti elektrokardiogram</w:t>
      </w:r>
      <w:r>
        <w:rPr>
          <w:sz w:val="22"/>
          <w:szCs w:val="22"/>
        </w:rPr>
        <w:t>as</w:t>
      </w:r>
      <w:r w:rsidR="007E063C" w:rsidRPr="004F572A">
        <w:rPr>
          <w:sz w:val="22"/>
          <w:szCs w:val="22"/>
        </w:rPr>
        <w:t xml:space="preserve">, ypatingą dėmesį skiriant pacientams, kuriems nustatytas įgimtas ilgo QT intervalo sindromas, </w:t>
      </w:r>
      <w:proofErr w:type="spellStart"/>
      <w:r w:rsidR="007E063C" w:rsidRPr="004F572A">
        <w:rPr>
          <w:sz w:val="22"/>
          <w:szCs w:val="22"/>
        </w:rPr>
        <w:t>stazinis</w:t>
      </w:r>
      <w:proofErr w:type="spellEnd"/>
      <w:r w:rsidR="007E063C" w:rsidRPr="004F572A">
        <w:rPr>
          <w:sz w:val="22"/>
          <w:szCs w:val="22"/>
        </w:rPr>
        <w:t xml:space="preserve"> širdies nepakankamumas, </w:t>
      </w:r>
      <w:proofErr w:type="spellStart"/>
      <w:r w:rsidR="007E063C" w:rsidRPr="004F572A">
        <w:rPr>
          <w:sz w:val="22"/>
          <w:szCs w:val="22"/>
        </w:rPr>
        <w:t>bradiaritmijos</w:t>
      </w:r>
      <w:proofErr w:type="spellEnd"/>
      <w:r w:rsidR="007E063C" w:rsidRPr="004F572A">
        <w:rPr>
          <w:sz w:val="22"/>
          <w:szCs w:val="22"/>
        </w:rPr>
        <w:t xml:space="preserve">, taip pat pacientams, vartojantiems vaistinių preparatų, kurie ilgina QT intervalą, įskaitant </w:t>
      </w:r>
      <w:proofErr w:type="spellStart"/>
      <w:r w:rsidR="007E063C" w:rsidRPr="004F572A">
        <w:rPr>
          <w:sz w:val="22"/>
          <w:szCs w:val="22"/>
        </w:rPr>
        <w:t>Ia</w:t>
      </w:r>
      <w:proofErr w:type="spellEnd"/>
      <w:r w:rsidR="007E063C" w:rsidRPr="004F572A">
        <w:rPr>
          <w:sz w:val="22"/>
          <w:szCs w:val="22"/>
        </w:rPr>
        <w:t xml:space="preserve"> ir III klasės </w:t>
      </w:r>
      <w:proofErr w:type="spellStart"/>
      <w:r w:rsidR="007E063C" w:rsidRPr="004F572A">
        <w:rPr>
          <w:sz w:val="22"/>
          <w:szCs w:val="22"/>
        </w:rPr>
        <w:t>antiaritminius</w:t>
      </w:r>
      <w:proofErr w:type="spellEnd"/>
      <w:r w:rsidR="007E063C" w:rsidRPr="004F572A">
        <w:rPr>
          <w:sz w:val="22"/>
          <w:szCs w:val="22"/>
        </w:rPr>
        <w:t xml:space="preserve"> </w:t>
      </w:r>
      <w:r w:rsidR="00B367FA" w:rsidRPr="004F572A">
        <w:rPr>
          <w:sz w:val="22"/>
          <w:szCs w:val="22"/>
        </w:rPr>
        <w:t xml:space="preserve">vaistinius </w:t>
      </w:r>
      <w:r w:rsidR="007E063C" w:rsidRPr="004F572A">
        <w:rPr>
          <w:sz w:val="22"/>
          <w:szCs w:val="22"/>
        </w:rPr>
        <w:t xml:space="preserve">preparatus. </w:t>
      </w:r>
    </w:p>
    <w:p w14:paraId="662520E7" w14:textId="67DB75CE" w:rsidR="007E063C" w:rsidRPr="004F572A" w:rsidRDefault="007E063C" w:rsidP="007E063C">
      <w:pPr>
        <w:rPr>
          <w:sz w:val="22"/>
          <w:szCs w:val="22"/>
        </w:rPr>
      </w:pPr>
      <w:r w:rsidRPr="004F572A">
        <w:rPr>
          <w:sz w:val="22"/>
          <w:szCs w:val="22"/>
        </w:rPr>
        <w:lastRenderedPageBreak/>
        <w:t>Atsiradus &gt;</w:t>
      </w:r>
      <w:r w:rsidR="00D53FC3">
        <w:rPr>
          <w:sz w:val="22"/>
          <w:szCs w:val="22"/>
        </w:rPr>
        <w:t> </w:t>
      </w:r>
      <w:r w:rsidRPr="004F572A">
        <w:rPr>
          <w:sz w:val="22"/>
          <w:szCs w:val="22"/>
        </w:rPr>
        <w:t>500</w:t>
      </w:r>
      <w:r w:rsidR="00B367FA" w:rsidRPr="004F572A">
        <w:rPr>
          <w:sz w:val="22"/>
          <w:szCs w:val="22"/>
        </w:rPr>
        <w:t> </w:t>
      </w:r>
      <w:proofErr w:type="spellStart"/>
      <w:r w:rsidRPr="004F572A">
        <w:rPr>
          <w:sz w:val="22"/>
          <w:szCs w:val="22"/>
        </w:rPr>
        <w:t>ms</w:t>
      </w:r>
      <w:proofErr w:type="spellEnd"/>
      <w:r w:rsidRPr="004F572A">
        <w:rPr>
          <w:sz w:val="22"/>
          <w:szCs w:val="22"/>
        </w:rPr>
        <w:t xml:space="preserve"> QT intervalo pailgėjimui, </w:t>
      </w:r>
      <w:proofErr w:type="spellStart"/>
      <w:r w:rsidRPr="004F572A">
        <w:rPr>
          <w:sz w:val="22"/>
          <w:szCs w:val="22"/>
        </w:rPr>
        <w:t>lenvatinibo</w:t>
      </w:r>
      <w:proofErr w:type="spellEnd"/>
      <w:r w:rsidRPr="004F572A">
        <w:rPr>
          <w:sz w:val="22"/>
          <w:szCs w:val="22"/>
        </w:rPr>
        <w:t xml:space="preserve"> vartojim</w:t>
      </w:r>
      <w:r w:rsidR="00905C9A">
        <w:rPr>
          <w:sz w:val="22"/>
          <w:szCs w:val="22"/>
        </w:rPr>
        <w:t>ą reikia atidėti</w:t>
      </w:r>
      <w:r w:rsidRPr="004F572A">
        <w:rPr>
          <w:sz w:val="22"/>
          <w:szCs w:val="22"/>
        </w:rPr>
        <w:t xml:space="preserve">. </w:t>
      </w:r>
      <w:proofErr w:type="spellStart"/>
      <w:r w:rsidR="00905C9A" w:rsidRPr="00905C9A">
        <w:rPr>
          <w:sz w:val="22"/>
          <w:szCs w:val="22"/>
        </w:rPr>
        <w:t>Lenvatinibo</w:t>
      </w:r>
      <w:proofErr w:type="spellEnd"/>
      <w:r w:rsidR="00905C9A" w:rsidRPr="00905C9A">
        <w:rPr>
          <w:sz w:val="22"/>
          <w:szCs w:val="22"/>
        </w:rPr>
        <w:t xml:space="preserve"> vartojimą reikia tęsti</w:t>
      </w:r>
      <w:r w:rsidR="00905C9A">
        <w:rPr>
          <w:sz w:val="22"/>
          <w:szCs w:val="22"/>
        </w:rPr>
        <w:t xml:space="preserve"> </w:t>
      </w:r>
      <w:r w:rsidRPr="004F572A">
        <w:rPr>
          <w:sz w:val="22"/>
          <w:szCs w:val="22"/>
        </w:rPr>
        <w:t xml:space="preserve">sumažinta doze, kai </w:t>
      </w:r>
      <w:proofErr w:type="spellStart"/>
      <w:r w:rsidRPr="004F572A">
        <w:rPr>
          <w:sz w:val="22"/>
          <w:szCs w:val="22"/>
        </w:rPr>
        <w:t>QTc</w:t>
      </w:r>
      <w:proofErr w:type="spellEnd"/>
      <w:r w:rsidRPr="004F572A">
        <w:rPr>
          <w:sz w:val="22"/>
          <w:szCs w:val="22"/>
        </w:rPr>
        <w:t xml:space="preserve"> intervalo </w:t>
      </w:r>
      <w:r w:rsidR="00EC5619">
        <w:rPr>
          <w:sz w:val="22"/>
          <w:szCs w:val="22"/>
        </w:rPr>
        <w:t>pailgėjimas pasieks</w:t>
      </w:r>
      <w:r w:rsidRPr="004F572A">
        <w:rPr>
          <w:sz w:val="22"/>
          <w:szCs w:val="22"/>
        </w:rPr>
        <w:t xml:space="preserve"> &lt;</w:t>
      </w:r>
      <w:r w:rsidR="00D53FC3">
        <w:rPr>
          <w:sz w:val="22"/>
          <w:szCs w:val="22"/>
        </w:rPr>
        <w:t> </w:t>
      </w:r>
      <w:r w:rsidRPr="004F572A">
        <w:rPr>
          <w:sz w:val="22"/>
          <w:szCs w:val="22"/>
        </w:rPr>
        <w:t>480</w:t>
      </w:r>
      <w:r w:rsidR="00B367FA" w:rsidRPr="004F572A">
        <w:rPr>
          <w:sz w:val="22"/>
          <w:szCs w:val="22"/>
        </w:rPr>
        <w:t> </w:t>
      </w:r>
      <w:proofErr w:type="spellStart"/>
      <w:r w:rsidRPr="004F572A">
        <w:rPr>
          <w:sz w:val="22"/>
          <w:szCs w:val="22"/>
        </w:rPr>
        <w:t>ms</w:t>
      </w:r>
      <w:proofErr w:type="spellEnd"/>
      <w:r w:rsidRPr="004F572A">
        <w:rPr>
          <w:sz w:val="22"/>
          <w:szCs w:val="22"/>
        </w:rPr>
        <w:t xml:space="preserve"> arba </w:t>
      </w:r>
      <w:r w:rsidR="00EC5619">
        <w:rPr>
          <w:sz w:val="22"/>
          <w:szCs w:val="22"/>
        </w:rPr>
        <w:t>pradinį lygį</w:t>
      </w:r>
      <w:r w:rsidRPr="004F572A">
        <w:rPr>
          <w:sz w:val="22"/>
          <w:szCs w:val="22"/>
        </w:rPr>
        <w:t>.</w:t>
      </w:r>
    </w:p>
    <w:p w14:paraId="4BF9EF16" w14:textId="77777777" w:rsidR="00B367FA" w:rsidRPr="004F572A" w:rsidRDefault="00B367FA" w:rsidP="007E063C">
      <w:pPr>
        <w:rPr>
          <w:sz w:val="22"/>
          <w:szCs w:val="22"/>
        </w:rPr>
      </w:pPr>
    </w:p>
    <w:p w14:paraId="0A1B4CDC" w14:textId="49701EB3" w:rsidR="00BD5493" w:rsidRPr="004F572A" w:rsidRDefault="007E063C" w:rsidP="007E063C">
      <w:pPr>
        <w:rPr>
          <w:sz w:val="22"/>
          <w:szCs w:val="22"/>
        </w:rPr>
      </w:pPr>
      <w:r w:rsidRPr="004F572A">
        <w:rPr>
          <w:sz w:val="22"/>
          <w:szCs w:val="22"/>
        </w:rPr>
        <w:t xml:space="preserve">Elektrolitų sutrikimai, pvz., </w:t>
      </w:r>
      <w:proofErr w:type="spellStart"/>
      <w:r w:rsidRPr="004F572A">
        <w:rPr>
          <w:sz w:val="22"/>
          <w:szCs w:val="22"/>
        </w:rPr>
        <w:t>hipokalemija</w:t>
      </w:r>
      <w:proofErr w:type="spellEnd"/>
      <w:r w:rsidRPr="004F572A">
        <w:rPr>
          <w:sz w:val="22"/>
          <w:szCs w:val="22"/>
        </w:rPr>
        <w:t xml:space="preserve">, </w:t>
      </w:r>
      <w:proofErr w:type="spellStart"/>
      <w:r w:rsidRPr="004F572A">
        <w:rPr>
          <w:sz w:val="22"/>
          <w:szCs w:val="22"/>
        </w:rPr>
        <w:t>hipokalcemija</w:t>
      </w:r>
      <w:proofErr w:type="spellEnd"/>
      <w:r w:rsidRPr="004F572A">
        <w:rPr>
          <w:sz w:val="22"/>
          <w:szCs w:val="22"/>
        </w:rPr>
        <w:t xml:space="preserve"> arba </w:t>
      </w:r>
      <w:proofErr w:type="spellStart"/>
      <w:r w:rsidRPr="004F572A">
        <w:rPr>
          <w:sz w:val="22"/>
          <w:szCs w:val="22"/>
        </w:rPr>
        <w:t>hipomagnezemija</w:t>
      </w:r>
      <w:proofErr w:type="spellEnd"/>
      <w:r w:rsidRPr="004F572A">
        <w:rPr>
          <w:sz w:val="22"/>
          <w:szCs w:val="22"/>
        </w:rPr>
        <w:t xml:space="preserve">, didina QT pailgėjimo riziką, todėl visiems pacientams reikia stebėti elektrolitų </w:t>
      </w:r>
      <w:r w:rsidR="00EC5619">
        <w:rPr>
          <w:sz w:val="22"/>
          <w:szCs w:val="22"/>
        </w:rPr>
        <w:t>anomalijas</w:t>
      </w:r>
      <w:r w:rsidR="00EC5619" w:rsidRPr="004F572A">
        <w:rPr>
          <w:sz w:val="22"/>
          <w:szCs w:val="22"/>
        </w:rPr>
        <w:t xml:space="preserve"> </w:t>
      </w:r>
      <w:r w:rsidRPr="004F572A">
        <w:rPr>
          <w:sz w:val="22"/>
          <w:szCs w:val="22"/>
        </w:rPr>
        <w:t xml:space="preserve">ir </w:t>
      </w:r>
      <w:r w:rsidR="00EC5619">
        <w:rPr>
          <w:sz w:val="22"/>
          <w:szCs w:val="22"/>
        </w:rPr>
        <w:t>jas</w:t>
      </w:r>
      <w:r w:rsidRPr="004F572A">
        <w:rPr>
          <w:sz w:val="22"/>
          <w:szCs w:val="22"/>
        </w:rPr>
        <w:t xml:space="preserve"> koreguoti prieš pradedant gydymą. Per gydymo laikotarpį reikia periodiškai stebėti elektrolitų (magnio, kalio ir kalcio) kiekį. Mažiausiai kas mėnesį reikia tikrinti kalcio kiekį kraujyje ir</w:t>
      </w:r>
      <w:r w:rsidR="00EC5619">
        <w:rPr>
          <w:sz w:val="22"/>
          <w:szCs w:val="22"/>
        </w:rPr>
        <w:t xml:space="preserve">, jei reikia, </w:t>
      </w:r>
      <w:r w:rsidRPr="004F572A">
        <w:rPr>
          <w:sz w:val="22"/>
          <w:szCs w:val="22"/>
        </w:rPr>
        <w:t xml:space="preserve">gydymo </w:t>
      </w:r>
      <w:proofErr w:type="spellStart"/>
      <w:r w:rsidRPr="004F572A">
        <w:rPr>
          <w:sz w:val="22"/>
          <w:szCs w:val="22"/>
        </w:rPr>
        <w:t>lenvatinibu</w:t>
      </w:r>
      <w:proofErr w:type="spellEnd"/>
      <w:r w:rsidRPr="004F572A">
        <w:rPr>
          <w:sz w:val="22"/>
          <w:szCs w:val="22"/>
        </w:rPr>
        <w:t xml:space="preserve"> metu </w:t>
      </w:r>
      <w:r w:rsidR="00EC5619">
        <w:rPr>
          <w:sz w:val="22"/>
          <w:szCs w:val="22"/>
        </w:rPr>
        <w:t xml:space="preserve">reikia </w:t>
      </w:r>
      <w:r w:rsidRPr="004F572A">
        <w:rPr>
          <w:sz w:val="22"/>
          <w:szCs w:val="22"/>
        </w:rPr>
        <w:t xml:space="preserve">papildyti kalcio atsargas. Reikia </w:t>
      </w:r>
      <w:r w:rsidR="00EC5619">
        <w:rPr>
          <w:sz w:val="22"/>
          <w:szCs w:val="22"/>
        </w:rPr>
        <w:t>laikinai sustabdyti</w:t>
      </w:r>
      <w:r w:rsidRPr="004F572A">
        <w:rPr>
          <w:sz w:val="22"/>
          <w:szCs w:val="22"/>
        </w:rPr>
        <w:t xml:space="preserve"> </w:t>
      </w:r>
      <w:proofErr w:type="spellStart"/>
      <w:r w:rsidRPr="004F572A">
        <w:rPr>
          <w:sz w:val="22"/>
          <w:szCs w:val="22"/>
        </w:rPr>
        <w:t>lenvatinibo</w:t>
      </w:r>
      <w:proofErr w:type="spellEnd"/>
      <w:r w:rsidRPr="004F572A">
        <w:rPr>
          <w:sz w:val="22"/>
          <w:szCs w:val="22"/>
        </w:rPr>
        <w:t xml:space="preserve"> vartojimą arba</w:t>
      </w:r>
      <w:r w:rsidR="00EC5619">
        <w:rPr>
          <w:sz w:val="22"/>
          <w:szCs w:val="22"/>
        </w:rPr>
        <w:t>, jei reikia,</w:t>
      </w:r>
      <w:r w:rsidR="00803891" w:rsidRPr="004F572A">
        <w:rPr>
          <w:sz w:val="22"/>
          <w:szCs w:val="22"/>
        </w:rPr>
        <w:t xml:space="preserve"> koreguoti </w:t>
      </w:r>
      <w:r w:rsidR="00EC5619">
        <w:rPr>
          <w:sz w:val="22"/>
          <w:szCs w:val="22"/>
        </w:rPr>
        <w:t>jo dozę, priklausomai nuo</w:t>
      </w:r>
      <w:r w:rsidRPr="004F572A">
        <w:rPr>
          <w:sz w:val="22"/>
          <w:szCs w:val="22"/>
        </w:rPr>
        <w:t xml:space="preserve"> būklės sunkum</w:t>
      </w:r>
      <w:r w:rsidR="00EC5619">
        <w:rPr>
          <w:sz w:val="22"/>
          <w:szCs w:val="22"/>
        </w:rPr>
        <w:t>o</w:t>
      </w:r>
      <w:r w:rsidRPr="004F572A">
        <w:rPr>
          <w:sz w:val="22"/>
          <w:szCs w:val="22"/>
        </w:rPr>
        <w:t>, EKG pokyči</w:t>
      </w:r>
      <w:r w:rsidR="00EC5619">
        <w:rPr>
          <w:sz w:val="22"/>
          <w:szCs w:val="22"/>
        </w:rPr>
        <w:t>ų</w:t>
      </w:r>
      <w:r w:rsidRPr="004F572A">
        <w:rPr>
          <w:sz w:val="22"/>
          <w:szCs w:val="22"/>
        </w:rPr>
        <w:t xml:space="preserve"> ir </w:t>
      </w:r>
      <w:proofErr w:type="spellStart"/>
      <w:r w:rsidRPr="004F572A">
        <w:rPr>
          <w:sz w:val="22"/>
          <w:szCs w:val="22"/>
        </w:rPr>
        <w:t>hipokalcemijos</w:t>
      </w:r>
      <w:proofErr w:type="spellEnd"/>
      <w:r w:rsidRPr="004F572A">
        <w:rPr>
          <w:sz w:val="22"/>
          <w:szCs w:val="22"/>
        </w:rPr>
        <w:t xml:space="preserve"> </w:t>
      </w:r>
      <w:r w:rsidR="00EC5619">
        <w:rPr>
          <w:sz w:val="22"/>
          <w:szCs w:val="22"/>
        </w:rPr>
        <w:t>išlikimo</w:t>
      </w:r>
      <w:r w:rsidR="00803891" w:rsidRPr="004F572A">
        <w:rPr>
          <w:sz w:val="22"/>
          <w:szCs w:val="22"/>
        </w:rPr>
        <w:t>.</w:t>
      </w:r>
    </w:p>
    <w:p w14:paraId="0EB0CDEF" w14:textId="77777777" w:rsidR="00BD5493" w:rsidRPr="004F572A" w:rsidRDefault="00BD5493" w:rsidP="000928CA">
      <w:pPr>
        <w:rPr>
          <w:sz w:val="22"/>
          <w:szCs w:val="22"/>
        </w:rPr>
      </w:pPr>
    </w:p>
    <w:p w14:paraId="008B5DFD" w14:textId="6D56A55F" w:rsidR="00BC6D3D" w:rsidRPr="004F572A" w:rsidRDefault="00BC6D3D" w:rsidP="00BC6D3D">
      <w:pPr>
        <w:rPr>
          <w:sz w:val="22"/>
          <w:szCs w:val="22"/>
          <w:u w:val="single"/>
        </w:rPr>
      </w:pPr>
      <w:r w:rsidRPr="004F572A">
        <w:rPr>
          <w:sz w:val="22"/>
          <w:szCs w:val="22"/>
          <w:u w:val="single"/>
        </w:rPr>
        <w:t xml:space="preserve">Skydliaukę stimuliuojančio hormono slopinimo sutrikimas / skydliaukės </w:t>
      </w:r>
      <w:r w:rsidR="0090011B">
        <w:rPr>
          <w:sz w:val="22"/>
          <w:szCs w:val="22"/>
          <w:u w:val="single"/>
        </w:rPr>
        <w:t>dis</w:t>
      </w:r>
      <w:r w:rsidRPr="004F572A">
        <w:rPr>
          <w:sz w:val="22"/>
          <w:szCs w:val="22"/>
          <w:u w:val="single"/>
        </w:rPr>
        <w:t>funkcij</w:t>
      </w:r>
      <w:r w:rsidR="0090011B">
        <w:rPr>
          <w:sz w:val="22"/>
          <w:szCs w:val="22"/>
          <w:u w:val="single"/>
        </w:rPr>
        <w:t>a</w:t>
      </w:r>
    </w:p>
    <w:p w14:paraId="684D8D48" w14:textId="77777777" w:rsidR="00BC6D3D" w:rsidRPr="004F572A" w:rsidRDefault="00BC6D3D" w:rsidP="00BC6D3D">
      <w:pPr>
        <w:rPr>
          <w:sz w:val="22"/>
          <w:szCs w:val="22"/>
        </w:rPr>
      </w:pPr>
    </w:p>
    <w:p w14:paraId="7DA15DFE" w14:textId="2D97FD72" w:rsidR="00BC6D3D" w:rsidRPr="004F572A" w:rsidRDefault="0090011B" w:rsidP="00BC6D3D">
      <w:pPr>
        <w:rPr>
          <w:sz w:val="22"/>
          <w:szCs w:val="22"/>
        </w:rPr>
      </w:pPr>
      <w:proofErr w:type="spellStart"/>
      <w:r w:rsidRPr="0090011B">
        <w:rPr>
          <w:sz w:val="22"/>
          <w:szCs w:val="22"/>
        </w:rPr>
        <w:t>Lenvatinibu</w:t>
      </w:r>
      <w:proofErr w:type="spellEnd"/>
      <w:r w:rsidRPr="0090011B">
        <w:rPr>
          <w:sz w:val="22"/>
          <w:szCs w:val="22"/>
        </w:rPr>
        <w:t xml:space="preserve"> gydomiems pacientams nustatyta </w:t>
      </w:r>
      <w:proofErr w:type="spellStart"/>
      <w:r w:rsidRPr="0090011B">
        <w:rPr>
          <w:sz w:val="22"/>
          <w:szCs w:val="22"/>
        </w:rPr>
        <w:t>hipotirozės</w:t>
      </w:r>
      <w:proofErr w:type="spellEnd"/>
      <w:r w:rsidRPr="0090011B">
        <w:rPr>
          <w:sz w:val="22"/>
          <w:szCs w:val="22"/>
        </w:rPr>
        <w:t xml:space="preserve"> atvejų</w:t>
      </w:r>
      <w:r w:rsidRPr="0090011B" w:rsidDel="0090011B">
        <w:rPr>
          <w:sz w:val="22"/>
          <w:szCs w:val="22"/>
        </w:rPr>
        <w:t xml:space="preserve"> </w:t>
      </w:r>
      <w:r w:rsidR="00BC6D3D" w:rsidRPr="004F572A">
        <w:rPr>
          <w:sz w:val="22"/>
          <w:szCs w:val="22"/>
        </w:rPr>
        <w:t xml:space="preserve">(žr. 4.8 skyrių). Skydliaukės funkciją reikia stebėti prieš pradedant gydymą ir periodiškai viso gydymo </w:t>
      </w:r>
      <w:proofErr w:type="spellStart"/>
      <w:r w:rsidR="00BC6D3D" w:rsidRPr="004F572A">
        <w:rPr>
          <w:sz w:val="22"/>
          <w:szCs w:val="22"/>
        </w:rPr>
        <w:t>lenvatinibu</w:t>
      </w:r>
      <w:proofErr w:type="spellEnd"/>
      <w:r w:rsidR="00BC6D3D" w:rsidRPr="004F572A">
        <w:rPr>
          <w:sz w:val="22"/>
          <w:szCs w:val="22"/>
        </w:rPr>
        <w:t xml:space="preserve"> metu. </w:t>
      </w:r>
      <w:proofErr w:type="spellStart"/>
      <w:r w:rsidR="00BC6D3D" w:rsidRPr="004F572A">
        <w:rPr>
          <w:sz w:val="22"/>
          <w:szCs w:val="22"/>
        </w:rPr>
        <w:t>Hipotiroz</w:t>
      </w:r>
      <w:r w:rsidR="001C5E87">
        <w:rPr>
          <w:sz w:val="22"/>
          <w:szCs w:val="22"/>
        </w:rPr>
        <w:t>ę</w:t>
      </w:r>
      <w:proofErr w:type="spellEnd"/>
      <w:r w:rsidR="001C5E87">
        <w:rPr>
          <w:sz w:val="22"/>
          <w:szCs w:val="22"/>
        </w:rPr>
        <w:t xml:space="preserve"> reikia gydyti laikantis</w:t>
      </w:r>
      <w:r w:rsidR="00BC6D3D" w:rsidRPr="004F572A">
        <w:rPr>
          <w:sz w:val="22"/>
          <w:szCs w:val="22"/>
        </w:rPr>
        <w:t xml:space="preserve"> standartin</w:t>
      </w:r>
      <w:r w:rsidR="001C5E87">
        <w:rPr>
          <w:sz w:val="22"/>
          <w:szCs w:val="22"/>
        </w:rPr>
        <w:t>ės</w:t>
      </w:r>
      <w:r w:rsidR="00BC6D3D" w:rsidRPr="004F572A">
        <w:rPr>
          <w:sz w:val="22"/>
          <w:szCs w:val="22"/>
        </w:rPr>
        <w:t xml:space="preserve"> medicin</w:t>
      </w:r>
      <w:r w:rsidR="001C5E87">
        <w:rPr>
          <w:sz w:val="22"/>
          <w:szCs w:val="22"/>
        </w:rPr>
        <w:t>inės</w:t>
      </w:r>
      <w:r w:rsidR="00BC6D3D" w:rsidRPr="004F572A">
        <w:rPr>
          <w:sz w:val="22"/>
          <w:szCs w:val="22"/>
        </w:rPr>
        <w:t xml:space="preserve"> praktik</w:t>
      </w:r>
      <w:r w:rsidR="001C5E87">
        <w:rPr>
          <w:sz w:val="22"/>
          <w:szCs w:val="22"/>
        </w:rPr>
        <w:t>os</w:t>
      </w:r>
      <w:r w:rsidR="00BC6D3D" w:rsidRPr="004F572A">
        <w:rPr>
          <w:sz w:val="22"/>
          <w:szCs w:val="22"/>
        </w:rPr>
        <w:t xml:space="preserve">, kad būtų palaikoma </w:t>
      </w:r>
      <w:proofErr w:type="spellStart"/>
      <w:r w:rsidR="00BC6D3D" w:rsidRPr="004F572A">
        <w:rPr>
          <w:sz w:val="22"/>
          <w:szCs w:val="22"/>
        </w:rPr>
        <w:t>eutiroidinė</w:t>
      </w:r>
      <w:proofErr w:type="spellEnd"/>
      <w:r w:rsidR="00BC6D3D" w:rsidRPr="004F572A">
        <w:rPr>
          <w:sz w:val="22"/>
          <w:szCs w:val="22"/>
        </w:rPr>
        <w:t xml:space="preserve"> būklė.</w:t>
      </w:r>
    </w:p>
    <w:p w14:paraId="7DB20A57" w14:textId="77777777" w:rsidR="00BC6D3D" w:rsidRPr="004F572A" w:rsidRDefault="00BC6D3D" w:rsidP="00BC6D3D">
      <w:pPr>
        <w:rPr>
          <w:sz w:val="22"/>
          <w:szCs w:val="22"/>
        </w:rPr>
      </w:pPr>
    </w:p>
    <w:p w14:paraId="329FC420" w14:textId="3AE2D688" w:rsidR="00BC6D3D" w:rsidRPr="004F572A" w:rsidRDefault="00BC6D3D" w:rsidP="00BC6D3D">
      <w:pPr>
        <w:rPr>
          <w:sz w:val="22"/>
          <w:szCs w:val="22"/>
        </w:rPr>
      </w:pPr>
      <w:proofErr w:type="spellStart"/>
      <w:r w:rsidRPr="004F572A">
        <w:rPr>
          <w:sz w:val="22"/>
          <w:szCs w:val="22"/>
        </w:rPr>
        <w:t>Lenvatinibas</w:t>
      </w:r>
      <w:proofErr w:type="spellEnd"/>
      <w:r w:rsidRPr="004F572A">
        <w:rPr>
          <w:sz w:val="22"/>
          <w:szCs w:val="22"/>
        </w:rPr>
        <w:t xml:space="preserve"> trikdo </w:t>
      </w:r>
      <w:proofErr w:type="spellStart"/>
      <w:r w:rsidRPr="004F572A">
        <w:rPr>
          <w:sz w:val="22"/>
          <w:szCs w:val="22"/>
        </w:rPr>
        <w:t>egzogeninį</w:t>
      </w:r>
      <w:proofErr w:type="spellEnd"/>
      <w:r w:rsidRPr="004F572A">
        <w:rPr>
          <w:sz w:val="22"/>
          <w:szCs w:val="22"/>
        </w:rPr>
        <w:t xml:space="preserve"> skydliaukės veiklos slopinimą (žr. 4.8 skyrių). Reikia reguliariai </w:t>
      </w:r>
      <w:r w:rsidR="001C5E87">
        <w:rPr>
          <w:sz w:val="22"/>
          <w:szCs w:val="22"/>
        </w:rPr>
        <w:t>stebėti</w:t>
      </w:r>
      <w:r w:rsidR="001C5E87" w:rsidRPr="004F572A">
        <w:rPr>
          <w:sz w:val="22"/>
          <w:szCs w:val="22"/>
        </w:rPr>
        <w:t xml:space="preserve"> </w:t>
      </w:r>
      <w:r w:rsidRPr="004F572A">
        <w:rPr>
          <w:sz w:val="22"/>
          <w:szCs w:val="22"/>
        </w:rPr>
        <w:t>skydliaukę stimuliuojančio hormono (SSH) kiekį ir koreguoti skydliaukės hormonų vartojimą, kad būtų pasiektas tinkamas SSH kiekis pagal siekiamą paciento gydymo rezultatą.</w:t>
      </w:r>
    </w:p>
    <w:p w14:paraId="6CC5ECB6" w14:textId="77777777" w:rsidR="006607AA" w:rsidRPr="004F572A" w:rsidRDefault="006607AA" w:rsidP="00BC6D3D">
      <w:pPr>
        <w:rPr>
          <w:sz w:val="22"/>
          <w:szCs w:val="22"/>
        </w:rPr>
      </w:pPr>
    </w:p>
    <w:p w14:paraId="3633BF64" w14:textId="2E39718D" w:rsidR="00BC6D3D" w:rsidRPr="004F572A" w:rsidRDefault="00BC6D3D" w:rsidP="00BC6D3D">
      <w:pPr>
        <w:rPr>
          <w:sz w:val="22"/>
          <w:szCs w:val="22"/>
          <w:u w:val="single"/>
        </w:rPr>
      </w:pPr>
      <w:r w:rsidRPr="004F572A">
        <w:rPr>
          <w:sz w:val="22"/>
          <w:szCs w:val="22"/>
          <w:u w:val="single"/>
        </w:rPr>
        <w:t>Žaizdų gijimo komplikacijos</w:t>
      </w:r>
    </w:p>
    <w:p w14:paraId="0ACFB76C" w14:textId="77777777" w:rsidR="006607AA" w:rsidRPr="004F572A" w:rsidRDefault="006607AA" w:rsidP="00BC6D3D">
      <w:pPr>
        <w:rPr>
          <w:sz w:val="22"/>
          <w:szCs w:val="22"/>
        </w:rPr>
      </w:pPr>
    </w:p>
    <w:p w14:paraId="7A4228E8" w14:textId="141E5B9A" w:rsidR="00BC6D3D" w:rsidRPr="004F572A" w:rsidRDefault="001C5E87" w:rsidP="00BC6D3D">
      <w:pPr>
        <w:rPr>
          <w:sz w:val="22"/>
          <w:szCs w:val="22"/>
        </w:rPr>
      </w:pPr>
      <w:r w:rsidRPr="001C5E87">
        <w:rPr>
          <w:sz w:val="22"/>
          <w:szCs w:val="22"/>
        </w:rPr>
        <w:t xml:space="preserve">Nebuvo atlikta jokių formalių tyrimų dėl </w:t>
      </w:r>
      <w:proofErr w:type="spellStart"/>
      <w:r w:rsidRPr="001C5E87">
        <w:rPr>
          <w:sz w:val="22"/>
          <w:szCs w:val="22"/>
        </w:rPr>
        <w:t>lenvatinibo</w:t>
      </w:r>
      <w:proofErr w:type="spellEnd"/>
      <w:r w:rsidRPr="001C5E87">
        <w:rPr>
          <w:sz w:val="22"/>
          <w:szCs w:val="22"/>
        </w:rPr>
        <w:t xml:space="preserve"> poveikio žaizdų gijimui</w:t>
      </w:r>
      <w:r w:rsidR="00BC6D3D" w:rsidRPr="004F572A">
        <w:rPr>
          <w:sz w:val="22"/>
          <w:szCs w:val="22"/>
        </w:rPr>
        <w:t xml:space="preserve">. Buvo pranešta apie </w:t>
      </w:r>
      <w:r>
        <w:rPr>
          <w:sz w:val="22"/>
          <w:szCs w:val="22"/>
        </w:rPr>
        <w:t>sulėtėjusį</w:t>
      </w:r>
      <w:r w:rsidRPr="004F572A">
        <w:rPr>
          <w:sz w:val="22"/>
          <w:szCs w:val="22"/>
        </w:rPr>
        <w:t xml:space="preserve"> </w:t>
      </w:r>
      <w:r w:rsidR="00BC6D3D" w:rsidRPr="004F572A">
        <w:rPr>
          <w:sz w:val="22"/>
          <w:szCs w:val="22"/>
        </w:rPr>
        <w:t xml:space="preserve">žaizdų gijimą pacientams, vartojantiems </w:t>
      </w:r>
      <w:proofErr w:type="spellStart"/>
      <w:r w:rsidR="00BC6D3D" w:rsidRPr="004F572A">
        <w:rPr>
          <w:sz w:val="22"/>
          <w:szCs w:val="22"/>
        </w:rPr>
        <w:t>lenvatinibo</w:t>
      </w:r>
      <w:proofErr w:type="spellEnd"/>
      <w:r w:rsidR="00BC6D3D" w:rsidRPr="004F572A">
        <w:rPr>
          <w:sz w:val="22"/>
          <w:szCs w:val="22"/>
        </w:rPr>
        <w:t xml:space="preserve">. Pacientams, kuriems atliekamos </w:t>
      </w:r>
      <w:r>
        <w:rPr>
          <w:sz w:val="22"/>
          <w:szCs w:val="22"/>
        </w:rPr>
        <w:t>sunkios</w:t>
      </w:r>
      <w:r w:rsidR="00BC6D3D" w:rsidRPr="004F572A">
        <w:rPr>
          <w:sz w:val="22"/>
          <w:szCs w:val="22"/>
        </w:rPr>
        <w:t xml:space="preserve"> chirurginės procedūros, </w:t>
      </w:r>
      <w:r>
        <w:rPr>
          <w:sz w:val="22"/>
          <w:szCs w:val="22"/>
        </w:rPr>
        <w:t>reikėtų įvertinti galimybę laikinai nutraukti</w:t>
      </w:r>
      <w:r w:rsidR="00C625F4" w:rsidRPr="004F572A">
        <w:rPr>
          <w:sz w:val="22"/>
          <w:szCs w:val="22"/>
        </w:rPr>
        <w:t xml:space="preserve"> </w:t>
      </w:r>
      <w:proofErr w:type="spellStart"/>
      <w:r w:rsidR="00BC6D3D" w:rsidRPr="004F572A">
        <w:rPr>
          <w:sz w:val="22"/>
          <w:szCs w:val="22"/>
        </w:rPr>
        <w:t>lenvatinibo</w:t>
      </w:r>
      <w:proofErr w:type="spellEnd"/>
      <w:r w:rsidR="00BC6D3D" w:rsidRPr="004F572A">
        <w:rPr>
          <w:sz w:val="22"/>
          <w:szCs w:val="22"/>
        </w:rPr>
        <w:t xml:space="preserve"> vartojim</w:t>
      </w:r>
      <w:r>
        <w:rPr>
          <w:sz w:val="22"/>
          <w:szCs w:val="22"/>
        </w:rPr>
        <w:t>ą</w:t>
      </w:r>
      <w:r w:rsidR="00BC6D3D" w:rsidRPr="004F572A">
        <w:rPr>
          <w:sz w:val="22"/>
          <w:szCs w:val="22"/>
        </w:rPr>
        <w:t xml:space="preserve">. Klinikinė patirtis dėl to, kada tikslingiausia vėl pradėti vartoti </w:t>
      </w:r>
      <w:proofErr w:type="spellStart"/>
      <w:r w:rsidR="00BC6D3D" w:rsidRPr="004F572A">
        <w:rPr>
          <w:sz w:val="22"/>
          <w:szCs w:val="22"/>
        </w:rPr>
        <w:t>lenvatinib</w:t>
      </w:r>
      <w:r w:rsidR="006607AA" w:rsidRPr="004F572A">
        <w:rPr>
          <w:sz w:val="22"/>
          <w:szCs w:val="22"/>
        </w:rPr>
        <w:t>o</w:t>
      </w:r>
      <w:proofErr w:type="spellEnd"/>
      <w:r w:rsidR="00BC6D3D" w:rsidRPr="004F572A">
        <w:rPr>
          <w:sz w:val="22"/>
          <w:szCs w:val="22"/>
        </w:rPr>
        <w:t xml:space="preserve"> po </w:t>
      </w:r>
      <w:r>
        <w:rPr>
          <w:sz w:val="22"/>
          <w:szCs w:val="22"/>
        </w:rPr>
        <w:t>sunkių</w:t>
      </w:r>
      <w:r w:rsidR="00BC6D3D" w:rsidRPr="004F572A">
        <w:rPr>
          <w:sz w:val="22"/>
          <w:szCs w:val="22"/>
        </w:rPr>
        <w:t xml:space="preserve"> chirurginių procedūrų, yra </w:t>
      </w:r>
      <w:r>
        <w:rPr>
          <w:sz w:val="22"/>
          <w:szCs w:val="22"/>
        </w:rPr>
        <w:t>ribota</w:t>
      </w:r>
      <w:r w:rsidR="00BC6D3D" w:rsidRPr="004F572A">
        <w:rPr>
          <w:sz w:val="22"/>
          <w:szCs w:val="22"/>
        </w:rPr>
        <w:t xml:space="preserve">. </w:t>
      </w:r>
      <w:r w:rsidR="00864587" w:rsidRPr="00864587">
        <w:rPr>
          <w:sz w:val="22"/>
          <w:szCs w:val="22"/>
        </w:rPr>
        <w:t xml:space="preserve">Todėl sprendimą pratęsti </w:t>
      </w:r>
      <w:proofErr w:type="spellStart"/>
      <w:r w:rsidR="00864587" w:rsidRPr="00864587">
        <w:rPr>
          <w:sz w:val="22"/>
          <w:szCs w:val="22"/>
        </w:rPr>
        <w:t>lenvatinibo</w:t>
      </w:r>
      <w:proofErr w:type="spellEnd"/>
      <w:r w:rsidR="00864587" w:rsidRPr="00864587">
        <w:rPr>
          <w:sz w:val="22"/>
          <w:szCs w:val="22"/>
        </w:rPr>
        <w:t xml:space="preserve"> vartojimą po sunkios chirurginės procedūros reikia priimti pagal klinikinį atitinkamos žaizdos gijimo įvertinimą</w:t>
      </w:r>
      <w:r w:rsidR="00BC6D3D" w:rsidRPr="004F572A">
        <w:rPr>
          <w:sz w:val="22"/>
          <w:szCs w:val="22"/>
        </w:rPr>
        <w:t>.</w:t>
      </w:r>
    </w:p>
    <w:p w14:paraId="03762918" w14:textId="77777777" w:rsidR="00914A64" w:rsidRPr="004F572A" w:rsidRDefault="00914A64" w:rsidP="00BC6D3D">
      <w:pPr>
        <w:rPr>
          <w:sz w:val="22"/>
          <w:szCs w:val="22"/>
        </w:rPr>
      </w:pPr>
    </w:p>
    <w:p w14:paraId="33C1F5E7" w14:textId="15C5A0B2" w:rsidR="00BD5493" w:rsidRPr="004F572A" w:rsidRDefault="00BC6D3D" w:rsidP="00BC6D3D">
      <w:pPr>
        <w:rPr>
          <w:sz w:val="22"/>
          <w:szCs w:val="22"/>
          <w:u w:val="single"/>
        </w:rPr>
      </w:pPr>
      <w:r w:rsidRPr="004F572A">
        <w:rPr>
          <w:sz w:val="22"/>
          <w:szCs w:val="22"/>
          <w:u w:val="single"/>
        </w:rPr>
        <w:t xml:space="preserve">Žandikaulio </w:t>
      </w:r>
      <w:proofErr w:type="spellStart"/>
      <w:r w:rsidRPr="004F572A">
        <w:rPr>
          <w:sz w:val="22"/>
          <w:szCs w:val="22"/>
          <w:u w:val="single"/>
        </w:rPr>
        <w:t>osteonekrozė</w:t>
      </w:r>
      <w:proofErr w:type="spellEnd"/>
      <w:r w:rsidR="00914A64" w:rsidRPr="004F572A">
        <w:rPr>
          <w:sz w:val="22"/>
          <w:szCs w:val="22"/>
          <w:u w:val="single"/>
        </w:rPr>
        <w:t xml:space="preserve"> (ŽON)</w:t>
      </w:r>
    </w:p>
    <w:p w14:paraId="25C10D39" w14:textId="77777777" w:rsidR="00BD5493" w:rsidRPr="004F572A" w:rsidRDefault="00BD5493" w:rsidP="000928CA">
      <w:pPr>
        <w:rPr>
          <w:sz w:val="22"/>
          <w:szCs w:val="22"/>
        </w:rPr>
      </w:pPr>
    </w:p>
    <w:p w14:paraId="55321104" w14:textId="7EE11D5C" w:rsidR="00914A64" w:rsidRPr="004F572A" w:rsidRDefault="00914A64" w:rsidP="00914A64">
      <w:pPr>
        <w:rPr>
          <w:sz w:val="22"/>
          <w:szCs w:val="22"/>
        </w:rPr>
      </w:pPr>
      <w:r w:rsidRPr="004F572A">
        <w:rPr>
          <w:sz w:val="22"/>
          <w:szCs w:val="22"/>
        </w:rPr>
        <w:t xml:space="preserve">Buvo pranešta apie žandikaulio </w:t>
      </w:r>
      <w:proofErr w:type="spellStart"/>
      <w:r w:rsidRPr="004F572A">
        <w:rPr>
          <w:sz w:val="22"/>
          <w:szCs w:val="22"/>
        </w:rPr>
        <w:t>osteonekrozės</w:t>
      </w:r>
      <w:proofErr w:type="spellEnd"/>
      <w:r w:rsidRPr="004F572A">
        <w:rPr>
          <w:sz w:val="22"/>
          <w:szCs w:val="22"/>
        </w:rPr>
        <w:t xml:space="preserve"> atvejus </w:t>
      </w:r>
      <w:proofErr w:type="spellStart"/>
      <w:r w:rsidRPr="004F572A">
        <w:rPr>
          <w:sz w:val="22"/>
          <w:szCs w:val="22"/>
        </w:rPr>
        <w:t>lenvatinibu</w:t>
      </w:r>
      <w:proofErr w:type="spellEnd"/>
      <w:r w:rsidRPr="004F572A">
        <w:rPr>
          <w:sz w:val="22"/>
          <w:szCs w:val="22"/>
        </w:rPr>
        <w:t xml:space="preserve"> gydytiems pacientams. Apie tam tikrus atvejus buvo pranešta pacientams, kuriems anksčiau arba tuo pačiu metu buvo taikytas </w:t>
      </w:r>
      <w:proofErr w:type="spellStart"/>
      <w:r w:rsidRPr="004F572A">
        <w:rPr>
          <w:sz w:val="22"/>
          <w:szCs w:val="22"/>
        </w:rPr>
        <w:t>antirezorbcinis</w:t>
      </w:r>
      <w:proofErr w:type="spellEnd"/>
      <w:r w:rsidRPr="004F572A">
        <w:rPr>
          <w:sz w:val="22"/>
          <w:szCs w:val="22"/>
        </w:rPr>
        <w:t xml:space="preserve"> kaulų gydymas ir (arba) kurie vartojo kitų </w:t>
      </w:r>
      <w:proofErr w:type="spellStart"/>
      <w:r w:rsidRPr="004F572A">
        <w:rPr>
          <w:sz w:val="22"/>
          <w:szCs w:val="22"/>
        </w:rPr>
        <w:t>angiogenezės</w:t>
      </w:r>
      <w:proofErr w:type="spellEnd"/>
      <w:r w:rsidRPr="004F572A">
        <w:rPr>
          <w:sz w:val="22"/>
          <w:szCs w:val="22"/>
        </w:rPr>
        <w:t xml:space="preserve"> inhibitorių, pvz., </w:t>
      </w:r>
      <w:proofErr w:type="spellStart"/>
      <w:r w:rsidRPr="004F572A">
        <w:rPr>
          <w:sz w:val="22"/>
          <w:szCs w:val="22"/>
        </w:rPr>
        <w:t>bevacizumabo</w:t>
      </w:r>
      <w:proofErr w:type="spellEnd"/>
      <w:r w:rsidRPr="004F572A">
        <w:rPr>
          <w:sz w:val="22"/>
          <w:szCs w:val="22"/>
        </w:rPr>
        <w:t xml:space="preserve">, </w:t>
      </w:r>
      <w:proofErr w:type="spellStart"/>
      <w:r w:rsidRPr="004F572A">
        <w:rPr>
          <w:sz w:val="22"/>
          <w:szCs w:val="22"/>
        </w:rPr>
        <w:t>tirozinkinazės</w:t>
      </w:r>
      <w:proofErr w:type="spellEnd"/>
      <w:r w:rsidRPr="004F572A">
        <w:rPr>
          <w:sz w:val="22"/>
          <w:szCs w:val="22"/>
        </w:rPr>
        <w:t xml:space="preserve"> inhibitorių (TKI), </w:t>
      </w:r>
      <w:proofErr w:type="spellStart"/>
      <w:r w:rsidRPr="004F572A">
        <w:rPr>
          <w:sz w:val="22"/>
          <w:szCs w:val="22"/>
        </w:rPr>
        <w:t>rapamicinkinazės</w:t>
      </w:r>
      <w:proofErr w:type="spellEnd"/>
      <w:r w:rsidRPr="004F572A">
        <w:rPr>
          <w:sz w:val="22"/>
          <w:szCs w:val="22"/>
        </w:rPr>
        <w:t xml:space="preserve"> (angl. </w:t>
      </w:r>
      <w:proofErr w:type="spellStart"/>
      <w:r w:rsidRPr="004F572A">
        <w:rPr>
          <w:i/>
          <w:iCs/>
          <w:sz w:val="22"/>
          <w:szCs w:val="22"/>
        </w:rPr>
        <w:t>mechanistic</w:t>
      </w:r>
      <w:proofErr w:type="spellEnd"/>
      <w:r w:rsidRPr="004F572A">
        <w:rPr>
          <w:i/>
          <w:iCs/>
          <w:sz w:val="22"/>
          <w:szCs w:val="22"/>
        </w:rPr>
        <w:t xml:space="preserve"> </w:t>
      </w:r>
      <w:r w:rsidR="00E85DE2">
        <w:rPr>
          <w:i/>
          <w:iCs/>
          <w:sz w:val="22"/>
          <w:szCs w:val="22"/>
        </w:rPr>
        <w:t>[</w:t>
      </w:r>
      <w:proofErr w:type="spellStart"/>
      <w:r w:rsidRPr="004F572A">
        <w:rPr>
          <w:i/>
          <w:iCs/>
          <w:sz w:val="22"/>
          <w:szCs w:val="22"/>
        </w:rPr>
        <w:t>mammalia</w:t>
      </w:r>
      <w:proofErr w:type="spellEnd"/>
      <w:r w:rsidR="00E85DE2">
        <w:rPr>
          <w:i/>
          <w:iCs/>
          <w:sz w:val="22"/>
          <w:szCs w:val="22"/>
        </w:rPr>
        <w:t>]</w:t>
      </w:r>
      <w:r w:rsidRPr="004F572A">
        <w:rPr>
          <w:i/>
          <w:iCs/>
          <w:sz w:val="22"/>
          <w:szCs w:val="22"/>
        </w:rPr>
        <w:t xml:space="preserve">) </w:t>
      </w:r>
      <w:proofErr w:type="spellStart"/>
      <w:r w:rsidRPr="004F572A">
        <w:rPr>
          <w:i/>
          <w:iCs/>
          <w:sz w:val="22"/>
          <w:szCs w:val="22"/>
        </w:rPr>
        <w:t>target</w:t>
      </w:r>
      <w:proofErr w:type="spellEnd"/>
      <w:r w:rsidRPr="004F572A">
        <w:rPr>
          <w:i/>
          <w:iCs/>
          <w:sz w:val="22"/>
          <w:szCs w:val="22"/>
        </w:rPr>
        <w:t xml:space="preserve"> </w:t>
      </w:r>
      <w:proofErr w:type="spellStart"/>
      <w:r w:rsidRPr="004F572A">
        <w:rPr>
          <w:i/>
          <w:iCs/>
          <w:sz w:val="22"/>
          <w:szCs w:val="22"/>
        </w:rPr>
        <w:t>of</w:t>
      </w:r>
      <w:proofErr w:type="spellEnd"/>
      <w:r w:rsidRPr="004F572A">
        <w:rPr>
          <w:i/>
          <w:iCs/>
          <w:sz w:val="22"/>
          <w:szCs w:val="22"/>
        </w:rPr>
        <w:t xml:space="preserve"> </w:t>
      </w:r>
      <w:proofErr w:type="spellStart"/>
      <w:r w:rsidRPr="004F572A">
        <w:rPr>
          <w:i/>
          <w:iCs/>
          <w:sz w:val="22"/>
          <w:szCs w:val="22"/>
        </w:rPr>
        <w:t>rapamycin</w:t>
      </w:r>
      <w:proofErr w:type="spellEnd"/>
      <w:r w:rsidRPr="004F572A">
        <w:rPr>
          <w:i/>
          <w:iCs/>
          <w:sz w:val="22"/>
          <w:szCs w:val="22"/>
        </w:rPr>
        <w:t xml:space="preserve">, </w:t>
      </w:r>
      <w:proofErr w:type="spellStart"/>
      <w:r w:rsidRPr="004F572A">
        <w:rPr>
          <w:sz w:val="22"/>
          <w:szCs w:val="22"/>
        </w:rPr>
        <w:t>mTOR</w:t>
      </w:r>
      <w:proofErr w:type="spellEnd"/>
      <w:r w:rsidRPr="004F572A">
        <w:rPr>
          <w:sz w:val="22"/>
          <w:szCs w:val="22"/>
        </w:rPr>
        <w:t xml:space="preserve">) inhibitorių. Todėl reikia būti atsargiems, kai </w:t>
      </w:r>
      <w:proofErr w:type="spellStart"/>
      <w:r w:rsidRPr="004F572A">
        <w:rPr>
          <w:sz w:val="22"/>
          <w:szCs w:val="22"/>
        </w:rPr>
        <w:t>lenvatinibo</w:t>
      </w:r>
      <w:proofErr w:type="spellEnd"/>
      <w:r w:rsidRPr="004F572A">
        <w:rPr>
          <w:sz w:val="22"/>
          <w:szCs w:val="22"/>
        </w:rPr>
        <w:t xml:space="preserve"> vartojama </w:t>
      </w:r>
      <w:r w:rsidR="00CD2B04">
        <w:rPr>
          <w:sz w:val="22"/>
          <w:szCs w:val="22"/>
        </w:rPr>
        <w:t>vienu metu arba vėliau su</w:t>
      </w:r>
      <w:r w:rsidRPr="004F572A">
        <w:rPr>
          <w:sz w:val="22"/>
          <w:szCs w:val="22"/>
        </w:rPr>
        <w:t xml:space="preserve"> </w:t>
      </w:r>
      <w:proofErr w:type="spellStart"/>
      <w:r w:rsidRPr="004F572A">
        <w:rPr>
          <w:sz w:val="22"/>
          <w:szCs w:val="22"/>
        </w:rPr>
        <w:t>antirezorbcin</w:t>
      </w:r>
      <w:r w:rsidR="00CD2B04">
        <w:rPr>
          <w:sz w:val="22"/>
          <w:szCs w:val="22"/>
        </w:rPr>
        <w:t>iais</w:t>
      </w:r>
      <w:proofErr w:type="spellEnd"/>
      <w:r w:rsidR="00CD2B04">
        <w:rPr>
          <w:sz w:val="22"/>
          <w:szCs w:val="22"/>
        </w:rPr>
        <w:t xml:space="preserve"> vaistiniais preparatais</w:t>
      </w:r>
      <w:r w:rsidRPr="004F572A">
        <w:rPr>
          <w:sz w:val="22"/>
          <w:szCs w:val="22"/>
        </w:rPr>
        <w:t xml:space="preserve"> ir (arba) kitais </w:t>
      </w:r>
      <w:proofErr w:type="spellStart"/>
      <w:r w:rsidRPr="004F572A">
        <w:rPr>
          <w:sz w:val="22"/>
          <w:szCs w:val="22"/>
        </w:rPr>
        <w:t>angiogenezės</w:t>
      </w:r>
      <w:proofErr w:type="spellEnd"/>
      <w:r w:rsidRPr="004F572A">
        <w:rPr>
          <w:sz w:val="22"/>
          <w:szCs w:val="22"/>
        </w:rPr>
        <w:t xml:space="preserve"> inhibitoriais.</w:t>
      </w:r>
    </w:p>
    <w:p w14:paraId="2DAC717F" w14:textId="77777777" w:rsidR="00914A64" w:rsidRPr="004F572A" w:rsidRDefault="00914A64" w:rsidP="00914A64">
      <w:pPr>
        <w:rPr>
          <w:sz w:val="22"/>
          <w:szCs w:val="22"/>
        </w:rPr>
      </w:pPr>
    </w:p>
    <w:p w14:paraId="314966F9" w14:textId="020B812A" w:rsidR="00914A64" w:rsidRPr="004F572A" w:rsidRDefault="00914A64" w:rsidP="00914A64">
      <w:pPr>
        <w:rPr>
          <w:sz w:val="22"/>
          <w:szCs w:val="22"/>
        </w:rPr>
      </w:pPr>
      <w:r w:rsidRPr="004F572A">
        <w:rPr>
          <w:sz w:val="22"/>
          <w:szCs w:val="22"/>
        </w:rPr>
        <w:t xml:space="preserve">Invazinės odontologinės procedūros yra nustatytas rizikos veiksnys. Prieš </w:t>
      </w:r>
      <w:r w:rsidR="00CD2B04">
        <w:rPr>
          <w:sz w:val="22"/>
          <w:szCs w:val="22"/>
        </w:rPr>
        <w:t>gydant</w:t>
      </w:r>
      <w:r w:rsidRPr="004F572A">
        <w:rPr>
          <w:sz w:val="22"/>
          <w:szCs w:val="22"/>
        </w:rPr>
        <w:t xml:space="preserve"> </w:t>
      </w:r>
      <w:proofErr w:type="spellStart"/>
      <w:r w:rsidRPr="004F572A">
        <w:rPr>
          <w:sz w:val="22"/>
          <w:szCs w:val="22"/>
        </w:rPr>
        <w:t>lenvatinibu</w:t>
      </w:r>
      <w:proofErr w:type="spellEnd"/>
      <w:r w:rsidR="00CD2B04">
        <w:rPr>
          <w:sz w:val="22"/>
          <w:szCs w:val="22"/>
        </w:rPr>
        <w:t>,</w:t>
      </w:r>
      <w:r w:rsidRPr="004F572A">
        <w:rPr>
          <w:sz w:val="22"/>
          <w:szCs w:val="22"/>
        </w:rPr>
        <w:t xml:space="preserve"> </w:t>
      </w:r>
      <w:r w:rsidR="00CD2B04">
        <w:rPr>
          <w:sz w:val="22"/>
          <w:szCs w:val="22"/>
        </w:rPr>
        <w:t>reikia</w:t>
      </w:r>
      <w:r w:rsidR="00AA7769" w:rsidRPr="004F572A">
        <w:rPr>
          <w:sz w:val="22"/>
          <w:szCs w:val="22"/>
        </w:rPr>
        <w:t xml:space="preserve"> atlikt</w:t>
      </w:r>
      <w:r w:rsidR="00CD2B04">
        <w:rPr>
          <w:sz w:val="22"/>
          <w:szCs w:val="22"/>
        </w:rPr>
        <w:t>i odontologinę patikrą ir atitinkamą profilaktinį</w:t>
      </w:r>
      <w:r w:rsidRPr="004F572A">
        <w:rPr>
          <w:sz w:val="22"/>
          <w:szCs w:val="22"/>
        </w:rPr>
        <w:t xml:space="preserve"> dantų </w:t>
      </w:r>
      <w:r w:rsidR="00CD2B04">
        <w:rPr>
          <w:sz w:val="22"/>
          <w:szCs w:val="22"/>
        </w:rPr>
        <w:t>gydymą</w:t>
      </w:r>
      <w:r w:rsidRPr="004F572A">
        <w:rPr>
          <w:sz w:val="22"/>
          <w:szCs w:val="22"/>
        </w:rPr>
        <w:t xml:space="preserve">. Pacientams, kuriems anksčiau </w:t>
      </w:r>
      <w:r w:rsidR="00CD2B04">
        <w:rPr>
          <w:sz w:val="22"/>
          <w:szCs w:val="22"/>
        </w:rPr>
        <w:t xml:space="preserve">buvo skiriama </w:t>
      </w:r>
      <w:r w:rsidRPr="004F572A">
        <w:rPr>
          <w:sz w:val="22"/>
          <w:szCs w:val="22"/>
        </w:rPr>
        <w:t>arba dabar</w:t>
      </w:r>
      <w:r w:rsidR="00AA7769" w:rsidRPr="004F572A">
        <w:rPr>
          <w:sz w:val="22"/>
          <w:szCs w:val="22"/>
        </w:rPr>
        <w:t xml:space="preserve"> </w:t>
      </w:r>
      <w:r w:rsidR="00CD2B04">
        <w:rPr>
          <w:sz w:val="22"/>
          <w:szCs w:val="22"/>
        </w:rPr>
        <w:t>leidžiama intraveninių</w:t>
      </w:r>
      <w:r w:rsidRPr="004F572A">
        <w:rPr>
          <w:sz w:val="22"/>
          <w:szCs w:val="22"/>
        </w:rPr>
        <w:t xml:space="preserve"> </w:t>
      </w:r>
      <w:proofErr w:type="spellStart"/>
      <w:r w:rsidRPr="004F572A">
        <w:rPr>
          <w:sz w:val="22"/>
          <w:szCs w:val="22"/>
        </w:rPr>
        <w:t>bisfosfonatų</w:t>
      </w:r>
      <w:proofErr w:type="spellEnd"/>
      <w:r w:rsidRPr="004F572A">
        <w:rPr>
          <w:sz w:val="22"/>
          <w:szCs w:val="22"/>
        </w:rPr>
        <w:t>, reikia vengti, jeigu įmanoma, invazinių odontologinių procedūrų (žr. 4.8 skyrių).</w:t>
      </w:r>
    </w:p>
    <w:p w14:paraId="60B00371" w14:textId="77777777" w:rsidR="00523FA8" w:rsidRPr="004F572A" w:rsidRDefault="00523FA8" w:rsidP="00523FA8">
      <w:pPr>
        <w:rPr>
          <w:sz w:val="22"/>
          <w:szCs w:val="22"/>
        </w:rPr>
      </w:pPr>
    </w:p>
    <w:p w14:paraId="42BA0ED9" w14:textId="6B9C27CE" w:rsidR="00523FA8" w:rsidRPr="00E27691" w:rsidRDefault="00523FA8" w:rsidP="00523FA8">
      <w:pPr>
        <w:rPr>
          <w:sz w:val="22"/>
          <w:szCs w:val="22"/>
          <w:u w:val="single"/>
        </w:rPr>
      </w:pPr>
      <w:r w:rsidRPr="00E27691">
        <w:rPr>
          <w:sz w:val="22"/>
          <w:szCs w:val="22"/>
          <w:u w:val="single"/>
        </w:rPr>
        <w:t xml:space="preserve">Navikų </w:t>
      </w:r>
      <w:proofErr w:type="spellStart"/>
      <w:r w:rsidRPr="00E27691">
        <w:rPr>
          <w:sz w:val="22"/>
          <w:szCs w:val="22"/>
          <w:u w:val="single"/>
        </w:rPr>
        <w:t>lizės</w:t>
      </w:r>
      <w:proofErr w:type="spellEnd"/>
      <w:r w:rsidRPr="00E27691">
        <w:rPr>
          <w:sz w:val="22"/>
          <w:szCs w:val="22"/>
          <w:u w:val="single"/>
        </w:rPr>
        <w:t xml:space="preserve"> sindromas (NLS)</w:t>
      </w:r>
    </w:p>
    <w:p w14:paraId="6AD0150A" w14:textId="5C5044C7" w:rsidR="00914A64" w:rsidRPr="004F572A" w:rsidRDefault="00523FA8" w:rsidP="00523FA8">
      <w:pPr>
        <w:rPr>
          <w:sz w:val="22"/>
          <w:szCs w:val="22"/>
        </w:rPr>
      </w:pPr>
      <w:proofErr w:type="spellStart"/>
      <w:r w:rsidRPr="004F572A">
        <w:rPr>
          <w:sz w:val="22"/>
          <w:szCs w:val="22"/>
        </w:rPr>
        <w:t>Lenvatinibas</w:t>
      </w:r>
      <w:proofErr w:type="spellEnd"/>
      <w:r w:rsidRPr="004F572A">
        <w:rPr>
          <w:sz w:val="22"/>
          <w:szCs w:val="22"/>
        </w:rPr>
        <w:t xml:space="preserve"> gali sukelti NLS, nuo kurio pacientas gali mirti. Prie NLS rizikos veiksnių priskiriama, bet neapsiribojama: didelis navikinių ląstelių skaičius, anksčiau diagnozuotas inkstų nepakankamumas ir dehidratacija. Šiuos pacientus reikia atidžiai stebėti ir gydyti, jeigu yra klinikinių indikacijų, taip pat apsvarstyti būtinybę profilaktiškai skirti skysčių.</w:t>
      </w:r>
    </w:p>
    <w:p w14:paraId="3851CC9D" w14:textId="77777777" w:rsidR="00523FA8" w:rsidRPr="004F572A" w:rsidRDefault="00523FA8" w:rsidP="00523FA8">
      <w:pPr>
        <w:rPr>
          <w:sz w:val="22"/>
          <w:szCs w:val="22"/>
        </w:rPr>
      </w:pPr>
    </w:p>
    <w:p w14:paraId="3A2D825A" w14:textId="77777777" w:rsidR="00AA7769" w:rsidRPr="004F572A" w:rsidRDefault="00AA7769" w:rsidP="00AA7769">
      <w:pPr>
        <w:rPr>
          <w:sz w:val="22"/>
          <w:szCs w:val="22"/>
          <w:u w:val="single"/>
        </w:rPr>
      </w:pPr>
      <w:r w:rsidRPr="004F572A">
        <w:rPr>
          <w:sz w:val="22"/>
          <w:szCs w:val="22"/>
          <w:u w:val="single"/>
        </w:rPr>
        <w:t>Ypatingos populiacijos</w:t>
      </w:r>
    </w:p>
    <w:p w14:paraId="133B8F63" w14:textId="77777777" w:rsidR="00AA7769" w:rsidRPr="004F572A" w:rsidRDefault="00AA7769" w:rsidP="00AA7769">
      <w:pPr>
        <w:rPr>
          <w:sz w:val="22"/>
          <w:szCs w:val="22"/>
        </w:rPr>
      </w:pPr>
    </w:p>
    <w:p w14:paraId="7EEE9B9F" w14:textId="5DDE619A" w:rsidR="00AA7769" w:rsidRPr="004F572A" w:rsidRDefault="00AA7769" w:rsidP="00AA7769">
      <w:pPr>
        <w:rPr>
          <w:sz w:val="22"/>
          <w:szCs w:val="22"/>
        </w:rPr>
      </w:pPr>
      <w:r w:rsidRPr="004F572A">
        <w:rPr>
          <w:sz w:val="22"/>
          <w:szCs w:val="22"/>
        </w:rPr>
        <w:t>Duomenų apie vartojimą pacientams, kurie yra ne europidų ar azijiečių etninės kilmės, ir</w:t>
      </w:r>
      <w:r w:rsidR="00CD2B04">
        <w:rPr>
          <w:sz w:val="22"/>
          <w:szCs w:val="22"/>
        </w:rPr>
        <w:t xml:space="preserve"> </w:t>
      </w:r>
      <w:r w:rsidRPr="004F572A">
        <w:rPr>
          <w:sz w:val="22"/>
          <w:szCs w:val="22"/>
        </w:rPr>
        <w:t>≥ 75</w:t>
      </w:r>
      <w:r w:rsidR="00D53FC3">
        <w:rPr>
          <w:sz w:val="22"/>
          <w:szCs w:val="22"/>
        </w:rPr>
        <w:t> </w:t>
      </w:r>
      <w:r w:rsidRPr="004F572A">
        <w:rPr>
          <w:sz w:val="22"/>
          <w:szCs w:val="22"/>
        </w:rPr>
        <w:t>metų</w:t>
      </w:r>
      <w:r w:rsidR="00CD2B04">
        <w:rPr>
          <w:sz w:val="22"/>
          <w:szCs w:val="22"/>
        </w:rPr>
        <w:t xml:space="preserve"> pacientams nepakanka</w:t>
      </w:r>
      <w:r w:rsidRPr="004F572A">
        <w:rPr>
          <w:sz w:val="22"/>
          <w:szCs w:val="22"/>
        </w:rPr>
        <w:t xml:space="preserve">. Atsižvelgiant į sumažėjusį </w:t>
      </w:r>
      <w:proofErr w:type="spellStart"/>
      <w:r w:rsidRPr="004F572A">
        <w:rPr>
          <w:sz w:val="22"/>
          <w:szCs w:val="22"/>
        </w:rPr>
        <w:t>lenvatinibo</w:t>
      </w:r>
      <w:proofErr w:type="spellEnd"/>
      <w:r w:rsidRPr="004F572A">
        <w:rPr>
          <w:sz w:val="22"/>
          <w:szCs w:val="22"/>
        </w:rPr>
        <w:t xml:space="preserve"> toleravimą azijiečių kilmės ir senyviems pacientams, tokiems pacientams </w:t>
      </w:r>
      <w:proofErr w:type="spellStart"/>
      <w:r w:rsidRPr="004F572A">
        <w:rPr>
          <w:sz w:val="22"/>
          <w:szCs w:val="22"/>
        </w:rPr>
        <w:t>lenvatinibo</w:t>
      </w:r>
      <w:proofErr w:type="spellEnd"/>
      <w:r w:rsidRPr="004F572A">
        <w:rPr>
          <w:sz w:val="22"/>
          <w:szCs w:val="22"/>
        </w:rPr>
        <w:t xml:space="preserve"> vartoti reikia atsargiai (žr. 4.8 skyrių).</w:t>
      </w:r>
    </w:p>
    <w:p w14:paraId="7B3438F7" w14:textId="77777777" w:rsidR="00AA7769" w:rsidRPr="004F572A" w:rsidRDefault="00AA7769" w:rsidP="00AA7769">
      <w:pPr>
        <w:rPr>
          <w:sz w:val="22"/>
          <w:szCs w:val="22"/>
        </w:rPr>
      </w:pPr>
    </w:p>
    <w:p w14:paraId="22D5164E" w14:textId="2903F21A" w:rsidR="00AA7769" w:rsidRPr="004F572A" w:rsidRDefault="00AA7769" w:rsidP="00AA7769">
      <w:pPr>
        <w:rPr>
          <w:sz w:val="22"/>
          <w:szCs w:val="22"/>
        </w:rPr>
      </w:pPr>
      <w:r w:rsidRPr="004F572A">
        <w:rPr>
          <w:sz w:val="22"/>
          <w:szCs w:val="22"/>
        </w:rPr>
        <w:lastRenderedPageBreak/>
        <w:t xml:space="preserve">Duomenų apie </w:t>
      </w:r>
      <w:proofErr w:type="spellStart"/>
      <w:r w:rsidRPr="004F572A">
        <w:rPr>
          <w:sz w:val="22"/>
          <w:szCs w:val="22"/>
        </w:rPr>
        <w:t>lenvatinibo</w:t>
      </w:r>
      <w:proofErr w:type="spellEnd"/>
      <w:r w:rsidRPr="004F572A">
        <w:rPr>
          <w:sz w:val="22"/>
          <w:szCs w:val="22"/>
        </w:rPr>
        <w:t xml:space="preserve"> vartojimą iš karto po gydymo </w:t>
      </w:r>
      <w:proofErr w:type="spellStart"/>
      <w:r w:rsidRPr="004F572A">
        <w:rPr>
          <w:sz w:val="22"/>
          <w:szCs w:val="22"/>
        </w:rPr>
        <w:t>sorafenibu</w:t>
      </w:r>
      <w:proofErr w:type="spellEnd"/>
      <w:r w:rsidRPr="004F572A">
        <w:rPr>
          <w:sz w:val="22"/>
          <w:szCs w:val="22"/>
        </w:rPr>
        <w:t xml:space="preserve"> ar </w:t>
      </w:r>
      <w:r w:rsidR="00CD2B04" w:rsidRPr="00CD2B04">
        <w:rPr>
          <w:sz w:val="22"/>
          <w:szCs w:val="22"/>
        </w:rPr>
        <w:t xml:space="preserve">kitais priešvėžiniais </w:t>
      </w:r>
      <w:r w:rsidR="00CD2B04">
        <w:rPr>
          <w:sz w:val="22"/>
          <w:szCs w:val="22"/>
        </w:rPr>
        <w:t xml:space="preserve">vaistiniais </w:t>
      </w:r>
      <w:r w:rsidR="00CD2B04" w:rsidRPr="00CD2B04">
        <w:rPr>
          <w:sz w:val="22"/>
          <w:szCs w:val="22"/>
        </w:rPr>
        <w:t>preparatais</w:t>
      </w:r>
      <w:r w:rsidRPr="004F572A">
        <w:rPr>
          <w:sz w:val="22"/>
          <w:szCs w:val="22"/>
        </w:rPr>
        <w:t xml:space="preserve"> nėra </w:t>
      </w:r>
      <w:r w:rsidR="00CD2B04">
        <w:rPr>
          <w:sz w:val="22"/>
          <w:szCs w:val="22"/>
        </w:rPr>
        <w:t xml:space="preserve">ir, jei tarp šių vaistinių preparatų vartojimo nėra </w:t>
      </w:r>
      <w:r w:rsidR="00CD2B04" w:rsidRPr="00CD2B04">
        <w:rPr>
          <w:sz w:val="22"/>
          <w:szCs w:val="22"/>
        </w:rPr>
        <w:t>pakankamo išplovimo laikotarpio, gali būti adityvaus toksinio poveikio rizika</w:t>
      </w:r>
      <w:r w:rsidRPr="004F572A">
        <w:rPr>
          <w:sz w:val="22"/>
          <w:szCs w:val="22"/>
        </w:rPr>
        <w:t>. Klinikinių tyrimų metu mažiausias išplovimo laikotarpis buvo 4 savaitės.</w:t>
      </w:r>
    </w:p>
    <w:p w14:paraId="7FEB5088" w14:textId="77777777" w:rsidR="009721AC" w:rsidRPr="004F572A" w:rsidRDefault="009721AC" w:rsidP="00AA7769">
      <w:pPr>
        <w:rPr>
          <w:sz w:val="22"/>
          <w:szCs w:val="22"/>
        </w:rPr>
      </w:pPr>
    </w:p>
    <w:p w14:paraId="3AEAE8FE" w14:textId="116F4742" w:rsidR="00914A64" w:rsidRPr="004F572A" w:rsidRDefault="00AA7769" w:rsidP="00AA7769">
      <w:pPr>
        <w:rPr>
          <w:sz w:val="22"/>
          <w:szCs w:val="22"/>
        </w:rPr>
      </w:pPr>
      <w:r w:rsidRPr="004F572A">
        <w:rPr>
          <w:sz w:val="22"/>
          <w:szCs w:val="22"/>
        </w:rPr>
        <w:t xml:space="preserve">Pacientai, kurių ECOG </w:t>
      </w:r>
      <w:r w:rsidR="00CD2B04">
        <w:rPr>
          <w:sz w:val="22"/>
          <w:szCs w:val="22"/>
        </w:rPr>
        <w:t>PS</w:t>
      </w:r>
      <w:r w:rsidRPr="004F572A">
        <w:rPr>
          <w:sz w:val="22"/>
          <w:szCs w:val="22"/>
        </w:rPr>
        <w:t xml:space="preserve"> ≥</w:t>
      </w:r>
      <w:r w:rsidR="00E529E8" w:rsidRPr="004F572A">
        <w:rPr>
          <w:sz w:val="22"/>
          <w:szCs w:val="22"/>
        </w:rPr>
        <w:t> </w:t>
      </w:r>
      <w:r w:rsidRPr="004F572A">
        <w:rPr>
          <w:sz w:val="22"/>
          <w:szCs w:val="22"/>
        </w:rPr>
        <w:t xml:space="preserve">2, </w:t>
      </w:r>
      <w:r w:rsidR="00CD2B04">
        <w:rPr>
          <w:sz w:val="22"/>
          <w:szCs w:val="22"/>
        </w:rPr>
        <w:t xml:space="preserve">nebuvo įtraukti </w:t>
      </w:r>
      <w:r w:rsidR="00E529E8" w:rsidRPr="004F572A">
        <w:rPr>
          <w:sz w:val="22"/>
          <w:szCs w:val="22"/>
        </w:rPr>
        <w:t xml:space="preserve">į klinikinius tyrimus </w:t>
      </w:r>
      <w:r w:rsidRPr="004F572A">
        <w:rPr>
          <w:sz w:val="22"/>
          <w:szCs w:val="22"/>
        </w:rPr>
        <w:t>(išskyrus skydliaukės karcinomą).</w:t>
      </w:r>
    </w:p>
    <w:p w14:paraId="54DE9EDE" w14:textId="77777777" w:rsidR="00914A64" w:rsidRPr="004F572A" w:rsidRDefault="00914A64" w:rsidP="000928CA">
      <w:pPr>
        <w:rPr>
          <w:sz w:val="22"/>
          <w:szCs w:val="22"/>
        </w:rPr>
      </w:pPr>
    </w:p>
    <w:p w14:paraId="34488FA0" w14:textId="1EB09DD3" w:rsidR="00914A64" w:rsidRPr="004F572A" w:rsidRDefault="00E529E8" w:rsidP="000928CA">
      <w:pPr>
        <w:rPr>
          <w:sz w:val="22"/>
          <w:szCs w:val="22"/>
          <w:u w:val="single"/>
        </w:rPr>
      </w:pPr>
      <w:r w:rsidRPr="004F572A">
        <w:rPr>
          <w:sz w:val="22"/>
          <w:szCs w:val="22"/>
          <w:u w:val="single"/>
        </w:rPr>
        <w:t>Natris</w:t>
      </w:r>
    </w:p>
    <w:p w14:paraId="30C311F1" w14:textId="425F6A3C" w:rsidR="00E529E8" w:rsidRPr="004F572A" w:rsidRDefault="00E529E8" w:rsidP="000928CA">
      <w:pPr>
        <w:rPr>
          <w:sz w:val="22"/>
          <w:szCs w:val="22"/>
        </w:rPr>
      </w:pPr>
      <w:r w:rsidRPr="004F572A">
        <w:rPr>
          <w:sz w:val="22"/>
          <w:szCs w:val="22"/>
        </w:rPr>
        <w:t>Šio vaistinio preparato kapsulėje yra mažiau kaip 1 </w:t>
      </w:r>
      <w:proofErr w:type="spellStart"/>
      <w:r w:rsidRPr="004F572A">
        <w:rPr>
          <w:sz w:val="22"/>
          <w:szCs w:val="22"/>
        </w:rPr>
        <w:t>mmol</w:t>
      </w:r>
      <w:proofErr w:type="spellEnd"/>
      <w:r w:rsidRPr="004F572A">
        <w:rPr>
          <w:sz w:val="22"/>
          <w:szCs w:val="22"/>
        </w:rPr>
        <w:t xml:space="preserve"> (23 mg) natrio, t. y. jis beveik neturi reikšmės.</w:t>
      </w:r>
    </w:p>
    <w:p w14:paraId="68AE0E50" w14:textId="77777777" w:rsidR="000928CA" w:rsidRPr="004F572A" w:rsidRDefault="000928CA" w:rsidP="000928CA">
      <w:pPr>
        <w:rPr>
          <w:sz w:val="22"/>
          <w:szCs w:val="22"/>
        </w:rPr>
      </w:pPr>
    </w:p>
    <w:p w14:paraId="786808B2" w14:textId="77777777" w:rsidR="000928CA" w:rsidRPr="004F572A" w:rsidRDefault="000928CA" w:rsidP="000928CA">
      <w:pPr>
        <w:pStyle w:val="Antrat4"/>
        <w:rPr>
          <w:rFonts w:ascii="Times New Roman" w:hAnsi="Times New Roman"/>
          <w:sz w:val="22"/>
          <w:szCs w:val="22"/>
          <w:lang w:val="lt-LT"/>
        </w:rPr>
      </w:pPr>
      <w:r w:rsidRPr="004F572A">
        <w:rPr>
          <w:rFonts w:ascii="Times New Roman" w:hAnsi="Times New Roman" w:cs="Times New Roman"/>
          <w:sz w:val="22"/>
          <w:szCs w:val="22"/>
          <w:lang w:val="lt-LT"/>
        </w:rPr>
        <w:t xml:space="preserve">4.5 </w:t>
      </w:r>
      <w:r w:rsidRPr="004F572A">
        <w:rPr>
          <w:rFonts w:ascii="Times New Roman" w:hAnsi="Times New Roman" w:cs="Times New Roman"/>
          <w:sz w:val="22"/>
          <w:szCs w:val="22"/>
          <w:lang w:val="lt-LT"/>
        </w:rPr>
        <w:tab/>
        <w:t>Sąveika su kitais vaistiniais preparatais ir kitokia sąveika</w:t>
      </w:r>
    </w:p>
    <w:p w14:paraId="4A229B9C" w14:textId="77777777" w:rsidR="000928CA" w:rsidRPr="004F572A" w:rsidRDefault="000928CA" w:rsidP="000928CA">
      <w:pPr>
        <w:rPr>
          <w:sz w:val="22"/>
          <w:szCs w:val="22"/>
        </w:rPr>
      </w:pPr>
    </w:p>
    <w:p w14:paraId="6F22190C" w14:textId="77777777" w:rsidR="006C00C8" w:rsidRPr="004F572A" w:rsidRDefault="006C00C8" w:rsidP="006C00C8">
      <w:pPr>
        <w:rPr>
          <w:sz w:val="22"/>
          <w:szCs w:val="22"/>
          <w:u w:val="single"/>
        </w:rPr>
      </w:pPr>
      <w:r w:rsidRPr="004F572A">
        <w:rPr>
          <w:sz w:val="22"/>
          <w:szCs w:val="22"/>
          <w:u w:val="single"/>
        </w:rPr>
        <w:t xml:space="preserve">Kitų vaistinių preparatų poveikis </w:t>
      </w:r>
      <w:proofErr w:type="spellStart"/>
      <w:r w:rsidRPr="004F572A">
        <w:rPr>
          <w:sz w:val="22"/>
          <w:szCs w:val="22"/>
          <w:u w:val="single"/>
        </w:rPr>
        <w:t>lenvatinibui</w:t>
      </w:r>
      <w:proofErr w:type="spellEnd"/>
    </w:p>
    <w:p w14:paraId="35668497" w14:textId="77777777" w:rsidR="006C00C8" w:rsidRPr="004F572A" w:rsidRDefault="006C00C8" w:rsidP="006C00C8">
      <w:pPr>
        <w:rPr>
          <w:i/>
          <w:iCs/>
          <w:sz w:val="22"/>
          <w:szCs w:val="22"/>
        </w:rPr>
      </w:pPr>
    </w:p>
    <w:p w14:paraId="0A27D14E" w14:textId="750D788E" w:rsidR="006C00C8" w:rsidRPr="004F572A" w:rsidRDefault="006C00C8" w:rsidP="006C00C8">
      <w:pPr>
        <w:rPr>
          <w:i/>
          <w:iCs/>
          <w:sz w:val="22"/>
          <w:szCs w:val="22"/>
          <w:u w:val="single"/>
        </w:rPr>
      </w:pPr>
      <w:r w:rsidRPr="004F572A">
        <w:rPr>
          <w:i/>
          <w:iCs/>
          <w:sz w:val="22"/>
          <w:szCs w:val="22"/>
          <w:u w:val="single"/>
        </w:rPr>
        <w:t>Chemoterapin</w:t>
      </w:r>
      <w:r w:rsidR="00CD2B04">
        <w:rPr>
          <w:i/>
          <w:iCs/>
          <w:sz w:val="22"/>
          <w:szCs w:val="22"/>
          <w:u w:val="single"/>
        </w:rPr>
        <w:t>iai vaistiniai preparatai</w:t>
      </w:r>
    </w:p>
    <w:p w14:paraId="5EFCF0ED" w14:textId="77777777" w:rsidR="006C00C8" w:rsidRPr="004F572A" w:rsidRDefault="006C00C8" w:rsidP="006C00C8">
      <w:pPr>
        <w:rPr>
          <w:sz w:val="22"/>
          <w:szCs w:val="22"/>
        </w:rPr>
      </w:pPr>
    </w:p>
    <w:p w14:paraId="34955F33" w14:textId="65FB23A1" w:rsidR="006C00C8" w:rsidRPr="004F572A" w:rsidRDefault="006C00C8" w:rsidP="006C00C8">
      <w:pPr>
        <w:rPr>
          <w:sz w:val="22"/>
          <w:szCs w:val="22"/>
        </w:rPr>
      </w:pPr>
      <w:r w:rsidRPr="004F572A">
        <w:rPr>
          <w:sz w:val="22"/>
          <w:szCs w:val="22"/>
        </w:rPr>
        <w:t xml:space="preserve">Kartu vartojant </w:t>
      </w:r>
      <w:proofErr w:type="spellStart"/>
      <w:r w:rsidRPr="004F572A">
        <w:rPr>
          <w:sz w:val="22"/>
          <w:szCs w:val="22"/>
        </w:rPr>
        <w:t>lenvatinibo</w:t>
      </w:r>
      <w:proofErr w:type="spellEnd"/>
      <w:r w:rsidRPr="004F572A">
        <w:rPr>
          <w:sz w:val="22"/>
          <w:szCs w:val="22"/>
        </w:rPr>
        <w:t xml:space="preserve">, </w:t>
      </w:r>
      <w:proofErr w:type="spellStart"/>
      <w:r w:rsidRPr="004F572A">
        <w:rPr>
          <w:sz w:val="22"/>
          <w:szCs w:val="22"/>
        </w:rPr>
        <w:t>karboplatino</w:t>
      </w:r>
      <w:r w:rsidR="00C625F4" w:rsidRPr="004F572A">
        <w:rPr>
          <w:sz w:val="22"/>
          <w:szCs w:val="22"/>
        </w:rPr>
        <w:t>s</w:t>
      </w:r>
      <w:proofErr w:type="spellEnd"/>
      <w:r w:rsidRPr="004F572A">
        <w:rPr>
          <w:sz w:val="22"/>
          <w:szCs w:val="22"/>
        </w:rPr>
        <w:t xml:space="preserve"> ir </w:t>
      </w:r>
      <w:proofErr w:type="spellStart"/>
      <w:r w:rsidRPr="004F572A">
        <w:rPr>
          <w:sz w:val="22"/>
          <w:szCs w:val="22"/>
        </w:rPr>
        <w:t>paklitakselio</w:t>
      </w:r>
      <w:proofErr w:type="spellEnd"/>
      <w:r w:rsidR="00CD2B04">
        <w:rPr>
          <w:sz w:val="22"/>
          <w:szCs w:val="22"/>
        </w:rPr>
        <w:t>,</w:t>
      </w:r>
      <w:r w:rsidRPr="004F572A">
        <w:rPr>
          <w:sz w:val="22"/>
          <w:szCs w:val="22"/>
        </w:rPr>
        <w:t xml:space="preserve"> reikšmingo poveikio bet kurios iš šių 3 medžiagų farmakokinetikai nebuvo.</w:t>
      </w:r>
    </w:p>
    <w:p w14:paraId="7AE1C2EC" w14:textId="77777777" w:rsidR="006C00C8" w:rsidRPr="004F572A" w:rsidRDefault="006C00C8" w:rsidP="006C00C8">
      <w:pPr>
        <w:rPr>
          <w:sz w:val="22"/>
          <w:szCs w:val="22"/>
        </w:rPr>
      </w:pPr>
    </w:p>
    <w:p w14:paraId="6171F467" w14:textId="15BFD1D6" w:rsidR="006C00C8" w:rsidRPr="004F572A" w:rsidRDefault="006C00C8" w:rsidP="006C00C8">
      <w:pPr>
        <w:rPr>
          <w:sz w:val="22"/>
          <w:szCs w:val="22"/>
          <w:u w:val="single"/>
        </w:rPr>
      </w:pPr>
      <w:proofErr w:type="spellStart"/>
      <w:r w:rsidRPr="004F572A">
        <w:rPr>
          <w:sz w:val="22"/>
          <w:szCs w:val="22"/>
          <w:u w:val="single"/>
        </w:rPr>
        <w:t>Lenvatinibo</w:t>
      </w:r>
      <w:proofErr w:type="spellEnd"/>
      <w:r w:rsidRPr="004F572A">
        <w:rPr>
          <w:sz w:val="22"/>
          <w:szCs w:val="22"/>
          <w:u w:val="single"/>
        </w:rPr>
        <w:t xml:space="preserve"> poveikis kitiems vaistiniams preparatams</w:t>
      </w:r>
    </w:p>
    <w:p w14:paraId="10BB108A" w14:textId="77777777" w:rsidR="006C00C8" w:rsidRPr="004F572A" w:rsidRDefault="006C00C8" w:rsidP="006C00C8">
      <w:pPr>
        <w:rPr>
          <w:sz w:val="22"/>
          <w:szCs w:val="22"/>
        </w:rPr>
      </w:pPr>
    </w:p>
    <w:p w14:paraId="553BA79A" w14:textId="76EA138D" w:rsidR="00E529E8" w:rsidRPr="004F572A" w:rsidRDefault="006C00C8" w:rsidP="006C00C8">
      <w:pPr>
        <w:rPr>
          <w:sz w:val="22"/>
          <w:szCs w:val="22"/>
        </w:rPr>
      </w:pPr>
      <w:r w:rsidRPr="004F572A">
        <w:rPr>
          <w:sz w:val="22"/>
          <w:szCs w:val="22"/>
        </w:rPr>
        <w:t xml:space="preserve">Klinikinis vėžiu sergančių pacientų vaistinių preparatų tarpusavio sąveikos tyrimas parodė, kad vartojant </w:t>
      </w:r>
      <w:proofErr w:type="spellStart"/>
      <w:r w:rsidRPr="004F572A">
        <w:rPr>
          <w:sz w:val="22"/>
          <w:szCs w:val="22"/>
        </w:rPr>
        <w:t>lenvatinib</w:t>
      </w:r>
      <w:r w:rsidR="00CB4157" w:rsidRPr="004F572A">
        <w:rPr>
          <w:sz w:val="22"/>
          <w:szCs w:val="22"/>
        </w:rPr>
        <w:t>o</w:t>
      </w:r>
      <w:proofErr w:type="spellEnd"/>
      <w:r w:rsidR="00CD2B04">
        <w:rPr>
          <w:sz w:val="22"/>
          <w:szCs w:val="22"/>
        </w:rPr>
        <w:t>,</w:t>
      </w:r>
      <w:r w:rsidRPr="004F572A">
        <w:rPr>
          <w:sz w:val="22"/>
          <w:szCs w:val="22"/>
        </w:rPr>
        <w:t xml:space="preserve"> </w:t>
      </w:r>
      <w:proofErr w:type="spellStart"/>
      <w:r w:rsidRPr="004F572A">
        <w:rPr>
          <w:sz w:val="22"/>
          <w:szCs w:val="22"/>
        </w:rPr>
        <w:t>midazolamo</w:t>
      </w:r>
      <w:proofErr w:type="spellEnd"/>
      <w:r w:rsidRPr="004F572A">
        <w:rPr>
          <w:sz w:val="22"/>
          <w:szCs w:val="22"/>
        </w:rPr>
        <w:t xml:space="preserve"> (jautraus CYP3A ir </w:t>
      </w:r>
      <w:proofErr w:type="spellStart"/>
      <w:r w:rsidRPr="004F572A">
        <w:rPr>
          <w:sz w:val="22"/>
          <w:szCs w:val="22"/>
        </w:rPr>
        <w:t>Pgp</w:t>
      </w:r>
      <w:proofErr w:type="spellEnd"/>
      <w:r w:rsidRPr="004F572A">
        <w:rPr>
          <w:sz w:val="22"/>
          <w:szCs w:val="22"/>
        </w:rPr>
        <w:t xml:space="preserve"> substrato) koncentracija plazmoje </w:t>
      </w:r>
      <w:r w:rsidR="00CD2B04">
        <w:rPr>
          <w:sz w:val="22"/>
          <w:szCs w:val="22"/>
        </w:rPr>
        <w:t>nesikeitė</w:t>
      </w:r>
      <w:r w:rsidRPr="004F572A">
        <w:rPr>
          <w:sz w:val="22"/>
          <w:szCs w:val="22"/>
        </w:rPr>
        <w:t>. Todėl nesitikima reikšmingos vaist</w:t>
      </w:r>
      <w:r w:rsidR="00CB4157" w:rsidRPr="004F572A">
        <w:rPr>
          <w:sz w:val="22"/>
          <w:szCs w:val="22"/>
        </w:rPr>
        <w:t>inių prepar</w:t>
      </w:r>
      <w:r w:rsidR="00C625F4" w:rsidRPr="004F572A">
        <w:rPr>
          <w:sz w:val="22"/>
          <w:szCs w:val="22"/>
        </w:rPr>
        <w:t>a</w:t>
      </w:r>
      <w:r w:rsidR="00CB4157" w:rsidRPr="004F572A">
        <w:rPr>
          <w:sz w:val="22"/>
          <w:szCs w:val="22"/>
        </w:rPr>
        <w:t xml:space="preserve">tų </w:t>
      </w:r>
      <w:r w:rsidRPr="004F572A">
        <w:rPr>
          <w:sz w:val="22"/>
          <w:szCs w:val="22"/>
        </w:rPr>
        <w:t xml:space="preserve">sąveikos tarp </w:t>
      </w:r>
      <w:proofErr w:type="spellStart"/>
      <w:r w:rsidRPr="004F572A">
        <w:rPr>
          <w:sz w:val="22"/>
          <w:szCs w:val="22"/>
        </w:rPr>
        <w:t>lenvatinibo</w:t>
      </w:r>
      <w:proofErr w:type="spellEnd"/>
      <w:r w:rsidRPr="004F572A">
        <w:rPr>
          <w:sz w:val="22"/>
          <w:szCs w:val="22"/>
        </w:rPr>
        <w:t xml:space="preserve"> ir kitų CYP3A4/</w:t>
      </w:r>
      <w:proofErr w:type="spellStart"/>
      <w:r w:rsidRPr="004F572A">
        <w:rPr>
          <w:sz w:val="22"/>
          <w:szCs w:val="22"/>
        </w:rPr>
        <w:t>Pgp</w:t>
      </w:r>
      <w:proofErr w:type="spellEnd"/>
      <w:r w:rsidRPr="004F572A">
        <w:rPr>
          <w:sz w:val="22"/>
          <w:szCs w:val="22"/>
        </w:rPr>
        <w:t xml:space="preserve"> substratų.</w:t>
      </w:r>
    </w:p>
    <w:p w14:paraId="5A48170C" w14:textId="77777777" w:rsidR="00E529E8" w:rsidRPr="004F572A" w:rsidRDefault="00E529E8" w:rsidP="000928CA">
      <w:pPr>
        <w:rPr>
          <w:sz w:val="22"/>
          <w:szCs w:val="22"/>
        </w:rPr>
      </w:pPr>
    </w:p>
    <w:p w14:paraId="1A7A97EF" w14:textId="77777777" w:rsidR="00CB4157" w:rsidRPr="004F572A" w:rsidRDefault="00CB4157" w:rsidP="00CB4157">
      <w:pPr>
        <w:rPr>
          <w:i/>
          <w:iCs/>
          <w:sz w:val="22"/>
          <w:szCs w:val="22"/>
          <w:u w:val="single"/>
        </w:rPr>
      </w:pPr>
      <w:r w:rsidRPr="004F572A">
        <w:rPr>
          <w:i/>
          <w:iCs/>
          <w:sz w:val="22"/>
          <w:szCs w:val="22"/>
          <w:u w:val="single"/>
        </w:rPr>
        <w:t>Geriamieji kontraceptikai</w:t>
      </w:r>
    </w:p>
    <w:p w14:paraId="0A71741B" w14:textId="77777777" w:rsidR="00CB4157" w:rsidRPr="004F572A" w:rsidRDefault="00CB4157" w:rsidP="00CB4157">
      <w:pPr>
        <w:rPr>
          <w:sz w:val="22"/>
          <w:szCs w:val="22"/>
        </w:rPr>
      </w:pPr>
    </w:p>
    <w:p w14:paraId="602158E3" w14:textId="687A478D" w:rsidR="00E529E8" w:rsidRPr="004F572A" w:rsidRDefault="00CB4157" w:rsidP="00CB4157">
      <w:pPr>
        <w:rPr>
          <w:sz w:val="22"/>
          <w:szCs w:val="22"/>
        </w:rPr>
      </w:pPr>
      <w:r w:rsidRPr="004F572A">
        <w:rPr>
          <w:sz w:val="22"/>
          <w:szCs w:val="22"/>
        </w:rPr>
        <w:t xml:space="preserve">Šiuo metu nežinoma, ar </w:t>
      </w:r>
      <w:proofErr w:type="spellStart"/>
      <w:r w:rsidRPr="004F572A">
        <w:rPr>
          <w:sz w:val="22"/>
          <w:szCs w:val="22"/>
        </w:rPr>
        <w:t>lenvatinibas</w:t>
      </w:r>
      <w:proofErr w:type="spellEnd"/>
      <w:r w:rsidRPr="004F572A">
        <w:rPr>
          <w:sz w:val="22"/>
          <w:szCs w:val="22"/>
        </w:rPr>
        <w:t xml:space="preserve"> gali mažinti hormoninių kontraceptikų veiksmingumą, todėl moterys, vartojančios geriamųjų hormoninių kontraceptikų, turi naudoti papildomą barjerinį kontracepcijos metodą (žr. 4.6 skyrių)</w:t>
      </w:r>
    </w:p>
    <w:p w14:paraId="234EF18D" w14:textId="77777777" w:rsidR="000928CA" w:rsidRPr="004F572A" w:rsidRDefault="000928CA" w:rsidP="000928CA">
      <w:pPr>
        <w:widowControl w:val="0"/>
        <w:tabs>
          <w:tab w:val="clear" w:pos="567"/>
        </w:tabs>
        <w:rPr>
          <w:sz w:val="22"/>
          <w:szCs w:val="22"/>
        </w:rPr>
      </w:pPr>
    </w:p>
    <w:p w14:paraId="2695667F" w14:textId="77777777" w:rsidR="000928CA" w:rsidRPr="004F572A" w:rsidRDefault="000928CA">
      <w:pPr>
        <w:widowControl w:val="0"/>
        <w:numPr>
          <w:ilvl w:val="1"/>
          <w:numId w:val="2"/>
        </w:numPr>
        <w:tabs>
          <w:tab w:val="clear" w:pos="567"/>
          <w:tab w:val="left" w:pos="554"/>
        </w:tabs>
        <w:ind w:left="554" w:hanging="554"/>
        <w:rPr>
          <w:sz w:val="22"/>
          <w:szCs w:val="22"/>
        </w:rPr>
      </w:pPr>
      <w:r w:rsidRPr="004F572A">
        <w:rPr>
          <w:rFonts w:eastAsia="Calibri"/>
          <w:b/>
          <w:bCs/>
          <w:sz w:val="22"/>
          <w:szCs w:val="22"/>
        </w:rPr>
        <w:t>Vaisingumas, nėštumo ir žindymo laikotarpis</w:t>
      </w:r>
    </w:p>
    <w:p w14:paraId="4C89D96C" w14:textId="77777777" w:rsidR="000928CA" w:rsidRPr="004F572A" w:rsidRDefault="000928CA" w:rsidP="000928CA">
      <w:pPr>
        <w:widowControl w:val="0"/>
        <w:tabs>
          <w:tab w:val="clear" w:pos="567"/>
        </w:tabs>
        <w:rPr>
          <w:sz w:val="22"/>
          <w:szCs w:val="22"/>
        </w:rPr>
      </w:pPr>
    </w:p>
    <w:p w14:paraId="0C7384EF" w14:textId="0CFCF326" w:rsidR="00CD058D" w:rsidRPr="004F572A" w:rsidRDefault="00CD058D" w:rsidP="00CD058D">
      <w:pPr>
        <w:widowControl w:val="0"/>
        <w:tabs>
          <w:tab w:val="clear" w:pos="567"/>
        </w:tabs>
        <w:rPr>
          <w:sz w:val="22"/>
          <w:szCs w:val="22"/>
          <w:u w:val="single"/>
        </w:rPr>
      </w:pPr>
      <w:r w:rsidRPr="004F572A">
        <w:rPr>
          <w:sz w:val="22"/>
          <w:szCs w:val="22"/>
          <w:u w:val="single"/>
        </w:rPr>
        <w:t>Vaisingo</w:t>
      </w:r>
      <w:r w:rsidR="00E27691">
        <w:rPr>
          <w:sz w:val="22"/>
          <w:szCs w:val="22"/>
          <w:u w:val="single"/>
        </w:rPr>
        <w:t>s</w:t>
      </w:r>
      <w:r w:rsidRPr="004F572A">
        <w:rPr>
          <w:sz w:val="22"/>
          <w:szCs w:val="22"/>
          <w:u w:val="single"/>
        </w:rPr>
        <w:t xml:space="preserve"> moterys</w:t>
      </w:r>
    </w:p>
    <w:p w14:paraId="37C1F78E" w14:textId="77777777" w:rsidR="00CD058D" w:rsidRPr="004F572A" w:rsidRDefault="00CD058D" w:rsidP="00CD058D">
      <w:pPr>
        <w:widowControl w:val="0"/>
        <w:tabs>
          <w:tab w:val="clear" w:pos="567"/>
        </w:tabs>
        <w:rPr>
          <w:sz w:val="22"/>
          <w:szCs w:val="22"/>
        </w:rPr>
      </w:pPr>
    </w:p>
    <w:p w14:paraId="46BF7B5F" w14:textId="1927FE09" w:rsidR="00CD058D" w:rsidRPr="004F572A" w:rsidRDefault="00CD058D" w:rsidP="00CD058D">
      <w:pPr>
        <w:widowControl w:val="0"/>
        <w:tabs>
          <w:tab w:val="clear" w:pos="567"/>
        </w:tabs>
        <w:rPr>
          <w:sz w:val="22"/>
          <w:szCs w:val="22"/>
        </w:rPr>
      </w:pPr>
      <w:r w:rsidRPr="004F572A">
        <w:rPr>
          <w:sz w:val="22"/>
          <w:szCs w:val="22"/>
        </w:rPr>
        <w:t>Vaisingo</w:t>
      </w:r>
      <w:r w:rsidR="00CD2B04">
        <w:rPr>
          <w:sz w:val="22"/>
          <w:szCs w:val="22"/>
        </w:rPr>
        <w:t xml:space="preserve"> amžiau</w:t>
      </w:r>
      <w:r w:rsidRPr="004F572A">
        <w:rPr>
          <w:sz w:val="22"/>
          <w:szCs w:val="22"/>
        </w:rPr>
        <w:t xml:space="preserve">s moterys turi vengti pastoti ir </w:t>
      </w:r>
      <w:r w:rsidR="00CD2B04">
        <w:rPr>
          <w:sz w:val="22"/>
          <w:szCs w:val="22"/>
        </w:rPr>
        <w:t>turi naudoti</w:t>
      </w:r>
      <w:r w:rsidRPr="004F572A">
        <w:rPr>
          <w:sz w:val="22"/>
          <w:szCs w:val="22"/>
        </w:rPr>
        <w:t xml:space="preserve"> labai veiksmingą kontracepcijos metodą gydymo </w:t>
      </w:r>
      <w:proofErr w:type="spellStart"/>
      <w:r w:rsidRPr="004F572A">
        <w:rPr>
          <w:sz w:val="22"/>
          <w:szCs w:val="22"/>
        </w:rPr>
        <w:t>lenvatinibu</w:t>
      </w:r>
      <w:proofErr w:type="spellEnd"/>
      <w:r w:rsidRPr="004F572A">
        <w:rPr>
          <w:sz w:val="22"/>
          <w:szCs w:val="22"/>
        </w:rPr>
        <w:t xml:space="preserve"> metu ir paskui bent mėnesį pasibaigus gydymui. Šiuo metu nežinoma, ar </w:t>
      </w:r>
      <w:proofErr w:type="spellStart"/>
      <w:r w:rsidRPr="004F572A">
        <w:rPr>
          <w:sz w:val="22"/>
          <w:szCs w:val="22"/>
        </w:rPr>
        <w:t>lenvatinibas</w:t>
      </w:r>
      <w:proofErr w:type="spellEnd"/>
      <w:r w:rsidRPr="004F572A">
        <w:rPr>
          <w:sz w:val="22"/>
          <w:szCs w:val="22"/>
        </w:rPr>
        <w:t xml:space="preserve"> gali mažinti hormoninių kontraceptikų veiksmingumą, todėl moterys, vartojančios geriamųjų hormoninių kontraceptikų, turi </w:t>
      </w:r>
      <w:r w:rsidR="00CD2B04">
        <w:rPr>
          <w:sz w:val="22"/>
          <w:szCs w:val="22"/>
        </w:rPr>
        <w:t xml:space="preserve">naudoti </w:t>
      </w:r>
      <w:r w:rsidRPr="004F572A">
        <w:rPr>
          <w:sz w:val="22"/>
          <w:szCs w:val="22"/>
        </w:rPr>
        <w:t>papildom</w:t>
      </w:r>
      <w:r w:rsidR="00CD2B04">
        <w:rPr>
          <w:sz w:val="22"/>
          <w:szCs w:val="22"/>
        </w:rPr>
        <w:t>ą</w:t>
      </w:r>
      <w:r w:rsidRPr="004F572A">
        <w:rPr>
          <w:sz w:val="22"/>
          <w:szCs w:val="22"/>
        </w:rPr>
        <w:t xml:space="preserve"> barjerinį kontracepcijos metodą.</w:t>
      </w:r>
    </w:p>
    <w:p w14:paraId="05706F65" w14:textId="77777777" w:rsidR="00CD058D" w:rsidRPr="004F572A" w:rsidRDefault="00CD058D" w:rsidP="00CD058D">
      <w:pPr>
        <w:widowControl w:val="0"/>
        <w:tabs>
          <w:tab w:val="clear" w:pos="567"/>
        </w:tabs>
        <w:rPr>
          <w:sz w:val="22"/>
          <w:szCs w:val="22"/>
        </w:rPr>
      </w:pPr>
    </w:p>
    <w:p w14:paraId="3AECCE58" w14:textId="44517E8B" w:rsidR="00CD058D" w:rsidRPr="004F572A" w:rsidRDefault="00CD058D" w:rsidP="00CD058D">
      <w:pPr>
        <w:widowControl w:val="0"/>
        <w:tabs>
          <w:tab w:val="clear" w:pos="567"/>
        </w:tabs>
        <w:rPr>
          <w:sz w:val="22"/>
          <w:szCs w:val="22"/>
          <w:u w:val="single"/>
        </w:rPr>
      </w:pPr>
      <w:r w:rsidRPr="004F572A">
        <w:rPr>
          <w:sz w:val="22"/>
          <w:szCs w:val="22"/>
          <w:u w:val="single"/>
        </w:rPr>
        <w:t>Nėštumas</w:t>
      </w:r>
    </w:p>
    <w:p w14:paraId="74D841E8" w14:textId="77777777" w:rsidR="00CD058D" w:rsidRPr="004F572A" w:rsidRDefault="00CD058D" w:rsidP="00CD058D">
      <w:pPr>
        <w:widowControl w:val="0"/>
        <w:tabs>
          <w:tab w:val="clear" w:pos="567"/>
        </w:tabs>
        <w:rPr>
          <w:sz w:val="22"/>
          <w:szCs w:val="22"/>
        </w:rPr>
      </w:pPr>
    </w:p>
    <w:p w14:paraId="29B4CFDA" w14:textId="459B60AA" w:rsidR="00CD058D" w:rsidRPr="004F572A" w:rsidRDefault="00CD058D" w:rsidP="00CD058D">
      <w:pPr>
        <w:widowControl w:val="0"/>
        <w:tabs>
          <w:tab w:val="clear" w:pos="567"/>
        </w:tabs>
        <w:rPr>
          <w:sz w:val="22"/>
          <w:szCs w:val="22"/>
        </w:rPr>
      </w:pPr>
      <w:r w:rsidRPr="004F572A">
        <w:rPr>
          <w:sz w:val="22"/>
          <w:szCs w:val="22"/>
        </w:rPr>
        <w:t xml:space="preserve">Duomenų apie </w:t>
      </w:r>
      <w:proofErr w:type="spellStart"/>
      <w:r w:rsidRPr="004F572A">
        <w:rPr>
          <w:sz w:val="22"/>
          <w:szCs w:val="22"/>
        </w:rPr>
        <w:t>lenvatinibo</w:t>
      </w:r>
      <w:proofErr w:type="spellEnd"/>
      <w:r w:rsidRPr="004F572A">
        <w:rPr>
          <w:sz w:val="22"/>
          <w:szCs w:val="22"/>
        </w:rPr>
        <w:t xml:space="preserve"> vartojimą nėštumo metu nėra. Duodant žiurkėms ir triušiams, nustatytas </w:t>
      </w:r>
      <w:proofErr w:type="spellStart"/>
      <w:r w:rsidRPr="004F572A">
        <w:rPr>
          <w:sz w:val="22"/>
          <w:szCs w:val="22"/>
        </w:rPr>
        <w:t>lenvatinibo</w:t>
      </w:r>
      <w:proofErr w:type="spellEnd"/>
      <w:r w:rsidRPr="004F572A">
        <w:rPr>
          <w:sz w:val="22"/>
          <w:szCs w:val="22"/>
        </w:rPr>
        <w:t xml:space="preserve"> toksinis poveikis embrionui ir </w:t>
      </w:r>
      <w:proofErr w:type="spellStart"/>
      <w:r w:rsidRPr="004F572A">
        <w:rPr>
          <w:sz w:val="22"/>
          <w:szCs w:val="22"/>
        </w:rPr>
        <w:t>teratogeninis</w:t>
      </w:r>
      <w:proofErr w:type="spellEnd"/>
      <w:r w:rsidRPr="004F572A">
        <w:rPr>
          <w:sz w:val="22"/>
          <w:szCs w:val="22"/>
        </w:rPr>
        <w:t xml:space="preserve"> poveikis (žr. 5.3 skyrių).</w:t>
      </w:r>
    </w:p>
    <w:p w14:paraId="745D0631" w14:textId="77777777" w:rsidR="00CD058D" w:rsidRPr="004F572A" w:rsidRDefault="00CD058D" w:rsidP="00CD058D">
      <w:pPr>
        <w:widowControl w:val="0"/>
        <w:tabs>
          <w:tab w:val="clear" w:pos="567"/>
        </w:tabs>
        <w:rPr>
          <w:sz w:val="22"/>
          <w:szCs w:val="22"/>
        </w:rPr>
      </w:pPr>
    </w:p>
    <w:p w14:paraId="1896956C" w14:textId="2E496E2C" w:rsidR="00CD058D" w:rsidRPr="004F572A" w:rsidRDefault="00CD058D" w:rsidP="00CD058D">
      <w:pPr>
        <w:widowControl w:val="0"/>
        <w:tabs>
          <w:tab w:val="clear" w:pos="567"/>
        </w:tabs>
        <w:rPr>
          <w:sz w:val="22"/>
          <w:szCs w:val="22"/>
        </w:rPr>
      </w:pPr>
      <w:proofErr w:type="spellStart"/>
      <w:r w:rsidRPr="004F572A">
        <w:rPr>
          <w:sz w:val="22"/>
          <w:szCs w:val="22"/>
        </w:rPr>
        <w:t>Lenvatinibo</w:t>
      </w:r>
      <w:proofErr w:type="spellEnd"/>
      <w:r w:rsidRPr="004F572A">
        <w:rPr>
          <w:sz w:val="22"/>
          <w:szCs w:val="22"/>
        </w:rPr>
        <w:t xml:space="preserve"> nėštumo metu </w:t>
      </w:r>
      <w:r w:rsidR="00EB75F5">
        <w:rPr>
          <w:sz w:val="22"/>
          <w:szCs w:val="22"/>
        </w:rPr>
        <w:t>vartoti negalima</w:t>
      </w:r>
      <w:r w:rsidRPr="004F572A">
        <w:rPr>
          <w:sz w:val="22"/>
          <w:szCs w:val="22"/>
        </w:rPr>
        <w:t>, nebent tai yra aiškiai būtina ir atidžiai apsvarsčius motinos poreikius ir riziką vaisiui.</w:t>
      </w:r>
    </w:p>
    <w:p w14:paraId="4B961203" w14:textId="77777777" w:rsidR="00CD058D" w:rsidRPr="004F572A" w:rsidRDefault="00CD058D" w:rsidP="00CD058D">
      <w:pPr>
        <w:widowControl w:val="0"/>
        <w:tabs>
          <w:tab w:val="clear" w:pos="567"/>
        </w:tabs>
        <w:rPr>
          <w:sz w:val="22"/>
          <w:szCs w:val="22"/>
        </w:rPr>
      </w:pPr>
    </w:p>
    <w:p w14:paraId="63EEFEB0" w14:textId="397EABEA" w:rsidR="00CD058D" w:rsidRPr="004F572A" w:rsidRDefault="00CD058D" w:rsidP="00CD058D">
      <w:pPr>
        <w:widowControl w:val="0"/>
        <w:tabs>
          <w:tab w:val="clear" w:pos="567"/>
        </w:tabs>
        <w:rPr>
          <w:sz w:val="22"/>
          <w:szCs w:val="22"/>
          <w:u w:val="single"/>
        </w:rPr>
      </w:pPr>
      <w:r w:rsidRPr="004F572A">
        <w:rPr>
          <w:sz w:val="22"/>
          <w:szCs w:val="22"/>
          <w:u w:val="single"/>
        </w:rPr>
        <w:t>Žindymas</w:t>
      </w:r>
    </w:p>
    <w:p w14:paraId="7DC99355" w14:textId="77777777" w:rsidR="00CD058D" w:rsidRPr="004F572A" w:rsidRDefault="00CD058D" w:rsidP="00CD058D">
      <w:pPr>
        <w:widowControl w:val="0"/>
        <w:tabs>
          <w:tab w:val="clear" w:pos="567"/>
        </w:tabs>
        <w:rPr>
          <w:sz w:val="22"/>
          <w:szCs w:val="22"/>
        </w:rPr>
      </w:pPr>
    </w:p>
    <w:p w14:paraId="31EC1A01" w14:textId="0E6B781D" w:rsidR="00CD058D" w:rsidRPr="004F572A" w:rsidRDefault="00CD058D" w:rsidP="00CD058D">
      <w:pPr>
        <w:widowControl w:val="0"/>
        <w:tabs>
          <w:tab w:val="clear" w:pos="567"/>
        </w:tabs>
        <w:rPr>
          <w:sz w:val="22"/>
          <w:szCs w:val="22"/>
        </w:rPr>
      </w:pPr>
      <w:r w:rsidRPr="004F572A">
        <w:rPr>
          <w:sz w:val="22"/>
          <w:szCs w:val="22"/>
        </w:rPr>
        <w:t xml:space="preserve">Nežinoma, ar </w:t>
      </w:r>
      <w:proofErr w:type="spellStart"/>
      <w:r w:rsidRPr="004F572A">
        <w:rPr>
          <w:sz w:val="22"/>
          <w:szCs w:val="22"/>
        </w:rPr>
        <w:t>lenvatinib</w:t>
      </w:r>
      <w:r w:rsidR="00EB75F5">
        <w:rPr>
          <w:sz w:val="22"/>
          <w:szCs w:val="22"/>
        </w:rPr>
        <w:t>as</w:t>
      </w:r>
      <w:proofErr w:type="spellEnd"/>
      <w:r w:rsidRPr="004F572A">
        <w:rPr>
          <w:sz w:val="22"/>
          <w:szCs w:val="22"/>
        </w:rPr>
        <w:t xml:space="preserve"> išs</w:t>
      </w:r>
      <w:r w:rsidR="00EB75F5">
        <w:rPr>
          <w:sz w:val="22"/>
          <w:szCs w:val="22"/>
        </w:rPr>
        <w:t>is</w:t>
      </w:r>
      <w:r w:rsidRPr="004F572A">
        <w:rPr>
          <w:sz w:val="22"/>
          <w:szCs w:val="22"/>
        </w:rPr>
        <w:t xml:space="preserve">kiria į </w:t>
      </w:r>
      <w:r w:rsidR="003D14D3">
        <w:rPr>
          <w:sz w:val="22"/>
          <w:szCs w:val="22"/>
        </w:rPr>
        <w:t>žindančios moters</w:t>
      </w:r>
      <w:r w:rsidRPr="004F572A">
        <w:rPr>
          <w:sz w:val="22"/>
          <w:szCs w:val="22"/>
        </w:rPr>
        <w:t xml:space="preserve"> pieną. </w:t>
      </w:r>
      <w:proofErr w:type="spellStart"/>
      <w:r w:rsidRPr="004F572A">
        <w:rPr>
          <w:sz w:val="22"/>
          <w:szCs w:val="22"/>
        </w:rPr>
        <w:t>Lenvatinib</w:t>
      </w:r>
      <w:r w:rsidR="00EB75F5">
        <w:rPr>
          <w:sz w:val="22"/>
          <w:szCs w:val="22"/>
        </w:rPr>
        <w:t>as</w:t>
      </w:r>
      <w:proofErr w:type="spellEnd"/>
      <w:r w:rsidRPr="004F572A">
        <w:rPr>
          <w:sz w:val="22"/>
          <w:szCs w:val="22"/>
        </w:rPr>
        <w:t xml:space="preserve"> ir jo metabolit</w:t>
      </w:r>
      <w:r w:rsidR="00EB75F5">
        <w:rPr>
          <w:sz w:val="22"/>
          <w:szCs w:val="22"/>
        </w:rPr>
        <w:t>ai</w:t>
      </w:r>
      <w:r w:rsidRPr="004F572A">
        <w:rPr>
          <w:sz w:val="22"/>
          <w:szCs w:val="22"/>
        </w:rPr>
        <w:t xml:space="preserve"> išs</w:t>
      </w:r>
      <w:r w:rsidR="00EB75F5">
        <w:rPr>
          <w:sz w:val="22"/>
          <w:szCs w:val="22"/>
        </w:rPr>
        <w:t>is</w:t>
      </w:r>
      <w:r w:rsidRPr="004F572A">
        <w:rPr>
          <w:sz w:val="22"/>
          <w:szCs w:val="22"/>
        </w:rPr>
        <w:t xml:space="preserve">kiria į žiurkių pieną (žr. 5.3 skyrių). </w:t>
      </w:r>
    </w:p>
    <w:p w14:paraId="4224004C" w14:textId="77777777" w:rsidR="00CD058D" w:rsidRPr="004F572A" w:rsidRDefault="00CD058D" w:rsidP="00CD058D">
      <w:pPr>
        <w:widowControl w:val="0"/>
        <w:tabs>
          <w:tab w:val="clear" w:pos="567"/>
        </w:tabs>
        <w:rPr>
          <w:sz w:val="22"/>
          <w:szCs w:val="22"/>
        </w:rPr>
      </w:pPr>
    </w:p>
    <w:p w14:paraId="1A6FD7F0" w14:textId="728474AD" w:rsidR="00CD058D" w:rsidRPr="004F572A" w:rsidRDefault="00EB75F5" w:rsidP="00CD058D">
      <w:pPr>
        <w:widowControl w:val="0"/>
        <w:tabs>
          <w:tab w:val="clear" w:pos="567"/>
        </w:tabs>
        <w:rPr>
          <w:sz w:val="22"/>
          <w:szCs w:val="22"/>
        </w:rPr>
      </w:pPr>
      <w:r w:rsidRPr="00EB75F5">
        <w:rPr>
          <w:sz w:val="22"/>
          <w:szCs w:val="22"/>
        </w:rPr>
        <w:t xml:space="preserve">Pavojaus žindomiems naujagimiams ar kūdikiams negalima atmesti, todėl </w:t>
      </w:r>
      <w:proofErr w:type="spellStart"/>
      <w:r w:rsidRPr="00EB75F5">
        <w:rPr>
          <w:sz w:val="22"/>
          <w:szCs w:val="22"/>
        </w:rPr>
        <w:t>lenvatinibo</w:t>
      </w:r>
      <w:proofErr w:type="spellEnd"/>
      <w:r w:rsidRPr="00EB75F5">
        <w:rPr>
          <w:sz w:val="22"/>
          <w:szCs w:val="22"/>
        </w:rPr>
        <w:t xml:space="preserve"> negalima vartoti žindymo metu</w:t>
      </w:r>
      <w:r w:rsidR="003D14D3">
        <w:rPr>
          <w:sz w:val="22"/>
          <w:szCs w:val="22"/>
        </w:rPr>
        <w:t xml:space="preserve"> </w:t>
      </w:r>
      <w:r w:rsidR="00CD058D" w:rsidRPr="004F572A">
        <w:rPr>
          <w:sz w:val="22"/>
          <w:szCs w:val="22"/>
        </w:rPr>
        <w:t>(žr. 4.3 skyrių)</w:t>
      </w:r>
      <w:r w:rsidR="0003106B" w:rsidRPr="004F572A">
        <w:rPr>
          <w:sz w:val="22"/>
          <w:szCs w:val="22"/>
        </w:rPr>
        <w:t>.</w:t>
      </w:r>
    </w:p>
    <w:p w14:paraId="71E59911" w14:textId="77777777" w:rsidR="00CD058D" w:rsidRPr="004F572A" w:rsidRDefault="00CD058D" w:rsidP="000928CA">
      <w:pPr>
        <w:widowControl w:val="0"/>
        <w:tabs>
          <w:tab w:val="clear" w:pos="567"/>
        </w:tabs>
        <w:rPr>
          <w:sz w:val="22"/>
          <w:szCs w:val="22"/>
        </w:rPr>
      </w:pPr>
    </w:p>
    <w:p w14:paraId="63FD6614" w14:textId="77777777" w:rsidR="0003106B" w:rsidRPr="004F572A" w:rsidRDefault="0003106B" w:rsidP="0003106B">
      <w:pPr>
        <w:widowControl w:val="0"/>
        <w:tabs>
          <w:tab w:val="clear" w:pos="567"/>
        </w:tabs>
        <w:rPr>
          <w:sz w:val="22"/>
          <w:szCs w:val="22"/>
          <w:u w:val="single"/>
        </w:rPr>
      </w:pPr>
      <w:r w:rsidRPr="004F572A">
        <w:rPr>
          <w:sz w:val="22"/>
          <w:szCs w:val="22"/>
          <w:u w:val="single"/>
        </w:rPr>
        <w:t>Vaisingumas</w:t>
      </w:r>
    </w:p>
    <w:p w14:paraId="51AFCBCA" w14:textId="77777777" w:rsidR="0003106B" w:rsidRPr="004F572A" w:rsidRDefault="0003106B" w:rsidP="0003106B">
      <w:pPr>
        <w:widowControl w:val="0"/>
        <w:tabs>
          <w:tab w:val="clear" w:pos="567"/>
        </w:tabs>
        <w:rPr>
          <w:sz w:val="22"/>
          <w:szCs w:val="22"/>
        </w:rPr>
      </w:pPr>
    </w:p>
    <w:p w14:paraId="50230D44" w14:textId="7436693B" w:rsidR="00CD058D" w:rsidRPr="004F572A" w:rsidRDefault="0003106B" w:rsidP="0003106B">
      <w:pPr>
        <w:widowControl w:val="0"/>
        <w:tabs>
          <w:tab w:val="clear" w:pos="567"/>
        </w:tabs>
        <w:rPr>
          <w:sz w:val="22"/>
          <w:szCs w:val="22"/>
        </w:rPr>
      </w:pPr>
      <w:r w:rsidRPr="004F572A">
        <w:rPr>
          <w:sz w:val="22"/>
          <w:szCs w:val="22"/>
        </w:rPr>
        <w:t xml:space="preserve">Poveikis žmonėms nežinomas. Tačiau </w:t>
      </w:r>
      <w:r w:rsidR="00EB75F5" w:rsidRPr="00EB75F5">
        <w:rPr>
          <w:sz w:val="22"/>
          <w:szCs w:val="22"/>
        </w:rPr>
        <w:t>žiurkėms, šunims ir beždžionėms</w:t>
      </w:r>
      <w:r w:rsidR="00EB75F5">
        <w:rPr>
          <w:sz w:val="22"/>
          <w:szCs w:val="22"/>
        </w:rPr>
        <w:t xml:space="preserve"> </w:t>
      </w:r>
      <w:r w:rsidRPr="004F572A">
        <w:rPr>
          <w:sz w:val="22"/>
          <w:szCs w:val="22"/>
        </w:rPr>
        <w:t>nustatytas toksinis poveikis sėklidėms ir kiaušidėms (žr. 5.3 skyrių).</w:t>
      </w:r>
    </w:p>
    <w:p w14:paraId="51177EC5" w14:textId="77777777" w:rsidR="000928CA" w:rsidRPr="004F572A" w:rsidRDefault="000928CA" w:rsidP="000928CA">
      <w:pPr>
        <w:widowControl w:val="0"/>
        <w:tabs>
          <w:tab w:val="clear" w:pos="567"/>
        </w:tabs>
        <w:rPr>
          <w:sz w:val="22"/>
          <w:szCs w:val="22"/>
        </w:rPr>
      </w:pPr>
    </w:p>
    <w:p w14:paraId="0D672A34" w14:textId="77777777" w:rsidR="000928CA" w:rsidRPr="004F572A" w:rsidRDefault="000928CA">
      <w:pPr>
        <w:widowControl w:val="0"/>
        <w:numPr>
          <w:ilvl w:val="1"/>
          <w:numId w:val="2"/>
        </w:numPr>
        <w:ind w:left="554" w:hanging="554"/>
        <w:rPr>
          <w:b/>
          <w:sz w:val="22"/>
        </w:rPr>
      </w:pPr>
      <w:r w:rsidRPr="004F572A">
        <w:rPr>
          <w:rFonts w:eastAsia="Calibri"/>
          <w:b/>
          <w:bCs/>
          <w:sz w:val="22"/>
          <w:szCs w:val="22"/>
        </w:rPr>
        <w:t>Poveikis gebėjimui vairuoti ir valdyti mechanizmus</w:t>
      </w:r>
    </w:p>
    <w:p w14:paraId="49CAD02D" w14:textId="77777777" w:rsidR="000928CA" w:rsidRPr="004F572A" w:rsidRDefault="000928CA" w:rsidP="000928CA">
      <w:pPr>
        <w:widowControl w:val="0"/>
        <w:tabs>
          <w:tab w:val="clear" w:pos="567"/>
        </w:tabs>
        <w:rPr>
          <w:sz w:val="22"/>
          <w:szCs w:val="22"/>
        </w:rPr>
      </w:pPr>
    </w:p>
    <w:p w14:paraId="04A12C89" w14:textId="4D9CBBF8" w:rsidR="000928CA" w:rsidRPr="004F572A" w:rsidRDefault="00EB75F5" w:rsidP="000928CA">
      <w:pPr>
        <w:widowControl w:val="0"/>
        <w:tabs>
          <w:tab w:val="clear" w:pos="567"/>
        </w:tabs>
        <w:rPr>
          <w:sz w:val="22"/>
          <w:szCs w:val="22"/>
        </w:rPr>
      </w:pPr>
      <w:proofErr w:type="spellStart"/>
      <w:r w:rsidRPr="00EB75F5">
        <w:rPr>
          <w:rFonts w:eastAsia="Calibri"/>
          <w:sz w:val="22"/>
          <w:szCs w:val="22"/>
        </w:rPr>
        <w:t>Lenvatinibas</w:t>
      </w:r>
      <w:proofErr w:type="spellEnd"/>
      <w:r w:rsidRPr="00EB75F5">
        <w:rPr>
          <w:rFonts w:eastAsia="Calibri"/>
          <w:sz w:val="22"/>
          <w:szCs w:val="22"/>
        </w:rPr>
        <w:t xml:space="preserve"> gebėjimą vairuoti ir valdyti mechanizmus veikia silpnai</w:t>
      </w:r>
      <w:r>
        <w:rPr>
          <w:rFonts w:eastAsia="Calibri"/>
          <w:sz w:val="22"/>
          <w:szCs w:val="22"/>
        </w:rPr>
        <w:t xml:space="preserve"> </w:t>
      </w:r>
      <w:r w:rsidR="0003106B" w:rsidRPr="004F572A">
        <w:rPr>
          <w:rFonts w:eastAsia="Calibri"/>
          <w:sz w:val="22"/>
          <w:szCs w:val="22"/>
        </w:rPr>
        <w:t xml:space="preserve">dėl nepageidaujamo poveikio, </w:t>
      </w:r>
      <w:r w:rsidR="005822FB" w:rsidRPr="004F572A">
        <w:rPr>
          <w:rFonts w:eastAsia="Calibri"/>
          <w:sz w:val="22"/>
          <w:szCs w:val="22"/>
        </w:rPr>
        <w:t>pvz.</w:t>
      </w:r>
      <w:r w:rsidR="0003106B" w:rsidRPr="004F572A">
        <w:rPr>
          <w:rFonts w:eastAsia="Calibri"/>
          <w:sz w:val="22"/>
          <w:szCs w:val="22"/>
        </w:rPr>
        <w:t xml:space="preserve"> nuovargi</w:t>
      </w:r>
      <w:r w:rsidR="005822FB" w:rsidRPr="004F572A">
        <w:rPr>
          <w:rFonts w:eastAsia="Calibri"/>
          <w:sz w:val="22"/>
          <w:szCs w:val="22"/>
        </w:rPr>
        <w:t>o</w:t>
      </w:r>
      <w:r w:rsidR="0003106B" w:rsidRPr="004F572A">
        <w:rPr>
          <w:rFonts w:eastAsia="Calibri"/>
          <w:sz w:val="22"/>
          <w:szCs w:val="22"/>
        </w:rPr>
        <w:t xml:space="preserve"> ir svaigul</w:t>
      </w:r>
      <w:r w:rsidR="005822FB" w:rsidRPr="004F572A">
        <w:rPr>
          <w:rFonts w:eastAsia="Calibri"/>
          <w:sz w:val="22"/>
          <w:szCs w:val="22"/>
        </w:rPr>
        <w:t>io</w:t>
      </w:r>
      <w:r w:rsidR="0003106B" w:rsidRPr="004F572A">
        <w:rPr>
          <w:rFonts w:eastAsia="Calibri"/>
          <w:sz w:val="22"/>
          <w:szCs w:val="22"/>
        </w:rPr>
        <w:t>. Pacientai, kuriems pasireiškia ši</w:t>
      </w:r>
      <w:r>
        <w:rPr>
          <w:rFonts w:eastAsia="Calibri"/>
          <w:sz w:val="22"/>
          <w:szCs w:val="22"/>
        </w:rPr>
        <w:t>e</w:t>
      </w:r>
      <w:r w:rsidR="0003106B" w:rsidRPr="004F572A">
        <w:rPr>
          <w:rFonts w:eastAsia="Calibri"/>
          <w:sz w:val="22"/>
          <w:szCs w:val="22"/>
        </w:rPr>
        <w:t xml:space="preserve"> simptom</w:t>
      </w:r>
      <w:r>
        <w:rPr>
          <w:rFonts w:eastAsia="Calibri"/>
          <w:sz w:val="22"/>
          <w:szCs w:val="22"/>
        </w:rPr>
        <w:t>ai</w:t>
      </w:r>
      <w:r w:rsidR="0003106B" w:rsidRPr="004F572A">
        <w:rPr>
          <w:rFonts w:eastAsia="Calibri"/>
          <w:sz w:val="22"/>
          <w:szCs w:val="22"/>
        </w:rPr>
        <w:t>, vairuodami ar valdydami mechanizmus turi būti atsargūs</w:t>
      </w:r>
      <w:r w:rsidR="000928CA" w:rsidRPr="004F572A">
        <w:rPr>
          <w:rFonts w:eastAsia="Calibri"/>
          <w:sz w:val="22"/>
          <w:szCs w:val="22"/>
        </w:rPr>
        <w:t xml:space="preserve">. </w:t>
      </w:r>
    </w:p>
    <w:p w14:paraId="7392B04C" w14:textId="77777777" w:rsidR="000928CA" w:rsidRPr="004F572A" w:rsidRDefault="000928CA" w:rsidP="000928CA">
      <w:pPr>
        <w:widowControl w:val="0"/>
        <w:tabs>
          <w:tab w:val="clear" w:pos="567"/>
        </w:tabs>
        <w:rPr>
          <w:sz w:val="22"/>
          <w:szCs w:val="22"/>
        </w:rPr>
      </w:pPr>
    </w:p>
    <w:p w14:paraId="5D823949" w14:textId="77777777" w:rsidR="000928CA" w:rsidRPr="004F572A" w:rsidRDefault="000928CA">
      <w:pPr>
        <w:widowControl w:val="0"/>
        <w:numPr>
          <w:ilvl w:val="1"/>
          <w:numId w:val="3"/>
        </w:numPr>
        <w:tabs>
          <w:tab w:val="clear" w:pos="567"/>
          <w:tab w:val="left" w:pos="542"/>
        </w:tabs>
        <w:ind w:left="542" w:hanging="577"/>
        <w:rPr>
          <w:rFonts w:eastAsia="Calibri"/>
          <w:sz w:val="22"/>
          <w:szCs w:val="22"/>
        </w:rPr>
      </w:pPr>
      <w:r w:rsidRPr="004F572A">
        <w:rPr>
          <w:rFonts w:eastAsia="Calibri"/>
          <w:b/>
          <w:bCs/>
          <w:sz w:val="22"/>
          <w:szCs w:val="22"/>
        </w:rPr>
        <w:t>Nepageidaujamas poveikis</w:t>
      </w:r>
    </w:p>
    <w:p w14:paraId="67DC9217" w14:textId="77777777" w:rsidR="000928CA" w:rsidRPr="004F572A" w:rsidRDefault="000928CA" w:rsidP="000928CA">
      <w:pPr>
        <w:widowControl w:val="0"/>
        <w:tabs>
          <w:tab w:val="clear" w:pos="567"/>
        </w:tabs>
        <w:rPr>
          <w:rFonts w:eastAsia="Calibri"/>
          <w:sz w:val="22"/>
          <w:szCs w:val="22"/>
        </w:rPr>
      </w:pPr>
    </w:p>
    <w:p w14:paraId="5E0424E9" w14:textId="77777777" w:rsidR="00162897" w:rsidRPr="004F572A" w:rsidRDefault="00162897" w:rsidP="00162897">
      <w:pPr>
        <w:widowControl w:val="0"/>
        <w:tabs>
          <w:tab w:val="clear" w:pos="567"/>
        </w:tabs>
        <w:rPr>
          <w:rFonts w:eastAsia="Calibri"/>
          <w:sz w:val="22"/>
          <w:szCs w:val="22"/>
          <w:u w:val="single"/>
        </w:rPr>
      </w:pPr>
      <w:r w:rsidRPr="004F572A">
        <w:rPr>
          <w:rFonts w:eastAsia="Calibri"/>
          <w:sz w:val="22"/>
          <w:szCs w:val="22"/>
          <w:u w:val="single"/>
        </w:rPr>
        <w:t>Saugumo duomenų santrauka</w:t>
      </w:r>
    </w:p>
    <w:p w14:paraId="614016B2" w14:textId="77777777" w:rsidR="00162897" w:rsidRPr="004F572A" w:rsidRDefault="00162897" w:rsidP="00162897">
      <w:pPr>
        <w:widowControl w:val="0"/>
        <w:tabs>
          <w:tab w:val="clear" w:pos="567"/>
        </w:tabs>
        <w:rPr>
          <w:rFonts w:eastAsia="Calibri"/>
          <w:i/>
          <w:iCs/>
          <w:sz w:val="22"/>
          <w:szCs w:val="22"/>
        </w:rPr>
      </w:pPr>
    </w:p>
    <w:p w14:paraId="6008EC6A" w14:textId="74865A38" w:rsidR="00162897" w:rsidRPr="004F572A" w:rsidRDefault="00162897" w:rsidP="00162897">
      <w:pPr>
        <w:widowControl w:val="0"/>
        <w:tabs>
          <w:tab w:val="clear" w:pos="567"/>
        </w:tabs>
        <w:rPr>
          <w:rFonts w:eastAsia="Calibri"/>
          <w:i/>
          <w:iCs/>
          <w:sz w:val="22"/>
          <w:szCs w:val="22"/>
          <w:u w:val="single"/>
        </w:rPr>
      </w:pPr>
      <w:r w:rsidRPr="004F572A">
        <w:rPr>
          <w:rFonts w:eastAsia="Calibri"/>
          <w:i/>
          <w:iCs/>
          <w:sz w:val="22"/>
          <w:szCs w:val="22"/>
          <w:u w:val="single"/>
        </w:rPr>
        <w:t>DSK</w:t>
      </w:r>
    </w:p>
    <w:p w14:paraId="6CCF5072" w14:textId="77777777" w:rsidR="00162897" w:rsidRPr="004F572A" w:rsidRDefault="00162897" w:rsidP="00162897">
      <w:pPr>
        <w:widowControl w:val="0"/>
        <w:tabs>
          <w:tab w:val="clear" w:pos="567"/>
        </w:tabs>
        <w:rPr>
          <w:rFonts w:eastAsia="Calibri"/>
          <w:sz w:val="22"/>
          <w:szCs w:val="22"/>
        </w:rPr>
      </w:pPr>
    </w:p>
    <w:p w14:paraId="51627C51" w14:textId="4D42BCC1" w:rsidR="00162897" w:rsidRPr="004F572A" w:rsidRDefault="00162897" w:rsidP="00162897">
      <w:pPr>
        <w:widowControl w:val="0"/>
        <w:tabs>
          <w:tab w:val="clear" w:pos="567"/>
        </w:tabs>
        <w:rPr>
          <w:rFonts w:eastAsia="Calibri"/>
          <w:sz w:val="22"/>
          <w:szCs w:val="22"/>
        </w:rPr>
      </w:pPr>
      <w:r w:rsidRPr="004F572A">
        <w:rPr>
          <w:rFonts w:eastAsia="Calibri"/>
          <w:sz w:val="22"/>
          <w:szCs w:val="22"/>
        </w:rPr>
        <w:t xml:space="preserve">Dažniausiai nustatytos nepageidaujamos reakcijos (pasireiškiančios ≥ 30 % pacientų) yra hipertenzija (68,6 %), viduriavimas (62,8 %), sumažėjęs apetitas (51,5 %), sumažėjęs svoris (49,1 %), nuovargis (45,8 %), pykinimas (44,5 %), </w:t>
      </w:r>
      <w:proofErr w:type="spellStart"/>
      <w:r w:rsidRPr="004F572A">
        <w:rPr>
          <w:rFonts w:eastAsia="Calibri"/>
          <w:sz w:val="22"/>
          <w:szCs w:val="22"/>
        </w:rPr>
        <w:t>proteinurija</w:t>
      </w:r>
      <w:proofErr w:type="spellEnd"/>
      <w:r w:rsidRPr="004F572A">
        <w:rPr>
          <w:rFonts w:eastAsia="Calibri"/>
          <w:sz w:val="22"/>
          <w:szCs w:val="22"/>
        </w:rPr>
        <w:t xml:space="preserve"> (36,9 %), stomatitas (35,8 %), vėmimas (34,5 %), </w:t>
      </w:r>
      <w:proofErr w:type="spellStart"/>
      <w:r w:rsidRPr="004F572A">
        <w:rPr>
          <w:rFonts w:eastAsia="Calibri"/>
          <w:sz w:val="22"/>
          <w:szCs w:val="22"/>
        </w:rPr>
        <w:t>disfonija</w:t>
      </w:r>
      <w:proofErr w:type="spellEnd"/>
      <w:r w:rsidRPr="004F572A">
        <w:rPr>
          <w:rFonts w:eastAsia="Calibri"/>
          <w:sz w:val="22"/>
          <w:szCs w:val="22"/>
        </w:rPr>
        <w:t xml:space="preserve"> (34,1 %), galvos skausmas (34,1 %) ir delnų-padų </w:t>
      </w:r>
      <w:proofErr w:type="spellStart"/>
      <w:r w:rsidRPr="004F572A">
        <w:rPr>
          <w:rFonts w:eastAsia="Calibri"/>
          <w:sz w:val="22"/>
          <w:szCs w:val="22"/>
        </w:rPr>
        <w:t>eritrodizestezijos</w:t>
      </w:r>
      <w:proofErr w:type="spellEnd"/>
      <w:r w:rsidRPr="004F572A">
        <w:rPr>
          <w:rFonts w:eastAsia="Calibri"/>
          <w:sz w:val="22"/>
          <w:szCs w:val="22"/>
        </w:rPr>
        <w:t xml:space="preserve"> (DPE) sindromas (32,7 %). Hipertenzija ir </w:t>
      </w:r>
      <w:proofErr w:type="spellStart"/>
      <w:r w:rsidRPr="004F572A">
        <w:rPr>
          <w:rFonts w:eastAsia="Calibri"/>
          <w:sz w:val="22"/>
          <w:szCs w:val="22"/>
        </w:rPr>
        <w:t>proteinurija</w:t>
      </w:r>
      <w:proofErr w:type="spellEnd"/>
      <w:r w:rsidRPr="004F572A">
        <w:rPr>
          <w:rFonts w:eastAsia="Calibri"/>
          <w:sz w:val="22"/>
          <w:szCs w:val="22"/>
        </w:rPr>
        <w:t xml:space="preserve"> paprastai pasireiškia ankst</w:t>
      </w:r>
      <w:r w:rsidR="003446A6">
        <w:rPr>
          <w:rFonts w:eastAsia="Calibri"/>
          <w:sz w:val="22"/>
          <w:szCs w:val="22"/>
        </w:rPr>
        <w:t>i</w:t>
      </w:r>
      <w:r w:rsidRPr="004F572A">
        <w:rPr>
          <w:rFonts w:eastAsia="Calibri"/>
          <w:sz w:val="22"/>
          <w:szCs w:val="22"/>
        </w:rPr>
        <w:t xml:space="preserve"> gydymo </w:t>
      </w:r>
      <w:proofErr w:type="spellStart"/>
      <w:r w:rsidRPr="004F572A">
        <w:rPr>
          <w:rFonts w:eastAsia="Calibri"/>
          <w:sz w:val="22"/>
          <w:szCs w:val="22"/>
        </w:rPr>
        <w:t>lenvatinibu</w:t>
      </w:r>
      <w:proofErr w:type="spellEnd"/>
      <w:r w:rsidRPr="004F572A">
        <w:rPr>
          <w:rFonts w:eastAsia="Calibri"/>
          <w:sz w:val="22"/>
          <w:szCs w:val="22"/>
        </w:rPr>
        <w:t xml:space="preserve"> </w:t>
      </w:r>
      <w:r w:rsidR="003446A6">
        <w:rPr>
          <w:rFonts w:eastAsia="Calibri"/>
          <w:sz w:val="22"/>
          <w:szCs w:val="22"/>
        </w:rPr>
        <w:t>metu</w:t>
      </w:r>
      <w:r w:rsidRPr="004F572A">
        <w:rPr>
          <w:rFonts w:eastAsia="Calibri"/>
          <w:sz w:val="22"/>
          <w:szCs w:val="22"/>
        </w:rPr>
        <w:t xml:space="preserve"> (žr. 4.4 ir 4.8 skyrius). Didžioji dalis 3 ar 4</w:t>
      </w:r>
      <w:r w:rsidR="00D53FC3">
        <w:rPr>
          <w:rFonts w:eastAsia="Calibri"/>
          <w:sz w:val="22"/>
          <w:szCs w:val="22"/>
        </w:rPr>
        <w:noBreakHyphen/>
      </w:r>
      <w:r w:rsidRPr="004F572A">
        <w:rPr>
          <w:rFonts w:eastAsia="Calibri"/>
          <w:sz w:val="22"/>
          <w:szCs w:val="22"/>
        </w:rPr>
        <w:t>ojo laipsnio nepageidaujamų reakcijų pasireiškė per pirmuosius 6</w:t>
      </w:r>
      <w:r w:rsidR="00D53FC3">
        <w:rPr>
          <w:rFonts w:eastAsia="Calibri"/>
          <w:sz w:val="22"/>
          <w:szCs w:val="22"/>
        </w:rPr>
        <w:t> </w:t>
      </w:r>
      <w:r w:rsidRPr="004F572A">
        <w:rPr>
          <w:rFonts w:eastAsia="Calibri"/>
          <w:sz w:val="22"/>
          <w:szCs w:val="22"/>
        </w:rPr>
        <w:t>gydymo mėnesius, išskyrus viduriavimą, kuris pasireiškė viso gydymo metu, ir svorio kritimą, kuris paprastai laikui bėgant pasireiškė vis labiau.</w:t>
      </w:r>
    </w:p>
    <w:p w14:paraId="26C4FD4F" w14:textId="77777777" w:rsidR="00162897" w:rsidRPr="004F572A" w:rsidRDefault="00162897" w:rsidP="00162897">
      <w:pPr>
        <w:widowControl w:val="0"/>
        <w:tabs>
          <w:tab w:val="clear" w:pos="567"/>
        </w:tabs>
        <w:rPr>
          <w:rFonts w:eastAsia="Calibri"/>
          <w:sz w:val="22"/>
          <w:szCs w:val="22"/>
        </w:rPr>
      </w:pPr>
    </w:p>
    <w:p w14:paraId="4A481926" w14:textId="36081CDD" w:rsidR="00162897" w:rsidRPr="004F572A" w:rsidRDefault="00162897" w:rsidP="00162897">
      <w:pPr>
        <w:widowControl w:val="0"/>
        <w:tabs>
          <w:tab w:val="clear" w:pos="567"/>
        </w:tabs>
        <w:rPr>
          <w:rFonts w:eastAsia="Calibri"/>
          <w:sz w:val="22"/>
          <w:szCs w:val="22"/>
        </w:rPr>
      </w:pPr>
      <w:r w:rsidRPr="004F572A">
        <w:rPr>
          <w:rFonts w:eastAsia="Calibri"/>
          <w:sz w:val="22"/>
          <w:szCs w:val="22"/>
        </w:rPr>
        <w:t xml:space="preserve">Svarbiausios sunkios nepageidaujamos reakcijos buvo inkstų nepakankamumas ir funkcijos sutrikimas (2,4 %), arterinės tromboembolijos (3,9 %), širdies nepakankamumas (0,7 %), </w:t>
      </w:r>
      <w:proofErr w:type="spellStart"/>
      <w:r w:rsidRPr="004F572A">
        <w:rPr>
          <w:rFonts w:eastAsia="Calibri"/>
          <w:sz w:val="22"/>
          <w:szCs w:val="22"/>
        </w:rPr>
        <w:t>intrakranijinis</w:t>
      </w:r>
      <w:proofErr w:type="spellEnd"/>
      <w:r w:rsidRPr="004F572A">
        <w:rPr>
          <w:rFonts w:eastAsia="Calibri"/>
          <w:sz w:val="22"/>
          <w:szCs w:val="22"/>
        </w:rPr>
        <w:t xml:space="preserve"> naviko kraujavimas (0,7 %), GUES / GULS (0,2 %), kepenų nepakankamumas (0,2 %) ir arterinė tromboembolija (</w:t>
      </w:r>
      <w:proofErr w:type="spellStart"/>
      <w:r w:rsidRPr="004F572A">
        <w:rPr>
          <w:rFonts w:eastAsia="Calibri"/>
          <w:sz w:val="22"/>
          <w:szCs w:val="22"/>
        </w:rPr>
        <w:t>cerebrovaskulinis</w:t>
      </w:r>
      <w:proofErr w:type="spellEnd"/>
      <w:r w:rsidRPr="004F572A">
        <w:rPr>
          <w:rFonts w:eastAsia="Calibri"/>
          <w:sz w:val="22"/>
          <w:szCs w:val="22"/>
        </w:rPr>
        <w:t xml:space="preserve"> reiškinys </w:t>
      </w:r>
      <w:r w:rsidR="003D14D3">
        <w:rPr>
          <w:rFonts w:eastAsia="Calibri"/>
          <w:sz w:val="22"/>
          <w:szCs w:val="22"/>
        </w:rPr>
        <w:t>[</w:t>
      </w:r>
      <w:r w:rsidRPr="004F572A">
        <w:rPr>
          <w:rFonts w:eastAsia="Calibri"/>
          <w:sz w:val="22"/>
          <w:szCs w:val="22"/>
        </w:rPr>
        <w:t>1,1 %</w:t>
      </w:r>
      <w:r w:rsidR="003D14D3">
        <w:rPr>
          <w:rFonts w:eastAsia="Calibri"/>
          <w:sz w:val="22"/>
          <w:szCs w:val="22"/>
        </w:rPr>
        <w:t>]</w:t>
      </w:r>
      <w:r w:rsidRPr="004F572A">
        <w:rPr>
          <w:rFonts w:eastAsia="Calibri"/>
          <w:sz w:val="22"/>
          <w:szCs w:val="22"/>
        </w:rPr>
        <w:t>, praeinant</w:t>
      </w:r>
      <w:r w:rsidR="003446A6">
        <w:rPr>
          <w:rFonts w:eastAsia="Calibri"/>
          <w:sz w:val="22"/>
          <w:szCs w:val="22"/>
        </w:rPr>
        <w:t>ys</w:t>
      </w:r>
      <w:r w:rsidRPr="004F572A">
        <w:rPr>
          <w:rFonts w:eastAsia="Calibri"/>
          <w:sz w:val="22"/>
          <w:szCs w:val="22"/>
        </w:rPr>
        <w:t xml:space="preserve">is smegenų išemijos priepuolis </w:t>
      </w:r>
      <w:r w:rsidR="003D14D3">
        <w:rPr>
          <w:rFonts w:eastAsia="Calibri"/>
          <w:sz w:val="22"/>
          <w:szCs w:val="22"/>
        </w:rPr>
        <w:t>[</w:t>
      </w:r>
      <w:r w:rsidRPr="004F572A">
        <w:rPr>
          <w:rFonts w:eastAsia="Calibri"/>
          <w:sz w:val="22"/>
          <w:szCs w:val="22"/>
        </w:rPr>
        <w:t>0,7 %</w:t>
      </w:r>
      <w:r w:rsidR="003D14D3">
        <w:rPr>
          <w:rFonts w:eastAsia="Calibri"/>
          <w:sz w:val="22"/>
          <w:szCs w:val="22"/>
        </w:rPr>
        <w:t>]</w:t>
      </w:r>
      <w:r w:rsidRPr="004F572A">
        <w:rPr>
          <w:rFonts w:eastAsia="Calibri"/>
          <w:sz w:val="22"/>
          <w:szCs w:val="22"/>
        </w:rPr>
        <w:t xml:space="preserve"> ir miokardo infarktas </w:t>
      </w:r>
      <w:r w:rsidR="003D14D3">
        <w:rPr>
          <w:rFonts w:eastAsia="Calibri"/>
          <w:sz w:val="22"/>
          <w:szCs w:val="22"/>
        </w:rPr>
        <w:t>[</w:t>
      </w:r>
      <w:r w:rsidRPr="004F572A">
        <w:rPr>
          <w:rFonts w:eastAsia="Calibri"/>
          <w:sz w:val="22"/>
          <w:szCs w:val="22"/>
        </w:rPr>
        <w:t>0,9 %</w:t>
      </w:r>
      <w:r w:rsidR="003D14D3">
        <w:rPr>
          <w:rFonts w:eastAsia="Calibri"/>
          <w:sz w:val="22"/>
          <w:szCs w:val="22"/>
        </w:rPr>
        <w:t>]</w:t>
      </w:r>
      <w:r w:rsidRPr="004F572A">
        <w:rPr>
          <w:rFonts w:eastAsia="Calibri"/>
          <w:sz w:val="22"/>
          <w:szCs w:val="22"/>
        </w:rPr>
        <w:t>).</w:t>
      </w:r>
    </w:p>
    <w:p w14:paraId="35995BA8" w14:textId="77777777" w:rsidR="00162897" w:rsidRPr="004F572A" w:rsidRDefault="00162897" w:rsidP="00162897">
      <w:pPr>
        <w:widowControl w:val="0"/>
        <w:tabs>
          <w:tab w:val="clear" w:pos="567"/>
        </w:tabs>
        <w:rPr>
          <w:rFonts w:eastAsia="Calibri"/>
          <w:sz w:val="22"/>
          <w:szCs w:val="22"/>
        </w:rPr>
      </w:pPr>
    </w:p>
    <w:p w14:paraId="4AF9ABF5" w14:textId="3658176D" w:rsidR="00162897" w:rsidRPr="004F572A" w:rsidRDefault="00162897" w:rsidP="00162897">
      <w:pPr>
        <w:widowControl w:val="0"/>
        <w:tabs>
          <w:tab w:val="clear" w:pos="567"/>
        </w:tabs>
        <w:rPr>
          <w:rFonts w:eastAsia="Calibri"/>
          <w:sz w:val="22"/>
          <w:szCs w:val="22"/>
        </w:rPr>
      </w:pPr>
      <w:r w:rsidRPr="004F572A">
        <w:rPr>
          <w:rFonts w:eastAsia="Calibri"/>
          <w:sz w:val="22"/>
          <w:szCs w:val="22"/>
        </w:rPr>
        <w:t>452</w:t>
      </w:r>
      <w:r w:rsidR="00D53FC3">
        <w:rPr>
          <w:rFonts w:eastAsia="Calibri"/>
          <w:sz w:val="22"/>
          <w:szCs w:val="22"/>
        </w:rPr>
        <w:t> </w:t>
      </w:r>
      <w:r w:rsidRPr="004F572A">
        <w:rPr>
          <w:rFonts w:eastAsia="Calibri"/>
          <w:sz w:val="22"/>
          <w:szCs w:val="22"/>
        </w:rPr>
        <w:t>pacient</w:t>
      </w:r>
      <w:r w:rsidR="003446A6">
        <w:rPr>
          <w:rFonts w:eastAsia="Calibri"/>
          <w:sz w:val="22"/>
          <w:szCs w:val="22"/>
        </w:rPr>
        <w:t>ams</w:t>
      </w:r>
      <w:r w:rsidRPr="004F572A">
        <w:rPr>
          <w:rFonts w:eastAsia="Calibri"/>
          <w:sz w:val="22"/>
          <w:szCs w:val="22"/>
        </w:rPr>
        <w:t xml:space="preserve">, </w:t>
      </w:r>
      <w:r w:rsidR="00C8439E" w:rsidRPr="004F572A">
        <w:rPr>
          <w:rFonts w:eastAsia="Calibri"/>
          <w:sz w:val="22"/>
          <w:szCs w:val="22"/>
        </w:rPr>
        <w:t>sergan</w:t>
      </w:r>
      <w:r w:rsidR="00381CA1">
        <w:rPr>
          <w:rFonts w:eastAsia="Calibri"/>
          <w:sz w:val="22"/>
          <w:szCs w:val="22"/>
        </w:rPr>
        <w:t>t</w:t>
      </w:r>
      <w:r w:rsidR="003446A6">
        <w:rPr>
          <w:rFonts w:eastAsia="Calibri"/>
          <w:sz w:val="22"/>
          <w:szCs w:val="22"/>
        </w:rPr>
        <w:t>iems</w:t>
      </w:r>
      <w:r w:rsidR="00C8439E" w:rsidRPr="004F572A">
        <w:rPr>
          <w:rFonts w:eastAsia="Calibri"/>
          <w:sz w:val="22"/>
          <w:szCs w:val="22"/>
        </w:rPr>
        <w:t xml:space="preserve"> DSK</w:t>
      </w:r>
      <w:r w:rsidRPr="004F572A">
        <w:rPr>
          <w:rFonts w:eastAsia="Calibri"/>
          <w:sz w:val="22"/>
          <w:szCs w:val="22"/>
        </w:rPr>
        <w:t xml:space="preserve">, </w:t>
      </w:r>
      <w:r w:rsidR="00381CA1" w:rsidRPr="00381CA1">
        <w:rPr>
          <w:rFonts w:eastAsia="Calibri"/>
          <w:sz w:val="22"/>
          <w:szCs w:val="22"/>
        </w:rPr>
        <w:t>nepaveikiama gydymo RAJ,</w:t>
      </w:r>
      <w:r w:rsidR="00381CA1">
        <w:rPr>
          <w:rFonts w:eastAsia="Calibri"/>
          <w:sz w:val="22"/>
          <w:szCs w:val="22"/>
        </w:rPr>
        <w:t xml:space="preserve"> </w:t>
      </w:r>
      <w:r w:rsidRPr="004F572A">
        <w:rPr>
          <w:rFonts w:eastAsia="Calibri"/>
          <w:sz w:val="22"/>
          <w:szCs w:val="22"/>
        </w:rPr>
        <w:t xml:space="preserve">nepageidaujamai reakcijai </w:t>
      </w:r>
      <w:r w:rsidR="00381CA1">
        <w:rPr>
          <w:rFonts w:eastAsia="Calibri"/>
          <w:sz w:val="22"/>
          <w:szCs w:val="22"/>
        </w:rPr>
        <w:t>gydyti</w:t>
      </w:r>
      <w:r w:rsidRPr="004F572A">
        <w:rPr>
          <w:rFonts w:eastAsia="Calibri"/>
          <w:sz w:val="22"/>
          <w:szCs w:val="22"/>
        </w:rPr>
        <w:t xml:space="preserve"> buvo mažinama dozė ir nutraukiamas vaistinio preparato vartojimas atitinkamai 63,1</w:t>
      </w:r>
      <w:r w:rsidR="00F80EA4" w:rsidRPr="004F572A">
        <w:rPr>
          <w:rFonts w:eastAsia="Calibri"/>
          <w:sz w:val="22"/>
          <w:szCs w:val="22"/>
        </w:rPr>
        <w:t> </w:t>
      </w:r>
      <w:r w:rsidRPr="004F572A">
        <w:rPr>
          <w:rFonts w:eastAsia="Calibri"/>
          <w:sz w:val="22"/>
          <w:szCs w:val="22"/>
        </w:rPr>
        <w:t>% ir 19,5</w:t>
      </w:r>
      <w:r w:rsidR="00F80EA4" w:rsidRPr="004F572A">
        <w:rPr>
          <w:rFonts w:eastAsia="Calibri"/>
          <w:sz w:val="22"/>
          <w:szCs w:val="22"/>
        </w:rPr>
        <w:t> </w:t>
      </w:r>
      <w:r w:rsidRPr="004F572A">
        <w:rPr>
          <w:rFonts w:eastAsia="Calibri"/>
          <w:sz w:val="22"/>
          <w:szCs w:val="22"/>
        </w:rPr>
        <w:t>% pacientų. Nepageidaujamos reakcijos, dėl kurių dažniausiai reikėjo mažinti dozę (≥</w:t>
      </w:r>
      <w:r w:rsidR="00F80EA4" w:rsidRPr="004F572A">
        <w:rPr>
          <w:rFonts w:eastAsia="Calibri"/>
          <w:sz w:val="22"/>
          <w:szCs w:val="22"/>
        </w:rPr>
        <w:t> </w:t>
      </w:r>
      <w:r w:rsidRPr="004F572A">
        <w:rPr>
          <w:rFonts w:eastAsia="Calibri"/>
          <w:sz w:val="22"/>
          <w:szCs w:val="22"/>
        </w:rPr>
        <w:t>5</w:t>
      </w:r>
      <w:r w:rsidR="00F80EA4" w:rsidRPr="004F572A">
        <w:rPr>
          <w:rFonts w:eastAsia="Calibri"/>
          <w:sz w:val="22"/>
          <w:szCs w:val="22"/>
        </w:rPr>
        <w:t> </w:t>
      </w:r>
      <w:r w:rsidRPr="004F572A">
        <w:rPr>
          <w:rFonts w:eastAsia="Calibri"/>
          <w:sz w:val="22"/>
          <w:szCs w:val="22"/>
        </w:rPr>
        <w:t xml:space="preserve">% pacientų), buvo hipertenzija, </w:t>
      </w:r>
      <w:proofErr w:type="spellStart"/>
      <w:r w:rsidRPr="004F572A">
        <w:rPr>
          <w:rFonts w:eastAsia="Calibri"/>
          <w:sz w:val="22"/>
          <w:szCs w:val="22"/>
        </w:rPr>
        <w:t>proteinurija</w:t>
      </w:r>
      <w:proofErr w:type="spellEnd"/>
      <w:r w:rsidRPr="004F572A">
        <w:rPr>
          <w:rFonts w:eastAsia="Calibri"/>
          <w:sz w:val="22"/>
          <w:szCs w:val="22"/>
        </w:rPr>
        <w:t xml:space="preserve">, viduriavimas, nuovargis, DPE, sumažėjęs svoris ir sumažėjęs apetitas. Nepageidaujamos reakcijos, dėl kurių dažniausiai reikėjo nutraukti </w:t>
      </w:r>
      <w:proofErr w:type="spellStart"/>
      <w:r w:rsidRPr="004F572A">
        <w:rPr>
          <w:rFonts w:eastAsia="Calibri"/>
          <w:sz w:val="22"/>
          <w:szCs w:val="22"/>
        </w:rPr>
        <w:t>lenvatinibo</w:t>
      </w:r>
      <w:proofErr w:type="spellEnd"/>
      <w:r w:rsidRPr="004F572A">
        <w:rPr>
          <w:rFonts w:eastAsia="Calibri"/>
          <w:sz w:val="22"/>
          <w:szCs w:val="22"/>
        </w:rPr>
        <w:t xml:space="preserve"> vartojimą, buvo </w:t>
      </w:r>
      <w:proofErr w:type="spellStart"/>
      <w:r w:rsidRPr="004F572A">
        <w:rPr>
          <w:rFonts w:eastAsia="Calibri"/>
          <w:sz w:val="22"/>
          <w:szCs w:val="22"/>
        </w:rPr>
        <w:t>proteinurija</w:t>
      </w:r>
      <w:proofErr w:type="spellEnd"/>
      <w:r w:rsidRPr="004F572A">
        <w:rPr>
          <w:rFonts w:eastAsia="Calibri"/>
          <w:sz w:val="22"/>
          <w:szCs w:val="22"/>
        </w:rPr>
        <w:t xml:space="preserve">, </w:t>
      </w:r>
      <w:proofErr w:type="spellStart"/>
      <w:r w:rsidRPr="004F572A">
        <w:rPr>
          <w:rFonts w:eastAsia="Calibri"/>
          <w:sz w:val="22"/>
          <w:szCs w:val="22"/>
        </w:rPr>
        <w:t>astenija</w:t>
      </w:r>
      <w:proofErr w:type="spellEnd"/>
      <w:r w:rsidRPr="004F572A">
        <w:rPr>
          <w:rFonts w:eastAsia="Calibri"/>
          <w:sz w:val="22"/>
          <w:szCs w:val="22"/>
        </w:rPr>
        <w:t xml:space="preserve">, hipertenzija, </w:t>
      </w:r>
      <w:proofErr w:type="spellStart"/>
      <w:r w:rsidRPr="004F572A">
        <w:rPr>
          <w:rFonts w:eastAsia="Calibri"/>
          <w:sz w:val="22"/>
          <w:szCs w:val="22"/>
        </w:rPr>
        <w:t>cerebrovaskulinis</w:t>
      </w:r>
      <w:proofErr w:type="spellEnd"/>
      <w:r w:rsidRPr="004F572A">
        <w:rPr>
          <w:rFonts w:eastAsia="Calibri"/>
          <w:sz w:val="22"/>
          <w:szCs w:val="22"/>
        </w:rPr>
        <w:t xml:space="preserve"> reiškinys, viduriavimas ir plaučių embolija.</w:t>
      </w:r>
    </w:p>
    <w:p w14:paraId="0AAE1F86" w14:textId="77777777" w:rsidR="00F80EA4" w:rsidRPr="004F572A" w:rsidRDefault="00F80EA4" w:rsidP="00162897">
      <w:pPr>
        <w:widowControl w:val="0"/>
        <w:tabs>
          <w:tab w:val="clear" w:pos="567"/>
        </w:tabs>
        <w:rPr>
          <w:rFonts w:eastAsia="Calibri"/>
          <w:i/>
          <w:iCs/>
          <w:sz w:val="22"/>
          <w:szCs w:val="22"/>
        </w:rPr>
      </w:pPr>
    </w:p>
    <w:p w14:paraId="619B59D0" w14:textId="3074C4C9" w:rsidR="00162897" w:rsidRPr="004F572A" w:rsidRDefault="00162897" w:rsidP="00162897">
      <w:pPr>
        <w:widowControl w:val="0"/>
        <w:tabs>
          <w:tab w:val="clear" w:pos="567"/>
        </w:tabs>
        <w:rPr>
          <w:rFonts w:eastAsia="Calibri"/>
          <w:sz w:val="22"/>
          <w:szCs w:val="22"/>
          <w:u w:val="single"/>
        </w:rPr>
      </w:pPr>
      <w:r w:rsidRPr="004F572A">
        <w:rPr>
          <w:rFonts w:eastAsia="Calibri"/>
          <w:i/>
          <w:iCs/>
          <w:sz w:val="22"/>
          <w:szCs w:val="22"/>
          <w:u w:val="single"/>
        </w:rPr>
        <w:t>HCK</w:t>
      </w:r>
    </w:p>
    <w:p w14:paraId="42515BDE" w14:textId="77777777" w:rsidR="00162897" w:rsidRPr="004F572A" w:rsidRDefault="00162897" w:rsidP="000928CA">
      <w:pPr>
        <w:widowControl w:val="0"/>
        <w:tabs>
          <w:tab w:val="clear" w:pos="567"/>
        </w:tabs>
        <w:rPr>
          <w:rFonts w:eastAsia="Calibri"/>
          <w:sz w:val="22"/>
          <w:szCs w:val="22"/>
        </w:rPr>
      </w:pPr>
    </w:p>
    <w:p w14:paraId="6F6CAF8C" w14:textId="53D37271" w:rsidR="00F80EA4" w:rsidRPr="004F572A" w:rsidRDefault="00381CA1" w:rsidP="00F80EA4">
      <w:pPr>
        <w:widowControl w:val="0"/>
        <w:tabs>
          <w:tab w:val="clear" w:pos="567"/>
        </w:tabs>
        <w:rPr>
          <w:rFonts w:eastAsia="Calibri"/>
          <w:sz w:val="22"/>
          <w:szCs w:val="22"/>
        </w:rPr>
      </w:pPr>
      <w:r w:rsidRPr="00381CA1">
        <w:rPr>
          <w:rFonts w:eastAsia="Calibri"/>
          <w:sz w:val="22"/>
          <w:szCs w:val="22"/>
        </w:rPr>
        <w:t>Dažniausiai užregistruotos</w:t>
      </w:r>
      <w:r>
        <w:rPr>
          <w:rFonts w:eastAsia="Calibri"/>
          <w:sz w:val="22"/>
          <w:szCs w:val="22"/>
        </w:rPr>
        <w:t xml:space="preserve"> n</w:t>
      </w:r>
      <w:r w:rsidR="00F80EA4" w:rsidRPr="004F572A">
        <w:rPr>
          <w:rFonts w:eastAsia="Calibri"/>
          <w:sz w:val="22"/>
          <w:szCs w:val="22"/>
        </w:rPr>
        <w:t>epageidaujamos reakcijos</w:t>
      </w:r>
      <w:r>
        <w:rPr>
          <w:rFonts w:eastAsia="Calibri"/>
          <w:sz w:val="22"/>
          <w:szCs w:val="22"/>
        </w:rPr>
        <w:t xml:space="preserve"> </w:t>
      </w:r>
      <w:r w:rsidR="00F80EA4" w:rsidRPr="004F572A">
        <w:rPr>
          <w:rFonts w:eastAsia="Calibri"/>
          <w:sz w:val="22"/>
          <w:szCs w:val="22"/>
        </w:rPr>
        <w:t>(pasire</w:t>
      </w:r>
      <w:r w:rsidR="00C625F4" w:rsidRPr="004F572A">
        <w:rPr>
          <w:rFonts w:eastAsia="Calibri"/>
          <w:sz w:val="22"/>
          <w:szCs w:val="22"/>
        </w:rPr>
        <w:t>i</w:t>
      </w:r>
      <w:r w:rsidR="00F80EA4" w:rsidRPr="004F572A">
        <w:rPr>
          <w:rFonts w:eastAsia="Calibri"/>
          <w:sz w:val="22"/>
          <w:szCs w:val="22"/>
        </w:rPr>
        <w:t xml:space="preserve">škusios ≥ 30 % pacientų) buvo hipertenzija </w:t>
      </w:r>
      <w:r>
        <w:rPr>
          <w:rFonts w:eastAsia="Calibri"/>
          <w:sz w:val="22"/>
          <w:szCs w:val="22"/>
        </w:rPr>
        <w:t>(</w:t>
      </w:r>
      <w:r w:rsidR="00F80EA4" w:rsidRPr="004F572A">
        <w:rPr>
          <w:rFonts w:eastAsia="Calibri"/>
          <w:sz w:val="22"/>
          <w:szCs w:val="22"/>
        </w:rPr>
        <w:t>44,0 %), viduriavimas (38,1 %), sumažėjęs apetitas (34,9 %), nuovargis (30,6</w:t>
      </w:r>
      <w:r w:rsidR="00D53FC3">
        <w:rPr>
          <w:rFonts w:eastAsia="Calibri"/>
          <w:sz w:val="22"/>
          <w:szCs w:val="22"/>
        </w:rPr>
        <w:t> </w:t>
      </w:r>
      <w:r w:rsidR="00F80EA4" w:rsidRPr="004F572A">
        <w:rPr>
          <w:rFonts w:eastAsia="Calibri"/>
          <w:sz w:val="22"/>
          <w:szCs w:val="22"/>
        </w:rPr>
        <w:t>%) ir sumažėjęs svoris (30,4 %).</w:t>
      </w:r>
    </w:p>
    <w:p w14:paraId="53AD73F1" w14:textId="77777777" w:rsidR="00F80EA4" w:rsidRPr="004F572A" w:rsidRDefault="00F80EA4" w:rsidP="00F80EA4">
      <w:pPr>
        <w:widowControl w:val="0"/>
        <w:tabs>
          <w:tab w:val="clear" w:pos="567"/>
        </w:tabs>
        <w:rPr>
          <w:rFonts w:eastAsia="Calibri"/>
          <w:sz w:val="22"/>
          <w:szCs w:val="22"/>
        </w:rPr>
      </w:pPr>
    </w:p>
    <w:p w14:paraId="379781D9" w14:textId="19EC7951" w:rsidR="00F80EA4" w:rsidRPr="004F572A" w:rsidRDefault="00F80EA4" w:rsidP="00F80EA4">
      <w:pPr>
        <w:widowControl w:val="0"/>
        <w:tabs>
          <w:tab w:val="clear" w:pos="567"/>
        </w:tabs>
        <w:rPr>
          <w:rFonts w:eastAsia="Calibri"/>
          <w:sz w:val="22"/>
          <w:szCs w:val="22"/>
        </w:rPr>
      </w:pPr>
      <w:r w:rsidRPr="006A4622">
        <w:rPr>
          <w:rFonts w:eastAsia="Calibri"/>
          <w:sz w:val="22"/>
          <w:szCs w:val="22"/>
        </w:rPr>
        <w:t>Svarbiausios sunkios nepageidaujamos reakcijos</w:t>
      </w:r>
      <w:r w:rsidRPr="004F572A">
        <w:rPr>
          <w:rFonts w:eastAsia="Calibri"/>
          <w:sz w:val="22"/>
          <w:szCs w:val="22"/>
        </w:rPr>
        <w:t xml:space="preserve"> buvo kepenų nepakankamumas (2,8</w:t>
      </w:r>
      <w:r w:rsidR="00C9577B" w:rsidRPr="004F572A">
        <w:rPr>
          <w:rFonts w:eastAsia="Calibri"/>
          <w:sz w:val="22"/>
          <w:szCs w:val="22"/>
        </w:rPr>
        <w:t> </w:t>
      </w:r>
      <w:r w:rsidRPr="004F572A">
        <w:rPr>
          <w:rFonts w:eastAsia="Calibri"/>
          <w:sz w:val="22"/>
          <w:szCs w:val="22"/>
        </w:rPr>
        <w:t xml:space="preserve">%), </w:t>
      </w:r>
      <w:proofErr w:type="spellStart"/>
      <w:r w:rsidRPr="004F572A">
        <w:rPr>
          <w:rFonts w:eastAsia="Calibri"/>
          <w:sz w:val="22"/>
          <w:szCs w:val="22"/>
        </w:rPr>
        <w:t>hepatinė</w:t>
      </w:r>
      <w:proofErr w:type="spellEnd"/>
      <w:r w:rsidRPr="004F572A">
        <w:rPr>
          <w:rFonts w:eastAsia="Calibri"/>
          <w:sz w:val="22"/>
          <w:szCs w:val="22"/>
        </w:rPr>
        <w:t xml:space="preserve"> </w:t>
      </w:r>
      <w:proofErr w:type="spellStart"/>
      <w:r w:rsidRPr="004F572A">
        <w:rPr>
          <w:rFonts w:eastAsia="Calibri"/>
          <w:sz w:val="22"/>
          <w:szCs w:val="22"/>
        </w:rPr>
        <w:t>encefalopatija</w:t>
      </w:r>
      <w:proofErr w:type="spellEnd"/>
      <w:r w:rsidRPr="004F572A">
        <w:rPr>
          <w:rFonts w:eastAsia="Calibri"/>
          <w:sz w:val="22"/>
          <w:szCs w:val="22"/>
        </w:rPr>
        <w:t xml:space="preserve"> (4,6</w:t>
      </w:r>
      <w:r w:rsidR="00C9577B" w:rsidRPr="004F572A">
        <w:rPr>
          <w:rFonts w:eastAsia="Calibri"/>
          <w:sz w:val="22"/>
          <w:szCs w:val="22"/>
        </w:rPr>
        <w:t> </w:t>
      </w:r>
      <w:r w:rsidRPr="004F572A">
        <w:rPr>
          <w:rFonts w:eastAsia="Calibri"/>
          <w:sz w:val="22"/>
          <w:szCs w:val="22"/>
        </w:rPr>
        <w:t xml:space="preserve">%), kraujavimas iš </w:t>
      </w:r>
      <w:proofErr w:type="spellStart"/>
      <w:r w:rsidRPr="004F572A">
        <w:rPr>
          <w:rFonts w:eastAsia="Calibri"/>
          <w:sz w:val="22"/>
          <w:szCs w:val="22"/>
        </w:rPr>
        <w:t>varikozinių</w:t>
      </w:r>
      <w:proofErr w:type="spellEnd"/>
      <w:r w:rsidRPr="004F572A">
        <w:rPr>
          <w:rFonts w:eastAsia="Calibri"/>
          <w:sz w:val="22"/>
          <w:szCs w:val="22"/>
        </w:rPr>
        <w:t xml:space="preserve"> stemplės venų (1,4</w:t>
      </w:r>
      <w:r w:rsidR="00C9577B" w:rsidRPr="004F572A">
        <w:rPr>
          <w:rFonts w:eastAsia="Calibri"/>
          <w:sz w:val="22"/>
          <w:szCs w:val="22"/>
        </w:rPr>
        <w:t> </w:t>
      </w:r>
      <w:r w:rsidRPr="004F572A">
        <w:rPr>
          <w:rFonts w:eastAsia="Calibri"/>
          <w:sz w:val="22"/>
          <w:szCs w:val="22"/>
        </w:rPr>
        <w:t>%), kraujavimas į smegenis (0,6</w:t>
      </w:r>
      <w:r w:rsidR="00C9577B" w:rsidRPr="004F572A">
        <w:rPr>
          <w:rFonts w:eastAsia="Calibri"/>
          <w:sz w:val="22"/>
          <w:szCs w:val="22"/>
        </w:rPr>
        <w:t> </w:t>
      </w:r>
      <w:r w:rsidRPr="004F572A">
        <w:rPr>
          <w:rFonts w:eastAsia="Calibri"/>
          <w:sz w:val="22"/>
          <w:szCs w:val="22"/>
        </w:rPr>
        <w:t xml:space="preserve">%), arterijų tromboembolijos </w:t>
      </w:r>
      <w:r w:rsidR="00C9577B" w:rsidRPr="004F572A">
        <w:rPr>
          <w:rFonts w:eastAsia="Calibri"/>
          <w:sz w:val="22"/>
          <w:szCs w:val="22"/>
        </w:rPr>
        <w:t>reiškiniai</w:t>
      </w:r>
      <w:r w:rsidRPr="004F572A">
        <w:rPr>
          <w:rFonts w:eastAsia="Calibri"/>
          <w:sz w:val="22"/>
          <w:szCs w:val="22"/>
        </w:rPr>
        <w:t xml:space="preserve"> (2,0</w:t>
      </w:r>
      <w:r w:rsidR="00C9577B" w:rsidRPr="004F572A">
        <w:rPr>
          <w:rFonts w:eastAsia="Calibri"/>
          <w:sz w:val="22"/>
          <w:szCs w:val="22"/>
        </w:rPr>
        <w:t> </w:t>
      </w:r>
      <w:r w:rsidRPr="004F572A">
        <w:rPr>
          <w:rFonts w:eastAsia="Calibri"/>
          <w:sz w:val="22"/>
          <w:szCs w:val="22"/>
        </w:rPr>
        <w:t>%), įskaitant miokardo infarktą (0,8</w:t>
      </w:r>
      <w:r w:rsidR="00C9577B" w:rsidRPr="004F572A">
        <w:rPr>
          <w:rFonts w:eastAsia="Calibri"/>
          <w:sz w:val="22"/>
          <w:szCs w:val="22"/>
        </w:rPr>
        <w:t> </w:t>
      </w:r>
      <w:r w:rsidRPr="004F572A">
        <w:rPr>
          <w:rFonts w:eastAsia="Calibri"/>
          <w:sz w:val="22"/>
          <w:szCs w:val="22"/>
        </w:rPr>
        <w:t>%)</w:t>
      </w:r>
      <w:r w:rsidR="00381CA1">
        <w:rPr>
          <w:rFonts w:eastAsia="Calibri"/>
          <w:sz w:val="22"/>
          <w:szCs w:val="22"/>
        </w:rPr>
        <w:t>,</w:t>
      </w:r>
      <w:r w:rsidRPr="004F572A">
        <w:rPr>
          <w:rFonts w:eastAsia="Calibri"/>
          <w:sz w:val="22"/>
          <w:szCs w:val="22"/>
        </w:rPr>
        <w:t xml:space="preserve"> smegenų infarktą (0,4</w:t>
      </w:r>
      <w:r w:rsidR="00D53FC3">
        <w:rPr>
          <w:rFonts w:eastAsia="Calibri"/>
          <w:sz w:val="22"/>
          <w:szCs w:val="22"/>
        </w:rPr>
        <w:t> </w:t>
      </w:r>
      <w:r w:rsidRPr="004F572A">
        <w:rPr>
          <w:rFonts w:eastAsia="Calibri"/>
          <w:sz w:val="22"/>
          <w:szCs w:val="22"/>
        </w:rPr>
        <w:t>%) ir smegenų kraujagyslių sutrikimą (0,4</w:t>
      </w:r>
      <w:r w:rsidR="00C9577B" w:rsidRPr="004F572A">
        <w:rPr>
          <w:rFonts w:eastAsia="Calibri"/>
          <w:sz w:val="22"/>
          <w:szCs w:val="22"/>
        </w:rPr>
        <w:t> </w:t>
      </w:r>
      <w:r w:rsidRPr="004F572A">
        <w:rPr>
          <w:rFonts w:eastAsia="Calibri"/>
          <w:sz w:val="22"/>
          <w:szCs w:val="22"/>
        </w:rPr>
        <w:t xml:space="preserve">%) bei inkstų funkcijos surikimo ar nepakankamumo </w:t>
      </w:r>
      <w:r w:rsidR="00C9577B" w:rsidRPr="004F572A">
        <w:rPr>
          <w:rFonts w:eastAsia="Calibri"/>
          <w:sz w:val="22"/>
          <w:szCs w:val="22"/>
        </w:rPr>
        <w:t>reiškinia</w:t>
      </w:r>
      <w:r w:rsidRPr="004F572A">
        <w:rPr>
          <w:rFonts w:eastAsia="Calibri"/>
          <w:sz w:val="22"/>
          <w:szCs w:val="22"/>
        </w:rPr>
        <w:t>i (1,4</w:t>
      </w:r>
      <w:r w:rsidR="00C9577B" w:rsidRPr="004F572A">
        <w:rPr>
          <w:rFonts w:eastAsia="Calibri"/>
          <w:sz w:val="22"/>
          <w:szCs w:val="22"/>
        </w:rPr>
        <w:t> </w:t>
      </w:r>
      <w:r w:rsidRPr="004F572A">
        <w:rPr>
          <w:rFonts w:eastAsia="Calibri"/>
          <w:sz w:val="22"/>
          <w:szCs w:val="22"/>
        </w:rPr>
        <w:t xml:space="preserve">%). HCK sergantiems pacientams </w:t>
      </w:r>
      <w:r w:rsidR="00381CA1" w:rsidRPr="00381CA1">
        <w:rPr>
          <w:rFonts w:eastAsia="Calibri"/>
          <w:sz w:val="22"/>
          <w:szCs w:val="22"/>
        </w:rPr>
        <w:t xml:space="preserve">dažniau užregistruota sumažėjusio </w:t>
      </w:r>
      <w:proofErr w:type="spellStart"/>
      <w:r w:rsidR="00381CA1" w:rsidRPr="00381CA1">
        <w:rPr>
          <w:rFonts w:eastAsia="Calibri"/>
          <w:sz w:val="22"/>
          <w:szCs w:val="22"/>
        </w:rPr>
        <w:t>neutrofilų</w:t>
      </w:r>
      <w:proofErr w:type="spellEnd"/>
      <w:r w:rsidR="00381CA1" w:rsidRPr="00381CA1">
        <w:rPr>
          <w:rFonts w:eastAsia="Calibri"/>
          <w:sz w:val="22"/>
          <w:szCs w:val="22"/>
        </w:rPr>
        <w:t xml:space="preserve"> kiekio atvejų</w:t>
      </w:r>
      <w:r w:rsidRPr="004F572A">
        <w:rPr>
          <w:rFonts w:eastAsia="Calibri"/>
          <w:sz w:val="22"/>
          <w:szCs w:val="22"/>
        </w:rPr>
        <w:t xml:space="preserve"> (8,7</w:t>
      </w:r>
      <w:r w:rsidR="00C9577B" w:rsidRPr="004F572A">
        <w:rPr>
          <w:rFonts w:eastAsia="Calibri"/>
          <w:sz w:val="22"/>
          <w:szCs w:val="22"/>
        </w:rPr>
        <w:t> </w:t>
      </w:r>
      <w:r w:rsidRPr="004F572A">
        <w:rPr>
          <w:rFonts w:eastAsia="Calibri"/>
          <w:sz w:val="22"/>
          <w:szCs w:val="22"/>
        </w:rPr>
        <w:t xml:space="preserve">% </w:t>
      </w:r>
      <w:r w:rsidR="00381CA1">
        <w:rPr>
          <w:rFonts w:eastAsia="Calibri"/>
          <w:sz w:val="22"/>
          <w:szCs w:val="22"/>
        </w:rPr>
        <w:t xml:space="preserve">tarp </w:t>
      </w:r>
      <w:r w:rsidRPr="004F572A">
        <w:rPr>
          <w:rFonts w:eastAsia="Calibri"/>
          <w:sz w:val="22"/>
          <w:szCs w:val="22"/>
        </w:rPr>
        <w:t>vartojus</w:t>
      </w:r>
      <w:r w:rsidR="00C9577B" w:rsidRPr="004F572A">
        <w:rPr>
          <w:rFonts w:eastAsia="Calibri"/>
          <w:sz w:val="22"/>
          <w:szCs w:val="22"/>
        </w:rPr>
        <w:t>i</w:t>
      </w:r>
      <w:r w:rsidR="00381CA1">
        <w:rPr>
          <w:rFonts w:eastAsia="Calibri"/>
          <w:sz w:val="22"/>
          <w:szCs w:val="22"/>
        </w:rPr>
        <w:t>ų</w:t>
      </w:r>
      <w:r w:rsidRPr="004F572A">
        <w:rPr>
          <w:rFonts w:eastAsia="Calibri"/>
          <w:sz w:val="22"/>
          <w:szCs w:val="22"/>
        </w:rPr>
        <w:t xml:space="preserve"> </w:t>
      </w:r>
      <w:proofErr w:type="spellStart"/>
      <w:r w:rsidRPr="004F572A">
        <w:rPr>
          <w:rFonts w:eastAsia="Calibri"/>
          <w:sz w:val="22"/>
          <w:szCs w:val="22"/>
        </w:rPr>
        <w:t>lenvatinib</w:t>
      </w:r>
      <w:r w:rsidR="00C9577B" w:rsidRPr="004F572A">
        <w:rPr>
          <w:rFonts w:eastAsia="Calibri"/>
          <w:sz w:val="22"/>
          <w:szCs w:val="22"/>
        </w:rPr>
        <w:t>o</w:t>
      </w:r>
      <w:proofErr w:type="spellEnd"/>
      <w:r w:rsidR="00381CA1">
        <w:rPr>
          <w:rFonts w:eastAsia="Calibri"/>
          <w:sz w:val="22"/>
          <w:szCs w:val="22"/>
        </w:rPr>
        <w:t xml:space="preserve"> palyginti su kitais </w:t>
      </w:r>
      <w:r w:rsidRPr="004F572A">
        <w:rPr>
          <w:rFonts w:eastAsia="Calibri"/>
          <w:sz w:val="22"/>
          <w:szCs w:val="22"/>
        </w:rPr>
        <w:t>ne HCK tipo navikais</w:t>
      </w:r>
      <w:r w:rsidR="00C8439E" w:rsidRPr="004F572A">
        <w:rPr>
          <w:rFonts w:eastAsia="Calibri"/>
          <w:sz w:val="22"/>
          <w:szCs w:val="22"/>
        </w:rPr>
        <w:t xml:space="preserve"> </w:t>
      </w:r>
      <w:r w:rsidR="00CD7A25">
        <w:rPr>
          <w:rFonts w:eastAsia="Calibri"/>
          <w:sz w:val="22"/>
          <w:szCs w:val="22"/>
        </w:rPr>
        <w:t>[</w:t>
      </w:r>
      <w:r w:rsidR="00C9577B" w:rsidRPr="004F572A">
        <w:rPr>
          <w:rFonts w:eastAsia="Calibri"/>
          <w:sz w:val="22"/>
          <w:szCs w:val="22"/>
        </w:rPr>
        <w:t>1,4 %</w:t>
      </w:r>
      <w:r w:rsidR="00CD7A25">
        <w:rPr>
          <w:rFonts w:eastAsia="Calibri"/>
          <w:sz w:val="22"/>
          <w:szCs w:val="22"/>
        </w:rPr>
        <w:t>]</w:t>
      </w:r>
      <w:r w:rsidR="00381CA1">
        <w:rPr>
          <w:rFonts w:eastAsia="Calibri"/>
          <w:sz w:val="22"/>
          <w:szCs w:val="22"/>
        </w:rPr>
        <w:t xml:space="preserve"> sergančiais pacientais)</w:t>
      </w:r>
      <w:r w:rsidRPr="004F572A">
        <w:rPr>
          <w:rFonts w:eastAsia="Calibri"/>
          <w:sz w:val="22"/>
          <w:szCs w:val="22"/>
        </w:rPr>
        <w:t xml:space="preserve">; šie atvejai </w:t>
      </w:r>
      <w:r w:rsidR="00C9577B" w:rsidRPr="004F572A">
        <w:rPr>
          <w:rFonts w:eastAsia="Calibri"/>
          <w:sz w:val="22"/>
          <w:szCs w:val="22"/>
        </w:rPr>
        <w:t>ne</w:t>
      </w:r>
      <w:r w:rsidRPr="004F572A">
        <w:rPr>
          <w:rFonts w:eastAsia="Calibri"/>
          <w:sz w:val="22"/>
          <w:szCs w:val="22"/>
        </w:rPr>
        <w:t>buvo susiję su infekcija, sepsiu ar bakteriniu peritonitu.</w:t>
      </w:r>
    </w:p>
    <w:p w14:paraId="10C301D0" w14:textId="77777777" w:rsidR="00C9577B" w:rsidRPr="004F572A" w:rsidRDefault="00C9577B" w:rsidP="00F80EA4">
      <w:pPr>
        <w:widowControl w:val="0"/>
        <w:tabs>
          <w:tab w:val="clear" w:pos="567"/>
        </w:tabs>
        <w:rPr>
          <w:rFonts w:eastAsia="Calibri"/>
          <w:sz w:val="22"/>
          <w:szCs w:val="22"/>
        </w:rPr>
      </w:pPr>
    </w:p>
    <w:p w14:paraId="445DDE4D" w14:textId="31623473" w:rsidR="00314973" w:rsidRPr="004F572A" w:rsidRDefault="00381CA1" w:rsidP="00314973">
      <w:pPr>
        <w:widowControl w:val="0"/>
        <w:tabs>
          <w:tab w:val="clear" w:pos="567"/>
        </w:tabs>
        <w:rPr>
          <w:rFonts w:eastAsia="Calibri"/>
          <w:sz w:val="22"/>
          <w:szCs w:val="22"/>
        </w:rPr>
      </w:pPr>
      <w:r>
        <w:rPr>
          <w:rFonts w:eastAsia="Calibri"/>
          <w:sz w:val="22"/>
          <w:szCs w:val="22"/>
        </w:rPr>
        <w:t>Tarp</w:t>
      </w:r>
      <w:r w:rsidRPr="004F572A">
        <w:rPr>
          <w:rFonts w:eastAsia="Calibri"/>
          <w:sz w:val="22"/>
          <w:szCs w:val="22"/>
        </w:rPr>
        <w:t xml:space="preserve"> </w:t>
      </w:r>
      <w:r w:rsidR="00F80EA4" w:rsidRPr="004F572A">
        <w:rPr>
          <w:rFonts w:eastAsia="Calibri"/>
          <w:sz w:val="22"/>
          <w:szCs w:val="22"/>
        </w:rPr>
        <w:t>496 HCK sergančių pacientų dėl nepageidaujam</w:t>
      </w:r>
      <w:r w:rsidR="00C8439E" w:rsidRPr="004F572A">
        <w:rPr>
          <w:rFonts w:eastAsia="Calibri"/>
          <w:sz w:val="22"/>
          <w:szCs w:val="22"/>
        </w:rPr>
        <w:t>o</w:t>
      </w:r>
      <w:r>
        <w:rPr>
          <w:rFonts w:eastAsia="Calibri"/>
          <w:sz w:val="22"/>
          <w:szCs w:val="22"/>
        </w:rPr>
        <w:t xml:space="preserve"> poveikio</w:t>
      </w:r>
      <w:r w:rsidR="00F80EA4" w:rsidRPr="004F572A">
        <w:rPr>
          <w:rFonts w:eastAsia="Calibri"/>
          <w:sz w:val="22"/>
          <w:szCs w:val="22"/>
        </w:rPr>
        <w:t xml:space="preserve"> </w:t>
      </w:r>
      <w:r w:rsidR="00C8439E" w:rsidRPr="004F572A">
        <w:rPr>
          <w:rFonts w:eastAsia="Calibri"/>
          <w:sz w:val="22"/>
          <w:szCs w:val="22"/>
        </w:rPr>
        <w:t xml:space="preserve">dozę </w:t>
      </w:r>
      <w:r>
        <w:rPr>
          <w:rFonts w:eastAsia="Calibri"/>
          <w:sz w:val="22"/>
          <w:szCs w:val="22"/>
        </w:rPr>
        <w:t xml:space="preserve">koreguoti </w:t>
      </w:r>
      <w:r w:rsidR="00F80EA4" w:rsidRPr="004F572A">
        <w:rPr>
          <w:rFonts w:eastAsia="Calibri"/>
          <w:sz w:val="22"/>
          <w:szCs w:val="22"/>
        </w:rPr>
        <w:t xml:space="preserve">(sustabdyti vaistinio preparato vartojimą ar </w:t>
      </w:r>
      <w:r>
        <w:rPr>
          <w:rFonts w:eastAsia="Calibri"/>
          <w:sz w:val="22"/>
          <w:szCs w:val="22"/>
        </w:rPr>
        <w:t>keisti</w:t>
      </w:r>
      <w:r w:rsidR="00F80EA4" w:rsidRPr="004F572A">
        <w:rPr>
          <w:rFonts w:eastAsia="Calibri"/>
          <w:sz w:val="22"/>
          <w:szCs w:val="22"/>
        </w:rPr>
        <w:t xml:space="preserve"> dozę) bei gydymą nutraukti atitinkamai reikėjo 62,3</w:t>
      </w:r>
      <w:r w:rsidR="00C8439E" w:rsidRPr="004F572A">
        <w:rPr>
          <w:rFonts w:eastAsia="Calibri"/>
          <w:sz w:val="22"/>
          <w:szCs w:val="22"/>
        </w:rPr>
        <w:t> </w:t>
      </w:r>
      <w:r w:rsidR="00F80EA4" w:rsidRPr="004F572A">
        <w:rPr>
          <w:rFonts w:eastAsia="Calibri"/>
          <w:sz w:val="22"/>
          <w:szCs w:val="22"/>
        </w:rPr>
        <w:t>% ir 20,2</w:t>
      </w:r>
      <w:r w:rsidR="00C8439E" w:rsidRPr="004F572A">
        <w:rPr>
          <w:rFonts w:eastAsia="Calibri"/>
          <w:sz w:val="22"/>
          <w:szCs w:val="22"/>
        </w:rPr>
        <w:t> </w:t>
      </w:r>
      <w:r w:rsidR="00F80EA4" w:rsidRPr="004F572A">
        <w:rPr>
          <w:rFonts w:eastAsia="Calibri"/>
          <w:sz w:val="22"/>
          <w:szCs w:val="22"/>
        </w:rPr>
        <w:t>%. Nepageidauja</w:t>
      </w:r>
      <w:r>
        <w:rPr>
          <w:rFonts w:eastAsia="Calibri"/>
          <w:sz w:val="22"/>
          <w:szCs w:val="22"/>
        </w:rPr>
        <w:t>mas poveikis</w:t>
      </w:r>
      <w:r w:rsidR="00F80EA4" w:rsidRPr="004F572A">
        <w:rPr>
          <w:rFonts w:eastAsia="Calibri"/>
          <w:sz w:val="22"/>
          <w:szCs w:val="22"/>
        </w:rPr>
        <w:t>, dėl kurio dažniausiai reikėjo koreguoti dozę (≥</w:t>
      </w:r>
      <w:r w:rsidR="00C8439E" w:rsidRPr="004F572A">
        <w:rPr>
          <w:rFonts w:eastAsia="Calibri"/>
          <w:sz w:val="22"/>
          <w:szCs w:val="22"/>
        </w:rPr>
        <w:t> </w:t>
      </w:r>
      <w:r w:rsidR="00F80EA4" w:rsidRPr="004F572A">
        <w:rPr>
          <w:rFonts w:eastAsia="Calibri"/>
          <w:sz w:val="22"/>
          <w:szCs w:val="22"/>
        </w:rPr>
        <w:t>5</w:t>
      </w:r>
      <w:r w:rsidR="00C8439E" w:rsidRPr="004F572A">
        <w:rPr>
          <w:rFonts w:eastAsia="Calibri"/>
          <w:sz w:val="22"/>
          <w:szCs w:val="22"/>
        </w:rPr>
        <w:t> </w:t>
      </w:r>
      <w:r w:rsidR="00F80EA4" w:rsidRPr="004F572A">
        <w:rPr>
          <w:rFonts w:eastAsia="Calibri"/>
          <w:sz w:val="22"/>
          <w:szCs w:val="22"/>
        </w:rPr>
        <w:t xml:space="preserve">% pacientų), buvo </w:t>
      </w:r>
      <w:r w:rsidR="00F80EA4" w:rsidRPr="004F572A">
        <w:rPr>
          <w:rFonts w:eastAsia="Calibri"/>
          <w:sz w:val="22"/>
          <w:szCs w:val="22"/>
        </w:rPr>
        <w:lastRenderedPageBreak/>
        <w:t xml:space="preserve">sumažėjęs apetitas, viduriavimas, </w:t>
      </w:r>
      <w:proofErr w:type="spellStart"/>
      <w:r w:rsidR="00F80EA4" w:rsidRPr="004F572A">
        <w:rPr>
          <w:rFonts w:eastAsia="Calibri"/>
          <w:sz w:val="22"/>
          <w:szCs w:val="22"/>
        </w:rPr>
        <w:t>proteinurija</w:t>
      </w:r>
      <w:proofErr w:type="spellEnd"/>
      <w:r w:rsidR="00F80EA4" w:rsidRPr="004F572A">
        <w:rPr>
          <w:rFonts w:eastAsia="Calibri"/>
          <w:sz w:val="22"/>
          <w:szCs w:val="22"/>
        </w:rPr>
        <w:t xml:space="preserve">, hipertenzija, nuovargis, </w:t>
      </w:r>
      <w:r w:rsidRPr="00381CA1">
        <w:rPr>
          <w:rFonts w:eastAsia="Calibri"/>
          <w:sz w:val="22"/>
          <w:szCs w:val="22"/>
        </w:rPr>
        <w:t xml:space="preserve">delnų-padų </w:t>
      </w:r>
      <w:proofErr w:type="spellStart"/>
      <w:r w:rsidRPr="00381CA1">
        <w:rPr>
          <w:rFonts w:eastAsia="Calibri"/>
          <w:sz w:val="22"/>
          <w:szCs w:val="22"/>
        </w:rPr>
        <w:t>eritrodizestezijos</w:t>
      </w:r>
      <w:proofErr w:type="spellEnd"/>
      <w:r>
        <w:rPr>
          <w:rFonts w:eastAsia="Calibri"/>
          <w:sz w:val="22"/>
          <w:szCs w:val="22"/>
        </w:rPr>
        <w:t xml:space="preserve"> (</w:t>
      </w:r>
      <w:r w:rsidR="00314973" w:rsidRPr="004F572A">
        <w:rPr>
          <w:rFonts w:eastAsia="Calibri"/>
          <w:sz w:val="22"/>
          <w:szCs w:val="22"/>
        </w:rPr>
        <w:t>DPE</w:t>
      </w:r>
      <w:r>
        <w:rPr>
          <w:rFonts w:eastAsia="Calibri"/>
          <w:sz w:val="22"/>
          <w:szCs w:val="22"/>
        </w:rPr>
        <w:t>)</w:t>
      </w:r>
      <w:r w:rsidR="00314973" w:rsidRPr="004F572A">
        <w:rPr>
          <w:rFonts w:eastAsia="Calibri"/>
          <w:sz w:val="22"/>
          <w:szCs w:val="22"/>
        </w:rPr>
        <w:t xml:space="preserve"> sindromas ir sumažėjęs trombocitų kiekis. Nepageidaujamos reakcijos, dėl kurių reikėjo nutraukti </w:t>
      </w:r>
      <w:proofErr w:type="spellStart"/>
      <w:r w:rsidR="00314973" w:rsidRPr="004F572A">
        <w:rPr>
          <w:rFonts w:eastAsia="Calibri"/>
          <w:sz w:val="22"/>
          <w:szCs w:val="22"/>
        </w:rPr>
        <w:t>lenvatinibo</w:t>
      </w:r>
      <w:proofErr w:type="spellEnd"/>
      <w:r w:rsidR="00314973" w:rsidRPr="004F572A">
        <w:rPr>
          <w:rFonts w:eastAsia="Calibri"/>
          <w:sz w:val="22"/>
          <w:szCs w:val="22"/>
        </w:rPr>
        <w:t xml:space="preserve"> vartojimą, buvo </w:t>
      </w:r>
      <w:proofErr w:type="spellStart"/>
      <w:r w:rsidR="00314973" w:rsidRPr="004F572A">
        <w:rPr>
          <w:rFonts w:eastAsia="Calibri"/>
          <w:sz w:val="22"/>
          <w:szCs w:val="22"/>
        </w:rPr>
        <w:t>hepatinė</w:t>
      </w:r>
      <w:proofErr w:type="spellEnd"/>
      <w:r w:rsidR="00314973" w:rsidRPr="004F572A">
        <w:rPr>
          <w:rFonts w:eastAsia="Calibri"/>
          <w:sz w:val="22"/>
          <w:szCs w:val="22"/>
        </w:rPr>
        <w:t xml:space="preserve"> </w:t>
      </w:r>
      <w:proofErr w:type="spellStart"/>
      <w:r w:rsidR="00314973" w:rsidRPr="004F572A">
        <w:rPr>
          <w:rFonts w:eastAsia="Calibri"/>
          <w:sz w:val="22"/>
          <w:szCs w:val="22"/>
        </w:rPr>
        <w:t>encefalopatija</w:t>
      </w:r>
      <w:proofErr w:type="spellEnd"/>
      <w:r w:rsidR="00314973" w:rsidRPr="004F572A">
        <w:rPr>
          <w:rFonts w:eastAsia="Calibri"/>
          <w:sz w:val="22"/>
          <w:szCs w:val="22"/>
        </w:rPr>
        <w:t xml:space="preserve">, nuovargis, padidėjęs </w:t>
      </w:r>
      <w:proofErr w:type="spellStart"/>
      <w:r w:rsidR="00314973" w:rsidRPr="004F572A">
        <w:rPr>
          <w:rFonts w:eastAsia="Calibri"/>
          <w:sz w:val="22"/>
          <w:szCs w:val="22"/>
        </w:rPr>
        <w:t>bilirubino</w:t>
      </w:r>
      <w:proofErr w:type="spellEnd"/>
      <w:r w:rsidR="00314973" w:rsidRPr="004F572A">
        <w:rPr>
          <w:rFonts w:eastAsia="Calibri"/>
          <w:sz w:val="22"/>
          <w:szCs w:val="22"/>
        </w:rPr>
        <w:t xml:space="preserve"> kiekis kraujyje, </w:t>
      </w:r>
      <w:proofErr w:type="spellStart"/>
      <w:r w:rsidR="00314973" w:rsidRPr="004F572A">
        <w:rPr>
          <w:rFonts w:eastAsia="Calibri"/>
          <w:sz w:val="22"/>
          <w:szCs w:val="22"/>
        </w:rPr>
        <w:t>proteinurija</w:t>
      </w:r>
      <w:proofErr w:type="spellEnd"/>
      <w:r w:rsidR="00314973" w:rsidRPr="004F572A">
        <w:rPr>
          <w:rFonts w:eastAsia="Calibri"/>
          <w:sz w:val="22"/>
          <w:szCs w:val="22"/>
        </w:rPr>
        <w:t xml:space="preserve"> ir kepenų nepakankamumas.</w:t>
      </w:r>
    </w:p>
    <w:p w14:paraId="50ACD4ED" w14:textId="77777777" w:rsidR="00314973" w:rsidRPr="004F572A" w:rsidRDefault="00314973" w:rsidP="00314973">
      <w:pPr>
        <w:widowControl w:val="0"/>
        <w:tabs>
          <w:tab w:val="clear" w:pos="567"/>
        </w:tabs>
        <w:rPr>
          <w:rFonts w:eastAsia="Calibri"/>
          <w:i/>
          <w:iCs/>
          <w:sz w:val="22"/>
          <w:szCs w:val="22"/>
        </w:rPr>
      </w:pPr>
    </w:p>
    <w:p w14:paraId="602608C3" w14:textId="7FEA0ACA" w:rsidR="00314973" w:rsidRPr="00E27691" w:rsidRDefault="00314973" w:rsidP="00314973">
      <w:pPr>
        <w:widowControl w:val="0"/>
        <w:tabs>
          <w:tab w:val="clear" w:pos="567"/>
        </w:tabs>
        <w:rPr>
          <w:rFonts w:eastAsia="Calibri"/>
          <w:i/>
          <w:iCs/>
          <w:sz w:val="22"/>
          <w:szCs w:val="22"/>
          <w:u w:val="single"/>
        </w:rPr>
      </w:pPr>
      <w:r w:rsidRPr="00E27691">
        <w:rPr>
          <w:rFonts w:eastAsia="Calibri"/>
          <w:i/>
          <w:iCs/>
          <w:sz w:val="22"/>
          <w:szCs w:val="22"/>
          <w:u w:val="single"/>
        </w:rPr>
        <w:t>EK</w:t>
      </w:r>
    </w:p>
    <w:p w14:paraId="4902E09D" w14:textId="77777777" w:rsidR="00314973" w:rsidRPr="004F572A" w:rsidRDefault="00314973" w:rsidP="00314973">
      <w:pPr>
        <w:widowControl w:val="0"/>
        <w:tabs>
          <w:tab w:val="clear" w:pos="567"/>
        </w:tabs>
        <w:rPr>
          <w:rFonts w:eastAsia="Calibri"/>
          <w:i/>
          <w:iCs/>
          <w:sz w:val="22"/>
          <w:szCs w:val="22"/>
        </w:rPr>
      </w:pPr>
    </w:p>
    <w:p w14:paraId="2E2B040C" w14:textId="07C7B5DE" w:rsidR="00314973" w:rsidRPr="004F572A" w:rsidRDefault="00314973" w:rsidP="00314973">
      <w:pPr>
        <w:widowControl w:val="0"/>
        <w:tabs>
          <w:tab w:val="clear" w:pos="567"/>
        </w:tabs>
        <w:rPr>
          <w:rFonts w:eastAsia="Calibri"/>
          <w:sz w:val="22"/>
          <w:szCs w:val="22"/>
        </w:rPr>
      </w:pPr>
      <w:proofErr w:type="spellStart"/>
      <w:r w:rsidRPr="004F572A">
        <w:rPr>
          <w:rFonts w:eastAsia="Calibri"/>
          <w:sz w:val="22"/>
          <w:szCs w:val="22"/>
        </w:rPr>
        <w:t>Lenvatinibo</w:t>
      </w:r>
      <w:proofErr w:type="spellEnd"/>
      <w:r w:rsidR="00381CA1">
        <w:rPr>
          <w:rFonts w:eastAsia="Calibri"/>
          <w:sz w:val="22"/>
          <w:szCs w:val="22"/>
        </w:rPr>
        <w:t xml:space="preserve"> </w:t>
      </w:r>
      <w:r w:rsidRPr="004F572A">
        <w:rPr>
          <w:rFonts w:eastAsia="Calibri"/>
          <w:sz w:val="22"/>
          <w:szCs w:val="22"/>
        </w:rPr>
        <w:t xml:space="preserve">kartu su </w:t>
      </w:r>
      <w:proofErr w:type="spellStart"/>
      <w:r w:rsidRPr="004F572A">
        <w:rPr>
          <w:rFonts w:eastAsia="Calibri"/>
          <w:sz w:val="22"/>
          <w:szCs w:val="22"/>
        </w:rPr>
        <w:t>pembrolizumabu</w:t>
      </w:r>
      <w:proofErr w:type="spellEnd"/>
      <w:r w:rsidRPr="004F572A">
        <w:rPr>
          <w:rFonts w:eastAsia="Calibri"/>
          <w:sz w:val="22"/>
          <w:szCs w:val="22"/>
        </w:rPr>
        <w:t xml:space="preserve"> saugumas buvo įvertintas 530</w:t>
      </w:r>
      <w:r w:rsidR="00D53FC3">
        <w:rPr>
          <w:rFonts w:eastAsia="Calibri"/>
          <w:sz w:val="22"/>
          <w:szCs w:val="22"/>
        </w:rPr>
        <w:t> </w:t>
      </w:r>
      <w:r w:rsidRPr="004F572A">
        <w:rPr>
          <w:rFonts w:eastAsia="Calibri"/>
          <w:sz w:val="22"/>
          <w:szCs w:val="22"/>
        </w:rPr>
        <w:t xml:space="preserve">pacientų, sergančių pažengusia EK, vartojusių 20 mg </w:t>
      </w:r>
      <w:proofErr w:type="spellStart"/>
      <w:r w:rsidRPr="004F572A">
        <w:rPr>
          <w:rFonts w:eastAsia="Calibri"/>
          <w:sz w:val="22"/>
          <w:szCs w:val="22"/>
        </w:rPr>
        <w:t>lenvatinibo</w:t>
      </w:r>
      <w:proofErr w:type="spellEnd"/>
      <w:r w:rsidRPr="004F572A">
        <w:rPr>
          <w:rFonts w:eastAsia="Calibri"/>
          <w:sz w:val="22"/>
          <w:szCs w:val="22"/>
        </w:rPr>
        <w:t xml:space="preserve"> vieną kartą per parą ir 200 mg </w:t>
      </w:r>
      <w:proofErr w:type="spellStart"/>
      <w:r w:rsidRPr="004F572A">
        <w:rPr>
          <w:rFonts w:eastAsia="Calibri"/>
          <w:sz w:val="22"/>
          <w:szCs w:val="22"/>
        </w:rPr>
        <w:t>pembrolizumabo</w:t>
      </w:r>
      <w:proofErr w:type="spellEnd"/>
      <w:r w:rsidRPr="004F572A">
        <w:rPr>
          <w:rFonts w:eastAsia="Calibri"/>
          <w:sz w:val="22"/>
          <w:szCs w:val="22"/>
        </w:rPr>
        <w:t xml:space="preserve"> kas 3</w:t>
      </w:r>
      <w:r w:rsidR="00D53FC3">
        <w:rPr>
          <w:rFonts w:eastAsia="Calibri"/>
          <w:sz w:val="22"/>
          <w:szCs w:val="22"/>
        </w:rPr>
        <w:t> </w:t>
      </w:r>
      <w:r w:rsidRPr="004F572A">
        <w:rPr>
          <w:rFonts w:eastAsia="Calibri"/>
          <w:sz w:val="22"/>
          <w:szCs w:val="22"/>
        </w:rPr>
        <w:t>savaites. Dažniausios (pasireiškusios ≥ 20 %</w:t>
      </w:r>
      <w:r w:rsidR="00381CA1">
        <w:rPr>
          <w:rFonts w:eastAsia="Calibri"/>
          <w:sz w:val="22"/>
          <w:szCs w:val="22"/>
        </w:rPr>
        <w:t xml:space="preserve"> </w:t>
      </w:r>
      <w:r w:rsidRPr="004F572A">
        <w:rPr>
          <w:rFonts w:eastAsia="Calibri"/>
          <w:sz w:val="22"/>
          <w:szCs w:val="22"/>
        </w:rPr>
        <w:t xml:space="preserve">pacientų) nepageidaujamos reakcijos buvo hipertenzija (63 %), viduriavimas (57 %), </w:t>
      </w:r>
      <w:proofErr w:type="spellStart"/>
      <w:r w:rsidRPr="004F572A">
        <w:rPr>
          <w:rFonts w:eastAsia="Calibri"/>
          <w:sz w:val="22"/>
          <w:szCs w:val="22"/>
        </w:rPr>
        <w:t>hipotirozė</w:t>
      </w:r>
      <w:proofErr w:type="spellEnd"/>
      <w:r w:rsidRPr="004F572A">
        <w:rPr>
          <w:rFonts w:eastAsia="Calibri"/>
          <w:sz w:val="22"/>
          <w:szCs w:val="22"/>
        </w:rPr>
        <w:t xml:space="preserve"> (56 %), pykinimas (51 %), sumažėjęs apetitas (47 %), vėmimas (39 %) ), nuovargis (38 %), sumažėjęs svoris (35 %), </w:t>
      </w:r>
      <w:proofErr w:type="spellStart"/>
      <w:r w:rsidRPr="004F572A">
        <w:rPr>
          <w:rFonts w:eastAsia="Calibri"/>
          <w:sz w:val="22"/>
          <w:szCs w:val="22"/>
        </w:rPr>
        <w:t>artralgija</w:t>
      </w:r>
      <w:proofErr w:type="spellEnd"/>
      <w:r w:rsidRPr="004F572A">
        <w:rPr>
          <w:rFonts w:eastAsia="Calibri"/>
          <w:sz w:val="22"/>
          <w:szCs w:val="22"/>
        </w:rPr>
        <w:t xml:space="preserve"> (33 %), </w:t>
      </w:r>
      <w:proofErr w:type="spellStart"/>
      <w:r w:rsidRPr="004F572A">
        <w:rPr>
          <w:rFonts w:eastAsia="Calibri"/>
          <w:sz w:val="22"/>
          <w:szCs w:val="22"/>
        </w:rPr>
        <w:t>proteinurija</w:t>
      </w:r>
      <w:proofErr w:type="spellEnd"/>
      <w:r w:rsidRPr="004F572A">
        <w:rPr>
          <w:rFonts w:eastAsia="Calibri"/>
          <w:sz w:val="22"/>
          <w:szCs w:val="22"/>
        </w:rPr>
        <w:t xml:space="preserve"> (29 %), vidurių užkietėjimas (27 %), galvos skausmas (27 %), šlapimo takų infekcija (27 %), </w:t>
      </w:r>
      <w:proofErr w:type="spellStart"/>
      <w:r w:rsidRPr="004F572A">
        <w:rPr>
          <w:rFonts w:eastAsia="Calibri"/>
          <w:sz w:val="22"/>
          <w:szCs w:val="22"/>
        </w:rPr>
        <w:t>disfonija</w:t>
      </w:r>
      <w:proofErr w:type="spellEnd"/>
      <w:r w:rsidRPr="004F572A">
        <w:rPr>
          <w:rFonts w:eastAsia="Calibri"/>
          <w:sz w:val="22"/>
          <w:szCs w:val="22"/>
        </w:rPr>
        <w:t xml:space="preserve"> (25</w:t>
      </w:r>
      <w:r w:rsidR="00DA3913" w:rsidRPr="004F572A">
        <w:rPr>
          <w:rFonts w:eastAsia="Calibri"/>
          <w:sz w:val="22"/>
          <w:szCs w:val="22"/>
        </w:rPr>
        <w:t> </w:t>
      </w:r>
      <w:r w:rsidRPr="004F572A">
        <w:rPr>
          <w:rFonts w:eastAsia="Calibri"/>
          <w:sz w:val="22"/>
          <w:szCs w:val="22"/>
        </w:rPr>
        <w:t>%), pilvo skausmas (23</w:t>
      </w:r>
      <w:r w:rsidR="00DA3913" w:rsidRPr="004F572A">
        <w:rPr>
          <w:rFonts w:eastAsia="Calibri"/>
          <w:sz w:val="22"/>
          <w:szCs w:val="22"/>
        </w:rPr>
        <w:t> </w:t>
      </w:r>
      <w:r w:rsidRPr="004F572A">
        <w:rPr>
          <w:rFonts w:eastAsia="Calibri"/>
          <w:sz w:val="22"/>
          <w:szCs w:val="22"/>
        </w:rPr>
        <w:t xml:space="preserve">%), </w:t>
      </w:r>
      <w:proofErr w:type="spellStart"/>
      <w:r w:rsidRPr="004F572A">
        <w:rPr>
          <w:rFonts w:eastAsia="Calibri"/>
          <w:sz w:val="22"/>
          <w:szCs w:val="22"/>
        </w:rPr>
        <w:t>astenija</w:t>
      </w:r>
      <w:proofErr w:type="spellEnd"/>
      <w:r w:rsidRPr="004F572A">
        <w:rPr>
          <w:rFonts w:eastAsia="Calibri"/>
          <w:sz w:val="22"/>
          <w:szCs w:val="22"/>
        </w:rPr>
        <w:t xml:space="preserve"> (23</w:t>
      </w:r>
      <w:r w:rsidR="00DA3913" w:rsidRPr="004F572A">
        <w:rPr>
          <w:rFonts w:eastAsia="Calibri"/>
          <w:sz w:val="22"/>
          <w:szCs w:val="22"/>
        </w:rPr>
        <w:t> </w:t>
      </w:r>
      <w:r w:rsidRPr="004F572A">
        <w:rPr>
          <w:rFonts w:eastAsia="Calibri"/>
          <w:sz w:val="22"/>
          <w:szCs w:val="22"/>
        </w:rPr>
        <w:t xml:space="preserve">%), delnų ir padų </w:t>
      </w:r>
      <w:proofErr w:type="spellStart"/>
      <w:r w:rsidRPr="004F572A">
        <w:rPr>
          <w:rFonts w:eastAsia="Calibri"/>
          <w:sz w:val="22"/>
          <w:szCs w:val="22"/>
        </w:rPr>
        <w:t>eritrodizestezijos</w:t>
      </w:r>
      <w:proofErr w:type="spellEnd"/>
      <w:r w:rsidRPr="004F572A">
        <w:rPr>
          <w:rFonts w:eastAsia="Calibri"/>
          <w:sz w:val="22"/>
          <w:szCs w:val="22"/>
        </w:rPr>
        <w:t xml:space="preserve"> sindromas (23</w:t>
      </w:r>
      <w:r w:rsidR="00DA3913" w:rsidRPr="004F572A">
        <w:rPr>
          <w:rFonts w:eastAsia="Calibri"/>
          <w:sz w:val="22"/>
          <w:szCs w:val="22"/>
        </w:rPr>
        <w:t> </w:t>
      </w:r>
      <w:r w:rsidRPr="004F572A">
        <w:rPr>
          <w:rFonts w:eastAsia="Calibri"/>
          <w:sz w:val="22"/>
          <w:szCs w:val="22"/>
        </w:rPr>
        <w:t>%), stomatitas (23</w:t>
      </w:r>
      <w:r w:rsidR="00DA3913" w:rsidRPr="004F572A">
        <w:rPr>
          <w:rFonts w:eastAsia="Calibri"/>
          <w:sz w:val="22"/>
          <w:szCs w:val="22"/>
        </w:rPr>
        <w:t> </w:t>
      </w:r>
      <w:r w:rsidRPr="004F572A">
        <w:rPr>
          <w:rFonts w:eastAsia="Calibri"/>
          <w:sz w:val="22"/>
          <w:szCs w:val="22"/>
        </w:rPr>
        <w:t>%), anemija (22</w:t>
      </w:r>
      <w:r w:rsidR="00DA3913" w:rsidRPr="004F572A">
        <w:rPr>
          <w:rFonts w:eastAsia="Calibri"/>
          <w:sz w:val="22"/>
          <w:szCs w:val="22"/>
        </w:rPr>
        <w:t> </w:t>
      </w:r>
      <w:r w:rsidRPr="004F572A">
        <w:rPr>
          <w:rFonts w:eastAsia="Calibri"/>
          <w:sz w:val="22"/>
          <w:szCs w:val="22"/>
        </w:rPr>
        <w:t xml:space="preserve">%) ir </w:t>
      </w:r>
      <w:proofErr w:type="spellStart"/>
      <w:r w:rsidRPr="004F572A">
        <w:rPr>
          <w:rFonts w:eastAsia="Calibri"/>
          <w:sz w:val="22"/>
          <w:szCs w:val="22"/>
        </w:rPr>
        <w:t>hipomagnezemija</w:t>
      </w:r>
      <w:proofErr w:type="spellEnd"/>
      <w:r w:rsidRPr="004F572A">
        <w:rPr>
          <w:rFonts w:eastAsia="Calibri"/>
          <w:sz w:val="22"/>
          <w:szCs w:val="22"/>
        </w:rPr>
        <w:t xml:space="preserve"> (20</w:t>
      </w:r>
      <w:r w:rsidR="00DA3913" w:rsidRPr="004F572A">
        <w:rPr>
          <w:rFonts w:eastAsia="Calibri"/>
          <w:sz w:val="22"/>
          <w:szCs w:val="22"/>
        </w:rPr>
        <w:t> </w:t>
      </w:r>
      <w:r w:rsidRPr="004F572A">
        <w:rPr>
          <w:rFonts w:eastAsia="Calibri"/>
          <w:sz w:val="22"/>
          <w:szCs w:val="22"/>
        </w:rPr>
        <w:t>%).</w:t>
      </w:r>
    </w:p>
    <w:p w14:paraId="0421A733" w14:textId="77777777" w:rsidR="00DA3913" w:rsidRPr="004F572A" w:rsidRDefault="00DA3913" w:rsidP="00314973">
      <w:pPr>
        <w:widowControl w:val="0"/>
        <w:tabs>
          <w:tab w:val="clear" w:pos="567"/>
        </w:tabs>
        <w:rPr>
          <w:rFonts w:eastAsia="Calibri"/>
          <w:sz w:val="22"/>
          <w:szCs w:val="22"/>
        </w:rPr>
      </w:pPr>
    </w:p>
    <w:p w14:paraId="5B133E31" w14:textId="2D2A6189" w:rsidR="00162897" w:rsidRPr="004F572A" w:rsidRDefault="00314973" w:rsidP="00314973">
      <w:pPr>
        <w:widowControl w:val="0"/>
        <w:tabs>
          <w:tab w:val="clear" w:pos="567"/>
        </w:tabs>
        <w:rPr>
          <w:rFonts w:eastAsia="Calibri"/>
          <w:sz w:val="22"/>
          <w:szCs w:val="22"/>
        </w:rPr>
      </w:pPr>
      <w:r w:rsidRPr="004F572A">
        <w:rPr>
          <w:rFonts w:eastAsia="Calibri"/>
          <w:sz w:val="22"/>
          <w:szCs w:val="22"/>
        </w:rPr>
        <w:t>Dažniausios (pasireiškusios ≥</w:t>
      </w:r>
      <w:r w:rsidR="00DA3913" w:rsidRPr="004F572A">
        <w:rPr>
          <w:rFonts w:eastAsia="Calibri"/>
          <w:sz w:val="22"/>
          <w:szCs w:val="22"/>
        </w:rPr>
        <w:t> </w:t>
      </w:r>
      <w:r w:rsidRPr="004F572A">
        <w:rPr>
          <w:rFonts w:eastAsia="Calibri"/>
          <w:sz w:val="22"/>
          <w:szCs w:val="22"/>
        </w:rPr>
        <w:t>5</w:t>
      </w:r>
      <w:r w:rsidR="00DA3913" w:rsidRPr="004F572A">
        <w:rPr>
          <w:rFonts w:eastAsia="Calibri"/>
          <w:sz w:val="22"/>
          <w:szCs w:val="22"/>
        </w:rPr>
        <w:t> </w:t>
      </w:r>
      <w:r w:rsidRPr="004F572A">
        <w:rPr>
          <w:rFonts w:eastAsia="Calibri"/>
          <w:sz w:val="22"/>
          <w:szCs w:val="22"/>
        </w:rPr>
        <w:t>%</w:t>
      </w:r>
      <w:r w:rsidR="00381CA1">
        <w:rPr>
          <w:rFonts w:eastAsia="Calibri"/>
          <w:sz w:val="22"/>
          <w:szCs w:val="22"/>
        </w:rPr>
        <w:t xml:space="preserve"> </w:t>
      </w:r>
      <w:r w:rsidRPr="004F572A">
        <w:rPr>
          <w:rFonts w:eastAsia="Calibri"/>
          <w:sz w:val="22"/>
          <w:szCs w:val="22"/>
        </w:rPr>
        <w:t>pacientų) sunkios (≥</w:t>
      </w:r>
      <w:r w:rsidR="00DA3913" w:rsidRPr="004F572A">
        <w:rPr>
          <w:rFonts w:eastAsia="Calibri"/>
          <w:sz w:val="22"/>
          <w:szCs w:val="22"/>
        </w:rPr>
        <w:t> </w:t>
      </w:r>
      <w:r w:rsidRPr="004F572A">
        <w:rPr>
          <w:rFonts w:eastAsia="Calibri"/>
          <w:sz w:val="22"/>
          <w:szCs w:val="22"/>
        </w:rPr>
        <w:t>3</w:t>
      </w:r>
      <w:r w:rsidR="00D53FC3">
        <w:rPr>
          <w:rFonts w:eastAsia="Calibri"/>
          <w:sz w:val="22"/>
          <w:szCs w:val="22"/>
        </w:rPr>
        <w:t> </w:t>
      </w:r>
      <w:r w:rsidRPr="004F572A">
        <w:rPr>
          <w:rFonts w:eastAsia="Calibri"/>
          <w:sz w:val="22"/>
          <w:szCs w:val="22"/>
        </w:rPr>
        <w:t>laipsnio) nepageidaujamos reakcijos buvo hipertenzija (37,2</w:t>
      </w:r>
      <w:r w:rsidR="00DA3913" w:rsidRPr="004F572A">
        <w:rPr>
          <w:rFonts w:eastAsia="Calibri"/>
          <w:sz w:val="22"/>
          <w:szCs w:val="22"/>
        </w:rPr>
        <w:t> </w:t>
      </w:r>
      <w:r w:rsidRPr="004F572A">
        <w:rPr>
          <w:rFonts w:eastAsia="Calibri"/>
          <w:sz w:val="22"/>
          <w:szCs w:val="22"/>
        </w:rPr>
        <w:t xml:space="preserve">%), </w:t>
      </w:r>
      <w:r w:rsidR="00381CA1">
        <w:rPr>
          <w:rFonts w:eastAsia="Calibri"/>
          <w:sz w:val="22"/>
          <w:szCs w:val="22"/>
        </w:rPr>
        <w:t xml:space="preserve">svorio </w:t>
      </w:r>
      <w:r w:rsidRPr="004F572A">
        <w:rPr>
          <w:rFonts w:eastAsia="Calibri"/>
          <w:sz w:val="22"/>
          <w:szCs w:val="22"/>
        </w:rPr>
        <w:t>sumažėj</w:t>
      </w:r>
      <w:r w:rsidR="00381CA1">
        <w:rPr>
          <w:rFonts w:eastAsia="Calibri"/>
          <w:sz w:val="22"/>
          <w:szCs w:val="22"/>
        </w:rPr>
        <w:t>imas</w:t>
      </w:r>
      <w:r w:rsidR="00DA3913" w:rsidRPr="004F572A">
        <w:rPr>
          <w:rFonts w:eastAsia="Calibri"/>
          <w:sz w:val="22"/>
          <w:szCs w:val="22"/>
        </w:rPr>
        <w:t xml:space="preserve"> </w:t>
      </w:r>
      <w:r w:rsidRPr="004F572A">
        <w:rPr>
          <w:rFonts w:eastAsia="Calibri"/>
          <w:sz w:val="22"/>
          <w:szCs w:val="22"/>
        </w:rPr>
        <w:t>(9,1</w:t>
      </w:r>
      <w:r w:rsidR="00DA3913" w:rsidRPr="004F572A">
        <w:rPr>
          <w:rFonts w:eastAsia="Calibri"/>
          <w:sz w:val="22"/>
          <w:szCs w:val="22"/>
        </w:rPr>
        <w:t> </w:t>
      </w:r>
      <w:r w:rsidRPr="004F572A">
        <w:rPr>
          <w:rFonts w:eastAsia="Calibri"/>
          <w:sz w:val="22"/>
          <w:szCs w:val="22"/>
        </w:rPr>
        <w:t>%), viduriavimas (8,1</w:t>
      </w:r>
      <w:r w:rsidR="00DA3913" w:rsidRPr="004F572A">
        <w:rPr>
          <w:rFonts w:eastAsia="Calibri"/>
          <w:sz w:val="22"/>
          <w:szCs w:val="22"/>
        </w:rPr>
        <w:t> </w:t>
      </w:r>
      <w:r w:rsidRPr="004F572A">
        <w:rPr>
          <w:rFonts w:eastAsia="Calibri"/>
          <w:sz w:val="22"/>
          <w:szCs w:val="22"/>
        </w:rPr>
        <w:t xml:space="preserve">%), padidėjęs lipazės </w:t>
      </w:r>
      <w:r w:rsidR="00381CA1">
        <w:rPr>
          <w:rFonts w:eastAsia="Calibri"/>
          <w:sz w:val="22"/>
          <w:szCs w:val="22"/>
        </w:rPr>
        <w:t>kiekis</w:t>
      </w:r>
      <w:r w:rsidRPr="004F572A">
        <w:rPr>
          <w:rFonts w:eastAsia="Calibri"/>
          <w:sz w:val="22"/>
          <w:szCs w:val="22"/>
        </w:rPr>
        <w:t xml:space="preserve"> (7,7</w:t>
      </w:r>
      <w:r w:rsidR="00DA3913" w:rsidRPr="004F572A">
        <w:rPr>
          <w:rFonts w:eastAsia="Calibri"/>
          <w:sz w:val="22"/>
          <w:szCs w:val="22"/>
        </w:rPr>
        <w:t> </w:t>
      </w:r>
      <w:r w:rsidRPr="004F572A">
        <w:rPr>
          <w:rFonts w:eastAsia="Calibri"/>
          <w:sz w:val="22"/>
          <w:szCs w:val="22"/>
        </w:rPr>
        <w:t>%), sumažėjęs apetitas ( 6,4</w:t>
      </w:r>
      <w:r w:rsidR="00DA3913" w:rsidRPr="004F572A">
        <w:rPr>
          <w:rFonts w:eastAsia="Calibri"/>
          <w:sz w:val="22"/>
          <w:szCs w:val="22"/>
        </w:rPr>
        <w:t> </w:t>
      </w:r>
      <w:r w:rsidRPr="004F572A">
        <w:rPr>
          <w:rFonts w:eastAsia="Calibri"/>
          <w:sz w:val="22"/>
          <w:szCs w:val="22"/>
        </w:rPr>
        <w:t xml:space="preserve">%), </w:t>
      </w:r>
      <w:proofErr w:type="spellStart"/>
      <w:r w:rsidRPr="004F572A">
        <w:rPr>
          <w:rFonts w:eastAsia="Calibri"/>
          <w:sz w:val="22"/>
          <w:szCs w:val="22"/>
        </w:rPr>
        <w:t>astenija</w:t>
      </w:r>
      <w:proofErr w:type="spellEnd"/>
      <w:r w:rsidRPr="004F572A">
        <w:rPr>
          <w:rFonts w:eastAsia="Calibri"/>
          <w:sz w:val="22"/>
          <w:szCs w:val="22"/>
        </w:rPr>
        <w:t xml:space="preserve"> (6</w:t>
      </w:r>
      <w:r w:rsidR="00DA3913" w:rsidRPr="004F572A">
        <w:rPr>
          <w:rFonts w:eastAsia="Calibri"/>
          <w:sz w:val="22"/>
          <w:szCs w:val="22"/>
        </w:rPr>
        <w:t> </w:t>
      </w:r>
      <w:r w:rsidRPr="004F572A">
        <w:rPr>
          <w:rFonts w:eastAsia="Calibri"/>
          <w:sz w:val="22"/>
          <w:szCs w:val="22"/>
        </w:rPr>
        <w:t>%), nuovargis (6</w:t>
      </w:r>
      <w:r w:rsidR="00DA3913" w:rsidRPr="004F572A">
        <w:rPr>
          <w:rFonts w:eastAsia="Calibri"/>
          <w:sz w:val="22"/>
          <w:szCs w:val="22"/>
        </w:rPr>
        <w:t> </w:t>
      </w:r>
      <w:r w:rsidRPr="004F572A">
        <w:rPr>
          <w:rFonts w:eastAsia="Calibri"/>
          <w:sz w:val="22"/>
          <w:szCs w:val="22"/>
        </w:rPr>
        <w:t xml:space="preserve">%), </w:t>
      </w:r>
      <w:proofErr w:type="spellStart"/>
      <w:r w:rsidRPr="004F572A">
        <w:rPr>
          <w:rFonts w:eastAsia="Calibri"/>
          <w:sz w:val="22"/>
          <w:szCs w:val="22"/>
        </w:rPr>
        <w:t>hipokalemija</w:t>
      </w:r>
      <w:proofErr w:type="spellEnd"/>
      <w:r w:rsidRPr="004F572A">
        <w:rPr>
          <w:rFonts w:eastAsia="Calibri"/>
          <w:sz w:val="22"/>
          <w:szCs w:val="22"/>
        </w:rPr>
        <w:t xml:space="preserve"> (5,7</w:t>
      </w:r>
      <w:r w:rsidR="00DA3913" w:rsidRPr="004F572A">
        <w:rPr>
          <w:rFonts w:eastAsia="Calibri"/>
          <w:sz w:val="22"/>
          <w:szCs w:val="22"/>
        </w:rPr>
        <w:t> </w:t>
      </w:r>
      <w:r w:rsidRPr="004F572A">
        <w:rPr>
          <w:rFonts w:eastAsia="Calibri"/>
          <w:sz w:val="22"/>
          <w:szCs w:val="22"/>
        </w:rPr>
        <w:t>%), anemija (5,3</w:t>
      </w:r>
      <w:r w:rsidR="00DA3913" w:rsidRPr="004F572A">
        <w:rPr>
          <w:rFonts w:eastAsia="Calibri"/>
          <w:sz w:val="22"/>
          <w:szCs w:val="22"/>
        </w:rPr>
        <w:t> </w:t>
      </w:r>
      <w:r w:rsidRPr="004F572A">
        <w:rPr>
          <w:rFonts w:eastAsia="Calibri"/>
          <w:sz w:val="22"/>
          <w:szCs w:val="22"/>
        </w:rPr>
        <w:t xml:space="preserve">%) ir </w:t>
      </w:r>
      <w:proofErr w:type="spellStart"/>
      <w:r w:rsidRPr="004F572A">
        <w:rPr>
          <w:rFonts w:eastAsia="Calibri"/>
          <w:sz w:val="22"/>
          <w:szCs w:val="22"/>
        </w:rPr>
        <w:t>proteinurija</w:t>
      </w:r>
      <w:proofErr w:type="spellEnd"/>
      <w:r w:rsidRPr="004F572A">
        <w:rPr>
          <w:rFonts w:eastAsia="Calibri"/>
          <w:sz w:val="22"/>
          <w:szCs w:val="22"/>
        </w:rPr>
        <w:t xml:space="preserve"> (5,1</w:t>
      </w:r>
      <w:r w:rsidR="00DA3913" w:rsidRPr="004F572A">
        <w:rPr>
          <w:rFonts w:eastAsia="Calibri"/>
          <w:sz w:val="22"/>
          <w:szCs w:val="22"/>
        </w:rPr>
        <w:t> </w:t>
      </w:r>
      <w:r w:rsidRPr="004F572A">
        <w:rPr>
          <w:rFonts w:eastAsia="Calibri"/>
          <w:sz w:val="22"/>
          <w:szCs w:val="22"/>
        </w:rPr>
        <w:t>%)</w:t>
      </w:r>
      <w:r w:rsidR="00DA3913" w:rsidRPr="004F572A">
        <w:rPr>
          <w:rFonts w:eastAsia="Calibri"/>
          <w:sz w:val="22"/>
          <w:szCs w:val="22"/>
        </w:rPr>
        <w:t>.</w:t>
      </w:r>
    </w:p>
    <w:p w14:paraId="6C23E368" w14:textId="77777777" w:rsidR="00162897" w:rsidRPr="004F572A" w:rsidRDefault="00162897" w:rsidP="000928CA">
      <w:pPr>
        <w:widowControl w:val="0"/>
        <w:tabs>
          <w:tab w:val="clear" w:pos="567"/>
        </w:tabs>
        <w:rPr>
          <w:rFonts w:eastAsia="Calibri"/>
          <w:sz w:val="22"/>
          <w:szCs w:val="22"/>
        </w:rPr>
      </w:pPr>
    </w:p>
    <w:p w14:paraId="07F7E969" w14:textId="0582C6E8" w:rsidR="00823693" w:rsidRPr="004F572A" w:rsidRDefault="00381CA1" w:rsidP="00823693">
      <w:pPr>
        <w:widowControl w:val="0"/>
        <w:tabs>
          <w:tab w:val="clear" w:pos="567"/>
        </w:tabs>
        <w:rPr>
          <w:rFonts w:eastAsia="Calibri"/>
          <w:sz w:val="22"/>
          <w:szCs w:val="22"/>
        </w:rPr>
      </w:pPr>
      <w:proofErr w:type="spellStart"/>
      <w:r>
        <w:rPr>
          <w:rFonts w:eastAsia="Calibri"/>
          <w:sz w:val="22"/>
          <w:szCs w:val="22"/>
        </w:rPr>
        <w:t>L</w:t>
      </w:r>
      <w:r w:rsidR="00823693" w:rsidRPr="004F572A">
        <w:rPr>
          <w:rFonts w:eastAsia="Calibri"/>
          <w:sz w:val="22"/>
          <w:szCs w:val="22"/>
        </w:rPr>
        <w:t>envatinibo</w:t>
      </w:r>
      <w:proofErr w:type="spellEnd"/>
      <w:r w:rsidR="00823693" w:rsidRPr="004F572A">
        <w:rPr>
          <w:rFonts w:eastAsia="Calibri"/>
          <w:sz w:val="22"/>
          <w:szCs w:val="22"/>
        </w:rPr>
        <w:t xml:space="preserve"> vartojimą nutraukė 30,6 % pacientų, o </w:t>
      </w:r>
      <w:proofErr w:type="spellStart"/>
      <w:r w:rsidR="00823693" w:rsidRPr="004F572A">
        <w:rPr>
          <w:rFonts w:eastAsia="Calibri"/>
          <w:sz w:val="22"/>
          <w:szCs w:val="22"/>
        </w:rPr>
        <w:t>lenvatinibo</w:t>
      </w:r>
      <w:proofErr w:type="spellEnd"/>
      <w:r w:rsidR="00823693" w:rsidRPr="004F572A">
        <w:rPr>
          <w:rFonts w:eastAsia="Calibri"/>
          <w:sz w:val="22"/>
          <w:szCs w:val="22"/>
        </w:rPr>
        <w:t xml:space="preserve"> ir </w:t>
      </w:r>
      <w:proofErr w:type="spellStart"/>
      <w:r w:rsidR="00823693" w:rsidRPr="004F572A">
        <w:rPr>
          <w:rFonts w:eastAsia="Calibri"/>
          <w:sz w:val="22"/>
          <w:szCs w:val="22"/>
        </w:rPr>
        <w:t>pembrolizumabo</w:t>
      </w:r>
      <w:proofErr w:type="spellEnd"/>
      <w:r w:rsidR="00823693" w:rsidRPr="004F572A">
        <w:rPr>
          <w:rFonts w:eastAsia="Calibri"/>
          <w:sz w:val="22"/>
          <w:szCs w:val="22"/>
        </w:rPr>
        <w:t xml:space="preserve"> </w:t>
      </w:r>
      <w:r>
        <w:rPr>
          <w:rFonts w:eastAsia="Calibri"/>
          <w:sz w:val="22"/>
          <w:szCs w:val="22"/>
        </w:rPr>
        <w:t>vartojimą nutraukė</w:t>
      </w:r>
      <w:r w:rsidR="00823693" w:rsidRPr="004F572A">
        <w:rPr>
          <w:rFonts w:eastAsia="Calibri"/>
          <w:sz w:val="22"/>
          <w:szCs w:val="22"/>
        </w:rPr>
        <w:t xml:space="preserve"> 15,3 % pacientų</w:t>
      </w:r>
      <w:r>
        <w:rPr>
          <w:rFonts w:eastAsia="Calibri"/>
          <w:sz w:val="22"/>
          <w:szCs w:val="22"/>
        </w:rPr>
        <w:t xml:space="preserve"> dėl nepageidaujamos reakcijos</w:t>
      </w:r>
      <w:r w:rsidR="00823693" w:rsidRPr="004F572A">
        <w:rPr>
          <w:rFonts w:eastAsia="Calibri"/>
          <w:sz w:val="22"/>
          <w:szCs w:val="22"/>
        </w:rPr>
        <w:t>. Dažniausios (pasireiškusios ≥ 1 %</w:t>
      </w:r>
      <w:r>
        <w:rPr>
          <w:rFonts w:eastAsia="Calibri"/>
          <w:sz w:val="22"/>
          <w:szCs w:val="22"/>
        </w:rPr>
        <w:t xml:space="preserve"> </w:t>
      </w:r>
      <w:r w:rsidR="00823693" w:rsidRPr="004F572A">
        <w:rPr>
          <w:rFonts w:eastAsia="Calibri"/>
          <w:sz w:val="22"/>
          <w:szCs w:val="22"/>
        </w:rPr>
        <w:t xml:space="preserve">pacientų) nepageidaujamos reakcijos, dėl kurių buvo nutrauktas </w:t>
      </w:r>
      <w:proofErr w:type="spellStart"/>
      <w:r w:rsidR="00823693" w:rsidRPr="004F572A">
        <w:rPr>
          <w:rFonts w:eastAsia="Calibri"/>
          <w:sz w:val="22"/>
          <w:szCs w:val="22"/>
        </w:rPr>
        <w:t>lenvatinibo</w:t>
      </w:r>
      <w:proofErr w:type="spellEnd"/>
      <w:r w:rsidR="00823693" w:rsidRPr="004F572A">
        <w:rPr>
          <w:rFonts w:eastAsia="Calibri"/>
          <w:sz w:val="22"/>
          <w:szCs w:val="22"/>
        </w:rPr>
        <w:t xml:space="preserve"> vartojimas, buvo hipertenzija (1,9 %), viduriavimas (1,3 %), </w:t>
      </w:r>
      <w:proofErr w:type="spellStart"/>
      <w:r w:rsidR="00823693" w:rsidRPr="004F572A">
        <w:rPr>
          <w:rFonts w:eastAsia="Calibri"/>
          <w:sz w:val="22"/>
          <w:szCs w:val="22"/>
        </w:rPr>
        <w:t>astenija</w:t>
      </w:r>
      <w:proofErr w:type="spellEnd"/>
      <w:r w:rsidR="00823693" w:rsidRPr="004F572A">
        <w:rPr>
          <w:rFonts w:eastAsia="Calibri"/>
          <w:sz w:val="22"/>
          <w:szCs w:val="22"/>
        </w:rPr>
        <w:t xml:space="preserve"> (1,3 %), sumažėjęs apetitas (1,3 %), </w:t>
      </w:r>
      <w:proofErr w:type="spellStart"/>
      <w:r w:rsidR="00823693" w:rsidRPr="004F572A">
        <w:rPr>
          <w:rFonts w:eastAsia="Calibri"/>
          <w:sz w:val="22"/>
          <w:szCs w:val="22"/>
        </w:rPr>
        <w:t>proteinurija</w:t>
      </w:r>
      <w:proofErr w:type="spellEnd"/>
      <w:r w:rsidR="00823693" w:rsidRPr="004F572A">
        <w:rPr>
          <w:rFonts w:eastAsia="Calibri"/>
          <w:sz w:val="22"/>
          <w:szCs w:val="22"/>
        </w:rPr>
        <w:t xml:space="preserve"> (1,3 %) ir sumažėjęs svoris (1,1 %).</w:t>
      </w:r>
    </w:p>
    <w:p w14:paraId="185EE3AB" w14:textId="77777777" w:rsidR="00823693" w:rsidRPr="004F572A" w:rsidRDefault="00823693" w:rsidP="00823693">
      <w:pPr>
        <w:widowControl w:val="0"/>
        <w:tabs>
          <w:tab w:val="clear" w:pos="567"/>
        </w:tabs>
        <w:rPr>
          <w:rFonts w:eastAsia="Calibri"/>
          <w:sz w:val="22"/>
          <w:szCs w:val="22"/>
        </w:rPr>
      </w:pPr>
    </w:p>
    <w:p w14:paraId="4CC220D5" w14:textId="601F451B" w:rsidR="00823693" w:rsidRPr="004F572A" w:rsidRDefault="00823693" w:rsidP="00823693">
      <w:pPr>
        <w:widowControl w:val="0"/>
        <w:tabs>
          <w:tab w:val="clear" w:pos="567"/>
        </w:tabs>
        <w:rPr>
          <w:rFonts w:eastAsia="Calibri"/>
          <w:sz w:val="22"/>
          <w:szCs w:val="22"/>
        </w:rPr>
      </w:pPr>
      <w:r w:rsidRPr="004F572A">
        <w:rPr>
          <w:rFonts w:eastAsia="Calibri"/>
          <w:sz w:val="22"/>
          <w:szCs w:val="22"/>
        </w:rPr>
        <w:t xml:space="preserve">Dėl nepageidaujamos reakcijos </w:t>
      </w:r>
      <w:proofErr w:type="spellStart"/>
      <w:r w:rsidRPr="004F572A">
        <w:rPr>
          <w:rFonts w:eastAsia="Calibri"/>
          <w:sz w:val="22"/>
          <w:szCs w:val="22"/>
        </w:rPr>
        <w:t>lenvatinibo</w:t>
      </w:r>
      <w:proofErr w:type="spellEnd"/>
      <w:r w:rsidRPr="004F572A">
        <w:rPr>
          <w:rFonts w:eastAsia="Calibri"/>
          <w:sz w:val="22"/>
          <w:szCs w:val="22"/>
        </w:rPr>
        <w:t xml:space="preserve"> vartojimą </w:t>
      </w:r>
      <w:r w:rsidR="00381CA1">
        <w:rPr>
          <w:rFonts w:eastAsia="Calibri"/>
          <w:sz w:val="22"/>
          <w:szCs w:val="22"/>
        </w:rPr>
        <w:t>nutraukė</w:t>
      </w:r>
      <w:r w:rsidR="00381CA1" w:rsidRPr="004F572A">
        <w:rPr>
          <w:rFonts w:eastAsia="Calibri"/>
          <w:sz w:val="22"/>
          <w:szCs w:val="22"/>
        </w:rPr>
        <w:t xml:space="preserve"> </w:t>
      </w:r>
      <w:r w:rsidRPr="004F572A">
        <w:rPr>
          <w:rFonts w:eastAsia="Calibri"/>
          <w:sz w:val="22"/>
          <w:szCs w:val="22"/>
        </w:rPr>
        <w:t xml:space="preserve">63,2 % pacientų. Dėl nepageidaujamos reakcijos </w:t>
      </w:r>
      <w:proofErr w:type="spellStart"/>
      <w:r w:rsidRPr="004F572A">
        <w:rPr>
          <w:rFonts w:eastAsia="Calibri"/>
          <w:sz w:val="22"/>
          <w:szCs w:val="22"/>
        </w:rPr>
        <w:t>lenvatinibo</w:t>
      </w:r>
      <w:proofErr w:type="spellEnd"/>
      <w:r w:rsidRPr="004F572A">
        <w:rPr>
          <w:rFonts w:eastAsia="Calibri"/>
          <w:sz w:val="22"/>
          <w:szCs w:val="22"/>
        </w:rPr>
        <w:t xml:space="preserve"> ir </w:t>
      </w:r>
      <w:proofErr w:type="spellStart"/>
      <w:r w:rsidRPr="004F572A">
        <w:rPr>
          <w:rFonts w:eastAsia="Calibri"/>
          <w:sz w:val="22"/>
          <w:szCs w:val="22"/>
        </w:rPr>
        <w:t>pembrolizumabo</w:t>
      </w:r>
      <w:proofErr w:type="spellEnd"/>
      <w:r w:rsidRPr="004F572A">
        <w:rPr>
          <w:rFonts w:eastAsia="Calibri"/>
          <w:sz w:val="22"/>
          <w:szCs w:val="22"/>
        </w:rPr>
        <w:t xml:space="preserve"> </w:t>
      </w:r>
      <w:r w:rsidR="00157866">
        <w:rPr>
          <w:rFonts w:eastAsia="Calibri"/>
          <w:sz w:val="22"/>
          <w:szCs w:val="22"/>
        </w:rPr>
        <w:t>dozę nutraukė</w:t>
      </w:r>
      <w:r w:rsidRPr="004F572A">
        <w:rPr>
          <w:rFonts w:eastAsia="Calibri"/>
          <w:sz w:val="22"/>
          <w:szCs w:val="22"/>
        </w:rPr>
        <w:t xml:space="preserve"> 34,3 % pacientų. Dažniausios (pasireiškusios ≥ 5 % pacientų) nepageidaujamos reakcijos, dėl kurių buvo </w:t>
      </w:r>
      <w:r w:rsidR="00157866">
        <w:rPr>
          <w:rFonts w:eastAsia="Calibri"/>
          <w:sz w:val="22"/>
          <w:szCs w:val="22"/>
        </w:rPr>
        <w:t>nutrauktas</w:t>
      </w:r>
      <w:r w:rsidRPr="004F572A">
        <w:rPr>
          <w:rFonts w:eastAsia="Calibri"/>
          <w:sz w:val="22"/>
          <w:szCs w:val="22"/>
        </w:rPr>
        <w:t xml:space="preserve"> </w:t>
      </w:r>
      <w:proofErr w:type="spellStart"/>
      <w:r w:rsidRPr="004F572A">
        <w:rPr>
          <w:rFonts w:eastAsia="Calibri"/>
          <w:sz w:val="22"/>
          <w:szCs w:val="22"/>
        </w:rPr>
        <w:t>lenvatinibo</w:t>
      </w:r>
      <w:proofErr w:type="spellEnd"/>
      <w:r w:rsidRPr="004F572A">
        <w:rPr>
          <w:rFonts w:eastAsia="Calibri"/>
          <w:sz w:val="22"/>
          <w:szCs w:val="22"/>
        </w:rPr>
        <w:t xml:space="preserve"> vartojimas, buvo hipertenzija (12,6 %), viduriavimas (11,5 %), </w:t>
      </w:r>
      <w:proofErr w:type="spellStart"/>
      <w:r w:rsidRPr="004F572A">
        <w:rPr>
          <w:rFonts w:eastAsia="Calibri"/>
          <w:sz w:val="22"/>
          <w:szCs w:val="22"/>
        </w:rPr>
        <w:t>proteinurija</w:t>
      </w:r>
      <w:proofErr w:type="spellEnd"/>
      <w:r w:rsidRPr="004F572A">
        <w:rPr>
          <w:rFonts w:eastAsia="Calibri"/>
          <w:sz w:val="22"/>
          <w:szCs w:val="22"/>
        </w:rPr>
        <w:t xml:space="preserve"> (7,2 %), vėmimas (7 %), nuovargis (5,7 %), ir sumažėjęs apetitas (5,7 %).</w:t>
      </w:r>
    </w:p>
    <w:p w14:paraId="0995749D" w14:textId="77777777" w:rsidR="00823693" w:rsidRPr="004F572A" w:rsidRDefault="00823693" w:rsidP="00823693">
      <w:pPr>
        <w:widowControl w:val="0"/>
        <w:tabs>
          <w:tab w:val="clear" w:pos="567"/>
        </w:tabs>
        <w:rPr>
          <w:rFonts w:eastAsia="Calibri"/>
          <w:sz w:val="22"/>
          <w:szCs w:val="22"/>
        </w:rPr>
      </w:pPr>
    </w:p>
    <w:p w14:paraId="4E72745A" w14:textId="7F4027E2" w:rsidR="00823693" w:rsidRPr="004F572A" w:rsidRDefault="00823693" w:rsidP="00823693">
      <w:pPr>
        <w:widowControl w:val="0"/>
        <w:tabs>
          <w:tab w:val="clear" w:pos="567"/>
        </w:tabs>
        <w:rPr>
          <w:rFonts w:eastAsia="Calibri"/>
          <w:sz w:val="22"/>
          <w:szCs w:val="22"/>
        </w:rPr>
      </w:pPr>
      <w:r w:rsidRPr="004F572A">
        <w:rPr>
          <w:rFonts w:eastAsia="Calibri"/>
          <w:sz w:val="22"/>
          <w:szCs w:val="22"/>
        </w:rPr>
        <w:t xml:space="preserve">Dėl nepageidaujamų reakcijų </w:t>
      </w:r>
      <w:proofErr w:type="spellStart"/>
      <w:r w:rsidRPr="004F572A">
        <w:rPr>
          <w:rFonts w:eastAsia="Calibri"/>
          <w:sz w:val="22"/>
          <w:szCs w:val="22"/>
        </w:rPr>
        <w:t>lenvatinibo</w:t>
      </w:r>
      <w:proofErr w:type="spellEnd"/>
      <w:r w:rsidRPr="004F572A">
        <w:rPr>
          <w:rFonts w:eastAsia="Calibri"/>
          <w:sz w:val="22"/>
          <w:szCs w:val="22"/>
        </w:rPr>
        <w:t xml:space="preserve"> dozę sumažino 67,0</w:t>
      </w:r>
      <w:r w:rsidR="00D53FC3">
        <w:rPr>
          <w:rFonts w:eastAsia="Calibri"/>
          <w:sz w:val="22"/>
          <w:szCs w:val="22"/>
        </w:rPr>
        <w:t> </w:t>
      </w:r>
      <w:r w:rsidRPr="004F572A">
        <w:rPr>
          <w:rFonts w:eastAsia="Calibri"/>
          <w:sz w:val="22"/>
          <w:szCs w:val="22"/>
        </w:rPr>
        <w:t>% pacientų. Dažniausios (pasireiškusios ≥ 5 % pacientų) nepageidaujamos reakcijos, dėl kurių sumaž</w:t>
      </w:r>
      <w:r w:rsidR="00157866">
        <w:rPr>
          <w:rFonts w:eastAsia="Calibri"/>
          <w:sz w:val="22"/>
          <w:szCs w:val="22"/>
        </w:rPr>
        <w:t>ėjo</w:t>
      </w:r>
      <w:r w:rsidRPr="004F572A">
        <w:rPr>
          <w:rFonts w:eastAsia="Calibri"/>
          <w:sz w:val="22"/>
          <w:szCs w:val="22"/>
        </w:rPr>
        <w:t xml:space="preserve"> </w:t>
      </w:r>
      <w:proofErr w:type="spellStart"/>
      <w:r w:rsidRPr="004F572A">
        <w:rPr>
          <w:rFonts w:eastAsia="Calibri"/>
          <w:sz w:val="22"/>
          <w:szCs w:val="22"/>
        </w:rPr>
        <w:t>lenvatinibo</w:t>
      </w:r>
      <w:proofErr w:type="spellEnd"/>
      <w:r w:rsidRPr="004F572A">
        <w:rPr>
          <w:rFonts w:eastAsia="Calibri"/>
          <w:sz w:val="22"/>
          <w:szCs w:val="22"/>
        </w:rPr>
        <w:t xml:space="preserve"> dozė, buvo hipertenzija (16,2 %), viduriavimas (12,5 %), delnų ir padų </w:t>
      </w:r>
      <w:proofErr w:type="spellStart"/>
      <w:r w:rsidRPr="004F572A">
        <w:rPr>
          <w:rFonts w:eastAsia="Calibri"/>
          <w:sz w:val="22"/>
          <w:szCs w:val="22"/>
        </w:rPr>
        <w:t>eritrod</w:t>
      </w:r>
      <w:r w:rsidR="00C625F4" w:rsidRPr="004F572A">
        <w:rPr>
          <w:rFonts w:eastAsia="Calibri"/>
          <w:sz w:val="22"/>
          <w:szCs w:val="22"/>
        </w:rPr>
        <w:t>iz</w:t>
      </w:r>
      <w:r w:rsidRPr="004F572A">
        <w:rPr>
          <w:rFonts w:eastAsia="Calibri"/>
          <w:sz w:val="22"/>
          <w:szCs w:val="22"/>
        </w:rPr>
        <w:t>estezijos</w:t>
      </w:r>
      <w:proofErr w:type="spellEnd"/>
      <w:r w:rsidRPr="004F572A">
        <w:rPr>
          <w:rFonts w:eastAsia="Calibri"/>
          <w:sz w:val="22"/>
          <w:szCs w:val="22"/>
        </w:rPr>
        <w:t xml:space="preserve"> sindromas (9,1 %), nuovargis (8,7 %), </w:t>
      </w:r>
      <w:proofErr w:type="spellStart"/>
      <w:r w:rsidRPr="004F572A">
        <w:rPr>
          <w:rFonts w:eastAsia="Calibri"/>
          <w:sz w:val="22"/>
          <w:szCs w:val="22"/>
        </w:rPr>
        <w:t>proteinurija</w:t>
      </w:r>
      <w:proofErr w:type="spellEnd"/>
      <w:r w:rsidRPr="004F572A">
        <w:rPr>
          <w:rFonts w:eastAsia="Calibri"/>
          <w:sz w:val="22"/>
          <w:szCs w:val="22"/>
        </w:rPr>
        <w:t xml:space="preserve"> (7,7 %), sumažėjęs apetitas (6,6 %), pykinimas (5,5 %), </w:t>
      </w:r>
      <w:proofErr w:type="spellStart"/>
      <w:r w:rsidRPr="004F572A">
        <w:rPr>
          <w:rFonts w:eastAsia="Calibri"/>
          <w:sz w:val="22"/>
          <w:szCs w:val="22"/>
        </w:rPr>
        <w:t>astenija</w:t>
      </w:r>
      <w:proofErr w:type="spellEnd"/>
      <w:r w:rsidRPr="004F572A">
        <w:rPr>
          <w:rFonts w:eastAsia="Calibri"/>
          <w:sz w:val="22"/>
          <w:szCs w:val="22"/>
        </w:rPr>
        <w:t xml:space="preserve"> (5,1 %) ir sumažėjęs svoris (5,1 %).</w:t>
      </w:r>
    </w:p>
    <w:p w14:paraId="1D333B83" w14:textId="77777777" w:rsidR="00823693" w:rsidRPr="004F572A" w:rsidRDefault="00823693" w:rsidP="00823693">
      <w:pPr>
        <w:widowControl w:val="0"/>
        <w:tabs>
          <w:tab w:val="clear" w:pos="567"/>
        </w:tabs>
        <w:rPr>
          <w:rFonts w:eastAsia="Calibri"/>
          <w:sz w:val="22"/>
          <w:szCs w:val="22"/>
        </w:rPr>
      </w:pPr>
    </w:p>
    <w:p w14:paraId="17E68CE5" w14:textId="5B46FD50" w:rsidR="00823693" w:rsidRPr="004F572A" w:rsidRDefault="00823693" w:rsidP="00823693">
      <w:pPr>
        <w:widowControl w:val="0"/>
        <w:tabs>
          <w:tab w:val="clear" w:pos="567"/>
        </w:tabs>
        <w:rPr>
          <w:rFonts w:eastAsia="Calibri"/>
          <w:sz w:val="22"/>
          <w:szCs w:val="22"/>
          <w:u w:val="single"/>
        </w:rPr>
      </w:pPr>
      <w:r w:rsidRPr="004F572A">
        <w:rPr>
          <w:rFonts w:eastAsia="Calibri"/>
          <w:sz w:val="22"/>
          <w:szCs w:val="22"/>
          <w:u w:val="single"/>
        </w:rPr>
        <w:t xml:space="preserve">Nepageidaujamų reakcijų </w:t>
      </w:r>
      <w:r w:rsidR="00E27691">
        <w:rPr>
          <w:rFonts w:eastAsia="Calibri"/>
          <w:sz w:val="22"/>
          <w:szCs w:val="22"/>
          <w:u w:val="single"/>
        </w:rPr>
        <w:t>santrauka</w:t>
      </w:r>
      <w:r w:rsidR="00157866" w:rsidRPr="004F572A">
        <w:rPr>
          <w:rFonts w:eastAsia="Calibri"/>
          <w:sz w:val="22"/>
          <w:szCs w:val="22"/>
          <w:u w:val="single"/>
        </w:rPr>
        <w:t xml:space="preserve"> </w:t>
      </w:r>
      <w:r w:rsidRPr="004F572A">
        <w:rPr>
          <w:rFonts w:eastAsia="Calibri"/>
          <w:sz w:val="22"/>
          <w:szCs w:val="22"/>
          <w:u w:val="single"/>
        </w:rPr>
        <w:t>lentelėje</w:t>
      </w:r>
    </w:p>
    <w:p w14:paraId="74C119DB" w14:textId="77777777" w:rsidR="00823693" w:rsidRPr="004F572A" w:rsidRDefault="00823693" w:rsidP="00823693">
      <w:pPr>
        <w:widowControl w:val="0"/>
        <w:tabs>
          <w:tab w:val="clear" w:pos="567"/>
        </w:tabs>
        <w:rPr>
          <w:rFonts w:eastAsia="Calibri"/>
          <w:sz w:val="22"/>
          <w:szCs w:val="22"/>
        </w:rPr>
      </w:pPr>
    </w:p>
    <w:p w14:paraId="02B7EBC3" w14:textId="7DAC227A" w:rsidR="00823693" w:rsidRPr="004F572A" w:rsidRDefault="00823693" w:rsidP="00823693">
      <w:pPr>
        <w:widowControl w:val="0"/>
        <w:tabs>
          <w:tab w:val="clear" w:pos="567"/>
        </w:tabs>
        <w:rPr>
          <w:rFonts w:eastAsia="Calibri"/>
          <w:sz w:val="22"/>
          <w:szCs w:val="22"/>
        </w:rPr>
      </w:pPr>
      <w:proofErr w:type="spellStart"/>
      <w:r w:rsidRPr="004F572A">
        <w:rPr>
          <w:rFonts w:eastAsia="Calibri"/>
          <w:sz w:val="22"/>
          <w:szCs w:val="22"/>
        </w:rPr>
        <w:t>Lenvatinibo</w:t>
      </w:r>
      <w:proofErr w:type="spellEnd"/>
      <w:r w:rsidR="00157866">
        <w:rPr>
          <w:rFonts w:eastAsia="Calibri"/>
          <w:sz w:val="22"/>
          <w:szCs w:val="22"/>
        </w:rPr>
        <w:t xml:space="preserve"> kaip </w:t>
      </w:r>
      <w:proofErr w:type="spellStart"/>
      <w:r w:rsidR="00704AAB" w:rsidRPr="004F572A">
        <w:rPr>
          <w:rFonts w:eastAsia="Calibri"/>
          <w:sz w:val="22"/>
          <w:szCs w:val="22"/>
        </w:rPr>
        <w:t>monoterapij</w:t>
      </w:r>
      <w:r w:rsidR="00157866">
        <w:rPr>
          <w:rFonts w:eastAsia="Calibri"/>
          <w:sz w:val="22"/>
          <w:szCs w:val="22"/>
        </w:rPr>
        <w:t>os</w:t>
      </w:r>
      <w:proofErr w:type="spellEnd"/>
      <w:r w:rsidRPr="004F572A">
        <w:rPr>
          <w:rFonts w:eastAsia="Calibri"/>
          <w:sz w:val="22"/>
          <w:szCs w:val="22"/>
        </w:rPr>
        <w:t xml:space="preserve"> saugumo </w:t>
      </w:r>
      <w:r w:rsidR="00704AAB" w:rsidRPr="004F572A">
        <w:rPr>
          <w:rFonts w:eastAsia="Calibri"/>
          <w:sz w:val="22"/>
          <w:szCs w:val="22"/>
        </w:rPr>
        <w:t>profilis</w:t>
      </w:r>
      <w:r w:rsidR="00157866">
        <w:rPr>
          <w:rFonts w:eastAsia="Calibri"/>
          <w:sz w:val="22"/>
          <w:szCs w:val="22"/>
        </w:rPr>
        <w:t>,</w:t>
      </w:r>
      <w:r w:rsidR="00704AAB" w:rsidRPr="004F572A">
        <w:rPr>
          <w:rFonts w:eastAsia="Calibri"/>
          <w:sz w:val="22"/>
          <w:szCs w:val="22"/>
        </w:rPr>
        <w:t xml:space="preserve"> </w:t>
      </w:r>
      <w:r w:rsidRPr="004F572A">
        <w:rPr>
          <w:rFonts w:eastAsia="Calibri"/>
          <w:sz w:val="22"/>
          <w:szCs w:val="22"/>
        </w:rPr>
        <w:t xml:space="preserve">pagrįstas 452 DSK sergančių pacientų ir 496 HCK sergančių pacientų duomenimis; leidžia apibūdinti tik bendrąsias nepageidaujamas DSK ir HCK sergančių pacientų reakcijas. Šiame skyriuje pateiktos nepageidaujamos reakcijos pagrįstos pacientų, sergančių </w:t>
      </w:r>
      <w:r w:rsidR="00704AAB" w:rsidRPr="004F572A">
        <w:rPr>
          <w:rFonts w:eastAsia="Calibri"/>
          <w:sz w:val="22"/>
          <w:szCs w:val="22"/>
        </w:rPr>
        <w:t xml:space="preserve">ir </w:t>
      </w:r>
      <w:r w:rsidRPr="004F572A">
        <w:rPr>
          <w:rFonts w:eastAsia="Calibri"/>
          <w:sz w:val="22"/>
          <w:szCs w:val="22"/>
        </w:rPr>
        <w:t>DSK</w:t>
      </w:r>
      <w:r w:rsidR="00704AAB" w:rsidRPr="004F572A">
        <w:rPr>
          <w:rFonts w:eastAsia="Calibri"/>
          <w:sz w:val="22"/>
          <w:szCs w:val="22"/>
        </w:rPr>
        <w:t>,</w:t>
      </w:r>
      <w:r w:rsidRPr="004F572A">
        <w:rPr>
          <w:rFonts w:eastAsia="Calibri"/>
          <w:sz w:val="22"/>
          <w:szCs w:val="22"/>
        </w:rPr>
        <w:t xml:space="preserve"> ir HCK, saugumo duomenimis (žr. 5.1 skyrių).</w:t>
      </w:r>
    </w:p>
    <w:p w14:paraId="14663D2B" w14:textId="77777777" w:rsidR="00704AAB" w:rsidRPr="004F572A" w:rsidRDefault="00704AAB" w:rsidP="00823693">
      <w:pPr>
        <w:widowControl w:val="0"/>
        <w:tabs>
          <w:tab w:val="clear" w:pos="567"/>
        </w:tabs>
        <w:rPr>
          <w:rFonts w:eastAsia="Calibri"/>
          <w:sz w:val="22"/>
          <w:szCs w:val="22"/>
        </w:rPr>
      </w:pPr>
    </w:p>
    <w:p w14:paraId="64DC3EA7" w14:textId="7C37FF89" w:rsidR="00823693" w:rsidRPr="004F572A" w:rsidRDefault="00823693" w:rsidP="00823693">
      <w:pPr>
        <w:widowControl w:val="0"/>
        <w:tabs>
          <w:tab w:val="clear" w:pos="567"/>
        </w:tabs>
        <w:rPr>
          <w:rFonts w:eastAsia="Calibri"/>
          <w:sz w:val="22"/>
          <w:szCs w:val="22"/>
        </w:rPr>
      </w:pPr>
      <w:proofErr w:type="spellStart"/>
      <w:r w:rsidRPr="004F572A">
        <w:rPr>
          <w:rFonts w:eastAsia="Calibri"/>
          <w:sz w:val="22"/>
          <w:szCs w:val="22"/>
        </w:rPr>
        <w:t>Lenvatinibo</w:t>
      </w:r>
      <w:proofErr w:type="spellEnd"/>
      <w:r w:rsidRPr="004F572A">
        <w:rPr>
          <w:rFonts w:eastAsia="Calibri"/>
          <w:sz w:val="22"/>
          <w:szCs w:val="22"/>
        </w:rPr>
        <w:t xml:space="preserve">, </w:t>
      </w:r>
      <w:r w:rsidR="00157866" w:rsidRPr="00157866">
        <w:rPr>
          <w:rFonts w:eastAsia="Calibri"/>
          <w:sz w:val="22"/>
          <w:szCs w:val="22"/>
        </w:rPr>
        <w:t>kaip kombinuoto gydymo</w:t>
      </w:r>
      <w:r w:rsidRPr="004F572A">
        <w:rPr>
          <w:rFonts w:eastAsia="Calibri"/>
          <w:sz w:val="22"/>
          <w:szCs w:val="22"/>
        </w:rPr>
        <w:t xml:space="preserve">, saugumo profilis pagrįstas 530 EK pacientų, gydytų </w:t>
      </w:r>
      <w:proofErr w:type="spellStart"/>
      <w:r w:rsidRPr="004F572A">
        <w:rPr>
          <w:rFonts w:eastAsia="Calibri"/>
          <w:sz w:val="22"/>
          <w:szCs w:val="22"/>
        </w:rPr>
        <w:t>lenvatinibu</w:t>
      </w:r>
      <w:proofErr w:type="spellEnd"/>
      <w:r w:rsidRPr="004F572A">
        <w:rPr>
          <w:rFonts w:eastAsia="Calibri"/>
          <w:sz w:val="22"/>
          <w:szCs w:val="22"/>
        </w:rPr>
        <w:t xml:space="preserve"> kartu su </w:t>
      </w:r>
      <w:proofErr w:type="spellStart"/>
      <w:r w:rsidRPr="004F572A">
        <w:rPr>
          <w:rFonts w:eastAsia="Calibri"/>
          <w:sz w:val="22"/>
          <w:szCs w:val="22"/>
        </w:rPr>
        <w:t>pembrolizumabu</w:t>
      </w:r>
      <w:proofErr w:type="spellEnd"/>
      <w:r w:rsidRPr="004F572A">
        <w:rPr>
          <w:rFonts w:eastAsia="Calibri"/>
          <w:sz w:val="22"/>
          <w:szCs w:val="22"/>
        </w:rPr>
        <w:t>, duomenimis (žr. 5.1 skyrių).</w:t>
      </w:r>
    </w:p>
    <w:p w14:paraId="36EDDB71" w14:textId="77777777" w:rsidR="00704AAB" w:rsidRPr="004F572A" w:rsidRDefault="00704AAB" w:rsidP="00823693">
      <w:pPr>
        <w:widowControl w:val="0"/>
        <w:tabs>
          <w:tab w:val="clear" w:pos="567"/>
        </w:tabs>
        <w:rPr>
          <w:rFonts w:eastAsia="Calibri"/>
          <w:sz w:val="22"/>
          <w:szCs w:val="22"/>
        </w:rPr>
      </w:pPr>
    </w:p>
    <w:p w14:paraId="705C69F4" w14:textId="11D7F672" w:rsidR="00823693" w:rsidRPr="004F572A" w:rsidRDefault="00823693" w:rsidP="00823693">
      <w:pPr>
        <w:widowControl w:val="0"/>
        <w:tabs>
          <w:tab w:val="clear" w:pos="567"/>
        </w:tabs>
        <w:rPr>
          <w:rFonts w:eastAsia="Calibri"/>
          <w:sz w:val="22"/>
          <w:szCs w:val="22"/>
        </w:rPr>
      </w:pPr>
      <w:r w:rsidRPr="004F572A">
        <w:rPr>
          <w:rFonts w:eastAsia="Calibri"/>
          <w:sz w:val="22"/>
          <w:szCs w:val="22"/>
        </w:rPr>
        <w:t xml:space="preserve">Nepageidaujamos reakcijos, nustatytos DSK, HCK ir EK klinikinių tyrimų metu, bei tos, apie kurias buvo pranešta po to, kai </w:t>
      </w:r>
      <w:proofErr w:type="spellStart"/>
      <w:r w:rsidRPr="004F572A">
        <w:rPr>
          <w:rFonts w:eastAsia="Calibri"/>
          <w:sz w:val="22"/>
          <w:szCs w:val="22"/>
        </w:rPr>
        <w:t>lenvatinibas</w:t>
      </w:r>
      <w:proofErr w:type="spellEnd"/>
      <w:r w:rsidRPr="004F572A">
        <w:rPr>
          <w:rFonts w:eastAsia="Calibri"/>
          <w:sz w:val="22"/>
          <w:szCs w:val="22"/>
        </w:rPr>
        <w:t xml:space="preserve"> buvo </w:t>
      </w:r>
      <w:r w:rsidR="00704AAB" w:rsidRPr="004F572A">
        <w:rPr>
          <w:rFonts w:eastAsia="Calibri"/>
          <w:sz w:val="22"/>
          <w:szCs w:val="22"/>
        </w:rPr>
        <w:t>pateiktas į rinką</w:t>
      </w:r>
      <w:r w:rsidRPr="004F572A">
        <w:rPr>
          <w:rFonts w:eastAsia="Calibri"/>
          <w:sz w:val="22"/>
          <w:szCs w:val="22"/>
        </w:rPr>
        <w:t>, pateiktos 6</w:t>
      </w:r>
      <w:r w:rsidR="00D53FC3">
        <w:rPr>
          <w:rFonts w:eastAsia="Calibri"/>
          <w:sz w:val="22"/>
          <w:szCs w:val="22"/>
        </w:rPr>
        <w:t> </w:t>
      </w:r>
      <w:r w:rsidRPr="004F572A">
        <w:rPr>
          <w:rFonts w:eastAsia="Calibri"/>
          <w:sz w:val="22"/>
          <w:szCs w:val="22"/>
        </w:rPr>
        <w:t xml:space="preserve">lentelėje. Nepageidaujamos reakcijos dažnio kategorija atspindi konservatyviausią dažnio apskaičiavimą remiantis atskiromis populiacijomis. Nepageidaujamos reakcijos, kurios gali pasireikšti vartojant vien tik </w:t>
      </w:r>
      <w:proofErr w:type="spellStart"/>
      <w:r w:rsidRPr="004F572A">
        <w:rPr>
          <w:rFonts w:eastAsia="Calibri"/>
          <w:sz w:val="22"/>
          <w:szCs w:val="22"/>
        </w:rPr>
        <w:t>lenvatinib</w:t>
      </w:r>
      <w:r w:rsidR="00704AAB" w:rsidRPr="004F572A">
        <w:rPr>
          <w:rFonts w:eastAsia="Calibri"/>
          <w:sz w:val="22"/>
          <w:szCs w:val="22"/>
        </w:rPr>
        <w:t>o</w:t>
      </w:r>
      <w:proofErr w:type="spellEnd"/>
      <w:r w:rsidRPr="004F572A">
        <w:rPr>
          <w:rFonts w:eastAsia="Calibri"/>
          <w:sz w:val="22"/>
          <w:szCs w:val="22"/>
        </w:rPr>
        <w:t xml:space="preserve"> arba taikant kombinuotą gydymą, gali </w:t>
      </w:r>
      <w:r w:rsidR="00157866">
        <w:rPr>
          <w:rFonts w:eastAsia="Calibri"/>
          <w:sz w:val="22"/>
          <w:szCs w:val="22"/>
        </w:rPr>
        <w:t>atsirasti</w:t>
      </w:r>
      <w:r w:rsidRPr="004F572A">
        <w:rPr>
          <w:rFonts w:eastAsia="Calibri"/>
          <w:sz w:val="22"/>
          <w:szCs w:val="22"/>
        </w:rPr>
        <w:t xml:space="preserve"> vartojant ši</w:t>
      </w:r>
      <w:r w:rsidR="00704AAB" w:rsidRPr="004F572A">
        <w:rPr>
          <w:rFonts w:eastAsia="Calibri"/>
          <w:sz w:val="22"/>
          <w:szCs w:val="22"/>
        </w:rPr>
        <w:t>ų</w:t>
      </w:r>
      <w:r w:rsidRPr="004F572A">
        <w:rPr>
          <w:rFonts w:eastAsia="Calibri"/>
          <w:sz w:val="22"/>
          <w:szCs w:val="22"/>
        </w:rPr>
        <w:t xml:space="preserve"> vaistini</w:t>
      </w:r>
      <w:r w:rsidR="00704AAB" w:rsidRPr="004F572A">
        <w:rPr>
          <w:rFonts w:eastAsia="Calibri"/>
          <w:sz w:val="22"/>
          <w:szCs w:val="22"/>
        </w:rPr>
        <w:t>ų</w:t>
      </w:r>
      <w:r w:rsidRPr="004F572A">
        <w:rPr>
          <w:rFonts w:eastAsia="Calibri"/>
          <w:sz w:val="22"/>
          <w:szCs w:val="22"/>
        </w:rPr>
        <w:t xml:space="preserve"> preparat</w:t>
      </w:r>
      <w:r w:rsidR="00704AAB" w:rsidRPr="004F572A">
        <w:rPr>
          <w:rFonts w:eastAsia="Calibri"/>
          <w:sz w:val="22"/>
          <w:szCs w:val="22"/>
        </w:rPr>
        <w:t>ų</w:t>
      </w:r>
      <w:r w:rsidRPr="004F572A">
        <w:rPr>
          <w:rFonts w:eastAsia="Calibri"/>
          <w:sz w:val="22"/>
          <w:szCs w:val="22"/>
        </w:rPr>
        <w:t xml:space="preserve"> kartu, net jei apie šias reakcijas nebuvo pranešta atliekant klinikinius kombinuoto gydymo tyrimus.</w:t>
      </w:r>
    </w:p>
    <w:p w14:paraId="6AB8A160" w14:textId="77777777" w:rsidR="00704AAB" w:rsidRPr="004F572A" w:rsidRDefault="00704AAB" w:rsidP="00823693">
      <w:pPr>
        <w:widowControl w:val="0"/>
        <w:tabs>
          <w:tab w:val="clear" w:pos="567"/>
        </w:tabs>
        <w:rPr>
          <w:rFonts w:eastAsia="Calibri"/>
          <w:sz w:val="22"/>
          <w:szCs w:val="22"/>
        </w:rPr>
      </w:pPr>
    </w:p>
    <w:p w14:paraId="2459ABF4" w14:textId="54F737DF" w:rsidR="00823693" w:rsidRPr="004F572A" w:rsidRDefault="00823693" w:rsidP="00823693">
      <w:pPr>
        <w:widowControl w:val="0"/>
        <w:tabs>
          <w:tab w:val="clear" w:pos="567"/>
        </w:tabs>
        <w:rPr>
          <w:rFonts w:eastAsia="Calibri"/>
          <w:sz w:val="22"/>
          <w:szCs w:val="22"/>
        </w:rPr>
      </w:pPr>
      <w:r w:rsidRPr="004F572A">
        <w:rPr>
          <w:rFonts w:eastAsia="Calibri"/>
          <w:sz w:val="22"/>
          <w:szCs w:val="22"/>
        </w:rPr>
        <w:t>Papildomos informacijos apie saugumą</w:t>
      </w:r>
      <w:r w:rsidR="00157866">
        <w:rPr>
          <w:rFonts w:eastAsia="Calibri"/>
          <w:sz w:val="22"/>
          <w:szCs w:val="22"/>
        </w:rPr>
        <w:t>, kai</w:t>
      </w:r>
      <w:r w:rsidRPr="004F572A">
        <w:rPr>
          <w:rFonts w:eastAsia="Calibri"/>
          <w:sz w:val="22"/>
          <w:szCs w:val="22"/>
        </w:rPr>
        <w:t xml:space="preserve"> </w:t>
      </w:r>
      <w:proofErr w:type="spellStart"/>
      <w:r w:rsidRPr="004F572A">
        <w:rPr>
          <w:rFonts w:eastAsia="Calibri"/>
          <w:sz w:val="22"/>
          <w:szCs w:val="22"/>
        </w:rPr>
        <w:t>lenvatinib</w:t>
      </w:r>
      <w:r w:rsidR="00157866">
        <w:rPr>
          <w:rFonts w:eastAsia="Calibri"/>
          <w:sz w:val="22"/>
          <w:szCs w:val="22"/>
        </w:rPr>
        <w:t>as</w:t>
      </w:r>
      <w:proofErr w:type="spellEnd"/>
      <w:r w:rsidRPr="004F572A">
        <w:rPr>
          <w:rFonts w:eastAsia="Calibri"/>
          <w:sz w:val="22"/>
          <w:szCs w:val="22"/>
        </w:rPr>
        <w:t xml:space="preserve"> vartoja</w:t>
      </w:r>
      <w:r w:rsidR="00157866">
        <w:rPr>
          <w:rFonts w:eastAsia="Calibri"/>
          <w:sz w:val="22"/>
          <w:szCs w:val="22"/>
        </w:rPr>
        <w:t>mas</w:t>
      </w:r>
      <w:r w:rsidRPr="004F572A">
        <w:rPr>
          <w:rFonts w:eastAsia="Calibri"/>
          <w:sz w:val="22"/>
          <w:szCs w:val="22"/>
        </w:rPr>
        <w:t xml:space="preserve"> kartu su </w:t>
      </w:r>
      <w:proofErr w:type="spellStart"/>
      <w:r w:rsidRPr="004F572A">
        <w:rPr>
          <w:rFonts w:eastAsia="Calibri"/>
          <w:sz w:val="22"/>
          <w:szCs w:val="22"/>
        </w:rPr>
        <w:t>pembrolizumabu</w:t>
      </w:r>
      <w:proofErr w:type="spellEnd"/>
      <w:r w:rsidRPr="004F572A">
        <w:rPr>
          <w:rFonts w:eastAsia="Calibri"/>
          <w:sz w:val="22"/>
          <w:szCs w:val="22"/>
        </w:rPr>
        <w:t xml:space="preserve">, </w:t>
      </w:r>
      <w:r w:rsidR="00157866">
        <w:rPr>
          <w:rFonts w:eastAsia="Calibri"/>
          <w:sz w:val="22"/>
          <w:szCs w:val="22"/>
        </w:rPr>
        <w:t>rasite</w:t>
      </w:r>
      <w:r w:rsidRPr="004F572A">
        <w:rPr>
          <w:rFonts w:eastAsia="Calibri"/>
          <w:sz w:val="22"/>
          <w:szCs w:val="22"/>
        </w:rPr>
        <w:t xml:space="preserve"> </w:t>
      </w:r>
      <w:r w:rsidRPr="004F572A">
        <w:rPr>
          <w:rFonts w:eastAsia="Calibri"/>
          <w:sz w:val="22"/>
          <w:szCs w:val="22"/>
        </w:rPr>
        <w:lastRenderedPageBreak/>
        <w:t>atitinkamo kombinuoto gydymo komponento (</w:t>
      </w:r>
      <w:proofErr w:type="spellStart"/>
      <w:r w:rsidRPr="004F572A">
        <w:rPr>
          <w:rFonts w:eastAsia="Calibri"/>
          <w:sz w:val="22"/>
          <w:szCs w:val="22"/>
        </w:rPr>
        <w:t>pembrolizumabo</w:t>
      </w:r>
      <w:proofErr w:type="spellEnd"/>
      <w:r w:rsidRPr="004F572A">
        <w:rPr>
          <w:rFonts w:eastAsia="Calibri"/>
          <w:sz w:val="22"/>
          <w:szCs w:val="22"/>
        </w:rPr>
        <w:t>) preparato charakteristikų santraukoje.</w:t>
      </w:r>
    </w:p>
    <w:p w14:paraId="1F26824A" w14:textId="6F1ABEA6" w:rsidR="00823693" w:rsidRPr="004F572A" w:rsidRDefault="00823693" w:rsidP="00823693">
      <w:pPr>
        <w:widowControl w:val="0"/>
        <w:tabs>
          <w:tab w:val="clear" w:pos="567"/>
        </w:tabs>
        <w:rPr>
          <w:rFonts w:eastAsia="Calibri"/>
          <w:sz w:val="22"/>
          <w:szCs w:val="22"/>
        </w:rPr>
      </w:pPr>
    </w:p>
    <w:p w14:paraId="6B990D9E" w14:textId="77777777" w:rsidR="00AE30F8" w:rsidRPr="004F572A" w:rsidRDefault="00AE30F8" w:rsidP="00AE30F8">
      <w:pPr>
        <w:widowControl w:val="0"/>
        <w:tabs>
          <w:tab w:val="clear" w:pos="567"/>
        </w:tabs>
        <w:rPr>
          <w:rFonts w:eastAsia="Calibri"/>
          <w:sz w:val="22"/>
          <w:szCs w:val="22"/>
        </w:rPr>
      </w:pPr>
      <w:r w:rsidRPr="004F572A">
        <w:rPr>
          <w:rFonts w:eastAsia="Calibri"/>
          <w:sz w:val="22"/>
          <w:szCs w:val="22"/>
        </w:rPr>
        <w:t>Dažnis apibūdinamas taip:</w:t>
      </w:r>
    </w:p>
    <w:p w14:paraId="69AC66F9" w14:textId="4C167FE1" w:rsidR="00AE30F8" w:rsidRPr="004F572A" w:rsidRDefault="00AE30F8">
      <w:pPr>
        <w:pStyle w:val="Sraopastraipa"/>
        <w:widowControl w:val="0"/>
        <w:numPr>
          <w:ilvl w:val="0"/>
          <w:numId w:val="6"/>
        </w:numPr>
        <w:tabs>
          <w:tab w:val="clear" w:pos="567"/>
        </w:tabs>
        <w:ind w:left="360"/>
        <w:rPr>
          <w:rFonts w:eastAsia="Calibri"/>
          <w:sz w:val="22"/>
          <w:szCs w:val="22"/>
        </w:rPr>
      </w:pPr>
      <w:r w:rsidRPr="004F572A">
        <w:rPr>
          <w:rFonts w:eastAsia="Calibri"/>
          <w:sz w:val="22"/>
          <w:szCs w:val="22"/>
        </w:rPr>
        <w:t>labai dažnas (≥ 1/10);</w:t>
      </w:r>
    </w:p>
    <w:p w14:paraId="15F752F9" w14:textId="7DEF4FB8" w:rsidR="00AE30F8" w:rsidRPr="004F572A" w:rsidRDefault="00AE30F8">
      <w:pPr>
        <w:pStyle w:val="Sraopastraipa"/>
        <w:widowControl w:val="0"/>
        <w:numPr>
          <w:ilvl w:val="0"/>
          <w:numId w:val="6"/>
        </w:numPr>
        <w:tabs>
          <w:tab w:val="clear" w:pos="567"/>
        </w:tabs>
        <w:ind w:left="360"/>
        <w:rPr>
          <w:rFonts w:eastAsia="Calibri"/>
          <w:sz w:val="22"/>
          <w:szCs w:val="22"/>
        </w:rPr>
      </w:pPr>
      <w:r w:rsidRPr="004F572A">
        <w:rPr>
          <w:rFonts w:eastAsia="Calibri"/>
          <w:sz w:val="22"/>
          <w:szCs w:val="22"/>
        </w:rPr>
        <w:t>dažnas (nuo ≥ 1/100 iki &lt; 1/10);</w:t>
      </w:r>
    </w:p>
    <w:p w14:paraId="4C36DF3E" w14:textId="7EF29F60" w:rsidR="00AE30F8" w:rsidRPr="004F572A" w:rsidRDefault="00AE30F8">
      <w:pPr>
        <w:pStyle w:val="Sraopastraipa"/>
        <w:widowControl w:val="0"/>
        <w:numPr>
          <w:ilvl w:val="0"/>
          <w:numId w:val="6"/>
        </w:numPr>
        <w:tabs>
          <w:tab w:val="clear" w:pos="567"/>
        </w:tabs>
        <w:ind w:left="360"/>
        <w:rPr>
          <w:rFonts w:eastAsia="Calibri"/>
          <w:sz w:val="22"/>
          <w:szCs w:val="22"/>
        </w:rPr>
      </w:pPr>
      <w:r w:rsidRPr="004F572A">
        <w:rPr>
          <w:rFonts w:eastAsia="Calibri"/>
          <w:sz w:val="22"/>
          <w:szCs w:val="22"/>
        </w:rPr>
        <w:t>nedažnas (nuo ≥ 1/1 000 iki &lt; 1/100);</w:t>
      </w:r>
    </w:p>
    <w:p w14:paraId="701F1D9F" w14:textId="6FF5D1D6" w:rsidR="00AE30F8" w:rsidRPr="004F572A" w:rsidRDefault="00AE30F8">
      <w:pPr>
        <w:pStyle w:val="Sraopastraipa"/>
        <w:widowControl w:val="0"/>
        <w:numPr>
          <w:ilvl w:val="0"/>
          <w:numId w:val="6"/>
        </w:numPr>
        <w:tabs>
          <w:tab w:val="clear" w:pos="567"/>
        </w:tabs>
        <w:ind w:left="360"/>
        <w:rPr>
          <w:rFonts w:eastAsia="Calibri"/>
          <w:sz w:val="22"/>
          <w:szCs w:val="22"/>
        </w:rPr>
      </w:pPr>
      <w:r w:rsidRPr="004F572A">
        <w:rPr>
          <w:rFonts w:eastAsia="Calibri"/>
          <w:sz w:val="22"/>
          <w:szCs w:val="22"/>
        </w:rPr>
        <w:t>retas (nuo ≥ 1/10 000 iki &lt; 1/1 000)</w:t>
      </w:r>
    </w:p>
    <w:p w14:paraId="74C03D44" w14:textId="1DF2D4AC" w:rsidR="00AE30F8" w:rsidRPr="004F572A" w:rsidRDefault="00AE30F8">
      <w:pPr>
        <w:pStyle w:val="Sraopastraipa"/>
        <w:widowControl w:val="0"/>
        <w:numPr>
          <w:ilvl w:val="0"/>
          <w:numId w:val="6"/>
        </w:numPr>
        <w:tabs>
          <w:tab w:val="clear" w:pos="567"/>
        </w:tabs>
        <w:ind w:left="360"/>
        <w:rPr>
          <w:rFonts w:eastAsia="Calibri"/>
          <w:sz w:val="22"/>
          <w:szCs w:val="22"/>
        </w:rPr>
      </w:pPr>
      <w:r w:rsidRPr="004F572A">
        <w:rPr>
          <w:rFonts w:eastAsia="Calibri"/>
          <w:sz w:val="22"/>
          <w:szCs w:val="22"/>
        </w:rPr>
        <w:t>labai retas (nuo &lt; 1/10 000)</w:t>
      </w:r>
    </w:p>
    <w:p w14:paraId="0DFB581C" w14:textId="07D582C2" w:rsidR="00AE30F8" w:rsidRPr="004F572A" w:rsidRDefault="00AE30F8">
      <w:pPr>
        <w:pStyle w:val="Sraopastraipa"/>
        <w:widowControl w:val="0"/>
        <w:numPr>
          <w:ilvl w:val="0"/>
          <w:numId w:val="6"/>
        </w:numPr>
        <w:tabs>
          <w:tab w:val="clear" w:pos="567"/>
        </w:tabs>
        <w:ind w:left="360"/>
        <w:rPr>
          <w:rFonts w:eastAsia="Calibri"/>
          <w:sz w:val="22"/>
          <w:szCs w:val="22"/>
        </w:rPr>
      </w:pPr>
      <w:r w:rsidRPr="004F572A">
        <w:rPr>
          <w:rFonts w:eastAsia="Calibri"/>
          <w:sz w:val="22"/>
          <w:szCs w:val="22"/>
        </w:rPr>
        <w:t>nežinomas (negali būti apskaičiuotas pagal turimus duomenis).</w:t>
      </w:r>
    </w:p>
    <w:p w14:paraId="74978A06" w14:textId="77777777" w:rsidR="00AE30F8" w:rsidRPr="004F572A" w:rsidRDefault="00AE30F8" w:rsidP="00AE30F8">
      <w:pPr>
        <w:widowControl w:val="0"/>
        <w:tabs>
          <w:tab w:val="clear" w:pos="567"/>
        </w:tabs>
        <w:rPr>
          <w:rFonts w:eastAsia="Calibri"/>
          <w:sz w:val="22"/>
          <w:szCs w:val="22"/>
        </w:rPr>
      </w:pPr>
    </w:p>
    <w:p w14:paraId="734FB01E" w14:textId="25060FC4" w:rsidR="00162897" w:rsidRPr="004F572A" w:rsidRDefault="00AE30F8" w:rsidP="00AE30F8">
      <w:pPr>
        <w:widowControl w:val="0"/>
        <w:tabs>
          <w:tab w:val="clear" w:pos="567"/>
        </w:tabs>
        <w:rPr>
          <w:rFonts w:eastAsia="Calibri"/>
          <w:sz w:val="22"/>
          <w:szCs w:val="22"/>
        </w:rPr>
      </w:pPr>
      <w:r w:rsidRPr="004F572A">
        <w:rPr>
          <w:rFonts w:eastAsia="Calibri"/>
          <w:sz w:val="22"/>
          <w:szCs w:val="22"/>
        </w:rPr>
        <w:t>Kiekvienoje dažnio kategorijoje nepageidaujamas poveikis pateikiamas mažėjančio sunkumo tvarka.</w:t>
      </w:r>
    </w:p>
    <w:p w14:paraId="34884FA5" w14:textId="77777777" w:rsidR="00162897" w:rsidRPr="004F572A" w:rsidRDefault="00162897" w:rsidP="000928CA">
      <w:pPr>
        <w:widowControl w:val="0"/>
        <w:tabs>
          <w:tab w:val="clear" w:pos="567"/>
        </w:tabs>
        <w:rPr>
          <w:rFonts w:eastAsia="Calibri"/>
          <w:sz w:val="22"/>
          <w:szCs w:val="22"/>
        </w:rPr>
      </w:pPr>
    </w:p>
    <w:tbl>
      <w:tblPr>
        <w:tblStyle w:val="Lentelstinklelis"/>
        <w:tblW w:w="0" w:type="auto"/>
        <w:tblLook w:val="04A0" w:firstRow="1" w:lastRow="0" w:firstColumn="1" w:lastColumn="0" w:noHBand="0" w:noVBand="1"/>
      </w:tblPr>
      <w:tblGrid>
        <w:gridCol w:w="2245"/>
        <w:gridCol w:w="3330"/>
        <w:gridCol w:w="3420"/>
        <w:gridCol w:w="65"/>
      </w:tblGrid>
      <w:tr w:rsidR="006008A0" w:rsidRPr="004F572A" w14:paraId="4EAD0899" w14:textId="77777777" w:rsidTr="006008A0">
        <w:tc>
          <w:tcPr>
            <w:tcW w:w="9060" w:type="dxa"/>
            <w:gridSpan w:val="4"/>
          </w:tcPr>
          <w:p w14:paraId="266D6499" w14:textId="2B273F41" w:rsidR="006008A0" w:rsidRPr="004F572A" w:rsidRDefault="006008A0" w:rsidP="006008A0">
            <w:pPr>
              <w:widowControl w:val="0"/>
              <w:tabs>
                <w:tab w:val="clear" w:pos="567"/>
              </w:tabs>
              <w:ind w:left="970" w:hanging="900"/>
              <w:rPr>
                <w:rFonts w:eastAsia="Calibri"/>
                <w:b/>
                <w:bCs/>
                <w:sz w:val="22"/>
                <w:szCs w:val="22"/>
              </w:rPr>
            </w:pPr>
            <w:r w:rsidRPr="004F572A">
              <w:rPr>
                <w:rFonts w:eastAsia="Calibri"/>
                <w:b/>
                <w:bCs/>
                <w:sz w:val="22"/>
                <w:szCs w:val="22"/>
              </w:rPr>
              <w:t>6</w:t>
            </w:r>
            <w:r w:rsidR="00D53FC3">
              <w:rPr>
                <w:rFonts w:eastAsia="Calibri"/>
                <w:b/>
                <w:bCs/>
                <w:sz w:val="22"/>
                <w:szCs w:val="22"/>
              </w:rPr>
              <w:t> </w:t>
            </w:r>
            <w:r w:rsidRPr="004F572A">
              <w:rPr>
                <w:rFonts w:eastAsia="Calibri"/>
                <w:b/>
                <w:bCs/>
                <w:sz w:val="22"/>
                <w:szCs w:val="22"/>
              </w:rPr>
              <w:t xml:space="preserve">lentelė. Nepageidaujamos reakcijos, apie kurias pranešta pacientams, gydytiems </w:t>
            </w:r>
            <w:proofErr w:type="spellStart"/>
            <w:r w:rsidRPr="004F572A">
              <w:rPr>
                <w:rFonts w:eastAsia="Calibri"/>
                <w:b/>
                <w:bCs/>
                <w:sz w:val="22"/>
                <w:szCs w:val="22"/>
              </w:rPr>
              <w:t>lenvatinibu</w:t>
            </w:r>
            <w:proofErr w:type="spellEnd"/>
            <w:r w:rsidRPr="004F572A">
              <w:rPr>
                <w:rFonts w:eastAsia="Calibri"/>
                <w:b/>
                <w:bCs/>
                <w:sz w:val="22"/>
                <w:szCs w:val="22"/>
                <w:vertAlign w:val="superscript"/>
              </w:rPr>
              <w:t>§</w:t>
            </w:r>
          </w:p>
        </w:tc>
      </w:tr>
      <w:tr w:rsidR="006008A0" w:rsidRPr="004F572A" w14:paraId="149F48B2" w14:textId="77777777" w:rsidTr="0074743C">
        <w:tc>
          <w:tcPr>
            <w:tcW w:w="2245" w:type="dxa"/>
          </w:tcPr>
          <w:p w14:paraId="5F2FA980" w14:textId="52622B87" w:rsidR="006008A0" w:rsidRPr="004F572A" w:rsidRDefault="001D3DB7" w:rsidP="000928CA">
            <w:pPr>
              <w:widowControl w:val="0"/>
              <w:tabs>
                <w:tab w:val="clear" w:pos="567"/>
              </w:tabs>
              <w:rPr>
                <w:rFonts w:eastAsia="Calibri"/>
                <w:b/>
                <w:bCs/>
                <w:sz w:val="22"/>
                <w:szCs w:val="22"/>
              </w:rPr>
            </w:pPr>
            <w:r w:rsidRPr="004F572A">
              <w:rPr>
                <w:rFonts w:eastAsia="Calibri"/>
                <w:b/>
                <w:bCs/>
                <w:sz w:val="22"/>
                <w:szCs w:val="22"/>
              </w:rPr>
              <w:t xml:space="preserve">Organų sistemų klasė </w:t>
            </w:r>
            <w:r w:rsidRPr="004F572A">
              <w:rPr>
                <w:rFonts w:eastAsia="Calibri"/>
                <w:sz w:val="22"/>
                <w:szCs w:val="22"/>
              </w:rPr>
              <w:t>(</w:t>
            </w:r>
            <w:proofErr w:type="spellStart"/>
            <w:r w:rsidRPr="004F572A">
              <w:rPr>
                <w:rFonts w:eastAsia="Calibri"/>
                <w:sz w:val="22"/>
                <w:szCs w:val="22"/>
              </w:rPr>
              <w:t>MedDRA</w:t>
            </w:r>
            <w:proofErr w:type="spellEnd"/>
            <w:r w:rsidRPr="004F572A">
              <w:rPr>
                <w:rFonts w:eastAsia="Calibri"/>
                <w:sz w:val="22"/>
                <w:szCs w:val="22"/>
              </w:rPr>
              <w:t xml:space="preserve"> terminologija)</w:t>
            </w:r>
          </w:p>
        </w:tc>
        <w:tc>
          <w:tcPr>
            <w:tcW w:w="3330" w:type="dxa"/>
          </w:tcPr>
          <w:p w14:paraId="42867E20" w14:textId="0F1B9059" w:rsidR="006008A0" w:rsidRPr="004F572A" w:rsidRDefault="006008A0" w:rsidP="000928CA">
            <w:pPr>
              <w:widowControl w:val="0"/>
              <w:tabs>
                <w:tab w:val="clear" w:pos="567"/>
              </w:tabs>
              <w:rPr>
                <w:rFonts w:eastAsia="Calibri"/>
                <w:b/>
                <w:bCs/>
                <w:sz w:val="22"/>
                <w:szCs w:val="22"/>
              </w:rPr>
            </w:pPr>
            <w:proofErr w:type="spellStart"/>
            <w:r w:rsidRPr="004F572A">
              <w:rPr>
                <w:rFonts w:eastAsia="Calibri"/>
                <w:b/>
                <w:bCs/>
                <w:sz w:val="22"/>
                <w:szCs w:val="22"/>
              </w:rPr>
              <w:t>Lenvatinibo</w:t>
            </w:r>
            <w:proofErr w:type="spellEnd"/>
            <w:r w:rsidRPr="004F572A">
              <w:rPr>
                <w:rFonts w:eastAsia="Calibri"/>
                <w:b/>
                <w:bCs/>
                <w:sz w:val="22"/>
                <w:szCs w:val="22"/>
              </w:rPr>
              <w:t xml:space="preserve"> </w:t>
            </w:r>
            <w:proofErr w:type="spellStart"/>
            <w:r w:rsidRPr="004F572A">
              <w:rPr>
                <w:rFonts w:eastAsia="Calibri"/>
                <w:b/>
                <w:bCs/>
                <w:sz w:val="22"/>
                <w:szCs w:val="22"/>
              </w:rPr>
              <w:t>monoterapija</w:t>
            </w:r>
            <w:proofErr w:type="spellEnd"/>
          </w:p>
        </w:tc>
        <w:tc>
          <w:tcPr>
            <w:tcW w:w="3485" w:type="dxa"/>
            <w:gridSpan w:val="2"/>
          </w:tcPr>
          <w:p w14:paraId="3CA1574F" w14:textId="35D3FE76" w:rsidR="006008A0" w:rsidRPr="004F572A" w:rsidRDefault="001D3DB7" w:rsidP="000928CA">
            <w:pPr>
              <w:widowControl w:val="0"/>
              <w:tabs>
                <w:tab w:val="clear" w:pos="567"/>
              </w:tabs>
              <w:rPr>
                <w:rFonts w:eastAsia="Calibri"/>
                <w:b/>
                <w:bCs/>
                <w:sz w:val="22"/>
                <w:szCs w:val="22"/>
              </w:rPr>
            </w:pPr>
            <w:r w:rsidRPr="004F572A">
              <w:rPr>
                <w:rFonts w:eastAsia="Calibri"/>
                <w:b/>
                <w:bCs/>
                <w:sz w:val="22"/>
                <w:szCs w:val="22"/>
              </w:rPr>
              <w:t xml:space="preserve">Derinys su </w:t>
            </w:r>
            <w:proofErr w:type="spellStart"/>
            <w:r w:rsidRPr="004F572A">
              <w:rPr>
                <w:rFonts w:eastAsia="Calibri"/>
                <w:b/>
                <w:bCs/>
                <w:sz w:val="22"/>
                <w:szCs w:val="22"/>
              </w:rPr>
              <w:t>pembrolizumabu</w:t>
            </w:r>
            <w:proofErr w:type="spellEnd"/>
          </w:p>
        </w:tc>
      </w:tr>
      <w:tr w:rsidR="001D3DB7" w:rsidRPr="004F572A" w14:paraId="38258857" w14:textId="77777777" w:rsidTr="001D3DB7">
        <w:tc>
          <w:tcPr>
            <w:tcW w:w="9060" w:type="dxa"/>
            <w:gridSpan w:val="4"/>
          </w:tcPr>
          <w:p w14:paraId="3DB483B8" w14:textId="50F36978" w:rsidR="001D3DB7" w:rsidRPr="004F572A" w:rsidRDefault="001D3DB7" w:rsidP="000928CA">
            <w:pPr>
              <w:widowControl w:val="0"/>
              <w:tabs>
                <w:tab w:val="clear" w:pos="567"/>
              </w:tabs>
              <w:rPr>
                <w:rFonts w:eastAsia="Calibri"/>
                <w:b/>
                <w:bCs/>
                <w:sz w:val="22"/>
                <w:szCs w:val="22"/>
              </w:rPr>
            </w:pPr>
            <w:r w:rsidRPr="004F572A">
              <w:rPr>
                <w:rFonts w:eastAsia="Calibri"/>
                <w:b/>
                <w:bCs/>
                <w:sz w:val="22"/>
                <w:szCs w:val="22"/>
              </w:rPr>
              <w:t xml:space="preserve">Infekcijos ir </w:t>
            </w:r>
            <w:proofErr w:type="spellStart"/>
            <w:r w:rsidRPr="004F572A">
              <w:rPr>
                <w:rFonts w:eastAsia="Calibri"/>
                <w:b/>
                <w:bCs/>
                <w:sz w:val="22"/>
                <w:szCs w:val="22"/>
              </w:rPr>
              <w:t>infestacijos</w:t>
            </w:r>
            <w:proofErr w:type="spellEnd"/>
          </w:p>
        </w:tc>
      </w:tr>
      <w:tr w:rsidR="006008A0" w:rsidRPr="004F572A" w14:paraId="2C71EA1A" w14:textId="77777777" w:rsidTr="0074743C">
        <w:tc>
          <w:tcPr>
            <w:tcW w:w="2245" w:type="dxa"/>
          </w:tcPr>
          <w:p w14:paraId="12EC4D65" w14:textId="1BB260E8" w:rsidR="006008A0" w:rsidRPr="004F572A" w:rsidRDefault="001D3DB7" w:rsidP="000928CA">
            <w:pPr>
              <w:widowControl w:val="0"/>
              <w:tabs>
                <w:tab w:val="clear" w:pos="567"/>
              </w:tabs>
              <w:rPr>
                <w:rFonts w:eastAsia="Calibri"/>
                <w:sz w:val="22"/>
                <w:szCs w:val="22"/>
              </w:rPr>
            </w:pPr>
            <w:r w:rsidRPr="004F572A">
              <w:rPr>
                <w:rFonts w:eastAsia="Calibri"/>
                <w:sz w:val="22"/>
                <w:szCs w:val="22"/>
              </w:rPr>
              <w:t>Labai dažn</w:t>
            </w:r>
            <w:r w:rsidR="00D05341">
              <w:rPr>
                <w:rFonts w:eastAsia="Calibri"/>
                <w:sz w:val="22"/>
                <w:szCs w:val="22"/>
              </w:rPr>
              <w:t>as</w:t>
            </w:r>
          </w:p>
        </w:tc>
        <w:tc>
          <w:tcPr>
            <w:tcW w:w="3330" w:type="dxa"/>
          </w:tcPr>
          <w:p w14:paraId="0E61E2BA" w14:textId="6A567230" w:rsidR="006008A0" w:rsidRPr="004F572A" w:rsidRDefault="001D3DB7" w:rsidP="000928CA">
            <w:pPr>
              <w:widowControl w:val="0"/>
              <w:tabs>
                <w:tab w:val="clear" w:pos="567"/>
              </w:tabs>
              <w:rPr>
                <w:rFonts w:eastAsia="Calibri"/>
                <w:sz w:val="22"/>
                <w:szCs w:val="22"/>
              </w:rPr>
            </w:pPr>
            <w:r w:rsidRPr="004F572A">
              <w:rPr>
                <w:rFonts w:eastAsia="Calibri"/>
                <w:sz w:val="22"/>
                <w:szCs w:val="22"/>
              </w:rPr>
              <w:t>Šlapimo takų infekcija</w:t>
            </w:r>
          </w:p>
        </w:tc>
        <w:tc>
          <w:tcPr>
            <w:tcW w:w="3485" w:type="dxa"/>
            <w:gridSpan w:val="2"/>
          </w:tcPr>
          <w:p w14:paraId="5C43B48A" w14:textId="097A66EA" w:rsidR="006008A0" w:rsidRPr="004F572A" w:rsidRDefault="001D3DB7" w:rsidP="000928CA">
            <w:pPr>
              <w:widowControl w:val="0"/>
              <w:tabs>
                <w:tab w:val="clear" w:pos="567"/>
              </w:tabs>
              <w:rPr>
                <w:rFonts w:eastAsia="Calibri"/>
                <w:sz w:val="22"/>
                <w:szCs w:val="22"/>
              </w:rPr>
            </w:pPr>
            <w:r w:rsidRPr="004F572A">
              <w:rPr>
                <w:rFonts w:eastAsia="Calibri"/>
                <w:sz w:val="22"/>
                <w:szCs w:val="22"/>
              </w:rPr>
              <w:t>Šlapimo takų infekcija</w:t>
            </w:r>
          </w:p>
        </w:tc>
      </w:tr>
      <w:tr w:rsidR="006008A0" w:rsidRPr="004F572A" w14:paraId="6D321BD5" w14:textId="77777777" w:rsidTr="0074743C">
        <w:tc>
          <w:tcPr>
            <w:tcW w:w="2245" w:type="dxa"/>
          </w:tcPr>
          <w:p w14:paraId="292EA45D" w14:textId="253C51EA" w:rsidR="006008A0" w:rsidRPr="004F572A" w:rsidRDefault="001D3DB7" w:rsidP="000928CA">
            <w:pPr>
              <w:widowControl w:val="0"/>
              <w:tabs>
                <w:tab w:val="clear" w:pos="567"/>
              </w:tabs>
              <w:rPr>
                <w:rFonts w:eastAsia="Calibri"/>
                <w:sz w:val="22"/>
                <w:szCs w:val="22"/>
              </w:rPr>
            </w:pPr>
            <w:r w:rsidRPr="004F572A">
              <w:rPr>
                <w:rFonts w:eastAsia="Calibri"/>
                <w:sz w:val="22"/>
                <w:szCs w:val="22"/>
              </w:rPr>
              <w:t>Nedažn</w:t>
            </w:r>
            <w:r w:rsidR="00D05341">
              <w:rPr>
                <w:rFonts w:eastAsia="Calibri"/>
                <w:sz w:val="22"/>
                <w:szCs w:val="22"/>
              </w:rPr>
              <w:t>as</w:t>
            </w:r>
          </w:p>
        </w:tc>
        <w:tc>
          <w:tcPr>
            <w:tcW w:w="3330" w:type="dxa"/>
          </w:tcPr>
          <w:p w14:paraId="7D64511C" w14:textId="26C2F5E6" w:rsidR="006008A0" w:rsidRPr="004F572A" w:rsidRDefault="001D3DB7" w:rsidP="000928CA">
            <w:pPr>
              <w:widowControl w:val="0"/>
              <w:tabs>
                <w:tab w:val="clear" w:pos="567"/>
              </w:tabs>
              <w:rPr>
                <w:rFonts w:eastAsia="Calibri"/>
                <w:sz w:val="22"/>
                <w:szCs w:val="22"/>
              </w:rPr>
            </w:pPr>
            <w:proofErr w:type="spellStart"/>
            <w:r w:rsidRPr="004F572A">
              <w:rPr>
                <w:rFonts w:eastAsia="Calibri"/>
                <w:sz w:val="22"/>
                <w:szCs w:val="22"/>
              </w:rPr>
              <w:t>Tarpvietės</w:t>
            </w:r>
            <w:proofErr w:type="spellEnd"/>
            <w:r w:rsidRPr="004F572A">
              <w:rPr>
                <w:rFonts w:eastAsia="Calibri"/>
                <w:sz w:val="22"/>
                <w:szCs w:val="22"/>
              </w:rPr>
              <w:t xml:space="preserve"> </w:t>
            </w:r>
            <w:proofErr w:type="spellStart"/>
            <w:r w:rsidRPr="004F572A">
              <w:rPr>
                <w:rFonts w:eastAsia="Calibri"/>
                <w:sz w:val="22"/>
                <w:szCs w:val="22"/>
              </w:rPr>
              <w:t>abscesas</w:t>
            </w:r>
            <w:proofErr w:type="spellEnd"/>
          </w:p>
        </w:tc>
        <w:tc>
          <w:tcPr>
            <w:tcW w:w="3485" w:type="dxa"/>
            <w:gridSpan w:val="2"/>
          </w:tcPr>
          <w:p w14:paraId="0C888A66" w14:textId="7040CDF1" w:rsidR="006008A0" w:rsidRPr="004F572A" w:rsidRDefault="001D3DB7" w:rsidP="000928CA">
            <w:pPr>
              <w:widowControl w:val="0"/>
              <w:tabs>
                <w:tab w:val="clear" w:pos="567"/>
              </w:tabs>
              <w:rPr>
                <w:rFonts w:eastAsia="Calibri"/>
                <w:sz w:val="22"/>
                <w:szCs w:val="22"/>
              </w:rPr>
            </w:pPr>
            <w:proofErr w:type="spellStart"/>
            <w:r w:rsidRPr="004F572A">
              <w:rPr>
                <w:rFonts w:eastAsia="Calibri"/>
                <w:sz w:val="22"/>
                <w:szCs w:val="22"/>
              </w:rPr>
              <w:t>Tarpvietės</w:t>
            </w:r>
            <w:proofErr w:type="spellEnd"/>
            <w:r w:rsidRPr="004F572A">
              <w:rPr>
                <w:rFonts w:eastAsia="Calibri"/>
                <w:sz w:val="22"/>
                <w:szCs w:val="22"/>
              </w:rPr>
              <w:t xml:space="preserve"> </w:t>
            </w:r>
            <w:proofErr w:type="spellStart"/>
            <w:r w:rsidRPr="004F572A">
              <w:rPr>
                <w:rFonts w:eastAsia="Calibri"/>
                <w:sz w:val="22"/>
                <w:szCs w:val="22"/>
              </w:rPr>
              <w:t>abscesas</w:t>
            </w:r>
            <w:proofErr w:type="spellEnd"/>
          </w:p>
        </w:tc>
      </w:tr>
      <w:tr w:rsidR="00897CDD" w:rsidRPr="004F572A" w14:paraId="33767E3B" w14:textId="77777777" w:rsidTr="00897CDD">
        <w:tc>
          <w:tcPr>
            <w:tcW w:w="9060" w:type="dxa"/>
            <w:gridSpan w:val="4"/>
          </w:tcPr>
          <w:p w14:paraId="36629DBC" w14:textId="622E553D" w:rsidR="00897CDD" w:rsidRPr="004F572A" w:rsidRDefault="00897CDD" w:rsidP="000928CA">
            <w:pPr>
              <w:widowControl w:val="0"/>
              <w:tabs>
                <w:tab w:val="clear" w:pos="567"/>
              </w:tabs>
              <w:rPr>
                <w:rFonts w:eastAsia="Calibri"/>
                <w:b/>
                <w:bCs/>
                <w:sz w:val="22"/>
                <w:szCs w:val="22"/>
              </w:rPr>
            </w:pPr>
            <w:r w:rsidRPr="004F572A">
              <w:rPr>
                <w:rFonts w:eastAsia="Calibri"/>
                <w:b/>
                <w:bCs/>
                <w:sz w:val="22"/>
                <w:szCs w:val="22"/>
              </w:rPr>
              <w:t>Kraujo ir limfinės sistemos sutrikimai</w:t>
            </w:r>
          </w:p>
        </w:tc>
      </w:tr>
      <w:tr w:rsidR="00897CDD" w:rsidRPr="004F572A" w14:paraId="4A1DC32B" w14:textId="77777777" w:rsidTr="0074743C">
        <w:tc>
          <w:tcPr>
            <w:tcW w:w="2245" w:type="dxa"/>
          </w:tcPr>
          <w:p w14:paraId="55514746" w14:textId="161F493D" w:rsidR="00897CDD" w:rsidRPr="004F572A" w:rsidRDefault="00897CDD" w:rsidP="00897CDD">
            <w:pPr>
              <w:widowControl w:val="0"/>
              <w:tabs>
                <w:tab w:val="clear" w:pos="567"/>
              </w:tabs>
              <w:rPr>
                <w:rFonts w:eastAsia="Calibri"/>
                <w:sz w:val="22"/>
                <w:szCs w:val="22"/>
              </w:rPr>
            </w:pPr>
            <w:r w:rsidRPr="004F572A">
              <w:rPr>
                <w:rFonts w:eastAsia="Calibri"/>
                <w:sz w:val="22"/>
                <w:szCs w:val="22"/>
              </w:rPr>
              <w:t>Labai dažn</w:t>
            </w:r>
            <w:r w:rsidR="00D05341">
              <w:rPr>
                <w:rFonts w:eastAsia="Calibri"/>
                <w:sz w:val="22"/>
                <w:szCs w:val="22"/>
              </w:rPr>
              <w:t>as</w:t>
            </w:r>
          </w:p>
        </w:tc>
        <w:tc>
          <w:tcPr>
            <w:tcW w:w="3330" w:type="dxa"/>
          </w:tcPr>
          <w:p w14:paraId="08163338" w14:textId="56B79920" w:rsidR="00897CDD" w:rsidRPr="004F572A" w:rsidRDefault="00897CDD" w:rsidP="00897CDD">
            <w:pPr>
              <w:widowControl w:val="0"/>
              <w:tabs>
                <w:tab w:val="clear" w:pos="567"/>
              </w:tabs>
              <w:rPr>
                <w:rFonts w:eastAsia="Calibri"/>
                <w:sz w:val="22"/>
                <w:szCs w:val="22"/>
              </w:rPr>
            </w:pPr>
            <w:proofErr w:type="spellStart"/>
            <w:r w:rsidRPr="004F572A">
              <w:rPr>
                <w:rFonts w:eastAsia="Calibri"/>
                <w:sz w:val="22"/>
                <w:szCs w:val="22"/>
              </w:rPr>
              <w:t>Trombocitopenija</w:t>
            </w:r>
            <w:r w:rsidRPr="004F572A">
              <w:rPr>
                <w:rFonts w:eastAsia="Calibri"/>
                <w:sz w:val="22"/>
                <w:szCs w:val="22"/>
                <w:vertAlign w:val="superscript"/>
              </w:rPr>
              <w:t>a</w:t>
            </w:r>
            <w:proofErr w:type="spellEnd"/>
            <w:r w:rsidRPr="004F572A">
              <w:rPr>
                <w:rFonts w:eastAsia="Calibri"/>
                <w:sz w:val="22"/>
                <w:szCs w:val="22"/>
                <w:vertAlign w:val="superscript"/>
              </w:rPr>
              <w:t>,‡</w:t>
            </w:r>
          </w:p>
          <w:p w14:paraId="48A38619" w14:textId="50C1AD50" w:rsidR="00897CDD" w:rsidRPr="004F572A" w:rsidRDefault="00897CDD" w:rsidP="00897CDD">
            <w:pPr>
              <w:widowControl w:val="0"/>
              <w:tabs>
                <w:tab w:val="clear" w:pos="567"/>
              </w:tabs>
              <w:rPr>
                <w:rFonts w:eastAsia="Calibri"/>
                <w:sz w:val="22"/>
                <w:szCs w:val="22"/>
              </w:rPr>
            </w:pPr>
            <w:proofErr w:type="spellStart"/>
            <w:r w:rsidRPr="004F572A">
              <w:rPr>
                <w:rFonts w:eastAsia="Calibri"/>
                <w:sz w:val="22"/>
                <w:szCs w:val="22"/>
              </w:rPr>
              <w:t>Limfopenija</w:t>
            </w:r>
            <w:r w:rsidRPr="004F572A">
              <w:rPr>
                <w:rFonts w:eastAsia="Calibri"/>
                <w:sz w:val="22"/>
                <w:szCs w:val="22"/>
                <w:vertAlign w:val="superscript"/>
              </w:rPr>
              <w:t>a</w:t>
            </w:r>
            <w:proofErr w:type="spellEnd"/>
            <w:r w:rsidRPr="004F572A">
              <w:rPr>
                <w:rFonts w:eastAsia="Calibri"/>
                <w:sz w:val="22"/>
                <w:szCs w:val="22"/>
                <w:vertAlign w:val="superscript"/>
              </w:rPr>
              <w:t>,‡</w:t>
            </w:r>
          </w:p>
          <w:p w14:paraId="631D7EE1" w14:textId="77777777" w:rsidR="00897CDD" w:rsidRDefault="00897CDD" w:rsidP="00897CDD">
            <w:pPr>
              <w:widowControl w:val="0"/>
              <w:tabs>
                <w:tab w:val="clear" w:pos="567"/>
              </w:tabs>
              <w:rPr>
                <w:rFonts w:eastAsia="Calibri"/>
                <w:sz w:val="22"/>
                <w:szCs w:val="22"/>
                <w:vertAlign w:val="superscript"/>
              </w:rPr>
            </w:pPr>
            <w:proofErr w:type="spellStart"/>
            <w:r w:rsidRPr="004F572A">
              <w:rPr>
                <w:rFonts w:eastAsia="Calibri"/>
                <w:sz w:val="22"/>
                <w:szCs w:val="22"/>
              </w:rPr>
              <w:t>Leukopenija</w:t>
            </w:r>
            <w:r w:rsidRPr="004F572A">
              <w:rPr>
                <w:rFonts w:eastAsia="Calibri"/>
                <w:sz w:val="22"/>
                <w:szCs w:val="22"/>
                <w:vertAlign w:val="superscript"/>
              </w:rPr>
              <w:t>a</w:t>
            </w:r>
            <w:proofErr w:type="spellEnd"/>
            <w:r w:rsidRPr="004F572A">
              <w:rPr>
                <w:rFonts w:eastAsia="Calibri"/>
                <w:sz w:val="22"/>
                <w:szCs w:val="22"/>
                <w:vertAlign w:val="superscript"/>
              </w:rPr>
              <w:t>,‡</w:t>
            </w:r>
          </w:p>
          <w:p w14:paraId="2A281947" w14:textId="49644B8C" w:rsidR="00D05341" w:rsidRPr="004F572A" w:rsidRDefault="00D05341" w:rsidP="00D05341">
            <w:pPr>
              <w:widowControl w:val="0"/>
              <w:tabs>
                <w:tab w:val="clear" w:pos="567"/>
              </w:tabs>
              <w:rPr>
                <w:rFonts w:eastAsia="Calibri"/>
                <w:sz w:val="22"/>
                <w:szCs w:val="22"/>
              </w:rPr>
            </w:pPr>
            <w:proofErr w:type="spellStart"/>
            <w:r>
              <w:rPr>
                <w:rFonts w:eastAsia="Calibri"/>
                <w:sz w:val="22"/>
                <w:szCs w:val="22"/>
              </w:rPr>
              <w:t>Neutrop</w:t>
            </w:r>
            <w:r w:rsidRPr="004F572A">
              <w:rPr>
                <w:rFonts w:eastAsia="Calibri"/>
                <w:sz w:val="22"/>
                <w:szCs w:val="22"/>
              </w:rPr>
              <w:t>enija</w:t>
            </w:r>
            <w:r w:rsidRPr="004F572A">
              <w:rPr>
                <w:rFonts w:eastAsia="Calibri"/>
                <w:sz w:val="22"/>
                <w:szCs w:val="22"/>
                <w:vertAlign w:val="superscript"/>
              </w:rPr>
              <w:t>a</w:t>
            </w:r>
            <w:proofErr w:type="spellEnd"/>
            <w:r w:rsidRPr="004F572A">
              <w:rPr>
                <w:rFonts w:eastAsia="Calibri"/>
                <w:sz w:val="22"/>
                <w:szCs w:val="22"/>
                <w:vertAlign w:val="superscript"/>
              </w:rPr>
              <w:t>,‡</w:t>
            </w:r>
          </w:p>
        </w:tc>
        <w:tc>
          <w:tcPr>
            <w:tcW w:w="3485" w:type="dxa"/>
            <w:gridSpan w:val="2"/>
          </w:tcPr>
          <w:p w14:paraId="796C1186" w14:textId="77777777" w:rsidR="00897CDD" w:rsidRPr="004F572A" w:rsidRDefault="00897CDD" w:rsidP="00897CDD">
            <w:pPr>
              <w:widowControl w:val="0"/>
              <w:tabs>
                <w:tab w:val="clear" w:pos="567"/>
              </w:tabs>
              <w:rPr>
                <w:rFonts w:eastAsia="Calibri"/>
                <w:sz w:val="22"/>
                <w:szCs w:val="22"/>
              </w:rPr>
            </w:pPr>
            <w:proofErr w:type="spellStart"/>
            <w:r w:rsidRPr="004F572A">
              <w:rPr>
                <w:rFonts w:eastAsia="Calibri"/>
                <w:sz w:val="22"/>
                <w:szCs w:val="22"/>
              </w:rPr>
              <w:t>Trombocitopenija</w:t>
            </w:r>
            <w:r w:rsidRPr="004F572A">
              <w:rPr>
                <w:rFonts w:eastAsia="Calibri"/>
                <w:sz w:val="22"/>
                <w:szCs w:val="22"/>
                <w:vertAlign w:val="superscript"/>
              </w:rPr>
              <w:t>a</w:t>
            </w:r>
            <w:proofErr w:type="spellEnd"/>
            <w:r w:rsidRPr="004F572A">
              <w:rPr>
                <w:rFonts w:eastAsia="Calibri"/>
                <w:sz w:val="22"/>
                <w:szCs w:val="22"/>
                <w:vertAlign w:val="superscript"/>
              </w:rPr>
              <w:t>,‡</w:t>
            </w:r>
          </w:p>
          <w:p w14:paraId="41E9349F" w14:textId="77777777" w:rsidR="00897CDD" w:rsidRPr="004F572A" w:rsidRDefault="00897CDD" w:rsidP="00897CDD">
            <w:pPr>
              <w:widowControl w:val="0"/>
              <w:tabs>
                <w:tab w:val="clear" w:pos="567"/>
              </w:tabs>
              <w:rPr>
                <w:rFonts w:eastAsia="Calibri"/>
                <w:sz w:val="22"/>
                <w:szCs w:val="22"/>
              </w:rPr>
            </w:pPr>
            <w:proofErr w:type="spellStart"/>
            <w:r w:rsidRPr="004F572A">
              <w:rPr>
                <w:rFonts w:eastAsia="Calibri"/>
                <w:sz w:val="22"/>
                <w:szCs w:val="22"/>
              </w:rPr>
              <w:t>Limfopenija</w:t>
            </w:r>
            <w:r w:rsidRPr="004F572A">
              <w:rPr>
                <w:rFonts w:eastAsia="Calibri"/>
                <w:sz w:val="22"/>
                <w:szCs w:val="22"/>
                <w:vertAlign w:val="superscript"/>
              </w:rPr>
              <w:t>a</w:t>
            </w:r>
            <w:proofErr w:type="spellEnd"/>
            <w:r w:rsidRPr="004F572A">
              <w:rPr>
                <w:rFonts w:eastAsia="Calibri"/>
                <w:sz w:val="22"/>
                <w:szCs w:val="22"/>
                <w:vertAlign w:val="superscript"/>
              </w:rPr>
              <w:t>,‡</w:t>
            </w:r>
          </w:p>
          <w:p w14:paraId="4084204E" w14:textId="77777777" w:rsidR="00897CDD" w:rsidRDefault="00897CDD" w:rsidP="00897CDD">
            <w:pPr>
              <w:widowControl w:val="0"/>
              <w:tabs>
                <w:tab w:val="clear" w:pos="567"/>
              </w:tabs>
              <w:rPr>
                <w:rFonts w:eastAsia="Calibri"/>
                <w:sz w:val="22"/>
                <w:szCs w:val="22"/>
                <w:vertAlign w:val="superscript"/>
              </w:rPr>
            </w:pPr>
            <w:proofErr w:type="spellStart"/>
            <w:r w:rsidRPr="004F572A">
              <w:rPr>
                <w:rFonts w:eastAsia="Calibri"/>
                <w:sz w:val="22"/>
                <w:szCs w:val="22"/>
              </w:rPr>
              <w:t>Leukopenija</w:t>
            </w:r>
            <w:r w:rsidRPr="004F572A">
              <w:rPr>
                <w:rFonts w:eastAsia="Calibri"/>
                <w:sz w:val="22"/>
                <w:szCs w:val="22"/>
                <w:vertAlign w:val="superscript"/>
              </w:rPr>
              <w:t>a</w:t>
            </w:r>
            <w:proofErr w:type="spellEnd"/>
            <w:r w:rsidRPr="004F572A">
              <w:rPr>
                <w:rFonts w:eastAsia="Calibri"/>
                <w:sz w:val="22"/>
                <w:szCs w:val="22"/>
                <w:vertAlign w:val="superscript"/>
              </w:rPr>
              <w:t>,‡</w:t>
            </w:r>
          </w:p>
          <w:p w14:paraId="1CA817FA" w14:textId="77777777" w:rsidR="00D05341" w:rsidRDefault="00D05341" w:rsidP="00897CDD">
            <w:pPr>
              <w:widowControl w:val="0"/>
              <w:tabs>
                <w:tab w:val="clear" w:pos="567"/>
              </w:tabs>
              <w:rPr>
                <w:rFonts w:eastAsia="Calibri"/>
                <w:sz w:val="22"/>
                <w:szCs w:val="22"/>
                <w:vertAlign w:val="superscript"/>
              </w:rPr>
            </w:pPr>
            <w:proofErr w:type="spellStart"/>
            <w:r>
              <w:rPr>
                <w:rFonts w:eastAsia="Calibri"/>
                <w:sz w:val="22"/>
                <w:szCs w:val="22"/>
              </w:rPr>
              <w:t>Neutrop</w:t>
            </w:r>
            <w:r w:rsidRPr="004F572A">
              <w:rPr>
                <w:rFonts w:eastAsia="Calibri"/>
                <w:sz w:val="22"/>
                <w:szCs w:val="22"/>
              </w:rPr>
              <w:t>enija</w:t>
            </w:r>
            <w:r w:rsidRPr="004F572A">
              <w:rPr>
                <w:rFonts w:eastAsia="Calibri"/>
                <w:sz w:val="22"/>
                <w:szCs w:val="22"/>
                <w:vertAlign w:val="superscript"/>
              </w:rPr>
              <w:t>a</w:t>
            </w:r>
            <w:proofErr w:type="spellEnd"/>
            <w:r w:rsidRPr="004F572A">
              <w:rPr>
                <w:rFonts w:eastAsia="Calibri"/>
                <w:sz w:val="22"/>
                <w:szCs w:val="22"/>
                <w:vertAlign w:val="superscript"/>
              </w:rPr>
              <w:t>,‡</w:t>
            </w:r>
          </w:p>
          <w:p w14:paraId="5F5E9241" w14:textId="558AAB8B" w:rsidR="00D05341" w:rsidRPr="004F572A" w:rsidRDefault="00D05341" w:rsidP="00897CDD">
            <w:pPr>
              <w:widowControl w:val="0"/>
              <w:tabs>
                <w:tab w:val="clear" w:pos="567"/>
              </w:tabs>
              <w:rPr>
                <w:rFonts w:eastAsia="Calibri"/>
                <w:sz w:val="22"/>
                <w:szCs w:val="22"/>
              </w:rPr>
            </w:pPr>
            <w:r>
              <w:rPr>
                <w:rFonts w:eastAsia="Calibri"/>
                <w:sz w:val="22"/>
                <w:szCs w:val="22"/>
              </w:rPr>
              <w:t>Anemija</w:t>
            </w:r>
          </w:p>
        </w:tc>
      </w:tr>
      <w:tr w:rsidR="00897CDD" w:rsidRPr="004F572A" w14:paraId="5CB216A1" w14:textId="77777777" w:rsidTr="0074743C">
        <w:tc>
          <w:tcPr>
            <w:tcW w:w="2245" w:type="dxa"/>
          </w:tcPr>
          <w:p w14:paraId="7DB83E64" w14:textId="49496AB9" w:rsidR="00897CDD" w:rsidRPr="004F572A" w:rsidRDefault="00897CDD" w:rsidP="00897CDD">
            <w:pPr>
              <w:widowControl w:val="0"/>
              <w:tabs>
                <w:tab w:val="clear" w:pos="567"/>
              </w:tabs>
              <w:rPr>
                <w:rFonts w:eastAsia="Calibri"/>
                <w:sz w:val="22"/>
                <w:szCs w:val="22"/>
              </w:rPr>
            </w:pPr>
            <w:r w:rsidRPr="004F572A">
              <w:rPr>
                <w:rFonts w:eastAsia="Calibri"/>
                <w:sz w:val="22"/>
                <w:szCs w:val="22"/>
              </w:rPr>
              <w:t>Nedažn</w:t>
            </w:r>
            <w:r w:rsidR="00D05341">
              <w:rPr>
                <w:rFonts w:eastAsia="Calibri"/>
                <w:sz w:val="22"/>
                <w:szCs w:val="22"/>
              </w:rPr>
              <w:t>as</w:t>
            </w:r>
          </w:p>
        </w:tc>
        <w:tc>
          <w:tcPr>
            <w:tcW w:w="3330" w:type="dxa"/>
          </w:tcPr>
          <w:p w14:paraId="203E830F" w14:textId="42250FDB" w:rsidR="00897CDD" w:rsidRPr="004F572A" w:rsidRDefault="00897CDD" w:rsidP="00897CDD">
            <w:pPr>
              <w:widowControl w:val="0"/>
              <w:tabs>
                <w:tab w:val="clear" w:pos="567"/>
              </w:tabs>
              <w:rPr>
                <w:rFonts w:eastAsia="Calibri"/>
                <w:sz w:val="22"/>
                <w:szCs w:val="22"/>
              </w:rPr>
            </w:pPr>
            <w:r w:rsidRPr="004F572A">
              <w:rPr>
                <w:rFonts w:eastAsia="Calibri"/>
                <w:sz w:val="22"/>
                <w:szCs w:val="22"/>
              </w:rPr>
              <w:t>Blužnies infarktas</w:t>
            </w:r>
          </w:p>
        </w:tc>
        <w:tc>
          <w:tcPr>
            <w:tcW w:w="3485" w:type="dxa"/>
            <w:gridSpan w:val="2"/>
          </w:tcPr>
          <w:p w14:paraId="19368C53" w14:textId="77777777" w:rsidR="00897CDD" w:rsidRPr="004F572A" w:rsidRDefault="00897CDD" w:rsidP="00897CDD">
            <w:pPr>
              <w:widowControl w:val="0"/>
              <w:tabs>
                <w:tab w:val="clear" w:pos="567"/>
              </w:tabs>
              <w:rPr>
                <w:rFonts w:eastAsia="Calibri"/>
                <w:sz w:val="22"/>
                <w:szCs w:val="22"/>
              </w:rPr>
            </w:pPr>
          </w:p>
        </w:tc>
      </w:tr>
      <w:tr w:rsidR="00897CDD" w:rsidRPr="004F572A" w14:paraId="7FB93401" w14:textId="77777777" w:rsidTr="00897CDD">
        <w:tc>
          <w:tcPr>
            <w:tcW w:w="9060" w:type="dxa"/>
            <w:gridSpan w:val="4"/>
          </w:tcPr>
          <w:p w14:paraId="3B020E6C" w14:textId="10EEFCD4" w:rsidR="00897CDD" w:rsidRPr="004F572A" w:rsidRDefault="00897CDD" w:rsidP="000928CA">
            <w:pPr>
              <w:widowControl w:val="0"/>
              <w:tabs>
                <w:tab w:val="clear" w:pos="567"/>
              </w:tabs>
              <w:rPr>
                <w:rFonts w:eastAsia="Calibri"/>
                <w:b/>
                <w:bCs/>
                <w:sz w:val="22"/>
                <w:szCs w:val="22"/>
              </w:rPr>
            </w:pPr>
            <w:r w:rsidRPr="004F572A">
              <w:rPr>
                <w:rFonts w:eastAsia="Calibri"/>
                <w:b/>
                <w:bCs/>
                <w:sz w:val="22"/>
                <w:szCs w:val="22"/>
              </w:rPr>
              <w:t>Endokrininiai sutrikimai</w:t>
            </w:r>
          </w:p>
        </w:tc>
      </w:tr>
      <w:tr w:rsidR="00897CDD" w:rsidRPr="004F572A" w14:paraId="6EB15054" w14:textId="77777777" w:rsidTr="0074743C">
        <w:tc>
          <w:tcPr>
            <w:tcW w:w="2245" w:type="dxa"/>
          </w:tcPr>
          <w:p w14:paraId="196AA0AD" w14:textId="20901293" w:rsidR="00897CDD" w:rsidRPr="004F572A" w:rsidRDefault="00897CDD" w:rsidP="000928CA">
            <w:pPr>
              <w:widowControl w:val="0"/>
              <w:tabs>
                <w:tab w:val="clear" w:pos="567"/>
              </w:tabs>
              <w:rPr>
                <w:rFonts w:eastAsia="Calibri"/>
                <w:sz w:val="22"/>
                <w:szCs w:val="22"/>
              </w:rPr>
            </w:pPr>
            <w:r w:rsidRPr="004F572A">
              <w:rPr>
                <w:rFonts w:eastAsia="Calibri"/>
                <w:sz w:val="22"/>
                <w:szCs w:val="22"/>
              </w:rPr>
              <w:t>Labai dažn</w:t>
            </w:r>
            <w:r w:rsidR="00D05341">
              <w:rPr>
                <w:rFonts w:eastAsia="Calibri"/>
                <w:sz w:val="22"/>
                <w:szCs w:val="22"/>
              </w:rPr>
              <w:t>as</w:t>
            </w:r>
          </w:p>
        </w:tc>
        <w:tc>
          <w:tcPr>
            <w:tcW w:w="3330" w:type="dxa"/>
          </w:tcPr>
          <w:p w14:paraId="301AB4B5" w14:textId="5225634C" w:rsidR="00247C86" w:rsidRPr="004F572A" w:rsidRDefault="00247C86" w:rsidP="00247C86">
            <w:pPr>
              <w:widowControl w:val="0"/>
              <w:tabs>
                <w:tab w:val="clear" w:pos="567"/>
              </w:tabs>
              <w:rPr>
                <w:rFonts w:eastAsia="Calibri"/>
                <w:sz w:val="22"/>
                <w:szCs w:val="22"/>
              </w:rPr>
            </w:pPr>
            <w:proofErr w:type="spellStart"/>
            <w:r w:rsidRPr="004F572A">
              <w:rPr>
                <w:rFonts w:eastAsia="Calibri"/>
                <w:sz w:val="22"/>
                <w:szCs w:val="22"/>
              </w:rPr>
              <w:t>Hipotiro</w:t>
            </w:r>
            <w:r w:rsidR="00D05341">
              <w:rPr>
                <w:rFonts w:eastAsia="Calibri"/>
                <w:sz w:val="22"/>
                <w:szCs w:val="22"/>
              </w:rPr>
              <w:t>idizmas</w:t>
            </w:r>
            <w:proofErr w:type="spellEnd"/>
          </w:p>
          <w:p w14:paraId="2AA2D142" w14:textId="294EA6CD" w:rsidR="00897CDD" w:rsidRPr="004F572A" w:rsidRDefault="00247C86" w:rsidP="00247C86">
            <w:pPr>
              <w:widowControl w:val="0"/>
              <w:tabs>
                <w:tab w:val="clear" w:pos="567"/>
              </w:tabs>
              <w:rPr>
                <w:rFonts w:eastAsia="Calibri"/>
                <w:sz w:val="22"/>
                <w:szCs w:val="22"/>
              </w:rPr>
            </w:pPr>
            <w:r w:rsidRPr="004F572A">
              <w:rPr>
                <w:rFonts w:eastAsia="Calibri"/>
                <w:sz w:val="22"/>
                <w:szCs w:val="22"/>
              </w:rPr>
              <w:t>Padidėjęs skydliaukę stimuliuojančio hormono kiekis kraujyje</w:t>
            </w:r>
            <w:r w:rsidRPr="004F572A">
              <w:rPr>
                <w:rFonts w:eastAsia="Calibri"/>
                <w:sz w:val="22"/>
                <w:szCs w:val="22"/>
                <w:vertAlign w:val="superscript"/>
              </w:rPr>
              <w:t>*,‡</w:t>
            </w:r>
          </w:p>
        </w:tc>
        <w:tc>
          <w:tcPr>
            <w:tcW w:w="3485" w:type="dxa"/>
            <w:gridSpan w:val="2"/>
          </w:tcPr>
          <w:p w14:paraId="31A77A5D" w14:textId="7F5F48E6" w:rsidR="00B83E94" w:rsidRPr="004F572A" w:rsidRDefault="00B83E94" w:rsidP="00247C86">
            <w:pPr>
              <w:widowControl w:val="0"/>
              <w:tabs>
                <w:tab w:val="clear" w:pos="567"/>
              </w:tabs>
              <w:rPr>
                <w:rFonts w:eastAsia="Calibri"/>
                <w:sz w:val="22"/>
                <w:szCs w:val="22"/>
              </w:rPr>
            </w:pPr>
            <w:proofErr w:type="spellStart"/>
            <w:r w:rsidRPr="004F572A">
              <w:rPr>
                <w:rFonts w:eastAsia="Calibri"/>
                <w:sz w:val="22"/>
                <w:szCs w:val="22"/>
              </w:rPr>
              <w:t>Hipotiro</w:t>
            </w:r>
            <w:r w:rsidR="00D05341">
              <w:rPr>
                <w:rFonts w:eastAsia="Calibri"/>
                <w:sz w:val="22"/>
                <w:szCs w:val="22"/>
              </w:rPr>
              <w:t>idizmas</w:t>
            </w:r>
            <w:proofErr w:type="spellEnd"/>
          </w:p>
          <w:p w14:paraId="4CF1E0F4" w14:textId="29515E9D" w:rsidR="00897CDD" w:rsidRPr="004F572A" w:rsidRDefault="00247C86" w:rsidP="00247C86">
            <w:pPr>
              <w:widowControl w:val="0"/>
              <w:tabs>
                <w:tab w:val="clear" w:pos="567"/>
              </w:tabs>
              <w:rPr>
                <w:rFonts w:eastAsia="Calibri"/>
                <w:sz w:val="22"/>
                <w:szCs w:val="22"/>
                <w:vertAlign w:val="superscript"/>
              </w:rPr>
            </w:pPr>
            <w:r w:rsidRPr="004F572A">
              <w:rPr>
                <w:rFonts w:eastAsia="Calibri"/>
                <w:sz w:val="22"/>
                <w:szCs w:val="22"/>
              </w:rPr>
              <w:t>Padidėjęs skydliaukę stimuliuojančio hormono kiekis kraujyje</w:t>
            </w:r>
            <w:r w:rsidRPr="004F572A">
              <w:rPr>
                <w:rFonts w:eastAsia="Calibri"/>
                <w:sz w:val="22"/>
                <w:szCs w:val="22"/>
                <w:vertAlign w:val="superscript"/>
              </w:rPr>
              <w:t>*</w:t>
            </w:r>
          </w:p>
          <w:p w14:paraId="4342A499" w14:textId="057CAE26" w:rsidR="00247C86" w:rsidRPr="004F572A" w:rsidRDefault="00247C86" w:rsidP="00247C86">
            <w:pPr>
              <w:widowControl w:val="0"/>
              <w:tabs>
                <w:tab w:val="clear" w:pos="567"/>
              </w:tabs>
              <w:rPr>
                <w:rFonts w:eastAsia="Calibri"/>
                <w:sz w:val="22"/>
                <w:szCs w:val="22"/>
              </w:rPr>
            </w:pPr>
            <w:proofErr w:type="spellStart"/>
            <w:r w:rsidRPr="004F572A">
              <w:rPr>
                <w:rFonts w:eastAsia="Calibri"/>
                <w:sz w:val="22"/>
                <w:szCs w:val="22"/>
              </w:rPr>
              <w:t>Hipertiro</w:t>
            </w:r>
            <w:r w:rsidR="00D05341">
              <w:rPr>
                <w:rFonts w:eastAsia="Calibri"/>
                <w:sz w:val="22"/>
                <w:szCs w:val="22"/>
              </w:rPr>
              <w:t>idizmas</w:t>
            </w:r>
            <w:proofErr w:type="spellEnd"/>
          </w:p>
        </w:tc>
      </w:tr>
      <w:tr w:rsidR="00897CDD" w:rsidRPr="004F572A" w14:paraId="576F8E75" w14:textId="77777777" w:rsidTr="0074743C">
        <w:tc>
          <w:tcPr>
            <w:tcW w:w="2245" w:type="dxa"/>
          </w:tcPr>
          <w:p w14:paraId="25F8B70B" w14:textId="1B318E65" w:rsidR="00897CDD" w:rsidRPr="004F572A" w:rsidRDefault="00897CDD" w:rsidP="000928CA">
            <w:pPr>
              <w:widowControl w:val="0"/>
              <w:tabs>
                <w:tab w:val="clear" w:pos="567"/>
              </w:tabs>
              <w:rPr>
                <w:rFonts w:eastAsia="Calibri"/>
                <w:sz w:val="22"/>
                <w:szCs w:val="22"/>
              </w:rPr>
            </w:pPr>
            <w:r w:rsidRPr="004F572A">
              <w:rPr>
                <w:rFonts w:eastAsia="Calibri"/>
                <w:sz w:val="22"/>
                <w:szCs w:val="22"/>
              </w:rPr>
              <w:t>Dažn</w:t>
            </w:r>
            <w:r w:rsidR="00D05341">
              <w:rPr>
                <w:rFonts w:eastAsia="Calibri"/>
                <w:sz w:val="22"/>
                <w:szCs w:val="22"/>
              </w:rPr>
              <w:t>as</w:t>
            </w:r>
          </w:p>
        </w:tc>
        <w:tc>
          <w:tcPr>
            <w:tcW w:w="3330" w:type="dxa"/>
          </w:tcPr>
          <w:p w14:paraId="5192DA3E" w14:textId="77777777" w:rsidR="00897CDD" w:rsidRPr="004F572A" w:rsidRDefault="00897CDD" w:rsidP="000928CA">
            <w:pPr>
              <w:widowControl w:val="0"/>
              <w:tabs>
                <w:tab w:val="clear" w:pos="567"/>
              </w:tabs>
              <w:rPr>
                <w:rFonts w:eastAsia="Calibri"/>
                <w:sz w:val="22"/>
                <w:szCs w:val="22"/>
              </w:rPr>
            </w:pPr>
          </w:p>
        </w:tc>
        <w:tc>
          <w:tcPr>
            <w:tcW w:w="3485" w:type="dxa"/>
            <w:gridSpan w:val="2"/>
          </w:tcPr>
          <w:p w14:paraId="09CB4DAD" w14:textId="61A109E9" w:rsidR="00897CDD" w:rsidRPr="004F572A" w:rsidRDefault="00247C86" w:rsidP="000928CA">
            <w:pPr>
              <w:widowControl w:val="0"/>
              <w:tabs>
                <w:tab w:val="clear" w:pos="567"/>
              </w:tabs>
              <w:rPr>
                <w:rFonts w:eastAsia="Calibri"/>
                <w:sz w:val="22"/>
                <w:szCs w:val="22"/>
              </w:rPr>
            </w:pPr>
            <w:r w:rsidRPr="004F572A">
              <w:rPr>
                <w:rFonts w:eastAsia="Calibri"/>
                <w:sz w:val="22"/>
                <w:szCs w:val="22"/>
              </w:rPr>
              <w:t>Antinksčių nepakankamumas</w:t>
            </w:r>
          </w:p>
        </w:tc>
      </w:tr>
      <w:tr w:rsidR="00897CDD" w:rsidRPr="004F572A" w14:paraId="6A53BC91" w14:textId="77777777" w:rsidTr="0074743C">
        <w:tc>
          <w:tcPr>
            <w:tcW w:w="2245" w:type="dxa"/>
          </w:tcPr>
          <w:p w14:paraId="43E6E408" w14:textId="57308112" w:rsidR="00897CDD" w:rsidRPr="004F572A" w:rsidRDefault="00897CDD" w:rsidP="000928CA">
            <w:pPr>
              <w:widowControl w:val="0"/>
              <w:tabs>
                <w:tab w:val="clear" w:pos="567"/>
              </w:tabs>
              <w:rPr>
                <w:rFonts w:eastAsia="Calibri"/>
                <w:sz w:val="22"/>
                <w:szCs w:val="22"/>
              </w:rPr>
            </w:pPr>
            <w:r w:rsidRPr="004F572A">
              <w:rPr>
                <w:rFonts w:eastAsia="Calibri"/>
                <w:sz w:val="22"/>
                <w:szCs w:val="22"/>
              </w:rPr>
              <w:t>Nedažn</w:t>
            </w:r>
            <w:r w:rsidR="00D05341">
              <w:rPr>
                <w:rFonts w:eastAsia="Calibri"/>
                <w:sz w:val="22"/>
                <w:szCs w:val="22"/>
              </w:rPr>
              <w:t>as</w:t>
            </w:r>
          </w:p>
        </w:tc>
        <w:tc>
          <w:tcPr>
            <w:tcW w:w="3330" w:type="dxa"/>
          </w:tcPr>
          <w:p w14:paraId="0BC6D549" w14:textId="53BF368F" w:rsidR="00897CDD" w:rsidRPr="004F572A" w:rsidRDefault="00247C86" w:rsidP="000928CA">
            <w:pPr>
              <w:widowControl w:val="0"/>
              <w:tabs>
                <w:tab w:val="clear" w:pos="567"/>
              </w:tabs>
              <w:rPr>
                <w:rFonts w:eastAsia="Calibri"/>
                <w:sz w:val="22"/>
                <w:szCs w:val="22"/>
              </w:rPr>
            </w:pPr>
            <w:r w:rsidRPr="004F572A">
              <w:rPr>
                <w:rFonts w:eastAsia="Calibri"/>
                <w:sz w:val="22"/>
                <w:szCs w:val="22"/>
              </w:rPr>
              <w:t>Antinksčių nepakankamumas</w:t>
            </w:r>
          </w:p>
        </w:tc>
        <w:tc>
          <w:tcPr>
            <w:tcW w:w="3485" w:type="dxa"/>
            <w:gridSpan w:val="2"/>
          </w:tcPr>
          <w:p w14:paraId="65F104D8" w14:textId="77777777" w:rsidR="00897CDD" w:rsidRPr="004F572A" w:rsidRDefault="00897CDD" w:rsidP="000928CA">
            <w:pPr>
              <w:widowControl w:val="0"/>
              <w:tabs>
                <w:tab w:val="clear" w:pos="567"/>
              </w:tabs>
              <w:rPr>
                <w:rFonts w:eastAsia="Calibri"/>
                <w:sz w:val="22"/>
                <w:szCs w:val="22"/>
              </w:rPr>
            </w:pPr>
          </w:p>
        </w:tc>
      </w:tr>
      <w:tr w:rsidR="00247C86" w:rsidRPr="004F572A" w14:paraId="53C34533" w14:textId="77777777" w:rsidTr="00247C86">
        <w:tc>
          <w:tcPr>
            <w:tcW w:w="9060" w:type="dxa"/>
            <w:gridSpan w:val="4"/>
          </w:tcPr>
          <w:p w14:paraId="50AE5344" w14:textId="0455CE68" w:rsidR="00247C86" w:rsidRPr="004F572A" w:rsidRDefault="00247C86" w:rsidP="000928CA">
            <w:pPr>
              <w:widowControl w:val="0"/>
              <w:tabs>
                <w:tab w:val="clear" w:pos="567"/>
              </w:tabs>
              <w:rPr>
                <w:rFonts w:eastAsia="Calibri"/>
                <w:b/>
                <w:bCs/>
                <w:sz w:val="22"/>
                <w:szCs w:val="22"/>
              </w:rPr>
            </w:pPr>
            <w:r w:rsidRPr="004F572A">
              <w:rPr>
                <w:rFonts w:eastAsia="Calibri"/>
                <w:b/>
                <w:bCs/>
                <w:sz w:val="22"/>
                <w:szCs w:val="22"/>
              </w:rPr>
              <w:t>Metabolizmo ir mitybos sutrikimai</w:t>
            </w:r>
          </w:p>
        </w:tc>
      </w:tr>
      <w:tr w:rsidR="00897CDD" w:rsidRPr="004F572A" w14:paraId="67EA3276" w14:textId="77777777" w:rsidTr="0074743C">
        <w:tc>
          <w:tcPr>
            <w:tcW w:w="2245" w:type="dxa"/>
          </w:tcPr>
          <w:p w14:paraId="5955D59D" w14:textId="7AD47B35" w:rsidR="00897CDD" w:rsidRPr="004F572A" w:rsidRDefault="00B669FE" w:rsidP="000928CA">
            <w:pPr>
              <w:widowControl w:val="0"/>
              <w:tabs>
                <w:tab w:val="clear" w:pos="567"/>
              </w:tabs>
              <w:rPr>
                <w:rFonts w:eastAsia="Calibri"/>
                <w:sz w:val="22"/>
                <w:szCs w:val="22"/>
              </w:rPr>
            </w:pPr>
            <w:r w:rsidRPr="004F572A">
              <w:rPr>
                <w:rFonts w:eastAsia="Calibri"/>
                <w:sz w:val="22"/>
                <w:szCs w:val="22"/>
              </w:rPr>
              <w:t>Labai dažn</w:t>
            </w:r>
            <w:r w:rsidR="00D05341">
              <w:rPr>
                <w:rFonts w:eastAsia="Calibri"/>
                <w:sz w:val="22"/>
                <w:szCs w:val="22"/>
              </w:rPr>
              <w:t>as</w:t>
            </w:r>
          </w:p>
        </w:tc>
        <w:tc>
          <w:tcPr>
            <w:tcW w:w="3330" w:type="dxa"/>
          </w:tcPr>
          <w:p w14:paraId="69322494" w14:textId="77777777" w:rsidR="00247C86" w:rsidRPr="004F572A" w:rsidRDefault="00247C86" w:rsidP="00247C86">
            <w:pPr>
              <w:widowControl w:val="0"/>
              <w:tabs>
                <w:tab w:val="clear" w:pos="567"/>
              </w:tabs>
              <w:rPr>
                <w:rFonts w:eastAsia="Calibri"/>
                <w:sz w:val="22"/>
                <w:szCs w:val="22"/>
              </w:rPr>
            </w:pPr>
            <w:proofErr w:type="spellStart"/>
            <w:r w:rsidRPr="004F572A">
              <w:rPr>
                <w:rFonts w:eastAsia="Calibri"/>
                <w:sz w:val="22"/>
                <w:szCs w:val="22"/>
              </w:rPr>
              <w:t>Hipokalcemija</w:t>
            </w:r>
            <w:proofErr w:type="spellEnd"/>
            <w:r w:rsidRPr="004F572A">
              <w:rPr>
                <w:rFonts w:eastAsia="Calibri"/>
                <w:sz w:val="22"/>
                <w:szCs w:val="22"/>
                <w:vertAlign w:val="superscript"/>
              </w:rPr>
              <w:t>*,‡</w:t>
            </w:r>
          </w:p>
          <w:p w14:paraId="4CF0DB6D" w14:textId="3B7791FC" w:rsidR="00247C86" w:rsidRPr="004F572A" w:rsidRDefault="00247C86" w:rsidP="00247C86">
            <w:pPr>
              <w:widowControl w:val="0"/>
              <w:tabs>
                <w:tab w:val="clear" w:pos="567"/>
              </w:tabs>
              <w:rPr>
                <w:rFonts w:eastAsia="Calibri"/>
                <w:sz w:val="22"/>
                <w:szCs w:val="22"/>
              </w:rPr>
            </w:pPr>
            <w:proofErr w:type="spellStart"/>
            <w:r w:rsidRPr="004F572A">
              <w:rPr>
                <w:rFonts w:eastAsia="Calibri"/>
                <w:sz w:val="22"/>
                <w:szCs w:val="22"/>
              </w:rPr>
              <w:t>Hipokalemija</w:t>
            </w:r>
            <w:proofErr w:type="spellEnd"/>
            <w:r w:rsidRPr="004F572A">
              <w:rPr>
                <w:rFonts w:eastAsia="Calibri"/>
                <w:sz w:val="22"/>
                <w:szCs w:val="22"/>
                <w:vertAlign w:val="superscript"/>
              </w:rPr>
              <w:t>‡</w:t>
            </w:r>
          </w:p>
          <w:p w14:paraId="1266689E" w14:textId="77777777" w:rsidR="00247C86" w:rsidRPr="004F572A" w:rsidRDefault="00247C86" w:rsidP="00247C86">
            <w:pPr>
              <w:widowControl w:val="0"/>
              <w:tabs>
                <w:tab w:val="clear" w:pos="567"/>
              </w:tabs>
              <w:rPr>
                <w:rFonts w:eastAsia="Calibri"/>
                <w:sz w:val="22"/>
                <w:szCs w:val="22"/>
              </w:rPr>
            </w:pPr>
            <w:proofErr w:type="spellStart"/>
            <w:r w:rsidRPr="004F572A">
              <w:rPr>
                <w:rFonts w:eastAsia="Calibri"/>
                <w:sz w:val="22"/>
                <w:szCs w:val="22"/>
              </w:rPr>
              <w:t>Hipercholesterolemija</w:t>
            </w:r>
            <w:r w:rsidRPr="004F572A">
              <w:rPr>
                <w:rFonts w:eastAsia="Calibri"/>
                <w:sz w:val="22"/>
                <w:szCs w:val="22"/>
                <w:vertAlign w:val="superscript"/>
              </w:rPr>
              <w:t>b</w:t>
            </w:r>
            <w:proofErr w:type="spellEnd"/>
            <w:r w:rsidRPr="004F572A">
              <w:rPr>
                <w:rFonts w:eastAsia="Calibri"/>
                <w:sz w:val="22"/>
                <w:szCs w:val="22"/>
                <w:vertAlign w:val="superscript"/>
              </w:rPr>
              <w:t>, ‡</w:t>
            </w:r>
          </w:p>
          <w:p w14:paraId="7DC83828" w14:textId="77777777" w:rsidR="00247C86" w:rsidRPr="004F572A" w:rsidRDefault="00247C86" w:rsidP="00247C86">
            <w:pPr>
              <w:widowControl w:val="0"/>
              <w:tabs>
                <w:tab w:val="clear" w:pos="567"/>
              </w:tabs>
              <w:rPr>
                <w:rFonts w:eastAsia="Calibri"/>
                <w:sz w:val="22"/>
                <w:szCs w:val="22"/>
              </w:rPr>
            </w:pPr>
            <w:proofErr w:type="spellStart"/>
            <w:r w:rsidRPr="004F572A">
              <w:rPr>
                <w:rFonts w:eastAsia="Calibri"/>
                <w:sz w:val="22"/>
                <w:szCs w:val="22"/>
              </w:rPr>
              <w:t>Hipomagnezemija</w:t>
            </w:r>
            <w:r w:rsidRPr="004F572A">
              <w:rPr>
                <w:rFonts w:eastAsia="Calibri"/>
                <w:sz w:val="22"/>
                <w:szCs w:val="22"/>
                <w:vertAlign w:val="superscript"/>
              </w:rPr>
              <w:t>b</w:t>
            </w:r>
            <w:proofErr w:type="spellEnd"/>
            <w:r w:rsidRPr="004F572A">
              <w:rPr>
                <w:rFonts w:eastAsia="Calibri"/>
                <w:sz w:val="22"/>
                <w:szCs w:val="22"/>
                <w:vertAlign w:val="superscript"/>
              </w:rPr>
              <w:t>, ‡</w:t>
            </w:r>
          </w:p>
          <w:p w14:paraId="051F50AB" w14:textId="77777777" w:rsidR="00247C86" w:rsidRPr="004F572A" w:rsidRDefault="00247C86" w:rsidP="00247C86">
            <w:pPr>
              <w:widowControl w:val="0"/>
              <w:tabs>
                <w:tab w:val="clear" w:pos="567"/>
              </w:tabs>
              <w:rPr>
                <w:rFonts w:eastAsia="Calibri"/>
                <w:sz w:val="22"/>
                <w:szCs w:val="22"/>
              </w:rPr>
            </w:pPr>
            <w:r w:rsidRPr="004F572A">
              <w:rPr>
                <w:rFonts w:eastAsia="Calibri"/>
                <w:sz w:val="22"/>
                <w:szCs w:val="22"/>
              </w:rPr>
              <w:t>Sumažėjęs svoris</w:t>
            </w:r>
          </w:p>
          <w:p w14:paraId="1D666699" w14:textId="77777777" w:rsidR="00897CDD" w:rsidRPr="004F572A" w:rsidRDefault="00247C86" w:rsidP="00B669FE">
            <w:pPr>
              <w:widowControl w:val="0"/>
              <w:tabs>
                <w:tab w:val="clear" w:pos="567"/>
              </w:tabs>
              <w:rPr>
                <w:rFonts w:eastAsia="Calibri"/>
                <w:sz w:val="22"/>
                <w:szCs w:val="22"/>
              </w:rPr>
            </w:pPr>
            <w:r w:rsidRPr="004F572A">
              <w:rPr>
                <w:rFonts w:eastAsia="Calibri"/>
                <w:sz w:val="22"/>
                <w:szCs w:val="22"/>
              </w:rPr>
              <w:t>Sumažėjęs apetitas</w:t>
            </w:r>
          </w:p>
        </w:tc>
        <w:tc>
          <w:tcPr>
            <w:tcW w:w="3485" w:type="dxa"/>
            <w:gridSpan w:val="2"/>
          </w:tcPr>
          <w:p w14:paraId="6C95F362" w14:textId="77777777" w:rsidR="00B669FE" w:rsidRPr="004F572A" w:rsidRDefault="00B669FE" w:rsidP="00B669FE">
            <w:pPr>
              <w:widowControl w:val="0"/>
              <w:tabs>
                <w:tab w:val="clear" w:pos="567"/>
              </w:tabs>
              <w:rPr>
                <w:rFonts w:eastAsia="Calibri"/>
                <w:sz w:val="22"/>
                <w:szCs w:val="22"/>
              </w:rPr>
            </w:pPr>
            <w:proofErr w:type="spellStart"/>
            <w:r w:rsidRPr="004F572A">
              <w:rPr>
                <w:rFonts w:eastAsia="Calibri"/>
                <w:sz w:val="22"/>
                <w:szCs w:val="22"/>
              </w:rPr>
              <w:t>Hipokalcemija</w:t>
            </w:r>
            <w:proofErr w:type="spellEnd"/>
            <w:r w:rsidRPr="004F572A">
              <w:rPr>
                <w:rFonts w:eastAsia="Calibri"/>
                <w:sz w:val="22"/>
                <w:szCs w:val="22"/>
                <w:vertAlign w:val="superscript"/>
              </w:rPr>
              <w:t>*,‡</w:t>
            </w:r>
          </w:p>
          <w:p w14:paraId="4F1EB3F2" w14:textId="4FA6E6B2" w:rsidR="00B669FE" w:rsidRPr="004F572A" w:rsidRDefault="00B669FE" w:rsidP="00B669FE">
            <w:pPr>
              <w:widowControl w:val="0"/>
              <w:tabs>
                <w:tab w:val="clear" w:pos="567"/>
              </w:tabs>
              <w:rPr>
                <w:rFonts w:eastAsia="Calibri"/>
                <w:sz w:val="22"/>
                <w:szCs w:val="22"/>
              </w:rPr>
            </w:pPr>
            <w:proofErr w:type="spellStart"/>
            <w:r w:rsidRPr="004F572A">
              <w:rPr>
                <w:rFonts w:eastAsia="Calibri"/>
                <w:sz w:val="22"/>
                <w:szCs w:val="22"/>
              </w:rPr>
              <w:t>Hipokalemija</w:t>
            </w:r>
            <w:proofErr w:type="spellEnd"/>
            <w:r w:rsidRPr="004F572A">
              <w:rPr>
                <w:rFonts w:eastAsia="Calibri"/>
                <w:sz w:val="22"/>
                <w:szCs w:val="22"/>
                <w:vertAlign w:val="superscript"/>
              </w:rPr>
              <w:t>‡</w:t>
            </w:r>
          </w:p>
          <w:p w14:paraId="7C7AB114" w14:textId="77777777" w:rsidR="00B669FE" w:rsidRPr="004F572A" w:rsidRDefault="00B669FE" w:rsidP="00B669FE">
            <w:pPr>
              <w:widowControl w:val="0"/>
              <w:tabs>
                <w:tab w:val="clear" w:pos="567"/>
              </w:tabs>
              <w:rPr>
                <w:rFonts w:eastAsia="Calibri"/>
                <w:sz w:val="22"/>
                <w:szCs w:val="22"/>
              </w:rPr>
            </w:pPr>
            <w:proofErr w:type="spellStart"/>
            <w:r w:rsidRPr="004F572A">
              <w:rPr>
                <w:rFonts w:eastAsia="Calibri"/>
                <w:sz w:val="22"/>
                <w:szCs w:val="22"/>
              </w:rPr>
              <w:t>Hipercholesterolemija</w:t>
            </w:r>
            <w:r w:rsidRPr="004F572A">
              <w:rPr>
                <w:rFonts w:eastAsia="Calibri"/>
                <w:sz w:val="22"/>
                <w:szCs w:val="22"/>
                <w:vertAlign w:val="superscript"/>
              </w:rPr>
              <w:t>b</w:t>
            </w:r>
            <w:proofErr w:type="spellEnd"/>
            <w:r w:rsidRPr="004F572A">
              <w:rPr>
                <w:rFonts w:eastAsia="Calibri"/>
                <w:sz w:val="22"/>
                <w:szCs w:val="22"/>
                <w:vertAlign w:val="superscript"/>
              </w:rPr>
              <w:t>, ‡</w:t>
            </w:r>
          </w:p>
          <w:p w14:paraId="09E840A2" w14:textId="77777777" w:rsidR="00B669FE" w:rsidRPr="004F572A" w:rsidRDefault="00B669FE" w:rsidP="00B669FE">
            <w:pPr>
              <w:widowControl w:val="0"/>
              <w:tabs>
                <w:tab w:val="clear" w:pos="567"/>
              </w:tabs>
              <w:rPr>
                <w:rFonts w:eastAsia="Calibri"/>
                <w:sz w:val="22"/>
                <w:szCs w:val="22"/>
              </w:rPr>
            </w:pPr>
            <w:proofErr w:type="spellStart"/>
            <w:r w:rsidRPr="004F572A">
              <w:rPr>
                <w:rFonts w:eastAsia="Calibri"/>
                <w:sz w:val="22"/>
                <w:szCs w:val="22"/>
              </w:rPr>
              <w:t>Hipomagnezemija</w:t>
            </w:r>
            <w:r w:rsidRPr="004F572A">
              <w:rPr>
                <w:rFonts w:eastAsia="Calibri"/>
                <w:sz w:val="22"/>
                <w:szCs w:val="22"/>
                <w:vertAlign w:val="superscript"/>
              </w:rPr>
              <w:t>b</w:t>
            </w:r>
            <w:proofErr w:type="spellEnd"/>
            <w:r w:rsidRPr="004F572A">
              <w:rPr>
                <w:rFonts w:eastAsia="Calibri"/>
                <w:sz w:val="22"/>
                <w:szCs w:val="22"/>
                <w:vertAlign w:val="superscript"/>
              </w:rPr>
              <w:t>, ‡</w:t>
            </w:r>
          </w:p>
          <w:p w14:paraId="2E043DC7" w14:textId="77777777" w:rsidR="00B669FE" w:rsidRPr="004F572A" w:rsidRDefault="00B669FE" w:rsidP="00B669FE">
            <w:pPr>
              <w:widowControl w:val="0"/>
              <w:tabs>
                <w:tab w:val="clear" w:pos="567"/>
              </w:tabs>
              <w:rPr>
                <w:rFonts w:eastAsia="Calibri"/>
                <w:sz w:val="22"/>
                <w:szCs w:val="22"/>
              </w:rPr>
            </w:pPr>
            <w:r w:rsidRPr="004F572A">
              <w:rPr>
                <w:rFonts w:eastAsia="Calibri"/>
                <w:sz w:val="22"/>
                <w:szCs w:val="22"/>
              </w:rPr>
              <w:t>Sumažėjęs svoris</w:t>
            </w:r>
          </w:p>
          <w:p w14:paraId="73C2B43C" w14:textId="77777777" w:rsidR="00897CDD" w:rsidRPr="004F572A" w:rsidRDefault="00B669FE" w:rsidP="00B669FE">
            <w:pPr>
              <w:widowControl w:val="0"/>
              <w:tabs>
                <w:tab w:val="clear" w:pos="567"/>
              </w:tabs>
              <w:rPr>
                <w:rFonts w:eastAsia="Calibri"/>
                <w:sz w:val="22"/>
                <w:szCs w:val="22"/>
              </w:rPr>
            </w:pPr>
            <w:r w:rsidRPr="004F572A">
              <w:rPr>
                <w:rFonts w:eastAsia="Calibri"/>
                <w:sz w:val="22"/>
                <w:szCs w:val="22"/>
              </w:rPr>
              <w:t>Sumažėjęs apetitas</w:t>
            </w:r>
          </w:p>
        </w:tc>
      </w:tr>
      <w:tr w:rsidR="00897CDD" w:rsidRPr="004F572A" w14:paraId="6FC110D1" w14:textId="77777777" w:rsidTr="0074743C">
        <w:tc>
          <w:tcPr>
            <w:tcW w:w="2245" w:type="dxa"/>
          </w:tcPr>
          <w:p w14:paraId="78DFEBCA" w14:textId="4487A121" w:rsidR="00897CDD" w:rsidRPr="004F572A" w:rsidRDefault="00B669FE" w:rsidP="000928CA">
            <w:pPr>
              <w:widowControl w:val="0"/>
              <w:tabs>
                <w:tab w:val="clear" w:pos="567"/>
              </w:tabs>
              <w:rPr>
                <w:rFonts w:eastAsia="Calibri"/>
                <w:sz w:val="22"/>
                <w:szCs w:val="22"/>
              </w:rPr>
            </w:pPr>
            <w:r w:rsidRPr="004F572A">
              <w:rPr>
                <w:rFonts w:eastAsia="Calibri"/>
                <w:sz w:val="22"/>
                <w:szCs w:val="22"/>
              </w:rPr>
              <w:t>Dažn</w:t>
            </w:r>
            <w:r w:rsidR="00D05341">
              <w:rPr>
                <w:rFonts w:eastAsia="Calibri"/>
                <w:sz w:val="22"/>
                <w:szCs w:val="22"/>
              </w:rPr>
              <w:t>as</w:t>
            </w:r>
          </w:p>
        </w:tc>
        <w:tc>
          <w:tcPr>
            <w:tcW w:w="3330" w:type="dxa"/>
          </w:tcPr>
          <w:p w14:paraId="41658BB6" w14:textId="375A76FE" w:rsidR="00897CDD" w:rsidRPr="004F572A" w:rsidRDefault="00B669FE" w:rsidP="000928CA">
            <w:pPr>
              <w:widowControl w:val="0"/>
              <w:tabs>
                <w:tab w:val="clear" w:pos="567"/>
              </w:tabs>
              <w:rPr>
                <w:rFonts w:eastAsia="Calibri"/>
                <w:sz w:val="22"/>
                <w:szCs w:val="22"/>
              </w:rPr>
            </w:pPr>
            <w:r w:rsidRPr="004F572A">
              <w:rPr>
                <w:rFonts w:eastAsia="Calibri"/>
                <w:sz w:val="22"/>
                <w:szCs w:val="22"/>
              </w:rPr>
              <w:t>Dehidratacija</w:t>
            </w:r>
          </w:p>
        </w:tc>
        <w:tc>
          <w:tcPr>
            <w:tcW w:w="3485" w:type="dxa"/>
            <w:gridSpan w:val="2"/>
          </w:tcPr>
          <w:p w14:paraId="6FAD8B2C" w14:textId="6BDD72EC" w:rsidR="00897CDD" w:rsidRPr="004F572A" w:rsidRDefault="00B669FE" w:rsidP="000928CA">
            <w:pPr>
              <w:widowControl w:val="0"/>
              <w:tabs>
                <w:tab w:val="clear" w:pos="567"/>
              </w:tabs>
              <w:rPr>
                <w:rFonts w:eastAsia="Calibri"/>
                <w:sz w:val="22"/>
                <w:szCs w:val="22"/>
              </w:rPr>
            </w:pPr>
            <w:r w:rsidRPr="004F572A">
              <w:rPr>
                <w:rFonts w:eastAsia="Calibri"/>
                <w:sz w:val="22"/>
                <w:szCs w:val="22"/>
              </w:rPr>
              <w:t>Dehidratacija</w:t>
            </w:r>
          </w:p>
        </w:tc>
      </w:tr>
      <w:tr w:rsidR="00523FA8" w:rsidRPr="004F572A" w14:paraId="1A77B5A4" w14:textId="77777777" w:rsidTr="0074743C">
        <w:tc>
          <w:tcPr>
            <w:tcW w:w="2245" w:type="dxa"/>
          </w:tcPr>
          <w:p w14:paraId="40E83446" w14:textId="1B6BC37B" w:rsidR="00523FA8" w:rsidRPr="004F572A" w:rsidRDefault="00523FA8" w:rsidP="000928CA">
            <w:pPr>
              <w:widowControl w:val="0"/>
              <w:tabs>
                <w:tab w:val="clear" w:pos="567"/>
              </w:tabs>
              <w:rPr>
                <w:rFonts w:eastAsia="Calibri"/>
                <w:sz w:val="22"/>
                <w:szCs w:val="22"/>
              </w:rPr>
            </w:pPr>
            <w:r w:rsidRPr="004F572A">
              <w:rPr>
                <w:rFonts w:eastAsia="Calibri"/>
                <w:sz w:val="22"/>
                <w:szCs w:val="22"/>
              </w:rPr>
              <w:t>Ret</w:t>
            </w:r>
            <w:r w:rsidR="00D05341">
              <w:rPr>
                <w:rFonts w:eastAsia="Calibri"/>
                <w:sz w:val="22"/>
                <w:szCs w:val="22"/>
              </w:rPr>
              <w:t>as</w:t>
            </w:r>
          </w:p>
        </w:tc>
        <w:tc>
          <w:tcPr>
            <w:tcW w:w="3330" w:type="dxa"/>
          </w:tcPr>
          <w:p w14:paraId="272A2E88" w14:textId="3AF4930A" w:rsidR="00523FA8" w:rsidRPr="004F572A" w:rsidRDefault="00523FA8" w:rsidP="000928CA">
            <w:pPr>
              <w:widowControl w:val="0"/>
              <w:tabs>
                <w:tab w:val="clear" w:pos="567"/>
              </w:tabs>
              <w:rPr>
                <w:rFonts w:eastAsia="Calibri"/>
                <w:sz w:val="22"/>
                <w:szCs w:val="22"/>
              </w:rPr>
            </w:pPr>
            <w:r w:rsidRPr="004F572A">
              <w:rPr>
                <w:rFonts w:eastAsia="Calibri"/>
                <w:sz w:val="22"/>
                <w:szCs w:val="22"/>
              </w:rPr>
              <w:t xml:space="preserve">Navikų </w:t>
            </w:r>
            <w:proofErr w:type="spellStart"/>
            <w:r w:rsidRPr="004F572A">
              <w:rPr>
                <w:rFonts w:eastAsia="Calibri"/>
                <w:sz w:val="22"/>
                <w:szCs w:val="22"/>
              </w:rPr>
              <w:t>lizės</w:t>
            </w:r>
            <w:proofErr w:type="spellEnd"/>
            <w:r w:rsidRPr="004F572A">
              <w:rPr>
                <w:rFonts w:eastAsia="Calibri"/>
                <w:sz w:val="22"/>
                <w:szCs w:val="22"/>
              </w:rPr>
              <w:t xml:space="preserve"> sindromas</w:t>
            </w:r>
            <w:r w:rsidRPr="004F572A">
              <w:rPr>
                <w:rFonts w:eastAsia="Calibri"/>
                <w:sz w:val="22"/>
                <w:szCs w:val="22"/>
                <w:vertAlign w:val="superscript"/>
              </w:rPr>
              <w:t>†</w:t>
            </w:r>
          </w:p>
        </w:tc>
        <w:tc>
          <w:tcPr>
            <w:tcW w:w="3485" w:type="dxa"/>
            <w:gridSpan w:val="2"/>
          </w:tcPr>
          <w:p w14:paraId="1847EDBA" w14:textId="10D47327" w:rsidR="00523FA8" w:rsidRPr="004F572A" w:rsidRDefault="00523FA8" w:rsidP="000928CA">
            <w:pPr>
              <w:widowControl w:val="0"/>
              <w:tabs>
                <w:tab w:val="clear" w:pos="567"/>
              </w:tabs>
              <w:rPr>
                <w:rFonts w:eastAsia="Calibri"/>
                <w:sz w:val="22"/>
                <w:szCs w:val="22"/>
              </w:rPr>
            </w:pPr>
            <w:r w:rsidRPr="004F572A">
              <w:rPr>
                <w:rFonts w:eastAsia="Calibri"/>
                <w:sz w:val="22"/>
                <w:szCs w:val="22"/>
              </w:rPr>
              <w:t xml:space="preserve">Navikų </w:t>
            </w:r>
            <w:proofErr w:type="spellStart"/>
            <w:r w:rsidRPr="004F572A">
              <w:rPr>
                <w:rFonts w:eastAsia="Calibri"/>
                <w:sz w:val="22"/>
                <w:szCs w:val="22"/>
              </w:rPr>
              <w:t>lizės</w:t>
            </w:r>
            <w:proofErr w:type="spellEnd"/>
            <w:r w:rsidRPr="004F572A">
              <w:rPr>
                <w:rFonts w:eastAsia="Calibri"/>
                <w:sz w:val="22"/>
                <w:szCs w:val="22"/>
              </w:rPr>
              <w:t xml:space="preserve"> sindromas</w:t>
            </w:r>
            <w:r w:rsidRPr="004F572A">
              <w:rPr>
                <w:rFonts w:eastAsia="Calibri"/>
                <w:sz w:val="22"/>
                <w:szCs w:val="22"/>
                <w:vertAlign w:val="superscript"/>
              </w:rPr>
              <w:t>†</w:t>
            </w:r>
          </w:p>
        </w:tc>
      </w:tr>
      <w:tr w:rsidR="00F454C5" w:rsidRPr="004F572A" w14:paraId="2390A6FD" w14:textId="77777777" w:rsidTr="00F454C5">
        <w:tc>
          <w:tcPr>
            <w:tcW w:w="9060" w:type="dxa"/>
            <w:gridSpan w:val="4"/>
          </w:tcPr>
          <w:p w14:paraId="4CC414D1" w14:textId="390567FD" w:rsidR="00F454C5" w:rsidRPr="004F572A" w:rsidRDefault="00F454C5" w:rsidP="000928CA">
            <w:pPr>
              <w:widowControl w:val="0"/>
              <w:tabs>
                <w:tab w:val="clear" w:pos="567"/>
              </w:tabs>
              <w:rPr>
                <w:rFonts w:eastAsia="Calibri"/>
                <w:b/>
                <w:bCs/>
                <w:sz w:val="22"/>
                <w:szCs w:val="22"/>
              </w:rPr>
            </w:pPr>
            <w:r w:rsidRPr="004F572A">
              <w:rPr>
                <w:rFonts w:eastAsia="Calibri"/>
                <w:b/>
                <w:bCs/>
                <w:sz w:val="22"/>
                <w:szCs w:val="22"/>
              </w:rPr>
              <w:t>Psichikos sutrikimai</w:t>
            </w:r>
          </w:p>
        </w:tc>
      </w:tr>
      <w:tr w:rsidR="00897CDD" w:rsidRPr="004F572A" w14:paraId="38123BBF" w14:textId="77777777" w:rsidTr="0074743C">
        <w:tc>
          <w:tcPr>
            <w:tcW w:w="2245" w:type="dxa"/>
          </w:tcPr>
          <w:p w14:paraId="4420CBE8" w14:textId="223D5904" w:rsidR="00897CDD" w:rsidRPr="004F572A" w:rsidRDefault="00F454C5" w:rsidP="000928CA">
            <w:pPr>
              <w:widowControl w:val="0"/>
              <w:tabs>
                <w:tab w:val="clear" w:pos="567"/>
              </w:tabs>
              <w:rPr>
                <w:rFonts w:eastAsia="Calibri"/>
                <w:sz w:val="22"/>
                <w:szCs w:val="22"/>
              </w:rPr>
            </w:pPr>
            <w:r w:rsidRPr="004F572A">
              <w:rPr>
                <w:rFonts w:eastAsia="Calibri"/>
                <w:sz w:val="22"/>
                <w:szCs w:val="22"/>
              </w:rPr>
              <w:t>Labai dažn</w:t>
            </w:r>
            <w:r w:rsidR="00D05341">
              <w:rPr>
                <w:rFonts w:eastAsia="Calibri"/>
                <w:sz w:val="22"/>
                <w:szCs w:val="22"/>
              </w:rPr>
              <w:t>as</w:t>
            </w:r>
          </w:p>
        </w:tc>
        <w:tc>
          <w:tcPr>
            <w:tcW w:w="3330" w:type="dxa"/>
          </w:tcPr>
          <w:p w14:paraId="393B60DE" w14:textId="02FAF901" w:rsidR="00897CDD" w:rsidRPr="004F572A" w:rsidRDefault="00F454C5" w:rsidP="000928CA">
            <w:pPr>
              <w:widowControl w:val="0"/>
              <w:tabs>
                <w:tab w:val="clear" w:pos="567"/>
              </w:tabs>
              <w:rPr>
                <w:rFonts w:eastAsia="Calibri"/>
                <w:sz w:val="22"/>
                <w:szCs w:val="22"/>
              </w:rPr>
            </w:pPr>
            <w:r w:rsidRPr="004F572A">
              <w:rPr>
                <w:rFonts w:eastAsia="Calibri"/>
                <w:sz w:val="22"/>
                <w:szCs w:val="22"/>
              </w:rPr>
              <w:t>Nemiga</w:t>
            </w:r>
          </w:p>
        </w:tc>
        <w:tc>
          <w:tcPr>
            <w:tcW w:w="3485" w:type="dxa"/>
            <w:gridSpan w:val="2"/>
          </w:tcPr>
          <w:p w14:paraId="35FFF978" w14:textId="77777777" w:rsidR="00897CDD" w:rsidRPr="004F572A" w:rsidRDefault="00897CDD" w:rsidP="000928CA">
            <w:pPr>
              <w:widowControl w:val="0"/>
              <w:tabs>
                <w:tab w:val="clear" w:pos="567"/>
              </w:tabs>
              <w:rPr>
                <w:rFonts w:eastAsia="Calibri"/>
                <w:sz w:val="22"/>
                <w:szCs w:val="22"/>
              </w:rPr>
            </w:pPr>
          </w:p>
        </w:tc>
      </w:tr>
      <w:tr w:rsidR="00897CDD" w:rsidRPr="004F572A" w14:paraId="1EE82496" w14:textId="77777777" w:rsidTr="0074743C">
        <w:tc>
          <w:tcPr>
            <w:tcW w:w="2245" w:type="dxa"/>
          </w:tcPr>
          <w:p w14:paraId="1D70D800" w14:textId="268CA2C1" w:rsidR="00897CDD" w:rsidRPr="004F572A" w:rsidRDefault="00F454C5" w:rsidP="000928CA">
            <w:pPr>
              <w:widowControl w:val="0"/>
              <w:tabs>
                <w:tab w:val="clear" w:pos="567"/>
              </w:tabs>
              <w:rPr>
                <w:rFonts w:eastAsia="Calibri"/>
                <w:sz w:val="22"/>
                <w:szCs w:val="22"/>
              </w:rPr>
            </w:pPr>
            <w:r w:rsidRPr="004F572A">
              <w:rPr>
                <w:rFonts w:eastAsia="Calibri"/>
                <w:sz w:val="22"/>
                <w:szCs w:val="22"/>
              </w:rPr>
              <w:t>Dažn</w:t>
            </w:r>
            <w:r w:rsidR="00D05341">
              <w:rPr>
                <w:rFonts w:eastAsia="Calibri"/>
                <w:sz w:val="22"/>
                <w:szCs w:val="22"/>
              </w:rPr>
              <w:t>as</w:t>
            </w:r>
          </w:p>
        </w:tc>
        <w:tc>
          <w:tcPr>
            <w:tcW w:w="3330" w:type="dxa"/>
          </w:tcPr>
          <w:p w14:paraId="0D1B281B" w14:textId="77777777" w:rsidR="00897CDD" w:rsidRPr="004F572A" w:rsidRDefault="00897CDD" w:rsidP="000928CA">
            <w:pPr>
              <w:widowControl w:val="0"/>
              <w:tabs>
                <w:tab w:val="clear" w:pos="567"/>
              </w:tabs>
              <w:rPr>
                <w:rFonts w:eastAsia="Calibri"/>
                <w:sz w:val="22"/>
                <w:szCs w:val="22"/>
              </w:rPr>
            </w:pPr>
          </w:p>
        </w:tc>
        <w:tc>
          <w:tcPr>
            <w:tcW w:w="3485" w:type="dxa"/>
            <w:gridSpan w:val="2"/>
          </w:tcPr>
          <w:p w14:paraId="65DE5ECF" w14:textId="1524417E" w:rsidR="00897CDD" w:rsidRPr="004F572A" w:rsidRDefault="00F454C5" w:rsidP="000928CA">
            <w:pPr>
              <w:widowControl w:val="0"/>
              <w:tabs>
                <w:tab w:val="clear" w:pos="567"/>
              </w:tabs>
              <w:rPr>
                <w:rFonts w:eastAsia="Calibri"/>
                <w:sz w:val="22"/>
                <w:szCs w:val="22"/>
              </w:rPr>
            </w:pPr>
            <w:r w:rsidRPr="004F572A">
              <w:rPr>
                <w:rFonts w:eastAsia="Calibri"/>
                <w:sz w:val="22"/>
                <w:szCs w:val="22"/>
              </w:rPr>
              <w:t>Nemiga</w:t>
            </w:r>
          </w:p>
        </w:tc>
      </w:tr>
      <w:tr w:rsidR="00F454C5" w:rsidRPr="004F572A" w14:paraId="30ECE4CA" w14:textId="77777777" w:rsidTr="00F454C5">
        <w:tc>
          <w:tcPr>
            <w:tcW w:w="9060" w:type="dxa"/>
            <w:gridSpan w:val="4"/>
          </w:tcPr>
          <w:p w14:paraId="41026AB0" w14:textId="086941E0" w:rsidR="00F454C5" w:rsidRPr="004F572A" w:rsidRDefault="00F454C5" w:rsidP="000928CA">
            <w:pPr>
              <w:widowControl w:val="0"/>
              <w:tabs>
                <w:tab w:val="clear" w:pos="567"/>
              </w:tabs>
              <w:rPr>
                <w:rFonts w:eastAsia="Calibri"/>
                <w:b/>
                <w:bCs/>
                <w:sz w:val="22"/>
                <w:szCs w:val="22"/>
              </w:rPr>
            </w:pPr>
            <w:r w:rsidRPr="004F572A">
              <w:rPr>
                <w:rFonts w:eastAsia="Calibri"/>
                <w:b/>
                <w:bCs/>
                <w:sz w:val="22"/>
                <w:szCs w:val="22"/>
              </w:rPr>
              <w:t>Nervų sistemos sutrikimai</w:t>
            </w:r>
          </w:p>
        </w:tc>
      </w:tr>
      <w:tr w:rsidR="00F454C5" w:rsidRPr="004F572A" w14:paraId="7ADF21AB" w14:textId="77777777" w:rsidTr="0074743C">
        <w:tc>
          <w:tcPr>
            <w:tcW w:w="2245" w:type="dxa"/>
          </w:tcPr>
          <w:p w14:paraId="1E1AAB54" w14:textId="7C4C97B5" w:rsidR="00F454C5" w:rsidRPr="004F572A" w:rsidRDefault="00F454C5" w:rsidP="000928CA">
            <w:pPr>
              <w:widowControl w:val="0"/>
              <w:tabs>
                <w:tab w:val="clear" w:pos="567"/>
              </w:tabs>
              <w:rPr>
                <w:rFonts w:eastAsia="Calibri"/>
                <w:sz w:val="22"/>
                <w:szCs w:val="22"/>
              </w:rPr>
            </w:pPr>
            <w:r w:rsidRPr="004F572A">
              <w:rPr>
                <w:rFonts w:eastAsia="Calibri"/>
                <w:sz w:val="22"/>
                <w:szCs w:val="22"/>
              </w:rPr>
              <w:t>Labai dažn</w:t>
            </w:r>
            <w:r w:rsidR="00D05341">
              <w:rPr>
                <w:rFonts w:eastAsia="Calibri"/>
                <w:sz w:val="22"/>
                <w:szCs w:val="22"/>
              </w:rPr>
              <w:t>as</w:t>
            </w:r>
          </w:p>
        </w:tc>
        <w:tc>
          <w:tcPr>
            <w:tcW w:w="3330" w:type="dxa"/>
          </w:tcPr>
          <w:p w14:paraId="44F10F34" w14:textId="5DB383A7" w:rsidR="00F454C5" w:rsidRPr="004F572A" w:rsidRDefault="008226D7" w:rsidP="000928CA">
            <w:pPr>
              <w:widowControl w:val="0"/>
              <w:tabs>
                <w:tab w:val="clear" w:pos="567"/>
              </w:tabs>
              <w:rPr>
                <w:rFonts w:eastAsia="Calibri"/>
                <w:sz w:val="22"/>
                <w:szCs w:val="22"/>
              </w:rPr>
            </w:pPr>
            <w:r>
              <w:rPr>
                <w:rFonts w:eastAsia="Calibri"/>
                <w:sz w:val="22"/>
                <w:szCs w:val="22"/>
              </w:rPr>
              <w:t>S</w:t>
            </w:r>
            <w:r w:rsidR="00F454C5" w:rsidRPr="004F572A">
              <w:rPr>
                <w:rFonts w:eastAsia="Calibri"/>
                <w:sz w:val="22"/>
                <w:szCs w:val="22"/>
              </w:rPr>
              <w:t>vaig</w:t>
            </w:r>
            <w:r>
              <w:rPr>
                <w:rFonts w:eastAsia="Calibri"/>
                <w:sz w:val="22"/>
                <w:szCs w:val="22"/>
              </w:rPr>
              <w:t>uly</w:t>
            </w:r>
            <w:r w:rsidR="00F454C5" w:rsidRPr="004F572A">
              <w:rPr>
                <w:rFonts w:eastAsia="Calibri"/>
                <w:sz w:val="22"/>
                <w:szCs w:val="22"/>
              </w:rPr>
              <w:t>s</w:t>
            </w:r>
          </w:p>
          <w:p w14:paraId="5551141A" w14:textId="77777777" w:rsidR="00F454C5" w:rsidRPr="004F572A" w:rsidRDefault="00F454C5" w:rsidP="000928CA">
            <w:pPr>
              <w:widowControl w:val="0"/>
              <w:tabs>
                <w:tab w:val="clear" w:pos="567"/>
              </w:tabs>
              <w:rPr>
                <w:rFonts w:eastAsia="Calibri"/>
                <w:sz w:val="22"/>
                <w:szCs w:val="22"/>
              </w:rPr>
            </w:pPr>
            <w:r w:rsidRPr="004F572A">
              <w:rPr>
                <w:rFonts w:eastAsia="Calibri"/>
                <w:sz w:val="22"/>
                <w:szCs w:val="22"/>
              </w:rPr>
              <w:t>Galvos skausmas</w:t>
            </w:r>
          </w:p>
          <w:p w14:paraId="002B7881" w14:textId="2182C7E3" w:rsidR="00F454C5" w:rsidRPr="004F572A" w:rsidRDefault="00F454C5" w:rsidP="000928CA">
            <w:pPr>
              <w:widowControl w:val="0"/>
              <w:tabs>
                <w:tab w:val="clear" w:pos="567"/>
              </w:tabs>
              <w:rPr>
                <w:rFonts w:eastAsia="Calibri"/>
                <w:sz w:val="22"/>
                <w:szCs w:val="22"/>
              </w:rPr>
            </w:pPr>
            <w:proofErr w:type="spellStart"/>
            <w:r w:rsidRPr="004F572A">
              <w:rPr>
                <w:rFonts w:eastAsia="Calibri"/>
                <w:sz w:val="22"/>
                <w:szCs w:val="22"/>
              </w:rPr>
              <w:t>Disgeuzija</w:t>
            </w:r>
            <w:proofErr w:type="spellEnd"/>
          </w:p>
        </w:tc>
        <w:tc>
          <w:tcPr>
            <w:tcW w:w="3485" w:type="dxa"/>
            <w:gridSpan w:val="2"/>
          </w:tcPr>
          <w:p w14:paraId="6EAC0BB0" w14:textId="6FA8B26D" w:rsidR="00F454C5" w:rsidRPr="004F572A" w:rsidRDefault="008226D7" w:rsidP="00F454C5">
            <w:pPr>
              <w:widowControl w:val="0"/>
              <w:tabs>
                <w:tab w:val="clear" w:pos="567"/>
              </w:tabs>
              <w:rPr>
                <w:rFonts w:eastAsia="Calibri"/>
                <w:sz w:val="22"/>
                <w:szCs w:val="22"/>
              </w:rPr>
            </w:pPr>
            <w:r>
              <w:rPr>
                <w:rFonts w:eastAsia="Calibri"/>
                <w:sz w:val="22"/>
                <w:szCs w:val="22"/>
              </w:rPr>
              <w:t>S</w:t>
            </w:r>
            <w:r w:rsidR="00F454C5" w:rsidRPr="004F572A">
              <w:rPr>
                <w:rFonts w:eastAsia="Calibri"/>
                <w:sz w:val="22"/>
                <w:szCs w:val="22"/>
              </w:rPr>
              <w:t>vaig</w:t>
            </w:r>
            <w:r>
              <w:rPr>
                <w:rFonts w:eastAsia="Calibri"/>
                <w:sz w:val="22"/>
                <w:szCs w:val="22"/>
              </w:rPr>
              <w:t>uly</w:t>
            </w:r>
            <w:r w:rsidR="00F454C5" w:rsidRPr="004F572A">
              <w:rPr>
                <w:rFonts w:eastAsia="Calibri"/>
                <w:sz w:val="22"/>
                <w:szCs w:val="22"/>
              </w:rPr>
              <w:t>s</w:t>
            </w:r>
          </w:p>
          <w:p w14:paraId="59495699" w14:textId="77777777" w:rsidR="00F454C5" w:rsidRPr="004F572A" w:rsidRDefault="00F454C5" w:rsidP="00F454C5">
            <w:pPr>
              <w:widowControl w:val="0"/>
              <w:tabs>
                <w:tab w:val="clear" w:pos="567"/>
              </w:tabs>
              <w:rPr>
                <w:rFonts w:eastAsia="Calibri"/>
                <w:sz w:val="22"/>
                <w:szCs w:val="22"/>
              </w:rPr>
            </w:pPr>
            <w:r w:rsidRPr="004F572A">
              <w:rPr>
                <w:rFonts w:eastAsia="Calibri"/>
                <w:sz w:val="22"/>
                <w:szCs w:val="22"/>
              </w:rPr>
              <w:t>Galvos skausmas</w:t>
            </w:r>
          </w:p>
          <w:p w14:paraId="1EBAAF2D" w14:textId="6D8C0891" w:rsidR="00F454C5" w:rsidRPr="004F572A" w:rsidRDefault="00F454C5" w:rsidP="00F454C5">
            <w:pPr>
              <w:widowControl w:val="0"/>
              <w:tabs>
                <w:tab w:val="clear" w:pos="567"/>
              </w:tabs>
              <w:rPr>
                <w:rFonts w:eastAsia="Calibri"/>
                <w:sz w:val="22"/>
                <w:szCs w:val="22"/>
              </w:rPr>
            </w:pPr>
            <w:proofErr w:type="spellStart"/>
            <w:r w:rsidRPr="004F572A">
              <w:rPr>
                <w:rFonts w:eastAsia="Calibri"/>
                <w:sz w:val="22"/>
                <w:szCs w:val="22"/>
              </w:rPr>
              <w:t>Disgeuzija</w:t>
            </w:r>
            <w:proofErr w:type="spellEnd"/>
          </w:p>
        </w:tc>
      </w:tr>
      <w:tr w:rsidR="00F454C5" w:rsidRPr="004F572A" w14:paraId="7179EBE2" w14:textId="77777777" w:rsidTr="0074743C">
        <w:tc>
          <w:tcPr>
            <w:tcW w:w="2245" w:type="dxa"/>
          </w:tcPr>
          <w:p w14:paraId="569E99D8" w14:textId="2164F38A" w:rsidR="00F454C5" w:rsidRPr="004F572A" w:rsidRDefault="00F454C5" w:rsidP="000928CA">
            <w:pPr>
              <w:widowControl w:val="0"/>
              <w:tabs>
                <w:tab w:val="clear" w:pos="567"/>
              </w:tabs>
              <w:rPr>
                <w:rFonts w:eastAsia="Calibri"/>
                <w:sz w:val="22"/>
                <w:szCs w:val="22"/>
              </w:rPr>
            </w:pPr>
            <w:r w:rsidRPr="004F572A">
              <w:rPr>
                <w:rFonts w:eastAsia="Calibri"/>
                <w:sz w:val="22"/>
                <w:szCs w:val="22"/>
              </w:rPr>
              <w:t>Dažn</w:t>
            </w:r>
            <w:r w:rsidR="00D05341">
              <w:rPr>
                <w:rFonts w:eastAsia="Calibri"/>
                <w:sz w:val="22"/>
                <w:szCs w:val="22"/>
              </w:rPr>
              <w:t>as</w:t>
            </w:r>
          </w:p>
        </w:tc>
        <w:tc>
          <w:tcPr>
            <w:tcW w:w="3330" w:type="dxa"/>
          </w:tcPr>
          <w:p w14:paraId="1D80D661" w14:textId="26A31738" w:rsidR="00F454C5" w:rsidRPr="004F572A" w:rsidRDefault="00F454C5" w:rsidP="000928CA">
            <w:pPr>
              <w:widowControl w:val="0"/>
              <w:tabs>
                <w:tab w:val="clear" w:pos="567"/>
              </w:tabs>
              <w:rPr>
                <w:rFonts w:eastAsia="Calibri"/>
                <w:sz w:val="22"/>
                <w:szCs w:val="22"/>
              </w:rPr>
            </w:pPr>
            <w:r w:rsidRPr="004F572A">
              <w:rPr>
                <w:rFonts w:eastAsia="Calibri"/>
                <w:sz w:val="22"/>
                <w:szCs w:val="22"/>
              </w:rPr>
              <w:t>Smegenų kraujotakos sutrikimas</w:t>
            </w:r>
            <w:r w:rsidRPr="004F572A">
              <w:rPr>
                <w:rFonts w:eastAsia="Calibri"/>
                <w:sz w:val="22"/>
                <w:szCs w:val="22"/>
                <w:vertAlign w:val="superscript"/>
              </w:rPr>
              <w:t>†</w:t>
            </w:r>
          </w:p>
        </w:tc>
        <w:tc>
          <w:tcPr>
            <w:tcW w:w="3485" w:type="dxa"/>
            <w:gridSpan w:val="2"/>
          </w:tcPr>
          <w:p w14:paraId="72ACFD2F" w14:textId="77777777" w:rsidR="00F454C5" w:rsidRPr="004F572A" w:rsidRDefault="00F454C5" w:rsidP="000928CA">
            <w:pPr>
              <w:widowControl w:val="0"/>
              <w:tabs>
                <w:tab w:val="clear" w:pos="567"/>
              </w:tabs>
              <w:rPr>
                <w:rFonts w:eastAsia="Calibri"/>
                <w:sz w:val="22"/>
                <w:szCs w:val="22"/>
              </w:rPr>
            </w:pPr>
          </w:p>
        </w:tc>
      </w:tr>
      <w:tr w:rsidR="00F454C5" w:rsidRPr="004F572A" w14:paraId="1DA0270E" w14:textId="77777777" w:rsidTr="0074743C">
        <w:tc>
          <w:tcPr>
            <w:tcW w:w="2245" w:type="dxa"/>
          </w:tcPr>
          <w:p w14:paraId="35C4AE4D" w14:textId="38DFC77B" w:rsidR="00F454C5" w:rsidRPr="004F572A" w:rsidRDefault="00F454C5" w:rsidP="000928CA">
            <w:pPr>
              <w:widowControl w:val="0"/>
              <w:tabs>
                <w:tab w:val="clear" w:pos="567"/>
              </w:tabs>
              <w:rPr>
                <w:rFonts w:eastAsia="Calibri"/>
                <w:sz w:val="22"/>
                <w:szCs w:val="22"/>
              </w:rPr>
            </w:pPr>
            <w:r w:rsidRPr="004F572A">
              <w:rPr>
                <w:rFonts w:eastAsia="Calibri"/>
                <w:sz w:val="22"/>
                <w:szCs w:val="22"/>
              </w:rPr>
              <w:t>Nedažn</w:t>
            </w:r>
            <w:r w:rsidR="00D05341">
              <w:rPr>
                <w:rFonts w:eastAsia="Calibri"/>
                <w:sz w:val="22"/>
                <w:szCs w:val="22"/>
              </w:rPr>
              <w:t>as</w:t>
            </w:r>
          </w:p>
        </w:tc>
        <w:tc>
          <w:tcPr>
            <w:tcW w:w="3330" w:type="dxa"/>
          </w:tcPr>
          <w:p w14:paraId="4BF5DCFE" w14:textId="77777777" w:rsidR="00F454C5" w:rsidRPr="004F572A" w:rsidRDefault="00F454C5" w:rsidP="000928CA">
            <w:pPr>
              <w:widowControl w:val="0"/>
              <w:tabs>
                <w:tab w:val="clear" w:pos="567"/>
              </w:tabs>
              <w:rPr>
                <w:rFonts w:eastAsia="Calibri"/>
                <w:sz w:val="22"/>
                <w:szCs w:val="22"/>
              </w:rPr>
            </w:pPr>
            <w:r w:rsidRPr="004F572A">
              <w:rPr>
                <w:rFonts w:eastAsia="Calibri"/>
                <w:sz w:val="22"/>
                <w:szCs w:val="22"/>
              </w:rPr>
              <w:t xml:space="preserve">Užpakalinės grįžtamosios </w:t>
            </w:r>
            <w:proofErr w:type="spellStart"/>
            <w:r w:rsidRPr="004F572A">
              <w:rPr>
                <w:rFonts w:eastAsia="Calibri"/>
                <w:sz w:val="22"/>
                <w:szCs w:val="22"/>
              </w:rPr>
              <w:t>encefalopatijos</w:t>
            </w:r>
            <w:proofErr w:type="spellEnd"/>
            <w:r w:rsidRPr="004F572A">
              <w:rPr>
                <w:rFonts w:eastAsia="Calibri"/>
                <w:sz w:val="22"/>
                <w:szCs w:val="22"/>
              </w:rPr>
              <w:t xml:space="preserve"> sindromas</w:t>
            </w:r>
          </w:p>
          <w:p w14:paraId="7A024222" w14:textId="77777777" w:rsidR="00F454C5" w:rsidRPr="004F572A" w:rsidRDefault="00F454C5" w:rsidP="000928CA">
            <w:pPr>
              <w:widowControl w:val="0"/>
              <w:tabs>
                <w:tab w:val="clear" w:pos="567"/>
              </w:tabs>
              <w:rPr>
                <w:rFonts w:eastAsia="Calibri"/>
                <w:sz w:val="22"/>
                <w:szCs w:val="22"/>
              </w:rPr>
            </w:pPr>
            <w:proofErr w:type="spellStart"/>
            <w:r w:rsidRPr="004F572A">
              <w:rPr>
                <w:rFonts w:eastAsia="Calibri"/>
                <w:sz w:val="22"/>
                <w:szCs w:val="22"/>
              </w:rPr>
              <w:t>Monoparezė</w:t>
            </w:r>
            <w:proofErr w:type="spellEnd"/>
          </w:p>
          <w:p w14:paraId="555F8AD3" w14:textId="35D205CC" w:rsidR="00F454C5" w:rsidRPr="004F572A" w:rsidRDefault="008226D7" w:rsidP="000928CA">
            <w:pPr>
              <w:widowControl w:val="0"/>
              <w:tabs>
                <w:tab w:val="clear" w:pos="567"/>
              </w:tabs>
              <w:rPr>
                <w:rFonts w:eastAsia="Calibri"/>
                <w:sz w:val="22"/>
                <w:szCs w:val="22"/>
              </w:rPr>
            </w:pPr>
            <w:r>
              <w:rPr>
                <w:rFonts w:eastAsia="Calibri"/>
                <w:sz w:val="22"/>
                <w:szCs w:val="22"/>
              </w:rPr>
              <w:t>Praeinantis</w:t>
            </w:r>
            <w:r w:rsidR="00F454C5" w:rsidRPr="004F572A">
              <w:rPr>
                <w:rFonts w:eastAsia="Calibri"/>
                <w:sz w:val="22"/>
                <w:szCs w:val="22"/>
              </w:rPr>
              <w:t xml:space="preserve"> išemijos priepuolis</w:t>
            </w:r>
          </w:p>
        </w:tc>
        <w:tc>
          <w:tcPr>
            <w:tcW w:w="3485" w:type="dxa"/>
            <w:gridSpan w:val="2"/>
          </w:tcPr>
          <w:p w14:paraId="7216D5D4" w14:textId="77777777" w:rsidR="00F454C5" w:rsidRPr="004F572A" w:rsidRDefault="00F454C5" w:rsidP="00F454C5">
            <w:pPr>
              <w:widowControl w:val="0"/>
              <w:tabs>
                <w:tab w:val="clear" w:pos="567"/>
              </w:tabs>
              <w:rPr>
                <w:rFonts w:eastAsia="Calibri"/>
                <w:sz w:val="22"/>
                <w:szCs w:val="22"/>
              </w:rPr>
            </w:pPr>
            <w:r w:rsidRPr="004F572A">
              <w:rPr>
                <w:rFonts w:eastAsia="Calibri"/>
                <w:sz w:val="22"/>
                <w:szCs w:val="22"/>
              </w:rPr>
              <w:t xml:space="preserve">Užpakalinės grįžtamosios </w:t>
            </w:r>
            <w:proofErr w:type="spellStart"/>
            <w:r w:rsidRPr="004F572A">
              <w:rPr>
                <w:rFonts w:eastAsia="Calibri"/>
                <w:sz w:val="22"/>
                <w:szCs w:val="22"/>
              </w:rPr>
              <w:t>encefalopatijos</w:t>
            </w:r>
            <w:proofErr w:type="spellEnd"/>
            <w:r w:rsidRPr="004F572A">
              <w:rPr>
                <w:rFonts w:eastAsia="Calibri"/>
                <w:sz w:val="22"/>
                <w:szCs w:val="22"/>
              </w:rPr>
              <w:t xml:space="preserve"> sindromas</w:t>
            </w:r>
          </w:p>
          <w:p w14:paraId="37DD4BB9" w14:textId="77777777" w:rsidR="00F454C5" w:rsidRPr="004F572A" w:rsidRDefault="00F454C5" w:rsidP="00F454C5">
            <w:pPr>
              <w:widowControl w:val="0"/>
              <w:tabs>
                <w:tab w:val="clear" w:pos="567"/>
              </w:tabs>
              <w:rPr>
                <w:rFonts w:eastAsia="Calibri"/>
                <w:sz w:val="22"/>
                <w:szCs w:val="22"/>
              </w:rPr>
            </w:pPr>
            <w:r w:rsidRPr="004F572A">
              <w:rPr>
                <w:rFonts w:eastAsia="Calibri"/>
                <w:sz w:val="22"/>
                <w:szCs w:val="22"/>
              </w:rPr>
              <w:t>Smegenų kraujotakos sutrikimas</w:t>
            </w:r>
            <w:r w:rsidRPr="004F572A">
              <w:rPr>
                <w:rFonts w:eastAsia="Calibri"/>
                <w:sz w:val="22"/>
                <w:szCs w:val="22"/>
                <w:vertAlign w:val="superscript"/>
              </w:rPr>
              <w:t>†</w:t>
            </w:r>
          </w:p>
          <w:p w14:paraId="71161FEC" w14:textId="0C6272DD" w:rsidR="00F454C5" w:rsidRPr="004F572A" w:rsidRDefault="00F454C5" w:rsidP="00F454C5">
            <w:pPr>
              <w:widowControl w:val="0"/>
              <w:tabs>
                <w:tab w:val="clear" w:pos="567"/>
              </w:tabs>
              <w:rPr>
                <w:rFonts w:eastAsia="Calibri"/>
                <w:sz w:val="22"/>
                <w:szCs w:val="22"/>
              </w:rPr>
            </w:pPr>
            <w:proofErr w:type="spellStart"/>
            <w:r w:rsidRPr="004F572A">
              <w:rPr>
                <w:rFonts w:eastAsia="Calibri"/>
                <w:sz w:val="22"/>
                <w:szCs w:val="22"/>
              </w:rPr>
              <w:t>Monoparezė</w:t>
            </w:r>
            <w:proofErr w:type="spellEnd"/>
          </w:p>
          <w:p w14:paraId="4D5DAC19" w14:textId="553522DF" w:rsidR="00F454C5" w:rsidRPr="004F572A" w:rsidRDefault="008226D7" w:rsidP="00F454C5">
            <w:pPr>
              <w:widowControl w:val="0"/>
              <w:tabs>
                <w:tab w:val="clear" w:pos="567"/>
              </w:tabs>
              <w:rPr>
                <w:rFonts w:eastAsia="Calibri"/>
                <w:sz w:val="22"/>
                <w:szCs w:val="22"/>
              </w:rPr>
            </w:pPr>
            <w:r>
              <w:rPr>
                <w:rFonts w:eastAsia="Calibri"/>
                <w:sz w:val="22"/>
                <w:szCs w:val="22"/>
              </w:rPr>
              <w:lastRenderedPageBreak/>
              <w:t>Praeinantis</w:t>
            </w:r>
            <w:r w:rsidR="00F454C5" w:rsidRPr="004F572A">
              <w:rPr>
                <w:rFonts w:eastAsia="Calibri"/>
                <w:sz w:val="22"/>
                <w:szCs w:val="22"/>
              </w:rPr>
              <w:t xml:space="preserve"> išemijos priepuolis</w:t>
            </w:r>
          </w:p>
        </w:tc>
      </w:tr>
      <w:tr w:rsidR="007F17AE" w:rsidRPr="004F572A" w14:paraId="6558303B" w14:textId="77777777" w:rsidTr="007F17AE">
        <w:tc>
          <w:tcPr>
            <w:tcW w:w="9060" w:type="dxa"/>
            <w:gridSpan w:val="4"/>
          </w:tcPr>
          <w:p w14:paraId="2FFBEEAB" w14:textId="232723F8" w:rsidR="007F17AE" w:rsidRPr="004F572A" w:rsidRDefault="007F17AE" w:rsidP="000928CA">
            <w:pPr>
              <w:widowControl w:val="0"/>
              <w:tabs>
                <w:tab w:val="clear" w:pos="567"/>
              </w:tabs>
              <w:rPr>
                <w:rFonts w:eastAsia="Calibri"/>
                <w:b/>
                <w:bCs/>
                <w:sz w:val="22"/>
                <w:szCs w:val="22"/>
              </w:rPr>
            </w:pPr>
            <w:r w:rsidRPr="004F572A">
              <w:rPr>
                <w:rFonts w:eastAsia="Calibri"/>
                <w:b/>
                <w:bCs/>
                <w:sz w:val="22"/>
                <w:szCs w:val="22"/>
              </w:rPr>
              <w:lastRenderedPageBreak/>
              <w:t>Širdies sutrikimai</w:t>
            </w:r>
          </w:p>
        </w:tc>
      </w:tr>
      <w:tr w:rsidR="00F454C5" w:rsidRPr="004F572A" w14:paraId="21F5A3C5" w14:textId="77777777" w:rsidTr="0074743C">
        <w:tc>
          <w:tcPr>
            <w:tcW w:w="2245" w:type="dxa"/>
          </w:tcPr>
          <w:p w14:paraId="0C08EA9D" w14:textId="7BF4850F" w:rsidR="00F454C5" w:rsidRPr="004F572A" w:rsidRDefault="007F17AE" w:rsidP="000928CA">
            <w:pPr>
              <w:widowControl w:val="0"/>
              <w:tabs>
                <w:tab w:val="clear" w:pos="567"/>
              </w:tabs>
              <w:rPr>
                <w:rFonts w:eastAsia="Calibri"/>
                <w:sz w:val="22"/>
                <w:szCs w:val="22"/>
              </w:rPr>
            </w:pPr>
            <w:r w:rsidRPr="004F572A">
              <w:rPr>
                <w:rFonts w:eastAsia="Calibri"/>
                <w:sz w:val="22"/>
                <w:szCs w:val="22"/>
              </w:rPr>
              <w:t>Dažn</w:t>
            </w:r>
            <w:r w:rsidR="00D05341">
              <w:rPr>
                <w:rFonts w:eastAsia="Calibri"/>
                <w:sz w:val="22"/>
                <w:szCs w:val="22"/>
              </w:rPr>
              <w:t>as</w:t>
            </w:r>
          </w:p>
        </w:tc>
        <w:tc>
          <w:tcPr>
            <w:tcW w:w="3330" w:type="dxa"/>
          </w:tcPr>
          <w:p w14:paraId="32D20BCF" w14:textId="4F2EBB92" w:rsidR="00F454C5" w:rsidRPr="004F572A" w:rsidRDefault="007F17AE" w:rsidP="000928CA">
            <w:pPr>
              <w:widowControl w:val="0"/>
              <w:tabs>
                <w:tab w:val="clear" w:pos="567"/>
              </w:tabs>
              <w:rPr>
                <w:rFonts w:eastAsia="Calibri"/>
                <w:sz w:val="22"/>
                <w:szCs w:val="22"/>
                <w:vertAlign w:val="superscript"/>
              </w:rPr>
            </w:pPr>
            <w:r w:rsidRPr="004F572A">
              <w:rPr>
                <w:rFonts w:eastAsia="Calibri"/>
                <w:sz w:val="22"/>
                <w:szCs w:val="22"/>
              </w:rPr>
              <w:t>Miokard</w:t>
            </w:r>
            <w:r w:rsidR="00C625F4" w:rsidRPr="004F572A">
              <w:rPr>
                <w:rFonts w:eastAsia="Calibri"/>
                <w:sz w:val="22"/>
                <w:szCs w:val="22"/>
              </w:rPr>
              <w:t>o</w:t>
            </w:r>
            <w:r w:rsidRPr="004F572A">
              <w:rPr>
                <w:rFonts w:eastAsia="Calibri"/>
                <w:sz w:val="22"/>
                <w:szCs w:val="22"/>
              </w:rPr>
              <w:t xml:space="preserve"> </w:t>
            </w:r>
            <w:proofErr w:type="spellStart"/>
            <w:r w:rsidRPr="004F572A">
              <w:rPr>
                <w:rFonts w:eastAsia="Calibri"/>
                <w:sz w:val="22"/>
                <w:szCs w:val="22"/>
              </w:rPr>
              <w:t>infarktas</w:t>
            </w:r>
            <w:r w:rsidRPr="004F572A">
              <w:rPr>
                <w:rFonts w:eastAsia="Calibri"/>
                <w:sz w:val="22"/>
                <w:szCs w:val="22"/>
                <w:vertAlign w:val="superscript"/>
              </w:rPr>
              <w:t>c</w:t>
            </w:r>
            <w:proofErr w:type="spellEnd"/>
            <w:r w:rsidRPr="004F572A">
              <w:rPr>
                <w:rFonts w:eastAsia="Calibri"/>
                <w:sz w:val="22"/>
                <w:szCs w:val="22"/>
                <w:vertAlign w:val="superscript"/>
              </w:rPr>
              <w:t>,†</w:t>
            </w:r>
          </w:p>
          <w:p w14:paraId="58450DE1" w14:textId="77777777" w:rsidR="007F17AE" w:rsidRPr="004F572A" w:rsidRDefault="007F17AE" w:rsidP="000928CA">
            <w:pPr>
              <w:widowControl w:val="0"/>
              <w:tabs>
                <w:tab w:val="clear" w:pos="567"/>
              </w:tabs>
              <w:rPr>
                <w:rFonts w:eastAsia="Calibri"/>
                <w:sz w:val="22"/>
                <w:szCs w:val="22"/>
              </w:rPr>
            </w:pPr>
            <w:r w:rsidRPr="004F572A">
              <w:rPr>
                <w:rFonts w:eastAsia="Calibri"/>
                <w:sz w:val="22"/>
                <w:szCs w:val="22"/>
              </w:rPr>
              <w:t>Širdies nepakankamumas</w:t>
            </w:r>
          </w:p>
          <w:p w14:paraId="1CA13CB0" w14:textId="77777777" w:rsidR="007F17AE" w:rsidRPr="004F572A" w:rsidRDefault="007F17AE" w:rsidP="000928CA">
            <w:pPr>
              <w:widowControl w:val="0"/>
              <w:tabs>
                <w:tab w:val="clear" w:pos="567"/>
              </w:tabs>
              <w:rPr>
                <w:rFonts w:eastAsia="Calibri"/>
                <w:sz w:val="22"/>
                <w:szCs w:val="22"/>
              </w:rPr>
            </w:pPr>
            <w:r w:rsidRPr="004F572A">
              <w:rPr>
                <w:rFonts w:eastAsia="Calibri"/>
                <w:sz w:val="22"/>
                <w:szCs w:val="22"/>
              </w:rPr>
              <w:t>Pailgėjęs elektrokardiogramos QT intervalas</w:t>
            </w:r>
          </w:p>
          <w:p w14:paraId="4D1D4C3F" w14:textId="74B44A9F" w:rsidR="007F17AE" w:rsidRPr="004F572A" w:rsidRDefault="007F17AE" w:rsidP="000928CA">
            <w:pPr>
              <w:widowControl w:val="0"/>
              <w:tabs>
                <w:tab w:val="clear" w:pos="567"/>
              </w:tabs>
              <w:rPr>
                <w:rFonts w:eastAsia="Calibri"/>
                <w:sz w:val="22"/>
                <w:szCs w:val="22"/>
              </w:rPr>
            </w:pPr>
            <w:r w:rsidRPr="004F572A">
              <w:rPr>
                <w:rFonts w:eastAsia="Calibri"/>
                <w:sz w:val="22"/>
                <w:szCs w:val="22"/>
              </w:rPr>
              <w:t>Sumažėjusi išstūmimo frakcija</w:t>
            </w:r>
          </w:p>
        </w:tc>
        <w:tc>
          <w:tcPr>
            <w:tcW w:w="3485" w:type="dxa"/>
            <w:gridSpan w:val="2"/>
          </w:tcPr>
          <w:p w14:paraId="7802E41A" w14:textId="043ADA31" w:rsidR="00F454C5" w:rsidRPr="004F572A" w:rsidRDefault="007F17AE" w:rsidP="000928CA">
            <w:pPr>
              <w:widowControl w:val="0"/>
              <w:tabs>
                <w:tab w:val="clear" w:pos="567"/>
              </w:tabs>
              <w:rPr>
                <w:rFonts w:eastAsia="Calibri"/>
                <w:sz w:val="22"/>
                <w:szCs w:val="22"/>
              </w:rPr>
            </w:pPr>
            <w:r w:rsidRPr="004F572A">
              <w:rPr>
                <w:rFonts w:eastAsia="Calibri"/>
                <w:sz w:val="22"/>
                <w:szCs w:val="22"/>
              </w:rPr>
              <w:t>Pailgėjęs elektrokardiogramos QT intervalas</w:t>
            </w:r>
          </w:p>
        </w:tc>
      </w:tr>
      <w:tr w:rsidR="00F454C5" w:rsidRPr="004F572A" w14:paraId="3D9624A2" w14:textId="77777777" w:rsidTr="0074743C">
        <w:tc>
          <w:tcPr>
            <w:tcW w:w="2245" w:type="dxa"/>
          </w:tcPr>
          <w:p w14:paraId="433951AD" w14:textId="6EA1864F" w:rsidR="00F454C5" w:rsidRPr="004F572A" w:rsidRDefault="007F17AE" w:rsidP="000928CA">
            <w:pPr>
              <w:widowControl w:val="0"/>
              <w:tabs>
                <w:tab w:val="clear" w:pos="567"/>
              </w:tabs>
              <w:rPr>
                <w:rFonts w:eastAsia="Calibri"/>
                <w:sz w:val="22"/>
                <w:szCs w:val="22"/>
              </w:rPr>
            </w:pPr>
            <w:r w:rsidRPr="004F572A">
              <w:rPr>
                <w:rFonts w:eastAsia="Calibri"/>
                <w:sz w:val="22"/>
                <w:szCs w:val="22"/>
              </w:rPr>
              <w:t>Nedažn</w:t>
            </w:r>
            <w:r w:rsidR="00D05341">
              <w:rPr>
                <w:rFonts w:eastAsia="Calibri"/>
                <w:sz w:val="22"/>
                <w:szCs w:val="22"/>
              </w:rPr>
              <w:t>as</w:t>
            </w:r>
          </w:p>
        </w:tc>
        <w:tc>
          <w:tcPr>
            <w:tcW w:w="3330" w:type="dxa"/>
          </w:tcPr>
          <w:p w14:paraId="08FF4260" w14:textId="77777777" w:rsidR="00F454C5" w:rsidRPr="004F572A" w:rsidRDefault="00F454C5" w:rsidP="000928CA">
            <w:pPr>
              <w:widowControl w:val="0"/>
              <w:tabs>
                <w:tab w:val="clear" w:pos="567"/>
              </w:tabs>
              <w:rPr>
                <w:rFonts w:eastAsia="Calibri"/>
                <w:sz w:val="22"/>
                <w:szCs w:val="22"/>
              </w:rPr>
            </w:pPr>
          </w:p>
        </w:tc>
        <w:tc>
          <w:tcPr>
            <w:tcW w:w="3485" w:type="dxa"/>
            <w:gridSpan w:val="2"/>
          </w:tcPr>
          <w:p w14:paraId="1DA3DB40" w14:textId="4EA0D47D" w:rsidR="007F17AE" w:rsidRPr="004F572A" w:rsidRDefault="007F17AE" w:rsidP="007F17AE">
            <w:pPr>
              <w:widowControl w:val="0"/>
              <w:tabs>
                <w:tab w:val="clear" w:pos="567"/>
              </w:tabs>
              <w:rPr>
                <w:rFonts w:eastAsia="Calibri"/>
                <w:sz w:val="22"/>
                <w:szCs w:val="22"/>
              </w:rPr>
            </w:pPr>
            <w:r w:rsidRPr="004F572A">
              <w:rPr>
                <w:rFonts w:eastAsia="Calibri"/>
                <w:sz w:val="22"/>
                <w:szCs w:val="22"/>
              </w:rPr>
              <w:t>Miokard</w:t>
            </w:r>
            <w:r w:rsidR="00C625F4" w:rsidRPr="004F572A">
              <w:rPr>
                <w:rFonts w:eastAsia="Calibri"/>
                <w:sz w:val="22"/>
                <w:szCs w:val="22"/>
              </w:rPr>
              <w:t>o</w:t>
            </w:r>
            <w:r w:rsidRPr="004F572A">
              <w:rPr>
                <w:rFonts w:eastAsia="Calibri"/>
                <w:sz w:val="22"/>
                <w:szCs w:val="22"/>
              </w:rPr>
              <w:t xml:space="preserve"> </w:t>
            </w:r>
            <w:proofErr w:type="spellStart"/>
            <w:r w:rsidRPr="004F572A">
              <w:rPr>
                <w:rFonts w:eastAsia="Calibri"/>
                <w:sz w:val="22"/>
                <w:szCs w:val="22"/>
              </w:rPr>
              <w:t>infarktas</w:t>
            </w:r>
            <w:r w:rsidRPr="004F572A">
              <w:rPr>
                <w:rFonts w:eastAsia="Calibri"/>
                <w:sz w:val="22"/>
                <w:szCs w:val="22"/>
                <w:vertAlign w:val="superscript"/>
              </w:rPr>
              <w:t>c</w:t>
            </w:r>
            <w:proofErr w:type="spellEnd"/>
            <w:r w:rsidRPr="004F572A">
              <w:rPr>
                <w:rFonts w:eastAsia="Calibri"/>
                <w:sz w:val="22"/>
                <w:szCs w:val="22"/>
                <w:vertAlign w:val="superscript"/>
              </w:rPr>
              <w:t>,†</w:t>
            </w:r>
          </w:p>
          <w:p w14:paraId="321EE8F0" w14:textId="77777777" w:rsidR="007F17AE" w:rsidRPr="004F572A" w:rsidRDefault="007F17AE" w:rsidP="007F17AE">
            <w:pPr>
              <w:widowControl w:val="0"/>
              <w:tabs>
                <w:tab w:val="clear" w:pos="567"/>
              </w:tabs>
              <w:rPr>
                <w:rFonts w:eastAsia="Calibri"/>
                <w:sz w:val="22"/>
                <w:szCs w:val="22"/>
              </w:rPr>
            </w:pPr>
            <w:r w:rsidRPr="004F572A">
              <w:rPr>
                <w:rFonts w:eastAsia="Calibri"/>
                <w:sz w:val="22"/>
                <w:szCs w:val="22"/>
              </w:rPr>
              <w:t>Širdies nepakankamumas</w:t>
            </w:r>
          </w:p>
          <w:p w14:paraId="43A21F43" w14:textId="7C67C9B7" w:rsidR="00F454C5" w:rsidRPr="004F572A" w:rsidRDefault="007F17AE" w:rsidP="007F17AE">
            <w:pPr>
              <w:widowControl w:val="0"/>
              <w:tabs>
                <w:tab w:val="clear" w:pos="567"/>
              </w:tabs>
              <w:rPr>
                <w:rFonts w:eastAsia="Calibri"/>
                <w:sz w:val="22"/>
                <w:szCs w:val="22"/>
              </w:rPr>
            </w:pPr>
            <w:r w:rsidRPr="004F572A">
              <w:rPr>
                <w:rFonts w:eastAsia="Calibri"/>
                <w:sz w:val="22"/>
                <w:szCs w:val="22"/>
              </w:rPr>
              <w:t>Sumažėjusi išstūmimo frakcija</w:t>
            </w:r>
          </w:p>
        </w:tc>
      </w:tr>
      <w:tr w:rsidR="007F17AE" w:rsidRPr="004F572A" w14:paraId="3A439ECB" w14:textId="77777777" w:rsidTr="007F17AE">
        <w:tc>
          <w:tcPr>
            <w:tcW w:w="9060" w:type="dxa"/>
            <w:gridSpan w:val="4"/>
          </w:tcPr>
          <w:p w14:paraId="3D1132B5" w14:textId="59A81721" w:rsidR="007F17AE" w:rsidRPr="004F572A" w:rsidRDefault="007F17AE" w:rsidP="000928CA">
            <w:pPr>
              <w:widowControl w:val="0"/>
              <w:tabs>
                <w:tab w:val="clear" w:pos="567"/>
              </w:tabs>
              <w:rPr>
                <w:rFonts w:eastAsia="Calibri"/>
                <w:b/>
                <w:bCs/>
                <w:sz w:val="22"/>
                <w:szCs w:val="22"/>
              </w:rPr>
            </w:pPr>
            <w:r w:rsidRPr="004F572A">
              <w:rPr>
                <w:rFonts w:eastAsia="Calibri"/>
                <w:b/>
                <w:bCs/>
                <w:sz w:val="22"/>
                <w:szCs w:val="22"/>
              </w:rPr>
              <w:t>Kraujagyslių sutrikimai</w:t>
            </w:r>
          </w:p>
        </w:tc>
      </w:tr>
      <w:tr w:rsidR="00F454C5" w:rsidRPr="004F572A" w14:paraId="5D6389DA" w14:textId="77777777" w:rsidTr="0074743C">
        <w:tc>
          <w:tcPr>
            <w:tcW w:w="2245" w:type="dxa"/>
          </w:tcPr>
          <w:p w14:paraId="6532BA49" w14:textId="45AA7A43" w:rsidR="00F454C5" w:rsidRPr="004F572A" w:rsidRDefault="007F17AE" w:rsidP="000928CA">
            <w:pPr>
              <w:widowControl w:val="0"/>
              <w:tabs>
                <w:tab w:val="clear" w:pos="567"/>
              </w:tabs>
              <w:rPr>
                <w:rFonts w:eastAsia="Calibri"/>
                <w:sz w:val="22"/>
                <w:szCs w:val="22"/>
              </w:rPr>
            </w:pPr>
            <w:r w:rsidRPr="004F572A">
              <w:rPr>
                <w:rFonts w:eastAsia="Calibri"/>
                <w:sz w:val="22"/>
                <w:szCs w:val="22"/>
              </w:rPr>
              <w:t>Labai dažn</w:t>
            </w:r>
            <w:r w:rsidR="00D05341">
              <w:rPr>
                <w:rFonts w:eastAsia="Calibri"/>
                <w:sz w:val="22"/>
                <w:szCs w:val="22"/>
              </w:rPr>
              <w:t>as</w:t>
            </w:r>
          </w:p>
        </w:tc>
        <w:tc>
          <w:tcPr>
            <w:tcW w:w="3330" w:type="dxa"/>
          </w:tcPr>
          <w:p w14:paraId="78E2D607" w14:textId="77777777" w:rsidR="00F454C5" w:rsidRPr="004F572A" w:rsidRDefault="007F17AE" w:rsidP="000928CA">
            <w:pPr>
              <w:widowControl w:val="0"/>
              <w:tabs>
                <w:tab w:val="clear" w:pos="567"/>
              </w:tabs>
              <w:rPr>
                <w:rFonts w:eastAsia="Calibri"/>
                <w:sz w:val="22"/>
                <w:szCs w:val="22"/>
                <w:vertAlign w:val="superscript"/>
              </w:rPr>
            </w:pPr>
            <w:proofErr w:type="spellStart"/>
            <w:r w:rsidRPr="004F572A">
              <w:rPr>
                <w:rFonts w:eastAsia="Calibri"/>
                <w:sz w:val="22"/>
                <w:szCs w:val="22"/>
              </w:rPr>
              <w:t>Kraujavimas</w:t>
            </w:r>
            <w:r w:rsidRPr="004F572A">
              <w:rPr>
                <w:rFonts w:eastAsia="Calibri"/>
                <w:sz w:val="22"/>
                <w:szCs w:val="22"/>
                <w:vertAlign w:val="superscript"/>
              </w:rPr>
              <w:t>d</w:t>
            </w:r>
            <w:proofErr w:type="spellEnd"/>
            <w:r w:rsidRPr="004F572A">
              <w:rPr>
                <w:rFonts w:eastAsia="Calibri"/>
                <w:sz w:val="22"/>
                <w:szCs w:val="22"/>
                <w:vertAlign w:val="superscript"/>
              </w:rPr>
              <w:t>,*,†</w:t>
            </w:r>
          </w:p>
          <w:p w14:paraId="14E73BFC" w14:textId="77777777" w:rsidR="00BC576A" w:rsidRPr="004F572A" w:rsidRDefault="00BC576A" w:rsidP="00BC576A">
            <w:pPr>
              <w:widowControl w:val="0"/>
              <w:tabs>
                <w:tab w:val="clear" w:pos="567"/>
              </w:tabs>
              <w:rPr>
                <w:rFonts w:eastAsia="Calibri"/>
                <w:sz w:val="22"/>
                <w:szCs w:val="22"/>
              </w:rPr>
            </w:pPr>
            <w:proofErr w:type="spellStart"/>
            <w:r w:rsidRPr="004F572A">
              <w:rPr>
                <w:rFonts w:eastAsia="Calibri"/>
                <w:sz w:val="22"/>
                <w:szCs w:val="22"/>
              </w:rPr>
              <w:t>Hipertenzija</w:t>
            </w:r>
            <w:r w:rsidRPr="004F572A">
              <w:rPr>
                <w:rFonts w:eastAsia="Calibri"/>
                <w:sz w:val="22"/>
                <w:szCs w:val="22"/>
                <w:vertAlign w:val="superscript"/>
              </w:rPr>
              <w:t>e</w:t>
            </w:r>
            <w:proofErr w:type="spellEnd"/>
            <w:r w:rsidRPr="004F572A">
              <w:rPr>
                <w:rFonts w:eastAsia="Calibri"/>
                <w:sz w:val="22"/>
                <w:szCs w:val="22"/>
                <w:vertAlign w:val="superscript"/>
              </w:rPr>
              <w:t>,*</w:t>
            </w:r>
          </w:p>
          <w:p w14:paraId="66216DAA" w14:textId="05F4FB3B" w:rsidR="00BC576A" w:rsidRPr="004F572A" w:rsidRDefault="00BC576A" w:rsidP="00BC576A">
            <w:pPr>
              <w:widowControl w:val="0"/>
              <w:tabs>
                <w:tab w:val="clear" w:pos="567"/>
              </w:tabs>
              <w:rPr>
                <w:rFonts w:eastAsia="Calibri"/>
                <w:sz w:val="22"/>
                <w:szCs w:val="22"/>
              </w:rPr>
            </w:pPr>
            <w:proofErr w:type="spellStart"/>
            <w:r w:rsidRPr="004F572A">
              <w:rPr>
                <w:rFonts w:eastAsia="Calibri"/>
                <w:sz w:val="22"/>
                <w:szCs w:val="22"/>
              </w:rPr>
              <w:t>Hipotenzija</w:t>
            </w:r>
            <w:proofErr w:type="spellEnd"/>
          </w:p>
        </w:tc>
        <w:tc>
          <w:tcPr>
            <w:tcW w:w="3485" w:type="dxa"/>
            <w:gridSpan w:val="2"/>
          </w:tcPr>
          <w:p w14:paraId="23DB7AC0" w14:textId="77777777" w:rsidR="00D05341" w:rsidRPr="004F572A" w:rsidRDefault="00D05341" w:rsidP="00D05341">
            <w:pPr>
              <w:widowControl w:val="0"/>
              <w:tabs>
                <w:tab w:val="clear" w:pos="567"/>
              </w:tabs>
              <w:rPr>
                <w:rFonts w:eastAsia="Calibri"/>
                <w:sz w:val="22"/>
                <w:szCs w:val="22"/>
                <w:vertAlign w:val="superscript"/>
              </w:rPr>
            </w:pPr>
            <w:proofErr w:type="spellStart"/>
            <w:r w:rsidRPr="004F572A">
              <w:rPr>
                <w:rFonts w:eastAsia="Calibri"/>
                <w:sz w:val="22"/>
                <w:szCs w:val="22"/>
              </w:rPr>
              <w:t>Kraujavimas</w:t>
            </w:r>
            <w:r w:rsidRPr="004F572A">
              <w:rPr>
                <w:rFonts w:eastAsia="Calibri"/>
                <w:sz w:val="22"/>
                <w:szCs w:val="22"/>
                <w:vertAlign w:val="superscript"/>
              </w:rPr>
              <w:t>d</w:t>
            </w:r>
            <w:proofErr w:type="spellEnd"/>
            <w:r w:rsidRPr="004F572A">
              <w:rPr>
                <w:rFonts w:eastAsia="Calibri"/>
                <w:sz w:val="22"/>
                <w:szCs w:val="22"/>
                <w:vertAlign w:val="superscript"/>
              </w:rPr>
              <w:t>,*,†</w:t>
            </w:r>
          </w:p>
          <w:p w14:paraId="2B790939" w14:textId="0950DB63" w:rsidR="00F454C5" w:rsidRPr="004F572A" w:rsidRDefault="00BC576A" w:rsidP="000928CA">
            <w:pPr>
              <w:widowControl w:val="0"/>
              <w:tabs>
                <w:tab w:val="clear" w:pos="567"/>
              </w:tabs>
              <w:rPr>
                <w:rFonts w:eastAsia="Calibri"/>
                <w:sz w:val="22"/>
                <w:szCs w:val="22"/>
              </w:rPr>
            </w:pPr>
            <w:proofErr w:type="spellStart"/>
            <w:r w:rsidRPr="004F572A">
              <w:rPr>
                <w:rFonts w:eastAsia="Calibri"/>
                <w:sz w:val="22"/>
                <w:szCs w:val="22"/>
              </w:rPr>
              <w:t>Hipertenzija</w:t>
            </w:r>
            <w:r w:rsidRPr="004F572A">
              <w:rPr>
                <w:rFonts w:eastAsia="Calibri"/>
                <w:sz w:val="22"/>
                <w:szCs w:val="22"/>
                <w:vertAlign w:val="superscript"/>
              </w:rPr>
              <w:t>e</w:t>
            </w:r>
            <w:proofErr w:type="spellEnd"/>
            <w:r w:rsidRPr="004F572A">
              <w:rPr>
                <w:rFonts w:eastAsia="Calibri"/>
                <w:sz w:val="22"/>
                <w:szCs w:val="22"/>
                <w:vertAlign w:val="superscript"/>
              </w:rPr>
              <w:t>,*</w:t>
            </w:r>
          </w:p>
        </w:tc>
      </w:tr>
      <w:tr w:rsidR="007F17AE" w:rsidRPr="004F572A" w14:paraId="5270A0A8" w14:textId="77777777" w:rsidTr="0074743C">
        <w:tc>
          <w:tcPr>
            <w:tcW w:w="2245" w:type="dxa"/>
          </w:tcPr>
          <w:p w14:paraId="327FC497" w14:textId="38213608" w:rsidR="007F17AE" w:rsidRPr="004F572A" w:rsidRDefault="007F17AE" w:rsidP="000928CA">
            <w:pPr>
              <w:widowControl w:val="0"/>
              <w:tabs>
                <w:tab w:val="clear" w:pos="567"/>
              </w:tabs>
              <w:rPr>
                <w:rFonts w:eastAsia="Calibri"/>
                <w:sz w:val="22"/>
                <w:szCs w:val="22"/>
              </w:rPr>
            </w:pPr>
            <w:r w:rsidRPr="004F572A">
              <w:rPr>
                <w:rFonts w:eastAsia="Calibri"/>
                <w:sz w:val="22"/>
                <w:szCs w:val="22"/>
              </w:rPr>
              <w:t>Dažn</w:t>
            </w:r>
            <w:r w:rsidR="00D05341">
              <w:rPr>
                <w:rFonts w:eastAsia="Calibri"/>
                <w:sz w:val="22"/>
                <w:szCs w:val="22"/>
              </w:rPr>
              <w:t>as</w:t>
            </w:r>
          </w:p>
        </w:tc>
        <w:tc>
          <w:tcPr>
            <w:tcW w:w="3330" w:type="dxa"/>
          </w:tcPr>
          <w:p w14:paraId="6AA5A673" w14:textId="77777777" w:rsidR="007F17AE" w:rsidRPr="004F572A" w:rsidRDefault="007F17AE" w:rsidP="000928CA">
            <w:pPr>
              <w:widowControl w:val="0"/>
              <w:tabs>
                <w:tab w:val="clear" w:pos="567"/>
              </w:tabs>
              <w:rPr>
                <w:rFonts w:eastAsia="Calibri"/>
                <w:sz w:val="22"/>
                <w:szCs w:val="22"/>
              </w:rPr>
            </w:pPr>
          </w:p>
        </w:tc>
        <w:tc>
          <w:tcPr>
            <w:tcW w:w="3485" w:type="dxa"/>
            <w:gridSpan w:val="2"/>
          </w:tcPr>
          <w:p w14:paraId="6FEF828F" w14:textId="4634641E" w:rsidR="007F17AE" w:rsidRPr="004F572A" w:rsidRDefault="00BC576A" w:rsidP="000928CA">
            <w:pPr>
              <w:widowControl w:val="0"/>
              <w:tabs>
                <w:tab w:val="clear" w:pos="567"/>
              </w:tabs>
              <w:rPr>
                <w:rFonts w:eastAsia="Calibri"/>
                <w:sz w:val="22"/>
                <w:szCs w:val="22"/>
              </w:rPr>
            </w:pPr>
            <w:proofErr w:type="spellStart"/>
            <w:r w:rsidRPr="004F572A">
              <w:rPr>
                <w:rFonts w:eastAsia="Calibri"/>
                <w:sz w:val="22"/>
                <w:szCs w:val="22"/>
              </w:rPr>
              <w:t>Hipotenzija</w:t>
            </w:r>
            <w:proofErr w:type="spellEnd"/>
          </w:p>
        </w:tc>
      </w:tr>
      <w:tr w:rsidR="007F17AE" w:rsidRPr="004F572A" w14:paraId="5C8A1552" w14:textId="77777777" w:rsidTr="0074743C">
        <w:tc>
          <w:tcPr>
            <w:tcW w:w="2245" w:type="dxa"/>
          </w:tcPr>
          <w:p w14:paraId="6ECD76D7" w14:textId="6D2294A4" w:rsidR="007F17AE" w:rsidRPr="004F572A" w:rsidRDefault="00D05341" w:rsidP="000928CA">
            <w:pPr>
              <w:widowControl w:val="0"/>
              <w:tabs>
                <w:tab w:val="clear" w:pos="567"/>
              </w:tabs>
              <w:rPr>
                <w:rFonts w:eastAsia="Calibri"/>
                <w:sz w:val="22"/>
                <w:szCs w:val="22"/>
              </w:rPr>
            </w:pPr>
            <w:r>
              <w:rPr>
                <w:rFonts w:eastAsia="Calibri"/>
                <w:sz w:val="22"/>
                <w:szCs w:val="22"/>
              </w:rPr>
              <w:t>N</w:t>
            </w:r>
            <w:r w:rsidR="007F17AE" w:rsidRPr="004F572A">
              <w:rPr>
                <w:rFonts w:eastAsia="Calibri"/>
                <w:sz w:val="22"/>
                <w:szCs w:val="22"/>
              </w:rPr>
              <w:t>ežinomas</w:t>
            </w:r>
          </w:p>
        </w:tc>
        <w:tc>
          <w:tcPr>
            <w:tcW w:w="3330" w:type="dxa"/>
          </w:tcPr>
          <w:p w14:paraId="5B54F9D5" w14:textId="443820C1" w:rsidR="007F17AE" w:rsidRPr="004F572A" w:rsidRDefault="00BC576A" w:rsidP="000928CA">
            <w:pPr>
              <w:widowControl w:val="0"/>
              <w:tabs>
                <w:tab w:val="clear" w:pos="567"/>
              </w:tabs>
              <w:rPr>
                <w:rFonts w:eastAsia="Calibri"/>
                <w:sz w:val="22"/>
                <w:szCs w:val="22"/>
              </w:rPr>
            </w:pPr>
            <w:r w:rsidRPr="004F572A">
              <w:rPr>
                <w:rFonts w:eastAsia="Calibri"/>
                <w:sz w:val="22"/>
                <w:szCs w:val="22"/>
              </w:rPr>
              <w:t xml:space="preserve">Aneurizmos ir arterijų </w:t>
            </w:r>
            <w:proofErr w:type="spellStart"/>
            <w:r w:rsidRPr="004F572A">
              <w:rPr>
                <w:rFonts w:eastAsia="Calibri"/>
                <w:sz w:val="22"/>
                <w:szCs w:val="22"/>
              </w:rPr>
              <w:t>disekacijos</w:t>
            </w:r>
            <w:proofErr w:type="spellEnd"/>
          </w:p>
        </w:tc>
        <w:tc>
          <w:tcPr>
            <w:tcW w:w="3485" w:type="dxa"/>
            <w:gridSpan w:val="2"/>
          </w:tcPr>
          <w:p w14:paraId="66015796" w14:textId="77777777" w:rsidR="007F17AE" w:rsidRPr="004F572A" w:rsidRDefault="007F17AE" w:rsidP="000928CA">
            <w:pPr>
              <w:widowControl w:val="0"/>
              <w:tabs>
                <w:tab w:val="clear" w:pos="567"/>
              </w:tabs>
              <w:rPr>
                <w:rFonts w:eastAsia="Calibri"/>
                <w:sz w:val="22"/>
                <w:szCs w:val="22"/>
              </w:rPr>
            </w:pPr>
          </w:p>
        </w:tc>
      </w:tr>
      <w:tr w:rsidR="00BC576A" w:rsidRPr="004F572A" w14:paraId="74F3D2AB" w14:textId="77777777" w:rsidTr="00BC576A">
        <w:tc>
          <w:tcPr>
            <w:tcW w:w="9060" w:type="dxa"/>
            <w:gridSpan w:val="4"/>
          </w:tcPr>
          <w:p w14:paraId="59E66E3F" w14:textId="573ABD9B" w:rsidR="00BC576A" w:rsidRPr="004F572A" w:rsidRDefault="00BC576A" w:rsidP="000928CA">
            <w:pPr>
              <w:widowControl w:val="0"/>
              <w:tabs>
                <w:tab w:val="clear" w:pos="567"/>
              </w:tabs>
              <w:rPr>
                <w:rFonts w:eastAsia="Calibri"/>
                <w:b/>
                <w:bCs/>
                <w:sz w:val="22"/>
                <w:szCs w:val="22"/>
              </w:rPr>
            </w:pPr>
            <w:r w:rsidRPr="004F572A">
              <w:rPr>
                <w:rFonts w:eastAsia="Calibri"/>
                <w:b/>
                <w:bCs/>
                <w:sz w:val="22"/>
                <w:szCs w:val="22"/>
              </w:rPr>
              <w:t>Kvėpavimo sistemos, krūtinės ląstos ir tarpuplaučio sutrikimai</w:t>
            </w:r>
          </w:p>
        </w:tc>
      </w:tr>
      <w:tr w:rsidR="007F17AE" w:rsidRPr="004F572A" w14:paraId="4C39F70D" w14:textId="77777777" w:rsidTr="0074743C">
        <w:tc>
          <w:tcPr>
            <w:tcW w:w="2245" w:type="dxa"/>
          </w:tcPr>
          <w:p w14:paraId="00D1B9CA" w14:textId="62AD3935" w:rsidR="007F17AE" w:rsidRPr="004F572A" w:rsidRDefault="00BC576A" w:rsidP="000928CA">
            <w:pPr>
              <w:widowControl w:val="0"/>
              <w:tabs>
                <w:tab w:val="clear" w:pos="567"/>
              </w:tabs>
              <w:rPr>
                <w:rFonts w:eastAsia="Calibri"/>
                <w:sz w:val="22"/>
                <w:szCs w:val="22"/>
              </w:rPr>
            </w:pPr>
            <w:r w:rsidRPr="004F572A">
              <w:rPr>
                <w:rFonts w:eastAsia="Calibri"/>
                <w:sz w:val="22"/>
                <w:szCs w:val="22"/>
              </w:rPr>
              <w:t>Labai dažn</w:t>
            </w:r>
            <w:r w:rsidR="00D05341">
              <w:rPr>
                <w:rFonts w:eastAsia="Calibri"/>
                <w:sz w:val="22"/>
                <w:szCs w:val="22"/>
              </w:rPr>
              <w:t>as</w:t>
            </w:r>
          </w:p>
        </w:tc>
        <w:tc>
          <w:tcPr>
            <w:tcW w:w="3330" w:type="dxa"/>
          </w:tcPr>
          <w:p w14:paraId="08D118A8" w14:textId="185C3E12" w:rsidR="007F17AE" w:rsidRPr="004F572A" w:rsidRDefault="00BC576A" w:rsidP="000928CA">
            <w:pPr>
              <w:widowControl w:val="0"/>
              <w:tabs>
                <w:tab w:val="clear" w:pos="567"/>
              </w:tabs>
              <w:rPr>
                <w:rFonts w:eastAsia="Calibri"/>
                <w:sz w:val="22"/>
                <w:szCs w:val="22"/>
              </w:rPr>
            </w:pPr>
            <w:proofErr w:type="spellStart"/>
            <w:r w:rsidRPr="004F572A">
              <w:rPr>
                <w:rFonts w:eastAsia="Calibri"/>
                <w:sz w:val="22"/>
                <w:szCs w:val="22"/>
              </w:rPr>
              <w:t>Disfonija</w:t>
            </w:r>
            <w:proofErr w:type="spellEnd"/>
          </w:p>
        </w:tc>
        <w:tc>
          <w:tcPr>
            <w:tcW w:w="3485" w:type="dxa"/>
            <w:gridSpan w:val="2"/>
          </w:tcPr>
          <w:p w14:paraId="58ABA731" w14:textId="4E956017" w:rsidR="007F17AE" w:rsidRPr="004F572A" w:rsidRDefault="00BC576A" w:rsidP="000928CA">
            <w:pPr>
              <w:widowControl w:val="0"/>
              <w:tabs>
                <w:tab w:val="clear" w:pos="567"/>
              </w:tabs>
              <w:rPr>
                <w:rFonts w:eastAsia="Calibri"/>
                <w:sz w:val="22"/>
                <w:szCs w:val="22"/>
              </w:rPr>
            </w:pPr>
            <w:proofErr w:type="spellStart"/>
            <w:r w:rsidRPr="004F572A">
              <w:rPr>
                <w:rFonts w:eastAsia="Calibri"/>
                <w:sz w:val="22"/>
                <w:szCs w:val="22"/>
              </w:rPr>
              <w:t>Disfonija</w:t>
            </w:r>
            <w:proofErr w:type="spellEnd"/>
          </w:p>
        </w:tc>
      </w:tr>
      <w:tr w:rsidR="00BC576A" w:rsidRPr="004F572A" w14:paraId="74109297" w14:textId="77777777" w:rsidTr="0074743C">
        <w:tc>
          <w:tcPr>
            <w:tcW w:w="2245" w:type="dxa"/>
          </w:tcPr>
          <w:p w14:paraId="37377A7C" w14:textId="2A789A2B" w:rsidR="00BC576A" w:rsidRPr="004F572A" w:rsidRDefault="00BC576A" w:rsidP="000928CA">
            <w:pPr>
              <w:widowControl w:val="0"/>
              <w:tabs>
                <w:tab w:val="clear" w:pos="567"/>
              </w:tabs>
              <w:rPr>
                <w:rFonts w:eastAsia="Calibri"/>
                <w:sz w:val="22"/>
                <w:szCs w:val="22"/>
              </w:rPr>
            </w:pPr>
            <w:r w:rsidRPr="004F572A">
              <w:rPr>
                <w:rFonts w:eastAsia="Calibri"/>
                <w:sz w:val="22"/>
                <w:szCs w:val="22"/>
              </w:rPr>
              <w:t>Dažn</w:t>
            </w:r>
            <w:r w:rsidR="00D05341">
              <w:rPr>
                <w:rFonts w:eastAsia="Calibri"/>
                <w:sz w:val="22"/>
                <w:szCs w:val="22"/>
              </w:rPr>
              <w:t>as</w:t>
            </w:r>
          </w:p>
        </w:tc>
        <w:tc>
          <w:tcPr>
            <w:tcW w:w="3330" w:type="dxa"/>
          </w:tcPr>
          <w:p w14:paraId="6662C767" w14:textId="4C2DB25C" w:rsidR="00BC576A" w:rsidRPr="004F572A" w:rsidRDefault="00BC576A" w:rsidP="000928CA">
            <w:pPr>
              <w:widowControl w:val="0"/>
              <w:tabs>
                <w:tab w:val="clear" w:pos="567"/>
              </w:tabs>
              <w:rPr>
                <w:rFonts w:eastAsia="Calibri"/>
                <w:sz w:val="22"/>
                <w:szCs w:val="22"/>
              </w:rPr>
            </w:pPr>
            <w:r w:rsidRPr="004F572A">
              <w:rPr>
                <w:rFonts w:eastAsia="Calibri"/>
                <w:sz w:val="22"/>
                <w:szCs w:val="22"/>
              </w:rPr>
              <w:t>Plaučių embolija</w:t>
            </w:r>
            <w:r w:rsidRPr="004F572A">
              <w:rPr>
                <w:rFonts w:eastAsia="Calibri"/>
                <w:sz w:val="22"/>
                <w:szCs w:val="22"/>
                <w:vertAlign w:val="superscript"/>
              </w:rPr>
              <w:t>†</w:t>
            </w:r>
          </w:p>
        </w:tc>
        <w:tc>
          <w:tcPr>
            <w:tcW w:w="3485" w:type="dxa"/>
            <w:gridSpan w:val="2"/>
          </w:tcPr>
          <w:p w14:paraId="7688AAE2" w14:textId="267677DB" w:rsidR="00BC576A" w:rsidRPr="004F572A" w:rsidRDefault="00BC576A" w:rsidP="000928CA">
            <w:pPr>
              <w:widowControl w:val="0"/>
              <w:tabs>
                <w:tab w:val="clear" w:pos="567"/>
              </w:tabs>
              <w:rPr>
                <w:rFonts w:eastAsia="Calibri"/>
                <w:sz w:val="22"/>
                <w:szCs w:val="22"/>
              </w:rPr>
            </w:pPr>
            <w:r w:rsidRPr="004F572A">
              <w:rPr>
                <w:rFonts w:eastAsia="Calibri"/>
                <w:sz w:val="22"/>
                <w:szCs w:val="22"/>
              </w:rPr>
              <w:t>Plaučių embolija</w:t>
            </w:r>
            <w:r w:rsidRPr="004F572A">
              <w:rPr>
                <w:rFonts w:eastAsia="Calibri"/>
                <w:sz w:val="22"/>
                <w:szCs w:val="22"/>
                <w:vertAlign w:val="superscript"/>
              </w:rPr>
              <w:t>†</w:t>
            </w:r>
          </w:p>
        </w:tc>
      </w:tr>
      <w:tr w:rsidR="00BC576A" w:rsidRPr="004F572A" w14:paraId="45F70BC8" w14:textId="77777777" w:rsidTr="0074743C">
        <w:tc>
          <w:tcPr>
            <w:tcW w:w="2245" w:type="dxa"/>
          </w:tcPr>
          <w:p w14:paraId="447305BE" w14:textId="6FBF3D62" w:rsidR="00BC576A" w:rsidRPr="004F572A" w:rsidRDefault="00BC576A" w:rsidP="000928CA">
            <w:pPr>
              <w:widowControl w:val="0"/>
              <w:tabs>
                <w:tab w:val="clear" w:pos="567"/>
              </w:tabs>
              <w:rPr>
                <w:rFonts w:eastAsia="Calibri"/>
                <w:sz w:val="22"/>
                <w:szCs w:val="22"/>
              </w:rPr>
            </w:pPr>
            <w:r w:rsidRPr="004F572A">
              <w:rPr>
                <w:rFonts w:eastAsia="Calibri"/>
                <w:sz w:val="22"/>
                <w:szCs w:val="22"/>
              </w:rPr>
              <w:t>Nedažn</w:t>
            </w:r>
            <w:r w:rsidR="00D05341">
              <w:rPr>
                <w:rFonts w:eastAsia="Calibri"/>
                <w:sz w:val="22"/>
                <w:szCs w:val="22"/>
              </w:rPr>
              <w:t>as</w:t>
            </w:r>
          </w:p>
        </w:tc>
        <w:tc>
          <w:tcPr>
            <w:tcW w:w="3330" w:type="dxa"/>
          </w:tcPr>
          <w:p w14:paraId="0BB0218B" w14:textId="4A71B384" w:rsidR="00BC576A" w:rsidRPr="004F572A" w:rsidRDefault="00BC576A" w:rsidP="000928CA">
            <w:pPr>
              <w:widowControl w:val="0"/>
              <w:tabs>
                <w:tab w:val="clear" w:pos="567"/>
              </w:tabs>
              <w:rPr>
                <w:rFonts w:eastAsia="Calibri"/>
                <w:sz w:val="22"/>
                <w:szCs w:val="22"/>
              </w:rPr>
            </w:pPr>
            <w:proofErr w:type="spellStart"/>
            <w:r w:rsidRPr="004F572A">
              <w:rPr>
                <w:rFonts w:eastAsia="Calibri"/>
                <w:sz w:val="22"/>
                <w:szCs w:val="22"/>
              </w:rPr>
              <w:t>Pneumotoraksas</w:t>
            </w:r>
            <w:proofErr w:type="spellEnd"/>
          </w:p>
        </w:tc>
        <w:tc>
          <w:tcPr>
            <w:tcW w:w="3485" w:type="dxa"/>
            <w:gridSpan w:val="2"/>
          </w:tcPr>
          <w:p w14:paraId="7F038AF6" w14:textId="4D5292A6" w:rsidR="00BC576A" w:rsidRPr="004F572A" w:rsidRDefault="00BC576A" w:rsidP="000928CA">
            <w:pPr>
              <w:widowControl w:val="0"/>
              <w:tabs>
                <w:tab w:val="clear" w:pos="567"/>
              </w:tabs>
              <w:rPr>
                <w:rFonts w:eastAsia="Calibri"/>
                <w:sz w:val="22"/>
                <w:szCs w:val="22"/>
              </w:rPr>
            </w:pPr>
            <w:proofErr w:type="spellStart"/>
            <w:r w:rsidRPr="004F572A">
              <w:rPr>
                <w:rFonts w:eastAsia="Calibri"/>
                <w:sz w:val="22"/>
                <w:szCs w:val="22"/>
              </w:rPr>
              <w:t>Pneumotoraksas</w:t>
            </w:r>
            <w:proofErr w:type="spellEnd"/>
          </w:p>
        </w:tc>
      </w:tr>
      <w:tr w:rsidR="00BC576A" w:rsidRPr="004F572A" w14:paraId="3C35CD4F" w14:textId="77777777" w:rsidTr="00BC576A">
        <w:trPr>
          <w:gridAfter w:val="1"/>
          <w:wAfter w:w="65" w:type="dxa"/>
        </w:trPr>
        <w:tc>
          <w:tcPr>
            <w:tcW w:w="8995" w:type="dxa"/>
            <w:gridSpan w:val="3"/>
          </w:tcPr>
          <w:p w14:paraId="4A107472" w14:textId="58223058" w:rsidR="00BC576A" w:rsidRPr="004F572A" w:rsidRDefault="00BC576A" w:rsidP="000928CA">
            <w:pPr>
              <w:widowControl w:val="0"/>
              <w:tabs>
                <w:tab w:val="clear" w:pos="567"/>
              </w:tabs>
              <w:rPr>
                <w:rFonts w:eastAsia="Calibri"/>
                <w:b/>
                <w:bCs/>
                <w:sz w:val="22"/>
                <w:szCs w:val="22"/>
              </w:rPr>
            </w:pPr>
            <w:r w:rsidRPr="004F572A">
              <w:rPr>
                <w:rFonts w:eastAsia="Calibri"/>
                <w:b/>
                <w:bCs/>
                <w:sz w:val="22"/>
                <w:szCs w:val="22"/>
              </w:rPr>
              <w:t>Virškinimo trakto sutrikimai</w:t>
            </w:r>
          </w:p>
        </w:tc>
      </w:tr>
      <w:tr w:rsidR="00BC576A" w:rsidRPr="004F572A" w14:paraId="25BB2DD0" w14:textId="77777777" w:rsidTr="0074743C">
        <w:tc>
          <w:tcPr>
            <w:tcW w:w="2245" w:type="dxa"/>
          </w:tcPr>
          <w:p w14:paraId="5D6F40C9" w14:textId="0E751C5B" w:rsidR="00BC576A" w:rsidRPr="004F572A" w:rsidRDefault="00D05341" w:rsidP="000928CA">
            <w:pPr>
              <w:widowControl w:val="0"/>
              <w:tabs>
                <w:tab w:val="clear" w:pos="567"/>
              </w:tabs>
              <w:rPr>
                <w:rFonts w:eastAsia="Calibri"/>
                <w:sz w:val="22"/>
                <w:szCs w:val="22"/>
              </w:rPr>
            </w:pPr>
            <w:r>
              <w:rPr>
                <w:rFonts w:eastAsia="Calibri"/>
                <w:sz w:val="22"/>
                <w:szCs w:val="22"/>
              </w:rPr>
              <w:t>Labai dažnas</w:t>
            </w:r>
          </w:p>
        </w:tc>
        <w:tc>
          <w:tcPr>
            <w:tcW w:w="3330" w:type="dxa"/>
          </w:tcPr>
          <w:p w14:paraId="32E9327B" w14:textId="0D06EF0B" w:rsidR="001D1B52" w:rsidRPr="004F572A" w:rsidRDefault="001D1B52" w:rsidP="001D1B52">
            <w:pPr>
              <w:widowControl w:val="0"/>
              <w:tabs>
                <w:tab w:val="clear" w:pos="567"/>
              </w:tabs>
              <w:rPr>
                <w:rFonts w:eastAsia="Calibri"/>
                <w:sz w:val="22"/>
                <w:szCs w:val="22"/>
              </w:rPr>
            </w:pPr>
            <w:r w:rsidRPr="004F572A">
              <w:rPr>
                <w:rFonts w:eastAsia="Calibri"/>
                <w:sz w:val="22"/>
                <w:szCs w:val="22"/>
              </w:rPr>
              <w:t xml:space="preserve">Viduriavimas </w:t>
            </w:r>
          </w:p>
          <w:p w14:paraId="3742614A" w14:textId="16A2C9AC" w:rsidR="001D1B52" w:rsidRPr="004F572A" w:rsidRDefault="001D1B52" w:rsidP="001D1B52">
            <w:pPr>
              <w:widowControl w:val="0"/>
              <w:tabs>
                <w:tab w:val="clear" w:pos="567"/>
              </w:tabs>
              <w:rPr>
                <w:rFonts w:eastAsia="Calibri"/>
                <w:sz w:val="22"/>
                <w:szCs w:val="22"/>
              </w:rPr>
            </w:pPr>
            <w:r w:rsidRPr="004F572A">
              <w:rPr>
                <w:rFonts w:eastAsia="Calibri"/>
                <w:sz w:val="22"/>
                <w:szCs w:val="22"/>
              </w:rPr>
              <w:t xml:space="preserve">Virškinimo trakto ir pilvo </w:t>
            </w:r>
            <w:proofErr w:type="spellStart"/>
            <w:r w:rsidRPr="004F572A">
              <w:rPr>
                <w:rFonts w:eastAsia="Calibri"/>
                <w:sz w:val="22"/>
                <w:szCs w:val="22"/>
              </w:rPr>
              <w:t>skausma</w:t>
            </w:r>
            <w:r w:rsidR="00D05341">
              <w:rPr>
                <w:rFonts w:eastAsia="Calibri"/>
                <w:sz w:val="22"/>
                <w:szCs w:val="22"/>
              </w:rPr>
              <w:t>i</w:t>
            </w:r>
            <w:r w:rsidRPr="004F572A">
              <w:rPr>
                <w:rFonts w:eastAsia="Calibri"/>
                <w:sz w:val="22"/>
                <w:szCs w:val="22"/>
                <w:vertAlign w:val="superscript"/>
              </w:rPr>
              <w:t>f</w:t>
            </w:r>
            <w:proofErr w:type="spellEnd"/>
            <w:r w:rsidRPr="004F572A">
              <w:rPr>
                <w:rFonts w:eastAsia="Calibri"/>
                <w:sz w:val="22"/>
                <w:szCs w:val="22"/>
              </w:rPr>
              <w:t xml:space="preserve"> </w:t>
            </w:r>
          </w:p>
          <w:p w14:paraId="089B2E1A" w14:textId="68CDAA63" w:rsidR="001D1B52" w:rsidRPr="004F572A" w:rsidRDefault="001D1B52" w:rsidP="001D1B52">
            <w:pPr>
              <w:widowControl w:val="0"/>
              <w:tabs>
                <w:tab w:val="clear" w:pos="567"/>
              </w:tabs>
              <w:rPr>
                <w:rFonts w:eastAsia="Calibri"/>
                <w:sz w:val="22"/>
                <w:szCs w:val="22"/>
              </w:rPr>
            </w:pPr>
            <w:r w:rsidRPr="004F572A">
              <w:rPr>
                <w:rFonts w:eastAsia="Calibri"/>
                <w:sz w:val="22"/>
                <w:szCs w:val="22"/>
              </w:rPr>
              <w:t xml:space="preserve">Vėmimas </w:t>
            </w:r>
          </w:p>
          <w:p w14:paraId="4444433B" w14:textId="6CB24331" w:rsidR="001D1B52" w:rsidRPr="004F572A" w:rsidRDefault="001D1B52" w:rsidP="001D1B52">
            <w:pPr>
              <w:widowControl w:val="0"/>
              <w:tabs>
                <w:tab w:val="clear" w:pos="567"/>
              </w:tabs>
              <w:rPr>
                <w:rFonts w:eastAsia="Calibri"/>
                <w:sz w:val="22"/>
                <w:szCs w:val="22"/>
              </w:rPr>
            </w:pPr>
            <w:r w:rsidRPr="004F572A">
              <w:rPr>
                <w:rFonts w:eastAsia="Calibri"/>
                <w:sz w:val="22"/>
                <w:szCs w:val="22"/>
              </w:rPr>
              <w:t xml:space="preserve">Pykinimas </w:t>
            </w:r>
          </w:p>
          <w:p w14:paraId="09D41996" w14:textId="7B2E9D35" w:rsidR="001D1B52" w:rsidRPr="004F572A" w:rsidRDefault="001D1B52" w:rsidP="001D1B52">
            <w:pPr>
              <w:widowControl w:val="0"/>
              <w:tabs>
                <w:tab w:val="clear" w:pos="567"/>
              </w:tabs>
              <w:rPr>
                <w:rFonts w:eastAsia="Calibri"/>
                <w:sz w:val="22"/>
                <w:szCs w:val="22"/>
              </w:rPr>
            </w:pPr>
            <w:r w:rsidRPr="004F572A">
              <w:rPr>
                <w:rFonts w:eastAsia="Calibri"/>
                <w:sz w:val="22"/>
                <w:szCs w:val="22"/>
              </w:rPr>
              <w:t xml:space="preserve">Burnos </w:t>
            </w:r>
            <w:proofErr w:type="spellStart"/>
            <w:r w:rsidRPr="004F572A">
              <w:rPr>
                <w:rFonts w:eastAsia="Calibri"/>
                <w:sz w:val="22"/>
                <w:szCs w:val="22"/>
              </w:rPr>
              <w:t>uždegimas</w:t>
            </w:r>
            <w:r w:rsidRPr="004F572A">
              <w:rPr>
                <w:rFonts w:eastAsia="Calibri"/>
                <w:sz w:val="22"/>
                <w:szCs w:val="22"/>
                <w:vertAlign w:val="superscript"/>
              </w:rPr>
              <w:t>g</w:t>
            </w:r>
            <w:proofErr w:type="spellEnd"/>
          </w:p>
          <w:p w14:paraId="28E6393B" w14:textId="303CDE59" w:rsidR="001D1B52" w:rsidRPr="004F572A" w:rsidRDefault="001D1B52" w:rsidP="001D1B52">
            <w:pPr>
              <w:widowControl w:val="0"/>
              <w:tabs>
                <w:tab w:val="clear" w:pos="567"/>
              </w:tabs>
              <w:rPr>
                <w:rFonts w:eastAsia="Calibri"/>
                <w:sz w:val="22"/>
                <w:szCs w:val="22"/>
              </w:rPr>
            </w:pPr>
            <w:r w:rsidRPr="004F572A">
              <w:rPr>
                <w:rFonts w:eastAsia="Calibri"/>
                <w:sz w:val="22"/>
                <w:szCs w:val="22"/>
              </w:rPr>
              <w:t xml:space="preserve">Burnos </w:t>
            </w:r>
            <w:proofErr w:type="spellStart"/>
            <w:r w:rsidRPr="004F572A">
              <w:rPr>
                <w:rFonts w:eastAsia="Calibri"/>
                <w:sz w:val="22"/>
                <w:szCs w:val="22"/>
              </w:rPr>
              <w:t>skausmas</w:t>
            </w:r>
            <w:r w:rsidRPr="004F572A">
              <w:rPr>
                <w:rFonts w:eastAsia="Calibri"/>
                <w:sz w:val="22"/>
                <w:szCs w:val="22"/>
                <w:vertAlign w:val="superscript"/>
              </w:rPr>
              <w:t>h</w:t>
            </w:r>
            <w:proofErr w:type="spellEnd"/>
          </w:p>
          <w:p w14:paraId="6C716337" w14:textId="77777777" w:rsidR="001D1B52" w:rsidRPr="004F572A" w:rsidRDefault="001D1B52" w:rsidP="001D1B52">
            <w:pPr>
              <w:widowControl w:val="0"/>
              <w:tabs>
                <w:tab w:val="clear" w:pos="567"/>
              </w:tabs>
              <w:rPr>
                <w:rFonts w:eastAsia="Calibri"/>
                <w:sz w:val="22"/>
                <w:szCs w:val="22"/>
              </w:rPr>
            </w:pPr>
            <w:r w:rsidRPr="004F572A">
              <w:rPr>
                <w:rFonts w:eastAsia="Calibri"/>
                <w:sz w:val="22"/>
                <w:szCs w:val="22"/>
              </w:rPr>
              <w:t xml:space="preserve">Vidurių užkietėjimas </w:t>
            </w:r>
          </w:p>
          <w:p w14:paraId="4C9991CF" w14:textId="77777777" w:rsidR="001D1B52" w:rsidRPr="004F572A" w:rsidRDefault="001D1B52" w:rsidP="001D1B52">
            <w:pPr>
              <w:widowControl w:val="0"/>
              <w:tabs>
                <w:tab w:val="clear" w:pos="567"/>
              </w:tabs>
              <w:rPr>
                <w:rFonts w:eastAsia="Calibri"/>
                <w:sz w:val="22"/>
                <w:szCs w:val="22"/>
              </w:rPr>
            </w:pPr>
            <w:r w:rsidRPr="004F572A">
              <w:rPr>
                <w:rFonts w:eastAsia="Calibri"/>
                <w:sz w:val="22"/>
                <w:szCs w:val="22"/>
              </w:rPr>
              <w:t xml:space="preserve">Dispepsija </w:t>
            </w:r>
          </w:p>
          <w:p w14:paraId="764C8D15" w14:textId="4A0E241E" w:rsidR="001D1B52" w:rsidRPr="004F572A" w:rsidRDefault="001D1B52" w:rsidP="001D1B52">
            <w:pPr>
              <w:widowControl w:val="0"/>
              <w:tabs>
                <w:tab w:val="clear" w:pos="567"/>
              </w:tabs>
              <w:rPr>
                <w:rFonts w:eastAsia="Calibri"/>
                <w:sz w:val="22"/>
                <w:szCs w:val="22"/>
              </w:rPr>
            </w:pPr>
            <w:r w:rsidRPr="004F572A">
              <w:rPr>
                <w:rFonts w:eastAsia="Calibri"/>
                <w:sz w:val="22"/>
                <w:szCs w:val="22"/>
              </w:rPr>
              <w:t xml:space="preserve">Burnos sausmė </w:t>
            </w:r>
          </w:p>
          <w:p w14:paraId="71CD4354" w14:textId="55FFFC40" w:rsidR="001D1B52" w:rsidRPr="004F572A" w:rsidRDefault="001D1B52" w:rsidP="001D1B52">
            <w:pPr>
              <w:widowControl w:val="0"/>
              <w:tabs>
                <w:tab w:val="clear" w:pos="567"/>
              </w:tabs>
              <w:rPr>
                <w:rFonts w:eastAsia="Calibri"/>
                <w:sz w:val="22"/>
                <w:szCs w:val="22"/>
              </w:rPr>
            </w:pPr>
            <w:r w:rsidRPr="004F572A">
              <w:rPr>
                <w:rFonts w:eastAsia="Calibri"/>
                <w:sz w:val="22"/>
                <w:szCs w:val="22"/>
              </w:rPr>
              <w:t>Padidėjęs lipazės aktyvumas</w:t>
            </w:r>
            <w:r w:rsidRPr="004F572A">
              <w:rPr>
                <w:rFonts w:eastAsia="Calibri"/>
                <w:sz w:val="22"/>
                <w:szCs w:val="22"/>
                <w:vertAlign w:val="superscript"/>
              </w:rPr>
              <w:t>‡</w:t>
            </w:r>
          </w:p>
          <w:p w14:paraId="10155423" w14:textId="7CFB528B" w:rsidR="00BC576A" w:rsidRPr="004F572A" w:rsidRDefault="001D1B52" w:rsidP="001D1B52">
            <w:pPr>
              <w:widowControl w:val="0"/>
              <w:tabs>
                <w:tab w:val="clear" w:pos="567"/>
              </w:tabs>
              <w:rPr>
                <w:rFonts w:eastAsia="Calibri"/>
                <w:sz w:val="22"/>
                <w:szCs w:val="22"/>
              </w:rPr>
            </w:pPr>
            <w:r w:rsidRPr="004F572A">
              <w:rPr>
                <w:rFonts w:eastAsia="Calibri"/>
                <w:sz w:val="22"/>
                <w:szCs w:val="22"/>
              </w:rPr>
              <w:t xml:space="preserve">Padidėjęs </w:t>
            </w:r>
            <w:proofErr w:type="spellStart"/>
            <w:r w:rsidRPr="004F572A">
              <w:rPr>
                <w:rFonts w:eastAsia="Calibri"/>
                <w:sz w:val="22"/>
                <w:szCs w:val="22"/>
              </w:rPr>
              <w:t>amilazės</w:t>
            </w:r>
            <w:proofErr w:type="spellEnd"/>
            <w:r w:rsidRPr="004F572A">
              <w:rPr>
                <w:rFonts w:eastAsia="Calibri"/>
                <w:sz w:val="22"/>
                <w:szCs w:val="22"/>
              </w:rPr>
              <w:t xml:space="preserve"> aktyvumas</w:t>
            </w:r>
            <w:r w:rsidRPr="004F572A">
              <w:rPr>
                <w:rFonts w:eastAsia="Calibri"/>
                <w:sz w:val="22"/>
                <w:szCs w:val="22"/>
                <w:vertAlign w:val="superscript"/>
              </w:rPr>
              <w:t>‡</w:t>
            </w:r>
          </w:p>
        </w:tc>
        <w:tc>
          <w:tcPr>
            <w:tcW w:w="3485" w:type="dxa"/>
            <w:gridSpan w:val="2"/>
          </w:tcPr>
          <w:p w14:paraId="6CCB3B3E" w14:textId="77777777" w:rsidR="001D1B52" w:rsidRPr="004F572A" w:rsidRDefault="001D1B52" w:rsidP="000928CA">
            <w:pPr>
              <w:widowControl w:val="0"/>
              <w:tabs>
                <w:tab w:val="clear" w:pos="567"/>
              </w:tabs>
              <w:rPr>
                <w:rFonts w:eastAsia="Calibri"/>
                <w:sz w:val="22"/>
                <w:szCs w:val="22"/>
              </w:rPr>
            </w:pPr>
            <w:r w:rsidRPr="004F572A">
              <w:rPr>
                <w:rFonts w:eastAsia="Calibri"/>
                <w:sz w:val="22"/>
                <w:szCs w:val="22"/>
              </w:rPr>
              <w:t xml:space="preserve">Viduriavimas </w:t>
            </w:r>
          </w:p>
          <w:p w14:paraId="7A6B28C9" w14:textId="7E1F82B4" w:rsidR="001D1B52" w:rsidRPr="004F572A" w:rsidRDefault="001D1B52" w:rsidP="000928CA">
            <w:pPr>
              <w:widowControl w:val="0"/>
              <w:tabs>
                <w:tab w:val="clear" w:pos="567"/>
              </w:tabs>
              <w:rPr>
                <w:rFonts w:eastAsia="Calibri"/>
                <w:sz w:val="22"/>
                <w:szCs w:val="22"/>
              </w:rPr>
            </w:pPr>
            <w:r w:rsidRPr="004F572A">
              <w:rPr>
                <w:rFonts w:eastAsia="Calibri"/>
                <w:sz w:val="22"/>
                <w:szCs w:val="22"/>
              </w:rPr>
              <w:t xml:space="preserve">Virškinimo trakto ir pilvo </w:t>
            </w:r>
            <w:proofErr w:type="spellStart"/>
            <w:r w:rsidRPr="004F572A">
              <w:rPr>
                <w:rFonts w:eastAsia="Calibri"/>
                <w:sz w:val="22"/>
                <w:szCs w:val="22"/>
              </w:rPr>
              <w:t>skausma</w:t>
            </w:r>
            <w:r w:rsidR="00D05341">
              <w:rPr>
                <w:rFonts w:eastAsia="Calibri"/>
                <w:sz w:val="22"/>
                <w:szCs w:val="22"/>
              </w:rPr>
              <w:t>i</w:t>
            </w:r>
            <w:r w:rsidRPr="004F572A">
              <w:rPr>
                <w:rFonts w:eastAsia="Calibri"/>
                <w:sz w:val="22"/>
                <w:szCs w:val="22"/>
                <w:vertAlign w:val="superscript"/>
              </w:rPr>
              <w:t>f</w:t>
            </w:r>
            <w:proofErr w:type="spellEnd"/>
            <w:r w:rsidRPr="004F572A">
              <w:rPr>
                <w:rFonts w:eastAsia="Calibri"/>
                <w:sz w:val="22"/>
                <w:szCs w:val="22"/>
              </w:rPr>
              <w:t xml:space="preserve"> </w:t>
            </w:r>
          </w:p>
          <w:p w14:paraId="636485D1" w14:textId="77777777" w:rsidR="001D1B52" w:rsidRPr="004F572A" w:rsidRDefault="001D1B52" w:rsidP="000928CA">
            <w:pPr>
              <w:widowControl w:val="0"/>
              <w:tabs>
                <w:tab w:val="clear" w:pos="567"/>
              </w:tabs>
              <w:rPr>
                <w:rFonts w:eastAsia="Calibri"/>
                <w:sz w:val="22"/>
                <w:szCs w:val="22"/>
              </w:rPr>
            </w:pPr>
            <w:r w:rsidRPr="004F572A">
              <w:rPr>
                <w:rFonts w:eastAsia="Calibri"/>
                <w:sz w:val="22"/>
                <w:szCs w:val="22"/>
              </w:rPr>
              <w:t xml:space="preserve">Vėmimas </w:t>
            </w:r>
          </w:p>
          <w:p w14:paraId="65BDCA94" w14:textId="77777777" w:rsidR="001D1B52" w:rsidRPr="004F572A" w:rsidRDefault="001D1B52" w:rsidP="000928CA">
            <w:pPr>
              <w:widowControl w:val="0"/>
              <w:tabs>
                <w:tab w:val="clear" w:pos="567"/>
              </w:tabs>
              <w:rPr>
                <w:rFonts w:eastAsia="Calibri"/>
                <w:sz w:val="22"/>
                <w:szCs w:val="22"/>
              </w:rPr>
            </w:pPr>
            <w:r w:rsidRPr="004F572A">
              <w:rPr>
                <w:rFonts w:eastAsia="Calibri"/>
                <w:sz w:val="22"/>
                <w:szCs w:val="22"/>
              </w:rPr>
              <w:t xml:space="preserve">Pykinimas </w:t>
            </w:r>
          </w:p>
          <w:p w14:paraId="0C102927" w14:textId="77777777" w:rsidR="001D1B52" w:rsidRPr="004F572A" w:rsidRDefault="001D1B52" w:rsidP="000928CA">
            <w:pPr>
              <w:widowControl w:val="0"/>
              <w:tabs>
                <w:tab w:val="clear" w:pos="567"/>
              </w:tabs>
              <w:rPr>
                <w:rFonts w:eastAsia="Calibri"/>
                <w:sz w:val="22"/>
                <w:szCs w:val="22"/>
              </w:rPr>
            </w:pPr>
            <w:r w:rsidRPr="004F572A">
              <w:rPr>
                <w:rFonts w:eastAsia="Calibri"/>
                <w:sz w:val="22"/>
                <w:szCs w:val="22"/>
              </w:rPr>
              <w:t xml:space="preserve">Burnos </w:t>
            </w:r>
            <w:proofErr w:type="spellStart"/>
            <w:r w:rsidRPr="004F572A">
              <w:rPr>
                <w:rFonts w:eastAsia="Calibri"/>
                <w:sz w:val="22"/>
                <w:szCs w:val="22"/>
              </w:rPr>
              <w:t>uždegimas</w:t>
            </w:r>
            <w:r w:rsidRPr="004F572A">
              <w:rPr>
                <w:rFonts w:eastAsia="Calibri"/>
                <w:sz w:val="22"/>
                <w:szCs w:val="22"/>
                <w:vertAlign w:val="superscript"/>
              </w:rPr>
              <w:t>g</w:t>
            </w:r>
            <w:proofErr w:type="spellEnd"/>
            <w:r w:rsidRPr="004F572A">
              <w:rPr>
                <w:rFonts w:eastAsia="Calibri"/>
                <w:sz w:val="22"/>
                <w:szCs w:val="22"/>
              </w:rPr>
              <w:t xml:space="preserve"> </w:t>
            </w:r>
          </w:p>
          <w:p w14:paraId="7ACFDED6" w14:textId="77777777" w:rsidR="001D1B52" w:rsidRPr="004F572A" w:rsidRDefault="001D1B52" w:rsidP="000928CA">
            <w:pPr>
              <w:widowControl w:val="0"/>
              <w:tabs>
                <w:tab w:val="clear" w:pos="567"/>
              </w:tabs>
              <w:rPr>
                <w:rFonts w:eastAsia="Calibri"/>
                <w:sz w:val="22"/>
                <w:szCs w:val="22"/>
              </w:rPr>
            </w:pPr>
            <w:r w:rsidRPr="004F572A">
              <w:rPr>
                <w:rFonts w:eastAsia="Calibri"/>
                <w:sz w:val="22"/>
                <w:szCs w:val="22"/>
              </w:rPr>
              <w:t xml:space="preserve">Burnos </w:t>
            </w:r>
            <w:proofErr w:type="spellStart"/>
            <w:r w:rsidRPr="004F572A">
              <w:rPr>
                <w:rFonts w:eastAsia="Calibri"/>
                <w:sz w:val="22"/>
                <w:szCs w:val="22"/>
              </w:rPr>
              <w:t>skausmas</w:t>
            </w:r>
            <w:r w:rsidRPr="004F572A">
              <w:rPr>
                <w:rFonts w:eastAsia="Calibri"/>
                <w:sz w:val="22"/>
                <w:szCs w:val="22"/>
                <w:vertAlign w:val="superscript"/>
              </w:rPr>
              <w:t>h</w:t>
            </w:r>
            <w:proofErr w:type="spellEnd"/>
            <w:r w:rsidRPr="004F572A">
              <w:rPr>
                <w:rFonts w:eastAsia="Calibri"/>
                <w:sz w:val="22"/>
                <w:szCs w:val="22"/>
              </w:rPr>
              <w:t xml:space="preserve"> </w:t>
            </w:r>
          </w:p>
          <w:p w14:paraId="32C075E6" w14:textId="77777777" w:rsidR="00BC576A" w:rsidRPr="004F572A" w:rsidRDefault="001D1B52" w:rsidP="000928CA">
            <w:pPr>
              <w:widowControl w:val="0"/>
              <w:tabs>
                <w:tab w:val="clear" w:pos="567"/>
              </w:tabs>
              <w:rPr>
                <w:rFonts w:eastAsia="Calibri"/>
                <w:sz w:val="22"/>
                <w:szCs w:val="22"/>
              </w:rPr>
            </w:pPr>
            <w:r w:rsidRPr="004F572A">
              <w:rPr>
                <w:rFonts w:eastAsia="Calibri"/>
                <w:sz w:val="22"/>
                <w:szCs w:val="22"/>
              </w:rPr>
              <w:t>Vidurių</w:t>
            </w:r>
            <w:r w:rsidRPr="004F572A">
              <w:t xml:space="preserve"> </w:t>
            </w:r>
            <w:r w:rsidRPr="004F572A">
              <w:rPr>
                <w:rFonts w:eastAsia="Calibri"/>
                <w:sz w:val="22"/>
                <w:szCs w:val="22"/>
              </w:rPr>
              <w:t>užkietėjimas</w:t>
            </w:r>
          </w:p>
          <w:p w14:paraId="0F2D37B0" w14:textId="77777777" w:rsidR="001D1B52" w:rsidRPr="004F572A" w:rsidRDefault="001D1B52" w:rsidP="000928CA">
            <w:pPr>
              <w:widowControl w:val="0"/>
              <w:tabs>
                <w:tab w:val="clear" w:pos="567"/>
              </w:tabs>
              <w:rPr>
                <w:rFonts w:eastAsia="Calibri"/>
                <w:sz w:val="22"/>
                <w:szCs w:val="22"/>
              </w:rPr>
            </w:pPr>
            <w:r w:rsidRPr="004F572A">
              <w:rPr>
                <w:rFonts w:eastAsia="Calibri"/>
                <w:sz w:val="22"/>
                <w:szCs w:val="22"/>
              </w:rPr>
              <w:t>Burnos sausmė</w:t>
            </w:r>
          </w:p>
          <w:p w14:paraId="678C3DB6" w14:textId="77777777" w:rsidR="001D1B52" w:rsidRPr="004F572A" w:rsidRDefault="001D1B52" w:rsidP="001D1B52">
            <w:pPr>
              <w:widowControl w:val="0"/>
              <w:tabs>
                <w:tab w:val="clear" w:pos="567"/>
              </w:tabs>
              <w:rPr>
                <w:rFonts w:eastAsia="Calibri"/>
                <w:sz w:val="22"/>
                <w:szCs w:val="22"/>
                <w:vertAlign w:val="superscript"/>
              </w:rPr>
            </w:pPr>
            <w:r w:rsidRPr="004F572A">
              <w:rPr>
                <w:rFonts w:eastAsia="Calibri"/>
                <w:sz w:val="22"/>
                <w:szCs w:val="22"/>
              </w:rPr>
              <w:t>Padidėjęs lipazės aktyvumas</w:t>
            </w:r>
            <w:r w:rsidRPr="004F572A">
              <w:rPr>
                <w:rFonts w:eastAsia="Calibri"/>
                <w:sz w:val="22"/>
                <w:szCs w:val="22"/>
                <w:vertAlign w:val="superscript"/>
              </w:rPr>
              <w:t>‡</w:t>
            </w:r>
          </w:p>
          <w:p w14:paraId="4A15C78D" w14:textId="509AA7D7" w:rsidR="001D1B52" w:rsidRPr="004F572A" w:rsidRDefault="001D1B52" w:rsidP="001D1B52">
            <w:pPr>
              <w:widowControl w:val="0"/>
              <w:tabs>
                <w:tab w:val="clear" w:pos="567"/>
              </w:tabs>
              <w:rPr>
                <w:rFonts w:eastAsia="Calibri"/>
                <w:sz w:val="22"/>
                <w:szCs w:val="22"/>
              </w:rPr>
            </w:pPr>
            <w:r w:rsidRPr="004F572A">
              <w:rPr>
                <w:rFonts w:eastAsia="Calibri"/>
                <w:sz w:val="22"/>
                <w:szCs w:val="22"/>
              </w:rPr>
              <w:t xml:space="preserve">Padidėjęs </w:t>
            </w:r>
            <w:proofErr w:type="spellStart"/>
            <w:r w:rsidRPr="004F572A">
              <w:rPr>
                <w:rFonts w:eastAsia="Calibri"/>
                <w:sz w:val="22"/>
                <w:szCs w:val="22"/>
              </w:rPr>
              <w:t>amilazės</w:t>
            </w:r>
            <w:proofErr w:type="spellEnd"/>
            <w:r w:rsidRPr="004F572A">
              <w:rPr>
                <w:rFonts w:eastAsia="Calibri"/>
                <w:sz w:val="22"/>
                <w:szCs w:val="22"/>
              </w:rPr>
              <w:t xml:space="preserve"> aktyvumas</w:t>
            </w:r>
            <w:r w:rsidRPr="004F572A">
              <w:rPr>
                <w:rFonts w:eastAsia="Calibri"/>
                <w:sz w:val="22"/>
                <w:szCs w:val="22"/>
                <w:vertAlign w:val="superscript"/>
              </w:rPr>
              <w:t>‡</w:t>
            </w:r>
          </w:p>
          <w:p w14:paraId="1D497286" w14:textId="2F18D49E" w:rsidR="001D1B52" w:rsidRPr="004F572A" w:rsidRDefault="001D1B52" w:rsidP="000928CA">
            <w:pPr>
              <w:widowControl w:val="0"/>
              <w:tabs>
                <w:tab w:val="clear" w:pos="567"/>
              </w:tabs>
              <w:rPr>
                <w:rFonts w:eastAsia="Calibri"/>
                <w:sz w:val="22"/>
                <w:szCs w:val="22"/>
              </w:rPr>
            </w:pPr>
          </w:p>
        </w:tc>
      </w:tr>
      <w:tr w:rsidR="00BC576A" w:rsidRPr="004F572A" w14:paraId="31387526" w14:textId="77777777" w:rsidTr="0074743C">
        <w:tc>
          <w:tcPr>
            <w:tcW w:w="2245" w:type="dxa"/>
          </w:tcPr>
          <w:p w14:paraId="57E58DF4" w14:textId="19E62E93" w:rsidR="00BC576A" w:rsidRPr="004F572A" w:rsidRDefault="001D1B52" w:rsidP="000928CA">
            <w:pPr>
              <w:widowControl w:val="0"/>
              <w:tabs>
                <w:tab w:val="clear" w:pos="567"/>
              </w:tabs>
              <w:rPr>
                <w:rFonts w:eastAsia="Calibri"/>
                <w:sz w:val="22"/>
                <w:szCs w:val="22"/>
              </w:rPr>
            </w:pPr>
            <w:r w:rsidRPr="004F572A">
              <w:rPr>
                <w:rFonts w:eastAsia="Calibri"/>
                <w:sz w:val="22"/>
                <w:szCs w:val="22"/>
              </w:rPr>
              <w:t>Dažn</w:t>
            </w:r>
            <w:r w:rsidR="00D05341">
              <w:rPr>
                <w:rFonts w:eastAsia="Calibri"/>
                <w:sz w:val="22"/>
                <w:szCs w:val="22"/>
              </w:rPr>
              <w:t>as</w:t>
            </w:r>
          </w:p>
        </w:tc>
        <w:tc>
          <w:tcPr>
            <w:tcW w:w="3330" w:type="dxa"/>
          </w:tcPr>
          <w:p w14:paraId="781658FA" w14:textId="7287B4F4" w:rsidR="00BC576A" w:rsidRPr="004F572A" w:rsidRDefault="008226D7" w:rsidP="000928CA">
            <w:pPr>
              <w:widowControl w:val="0"/>
              <w:tabs>
                <w:tab w:val="clear" w:pos="567"/>
              </w:tabs>
              <w:rPr>
                <w:rFonts w:eastAsia="Calibri"/>
                <w:sz w:val="22"/>
                <w:szCs w:val="22"/>
              </w:rPr>
            </w:pPr>
            <w:r>
              <w:rPr>
                <w:rFonts w:eastAsia="Calibri"/>
                <w:sz w:val="22"/>
                <w:szCs w:val="22"/>
              </w:rPr>
              <w:t>Išangės</w:t>
            </w:r>
            <w:r w:rsidR="001D1B52" w:rsidRPr="004F572A">
              <w:rPr>
                <w:rFonts w:eastAsia="Calibri"/>
                <w:sz w:val="22"/>
                <w:szCs w:val="22"/>
              </w:rPr>
              <w:t xml:space="preserve"> fistulė</w:t>
            </w:r>
          </w:p>
          <w:p w14:paraId="6773CED3" w14:textId="4C3F35DB" w:rsidR="001D1B52" w:rsidRPr="004F572A" w:rsidRDefault="001D1B52" w:rsidP="000928CA">
            <w:pPr>
              <w:widowControl w:val="0"/>
              <w:tabs>
                <w:tab w:val="clear" w:pos="567"/>
              </w:tabs>
              <w:rPr>
                <w:rFonts w:eastAsia="Calibri"/>
                <w:sz w:val="22"/>
                <w:szCs w:val="22"/>
              </w:rPr>
            </w:pPr>
            <w:r w:rsidRPr="004F572A">
              <w:rPr>
                <w:rFonts w:eastAsia="Calibri"/>
                <w:sz w:val="22"/>
                <w:szCs w:val="22"/>
              </w:rPr>
              <w:t>Pilvo pūtimas</w:t>
            </w:r>
          </w:p>
          <w:p w14:paraId="1C839B77" w14:textId="01A788AB" w:rsidR="001D1B52" w:rsidRPr="004F572A" w:rsidRDefault="001D1B52" w:rsidP="001D1B52">
            <w:pPr>
              <w:widowControl w:val="0"/>
              <w:tabs>
                <w:tab w:val="clear" w:pos="567"/>
              </w:tabs>
              <w:rPr>
                <w:rFonts w:eastAsia="Calibri"/>
                <w:sz w:val="22"/>
                <w:szCs w:val="22"/>
              </w:rPr>
            </w:pPr>
            <w:r w:rsidRPr="004F572A">
              <w:rPr>
                <w:rFonts w:eastAsia="Calibri"/>
                <w:sz w:val="22"/>
                <w:szCs w:val="22"/>
              </w:rPr>
              <w:t>Virškinimo trakto perforacija</w:t>
            </w:r>
          </w:p>
        </w:tc>
        <w:tc>
          <w:tcPr>
            <w:tcW w:w="3485" w:type="dxa"/>
            <w:gridSpan w:val="2"/>
          </w:tcPr>
          <w:p w14:paraId="798C27D4" w14:textId="2E95888F" w:rsidR="00BC576A" w:rsidRPr="004F572A" w:rsidRDefault="00D05341" w:rsidP="000928CA">
            <w:pPr>
              <w:widowControl w:val="0"/>
              <w:tabs>
                <w:tab w:val="clear" w:pos="567"/>
              </w:tabs>
              <w:rPr>
                <w:rFonts w:eastAsia="Calibri"/>
                <w:sz w:val="22"/>
                <w:szCs w:val="22"/>
                <w:vertAlign w:val="superscript"/>
              </w:rPr>
            </w:pPr>
            <w:proofErr w:type="spellStart"/>
            <w:r>
              <w:rPr>
                <w:rFonts w:eastAsia="Calibri"/>
                <w:sz w:val="22"/>
                <w:szCs w:val="22"/>
              </w:rPr>
              <w:t>Pankreatitas</w:t>
            </w:r>
            <w:r w:rsidR="001D1B52" w:rsidRPr="004F572A">
              <w:rPr>
                <w:rFonts w:eastAsia="Calibri"/>
                <w:sz w:val="22"/>
                <w:szCs w:val="22"/>
                <w:vertAlign w:val="superscript"/>
              </w:rPr>
              <w:t>i</w:t>
            </w:r>
            <w:proofErr w:type="spellEnd"/>
          </w:p>
          <w:p w14:paraId="30C1631F" w14:textId="77777777" w:rsidR="001D1B52" w:rsidRPr="004F572A" w:rsidRDefault="001D1B52" w:rsidP="000928CA">
            <w:pPr>
              <w:widowControl w:val="0"/>
              <w:tabs>
                <w:tab w:val="clear" w:pos="567"/>
              </w:tabs>
              <w:rPr>
                <w:rFonts w:eastAsia="Calibri"/>
                <w:sz w:val="22"/>
                <w:szCs w:val="22"/>
              </w:rPr>
            </w:pPr>
            <w:r w:rsidRPr="004F572A">
              <w:rPr>
                <w:rFonts w:eastAsia="Calibri"/>
                <w:sz w:val="22"/>
                <w:szCs w:val="22"/>
              </w:rPr>
              <w:t>Pilvo pūtimas</w:t>
            </w:r>
          </w:p>
          <w:p w14:paraId="5C73B8CC" w14:textId="77777777" w:rsidR="001D1B52" w:rsidRPr="004F572A" w:rsidRDefault="001D1B52" w:rsidP="000928CA">
            <w:pPr>
              <w:widowControl w:val="0"/>
              <w:tabs>
                <w:tab w:val="clear" w:pos="567"/>
              </w:tabs>
              <w:rPr>
                <w:rFonts w:eastAsia="Calibri"/>
                <w:sz w:val="22"/>
                <w:szCs w:val="22"/>
              </w:rPr>
            </w:pPr>
            <w:r w:rsidRPr="004F572A">
              <w:rPr>
                <w:rFonts w:eastAsia="Calibri"/>
                <w:sz w:val="22"/>
                <w:szCs w:val="22"/>
              </w:rPr>
              <w:t>Dispepsija</w:t>
            </w:r>
          </w:p>
          <w:p w14:paraId="7C541023" w14:textId="77777777" w:rsidR="001D1B52" w:rsidRPr="004F572A" w:rsidRDefault="001D1B52" w:rsidP="000928CA">
            <w:pPr>
              <w:widowControl w:val="0"/>
              <w:tabs>
                <w:tab w:val="clear" w:pos="567"/>
              </w:tabs>
              <w:rPr>
                <w:rFonts w:eastAsia="Calibri"/>
                <w:sz w:val="22"/>
                <w:szCs w:val="22"/>
              </w:rPr>
            </w:pPr>
            <w:r w:rsidRPr="004F572A">
              <w:rPr>
                <w:rFonts w:eastAsia="Calibri"/>
                <w:sz w:val="22"/>
                <w:szCs w:val="22"/>
              </w:rPr>
              <w:t>Kolitas</w:t>
            </w:r>
          </w:p>
          <w:p w14:paraId="7FEFE531" w14:textId="1A502657" w:rsidR="001D1B52" w:rsidRPr="004F572A" w:rsidRDefault="001D1B52" w:rsidP="000928CA">
            <w:pPr>
              <w:widowControl w:val="0"/>
              <w:tabs>
                <w:tab w:val="clear" w:pos="567"/>
              </w:tabs>
              <w:rPr>
                <w:rFonts w:eastAsia="Calibri"/>
                <w:sz w:val="22"/>
                <w:szCs w:val="22"/>
              </w:rPr>
            </w:pPr>
            <w:r w:rsidRPr="004F572A">
              <w:rPr>
                <w:rFonts w:eastAsia="Calibri"/>
                <w:sz w:val="22"/>
                <w:szCs w:val="22"/>
              </w:rPr>
              <w:t>Virškinimo trakto perforacija</w:t>
            </w:r>
          </w:p>
        </w:tc>
      </w:tr>
      <w:tr w:rsidR="007F17AE" w:rsidRPr="004F572A" w14:paraId="69511E2C" w14:textId="77777777" w:rsidTr="0074743C">
        <w:tc>
          <w:tcPr>
            <w:tcW w:w="2245" w:type="dxa"/>
          </w:tcPr>
          <w:p w14:paraId="48A9D20F" w14:textId="39A4908B" w:rsidR="007F17AE" w:rsidRPr="004F572A" w:rsidRDefault="001D1B52" w:rsidP="000928CA">
            <w:pPr>
              <w:widowControl w:val="0"/>
              <w:tabs>
                <w:tab w:val="clear" w:pos="567"/>
              </w:tabs>
              <w:rPr>
                <w:rFonts w:eastAsia="Calibri"/>
                <w:sz w:val="22"/>
                <w:szCs w:val="22"/>
              </w:rPr>
            </w:pPr>
            <w:r w:rsidRPr="004F572A">
              <w:rPr>
                <w:rFonts w:eastAsia="Calibri"/>
                <w:sz w:val="22"/>
                <w:szCs w:val="22"/>
              </w:rPr>
              <w:t>Nedažn</w:t>
            </w:r>
            <w:r w:rsidR="00D05341">
              <w:rPr>
                <w:rFonts w:eastAsia="Calibri"/>
                <w:sz w:val="22"/>
                <w:szCs w:val="22"/>
              </w:rPr>
              <w:t>as</w:t>
            </w:r>
          </w:p>
        </w:tc>
        <w:tc>
          <w:tcPr>
            <w:tcW w:w="3330" w:type="dxa"/>
          </w:tcPr>
          <w:p w14:paraId="27BF28A1" w14:textId="7949FFFB" w:rsidR="001D1B52" w:rsidRPr="004F572A" w:rsidRDefault="00D05341" w:rsidP="001D1B52">
            <w:pPr>
              <w:widowControl w:val="0"/>
              <w:tabs>
                <w:tab w:val="clear" w:pos="567"/>
              </w:tabs>
              <w:rPr>
                <w:rFonts w:eastAsia="Calibri"/>
                <w:sz w:val="22"/>
                <w:szCs w:val="22"/>
              </w:rPr>
            </w:pPr>
            <w:proofErr w:type="spellStart"/>
            <w:r>
              <w:rPr>
                <w:rFonts w:eastAsia="Calibri"/>
                <w:sz w:val="22"/>
                <w:szCs w:val="22"/>
              </w:rPr>
              <w:t>Pankreatitas</w:t>
            </w:r>
            <w:r w:rsidR="001D1B52" w:rsidRPr="004F572A">
              <w:rPr>
                <w:rFonts w:eastAsia="Calibri"/>
                <w:sz w:val="22"/>
                <w:szCs w:val="22"/>
                <w:vertAlign w:val="superscript"/>
              </w:rPr>
              <w:t>i</w:t>
            </w:r>
            <w:proofErr w:type="spellEnd"/>
          </w:p>
          <w:p w14:paraId="35EC5DAB" w14:textId="1769A3E7" w:rsidR="007F17AE" w:rsidRPr="004F572A" w:rsidRDefault="001D1B52" w:rsidP="001D1B52">
            <w:pPr>
              <w:widowControl w:val="0"/>
              <w:tabs>
                <w:tab w:val="clear" w:pos="567"/>
              </w:tabs>
              <w:rPr>
                <w:rFonts w:eastAsia="Calibri"/>
                <w:sz w:val="22"/>
                <w:szCs w:val="22"/>
              </w:rPr>
            </w:pPr>
            <w:r w:rsidRPr="004F572A">
              <w:rPr>
                <w:rFonts w:eastAsia="Calibri"/>
                <w:sz w:val="22"/>
                <w:szCs w:val="22"/>
              </w:rPr>
              <w:t>Kolitas</w:t>
            </w:r>
          </w:p>
        </w:tc>
        <w:tc>
          <w:tcPr>
            <w:tcW w:w="3485" w:type="dxa"/>
            <w:gridSpan w:val="2"/>
          </w:tcPr>
          <w:p w14:paraId="47D24941" w14:textId="5B35DCB7" w:rsidR="007F17AE" w:rsidRPr="004F572A" w:rsidRDefault="008226D7" w:rsidP="000928CA">
            <w:pPr>
              <w:widowControl w:val="0"/>
              <w:tabs>
                <w:tab w:val="clear" w:pos="567"/>
              </w:tabs>
              <w:rPr>
                <w:rFonts w:eastAsia="Calibri"/>
                <w:sz w:val="22"/>
                <w:szCs w:val="22"/>
              </w:rPr>
            </w:pPr>
            <w:r>
              <w:rPr>
                <w:rFonts w:eastAsia="Calibri"/>
                <w:sz w:val="22"/>
                <w:szCs w:val="22"/>
              </w:rPr>
              <w:t>Išangės</w:t>
            </w:r>
            <w:r w:rsidR="001D1B52" w:rsidRPr="004F572A">
              <w:rPr>
                <w:rFonts w:eastAsia="Calibri"/>
                <w:sz w:val="22"/>
                <w:szCs w:val="22"/>
              </w:rPr>
              <w:t xml:space="preserve"> fistulė</w:t>
            </w:r>
          </w:p>
        </w:tc>
      </w:tr>
      <w:tr w:rsidR="008415E5" w:rsidRPr="004F572A" w14:paraId="4F8E8E0A" w14:textId="77777777" w:rsidTr="008415E5">
        <w:tc>
          <w:tcPr>
            <w:tcW w:w="9060" w:type="dxa"/>
            <w:gridSpan w:val="4"/>
          </w:tcPr>
          <w:p w14:paraId="07048252" w14:textId="00008C7E" w:rsidR="008415E5" w:rsidRPr="004F572A" w:rsidRDefault="00F73A9E" w:rsidP="000928CA">
            <w:pPr>
              <w:widowControl w:val="0"/>
              <w:tabs>
                <w:tab w:val="clear" w:pos="567"/>
              </w:tabs>
              <w:rPr>
                <w:rFonts w:eastAsia="Calibri"/>
                <w:b/>
                <w:bCs/>
                <w:sz w:val="22"/>
                <w:szCs w:val="22"/>
              </w:rPr>
            </w:pPr>
            <w:r w:rsidRPr="004F572A">
              <w:rPr>
                <w:rFonts w:eastAsia="Calibri"/>
                <w:b/>
                <w:bCs/>
                <w:sz w:val="22"/>
                <w:szCs w:val="22"/>
              </w:rPr>
              <w:t>Kepenų, tulžies pūslės ir latakų sutrikimai</w:t>
            </w:r>
          </w:p>
        </w:tc>
      </w:tr>
      <w:tr w:rsidR="008415E5" w:rsidRPr="004F572A" w14:paraId="6ED0AEB4" w14:textId="77777777" w:rsidTr="0074743C">
        <w:tc>
          <w:tcPr>
            <w:tcW w:w="2245" w:type="dxa"/>
          </w:tcPr>
          <w:p w14:paraId="04C160BF" w14:textId="26EE3812" w:rsidR="008415E5" w:rsidRPr="004F572A" w:rsidRDefault="008415E5" w:rsidP="000928CA">
            <w:pPr>
              <w:widowControl w:val="0"/>
              <w:tabs>
                <w:tab w:val="clear" w:pos="567"/>
              </w:tabs>
              <w:rPr>
                <w:rFonts w:eastAsia="Calibri"/>
                <w:sz w:val="22"/>
                <w:szCs w:val="22"/>
              </w:rPr>
            </w:pPr>
            <w:r w:rsidRPr="004F572A">
              <w:rPr>
                <w:rFonts w:eastAsia="Calibri"/>
                <w:sz w:val="22"/>
                <w:szCs w:val="22"/>
              </w:rPr>
              <w:t>Labai dažn</w:t>
            </w:r>
            <w:r w:rsidR="00D05341">
              <w:rPr>
                <w:rFonts w:eastAsia="Calibri"/>
                <w:sz w:val="22"/>
                <w:szCs w:val="22"/>
              </w:rPr>
              <w:t>as</w:t>
            </w:r>
          </w:p>
        </w:tc>
        <w:tc>
          <w:tcPr>
            <w:tcW w:w="3330" w:type="dxa"/>
          </w:tcPr>
          <w:p w14:paraId="2BF02629" w14:textId="77777777" w:rsidR="008415E5" w:rsidRPr="004F572A" w:rsidRDefault="008415E5" w:rsidP="008415E5">
            <w:pPr>
              <w:widowControl w:val="0"/>
              <w:tabs>
                <w:tab w:val="clear" w:pos="567"/>
              </w:tabs>
              <w:rPr>
                <w:rFonts w:eastAsia="Calibri"/>
                <w:sz w:val="22"/>
                <w:szCs w:val="22"/>
              </w:rPr>
            </w:pPr>
            <w:r w:rsidRPr="004F572A">
              <w:rPr>
                <w:rFonts w:eastAsia="Calibri"/>
                <w:sz w:val="22"/>
                <w:szCs w:val="22"/>
              </w:rPr>
              <w:t xml:space="preserve">Padidėjęs </w:t>
            </w:r>
            <w:proofErr w:type="spellStart"/>
            <w:r w:rsidRPr="004F572A">
              <w:rPr>
                <w:rFonts w:eastAsia="Calibri"/>
                <w:sz w:val="22"/>
                <w:szCs w:val="22"/>
              </w:rPr>
              <w:t>bilirubino</w:t>
            </w:r>
            <w:proofErr w:type="spellEnd"/>
            <w:r w:rsidRPr="004F572A">
              <w:rPr>
                <w:rFonts w:eastAsia="Calibri"/>
                <w:sz w:val="22"/>
                <w:szCs w:val="22"/>
              </w:rPr>
              <w:t xml:space="preserve"> kiekis </w:t>
            </w:r>
            <w:proofErr w:type="spellStart"/>
            <w:r w:rsidRPr="004F572A">
              <w:rPr>
                <w:rFonts w:eastAsia="Calibri"/>
                <w:sz w:val="22"/>
                <w:szCs w:val="22"/>
              </w:rPr>
              <w:t>kraujyje</w:t>
            </w:r>
            <w:r w:rsidRPr="004F572A">
              <w:rPr>
                <w:rFonts w:eastAsia="Calibri"/>
                <w:sz w:val="22"/>
                <w:szCs w:val="22"/>
                <w:vertAlign w:val="superscript"/>
              </w:rPr>
              <w:t>j</w:t>
            </w:r>
            <w:proofErr w:type="spellEnd"/>
            <w:r w:rsidRPr="004F572A">
              <w:rPr>
                <w:rFonts w:eastAsia="Calibri"/>
                <w:sz w:val="22"/>
                <w:szCs w:val="22"/>
                <w:vertAlign w:val="superscript"/>
              </w:rPr>
              <w:t>,*,‡</w:t>
            </w:r>
          </w:p>
          <w:p w14:paraId="0F8963CD" w14:textId="77777777" w:rsidR="008415E5" w:rsidRPr="004F572A" w:rsidRDefault="008415E5" w:rsidP="008415E5">
            <w:pPr>
              <w:widowControl w:val="0"/>
              <w:tabs>
                <w:tab w:val="clear" w:pos="567"/>
              </w:tabs>
              <w:rPr>
                <w:rFonts w:eastAsia="Calibri"/>
                <w:sz w:val="22"/>
                <w:szCs w:val="22"/>
                <w:vertAlign w:val="superscript"/>
              </w:rPr>
            </w:pPr>
            <w:proofErr w:type="spellStart"/>
            <w:r w:rsidRPr="004F572A">
              <w:rPr>
                <w:rFonts w:eastAsia="Calibri"/>
                <w:sz w:val="22"/>
                <w:szCs w:val="22"/>
              </w:rPr>
              <w:t>Hipoalbuminemija</w:t>
            </w:r>
            <w:r w:rsidRPr="004F572A">
              <w:rPr>
                <w:rFonts w:eastAsia="Calibri"/>
                <w:sz w:val="22"/>
                <w:szCs w:val="22"/>
                <w:vertAlign w:val="superscript"/>
              </w:rPr>
              <w:t>j</w:t>
            </w:r>
            <w:proofErr w:type="spellEnd"/>
            <w:r w:rsidRPr="004F572A">
              <w:rPr>
                <w:rFonts w:eastAsia="Calibri"/>
                <w:sz w:val="22"/>
                <w:szCs w:val="22"/>
                <w:vertAlign w:val="superscript"/>
              </w:rPr>
              <w:t>,*,‡</w:t>
            </w:r>
          </w:p>
          <w:p w14:paraId="7733633F" w14:textId="77777777" w:rsidR="008415E5" w:rsidRPr="004F572A" w:rsidRDefault="008415E5" w:rsidP="008415E5">
            <w:pPr>
              <w:widowControl w:val="0"/>
              <w:tabs>
                <w:tab w:val="clear" w:pos="567"/>
              </w:tabs>
              <w:rPr>
                <w:rFonts w:eastAsia="Calibri"/>
                <w:sz w:val="22"/>
                <w:szCs w:val="22"/>
                <w:vertAlign w:val="superscript"/>
              </w:rPr>
            </w:pPr>
            <w:r w:rsidRPr="004F572A">
              <w:rPr>
                <w:rFonts w:eastAsia="Calibri"/>
                <w:sz w:val="22"/>
                <w:szCs w:val="22"/>
              </w:rPr>
              <w:t>Padidėjęs alaninaminotransferazės aktyvumas</w:t>
            </w:r>
            <w:r w:rsidRPr="004F572A">
              <w:rPr>
                <w:rFonts w:eastAsia="Calibri"/>
                <w:sz w:val="22"/>
                <w:szCs w:val="22"/>
                <w:vertAlign w:val="superscript"/>
              </w:rPr>
              <w:t>*‡</w:t>
            </w:r>
          </w:p>
          <w:p w14:paraId="74D4D77C" w14:textId="2ADA4711" w:rsidR="008415E5" w:rsidRPr="004F572A" w:rsidRDefault="008415E5" w:rsidP="008415E5">
            <w:pPr>
              <w:widowControl w:val="0"/>
              <w:tabs>
                <w:tab w:val="clear" w:pos="567"/>
              </w:tabs>
              <w:rPr>
                <w:rFonts w:eastAsia="Calibri"/>
                <w:sz w:val="22"/>
                <w:szCs w:val="22"/>
              </w:rPr>
            </w:pPr>
            <w:r w:rsidRPr="004F572A">
              <w:rPr>
                <w:rFonts w:eastAsia="Calibri"/>
                <w:sz w:val="22"/>
                <w:szCs w:val="22"/>
              </w:rPr>
              <w:t>Padidėjęs aspartataminotransferazės</w:t>
            </w:r>
          </w:p>
          <w:p w14:paraId="09A931F8" w14:textId="1CAACD4D" w:rsidR="008415E5" w:rsidRPr="004F572A" w:rsidRDefault="008415E5" w:rsidP="008415E5">
            <w:pPr>
              <w:widowControl w:val="0"/>
              <w:tabs>
                <w:tab w:val="clear" w:pos="567"/>
              </w:tabs>
              <w:rPr>
                <w:rFonts w:eastAsia="Calibri"/>
                <w:sz w:val="22"/>
                <w:szCs w:val="22"/>
              </w:rPr>
            </w:pPr>
            <w:r w:rsidRPr="004F572A">
              <w:rPr>
                <w:rFonts w:eastAsia="Calibri"/>
                <w:sz w:val="22"/>
                <w:szCs w:val="22"/>
              </w:rPr>
              <w:t>aktyvumas</w:t>
            </w:r>
            <w:r w:rsidRPr="004F572A">
              <w:rPr>
                <w:rFonts w:eastAsia="Calibri"/>
                <w:sz w:val="22"/>
                <w:szCs w:val="22"/>
                <w:vertAlign w:val="superscript"/>
              </w:rPr>
              <w:t>*,‡</w:t>
            </w:r>
          </w:p>
          <w:p w14:paraId="24C668A5" w14:textId="77777777" w:rsidR="008415E5" w:rsidRPr="004F572A" w:rsidRDefault="008415E5" w:rsidP="008415E5">
            <w:pPr>
              <w:widowControl w:val="0"/>
              <w:tabs>
                <w:tab w:val="clear" w:pos="567"/>
              </w:tabs>
              <w:rPr>
                <w:rFonts w:eastAsia="Calibri"/>
                <w:sz w:val="22"/>
                <w:szCs w:val="22"/>
              </w:rPr>
            </w:pPr>
            <w:r w:rsidRPr="004F572A">
              <w:rPr>
                <w:rFonts w:eastAsia="Calibri"/>
                <w:sz w:val="22"/>
                <w:szCs w:val="22"/>
              </w:rPr>
              <w:t>Padidėjęs šarminės fosfatazės aktyvumas kraujyje</w:t>
            </w:r>
            <w:r w:rsidRPr="004F572A">
              <w:rPr>
                <w:rFonts w:eastAsia="Calibri"/>
                <w:sz w:val="22"/>
                <w:szCs w:val="22"/>
                <w:vertAlign w:val="superscript"/>
              </w:rPr>
              <w:t>‡</w:t>
            </w:r>
          </w:p>
          <w:p w14:paraId="6AA94C1E" w14:textId="77777777" w:rsidR="008415E5" w:rsidRPr="004F572A" w:rsidRDefault="008415E5" w:rsidP="008415E5">
            <w:pPr>
              <w:widowControl w:val="0"/>
              <w:tabs>
                <w:tab w:val="clear" w:pos="567"/>
              </w:tabs>
              <w:rPr>
                <w:rFonts w:eastAsia="Calibri"/>
                <w:sz w:val="22"/>
                <w:szCs w:val="22"/>
              </w:rPr>
            </w:pPr>
            <w:r w:rsidRPr="004F572A">
              <w:rPr>
                <w:rFonts w:eastAsia="Calibri"/>
                <w:sz w:val="22"/>
                <w:szCs w:val="22"/>
              </w:rPr>
              <w:t xml:space="preserve">Padidėjęs </w:t>
            </w:r>
            <w:proofErr w:type="spellStart"/>
            <w:r w:rsidRPr="004F572A">
              <w:rPr>
                <w:rFonts w:eastAsia="Calibri"/>
                <w:sz w:val="22"/>
                <w:szCs w:val="22"/>
              </w:rPr>
              <w:t>gamaglutamiltransferazės</w:t>
            </w:r>
            <w:proofErr w:type="spellEnd"/>
            <w:r w:rsidRPr="004F572A">
              <w:rPr>
                <w:rFonts w:eastAsia="Calibri"/>
                <w:sz w:val="22"/>
                <w:szCs w:val="22"/>
              </w:rPr>
              <w:t xml:space="preserve"> aktyvumas</w:t>
            </w:r>
            <w:r w:rsidRPr="004F572A">
              <w:rPr>
                <w:rFonts w:eastAsia="Calibri"/>
                <w:sz w:val="22"/>
                <w:szCs w:val="22"/>
                <w:vertAlign w:val="superscript"/>
              </w:rPr>
              <w:t>‡</w:t>
            </w:r>
          </w:p>
        </w:tc>
        <w:tc>
          <w:tcPr>
            <w:tcW w:w="3485" w:type="dxa"/>
            <w:gridSpan w:val="2"/>
          </w:tcPr>
          <w:p w14:paraId="778BBAB4" w14:textId="77777777" w:rsidR="008415E5" w:rsidRPr="004F572A" w:rsidRDefault="008415E5" w:rsidP="008415E5">
            <w:pPr>
              <w:widowControl w:val="0"/>
              <w:tabs>
                <w:tab w:val="clear" w:pos="567"/>
              </w:tabs>
              <w:rPr>
                <w:rFonts w:eastAsia="Calibri"/>
                <w:sz w:val="22"/>
                <w:szCs w:val="22"/>
              </w:rPr>
            </w:pPr>
            <w:r w:rsidRPr="004F572A">
              <w:rPr>
                <w:rFonts w:eastAsia="Calibri"/>
                <w:sz w:val="22"/>
                <w:szCs w:val="22"/>
              </w:rPr>
              <w:t xml:space="preserve">Padidėjęs </w:t>
            </w:r>
            <w:proofErr w:type="spellStart"/>
            <w:r w:rsidRPr="004F572A">
              <w:rPr>
                <w:rFonts w:eastAsia="Calibri"/>
                <w:sz w:val="22"/>
                <w:szCs w:val="22"/>
              </w:rPr>
              <w:t>bilirubino</w:t>
            </w:r>
            <w:proofErr w:type="spellEnd"/>
            <w:r w:rsidRPr="004F572A">
              <w:rPr>
                <w:rFonts w:eastAsia="Calibri"/>
                <w:sz w:val="22"/>
                <w:szCs w:val="22"/>
              </w:rPr>
              <w:t xml:space="preserve"> kiekis </w:t>
            </w:r>
            <w:proofErr w:type="spellStart"/>
            <w:r w:rsidRPr="004F572A">
              <w:rPr>
                <w:rFonts w:eastAsia="Calibri"/>
                <w:sz w:val="22"/>
                <w:szCs w:val="22"/>
              </w:rPr>
              <w:t>kraujyje</w:t>
            </w:r>
            <w:r w:rsidRPr="004F572A">
              <w:rPr>
                <w:rFonts w:eastAsia="Calibri"/>
                <w:sz w:val="22"/>
                <w:szCs w:val="22"/>
                <w:vertAlign w:val="superscript"/>
              </w:rPr>
              <w:t>j</w:t>
            </w:r>
            <w:proofErr w:type="spellEnd"/>
            <w:r w:rsidRPr="004F572A">
              <w:rPr>
                <w:rFonts w:eastAsia="Calibri"/>
                <w:sz w:val="22"/>
                <w:szCs w:val="22"/>
                <w:vertAlign w:val="superscript"/>
              </w:rPr>
              <w:t>,*,‡</w:t>
            </w:r>
          </w:p>
          <w:p w14:paraId="7BDA145B" w14:textId="77777777" w:rsidR="008415E5" w:rsidRPr="004F572A" w:rsidRDefault="008415E5" w:rsidP="008415E5">
            <w:pPr>
              <w:widowControl w:val="0"/>
              <w:tabs>
                <w:tab w:val="clear" w:pos="567"/>
              </w:tabs>
              <w:rPr>
                <w:rFonts w:eastAsia="Calibri"/>
                <w:sz w:val="22"/>
                <w:szCs w:val="22"/>
                <w:vertAlign w:val="superscript"/>
              </w:rPr>
            </w:pPr>
            <w:proofErr w:type="spellStart"/>
            <w:r w:rsidRPr="004F572A">
              <w:rPr>
                <w:rFonts w:eastAsia="Calibri"/>
                <w:sz w:val="22"/>
                <w:szCs w:val="22"/>
              </w:rPr>
              <w:t>Hipoalbuminemija</w:t>
            </w:r>
            <w:r w:rsidRPr="004F572A">
              <w:rPr>
                <w:rFonts w:eastAsia="Calibri"/>
                <w:sz w:val="22"/>
                <w:szCs w:val="22"/>
                <w:vertAlign w:val="superscript"/>
              </w:rPr>
              <w:t>j</w:t>
            </w:r>
            <w:proofErr w:type="spellEnd"/>
            <w:r w:rsidRPr="004F572A">
              <w:rPr>
                <w:rFonts w:eastAsia="Calibri"/>
                <w:sz w:val="22"/>
                <w:szCs w:val="22"/>
                <w:vertAlign w:val="superscript"/>
              </w:rPr>
              <w:t>,*,‡</w:t>
            </w:r>
          </w:p>
          <w:p w14:paraId="2B440260" w14:textId="77777777" w:rsidR="008415E5" w:rsidRPr="004F572A" w:rsidRDefault="008415E5" w:rsidP="008415E5">
            <w:pPr>
              <w:widowControl w:val="0"/>
              <w:tabs>
                <w:tab w:val="clear" w:pos="567"/>
              </w:tabs>
              <w:rPr>
                <w:rFonts w:eastAsia="Calibri"/>
                <w:sz w:val="22"/>
                <w:szCs w:val="22"/>
                <w:vertAlign w:val="superscript"/>
              </w:rPr>
            </w:pPr>
            <w:r w:rsidRPr="004F572A">
              <w:rPr>
                <w:rFonts w:eastAsia="Calibri"/>
                <w:sz w:val="22"/>
                <w:szCs w:val="22"/>
              </w:rPr>
              <w:t>Padidėjęs alaninaminotransferazės aktyvumas</w:t>
            </w:r>
            <w:r w:rsidRPr="004F572A">
              <w:rPr>
                <w:rFonts w:eastAsia="Calibri"/>
                <w:sz w:val="22"/>
                <w:szCs w:val="22"/>
                <w:vertAlign w:val="superscript"/>
              </w:rPr>
              <w:t>*‡</w:t>
            </w:r>
          </w:p>
          <w:p w14:paraId="6B8E6993" w14:textId="77777777" w:rsidR="008415E5" w:rsidRPr="004F572A" w:rsidRDefault="008415E5" w:rsidP="008415E5">
            <w:pPr>
              <w:widowControl w:val="0"/>
              <w:tabs>
                <w:tab w:val="clear" w:pos="567"/>
              </w:tabs>
              <w:rPr>
                <w:rFonts w:eastAsia="Calibri"/>
                <w:sz w:val="22"/>
                <w:szCs w:val="22"/>
              </w:rPr>
            </w:pPr>
            <w:r w:rsidRPr="004F572A">
              <w:rPr>
                <w:rFonts w:eastAsia="Calibri"/>
                <w:sz w:val="22"/>
                <w:szCs w:val="22"/>
              </w:rPr>
              <w:t>Padidėjęs aspartataminotransferazės</w:t>
            </w:r>
          </w:p>
          <w:p w14:paraId="59F6C91E" w14:textId="517518E6" w:rsidR="008415E5" w:rsidRPr="004F572A" w:rsidRDefault="008415E5" w:rsidP="008415E5">
            <w:pPr>
              <w:widowControl w:val="0"/>
              <w:tabs>
                <w:tab w:val="clear" w:pos="567"/>
              </w:tabs>
              <w:rPr>
                <w:rFonts w:eastAsia="Calibri"/>
                <w:sz w:val="22"/>
                <w:szCs w:val="22"/>
              </w:rPr>
            </w:pPr>
            <w:r w:rsidRPr="004F572A">
              <w:rPr>
                <w:rFonts w:eastAsia="Calibri"/>
                <w:sz w:val="22"/>
                <w:szCs w:val="22"/>
              </w:rPr>
              <w:t>aktyvumas</w:t>
            </w:r>
            <w:r w:rsidRPr="004F572A">
              <w:rPr>
                <w:rFonts w:eastAsia="Calibri"/>
                <w:sz w:val="22"/>
                <w:szCs w:val="22"/>
                <w:vertAlign w:val="superscript"/>
              </w:rPr>
              <w:t>*,‡</w:t>
            </w:r>
          </w:p>
          <w:p w14:paraId="784BD1C1" w14:textId="77777777" w:rsidR="008415E5" w:rsidRPr="004F572A" w:rsidRDefault="008415E5" w:rsidP="008415E5">
            <w:pPr>
              <w:widowControl w:val="0"/>
              <w:tabs>
                <w:tab w:val="clear" w:pos="567"/>
              </w:tabs>
              <w:rPr>
                <w:rFonts w:eastAsia="Calibri"/>
                <w:sz w:val="22"/>
                <w:szCs w:val="22"/>
              </w:rPr>
            </w:pPr>
            <w:r w:rsidRPr="004F572A">
              <w:rPr>
                <w:rFonts w:eastAsia="Calibri"/>
                <w:sz w:val="22"/>
                <w:szCs w:val="22"/>
              </w:rPr>
              <w:t>Padidėjęs šarminės fosfatazės aktyvumas kraujyje</w:t>
            </w:r>
            <w:r w:rsidRPr="004F572A">
              <w:rPr>
                <w:rFonts w:eastAsia="Calibri"/>
                <w:sz w:val="22"/>
                <w:szCs w:val="22"/>
                <w:vertAlign w:val="superscript"/>
              </w:rPr>
              <w:t>‡</w:t>
            </w:r>
          </w:p>
          <w:p w14:paraId="0FBACC22" w14:textId="77777777" w:rsidR="008415E5" w:rsidRPr="004F572A" w:rsidRDefault="008415E5" w:rsidP="008415E5">
            <w:pPr>
              <w:widowControl w:val="0"/>
              <w:tabs>
                <w:tab w:val="clear" w:pos="567"/>
              </w:tabs>
              <w:rPr>
                <w:rFonts w:eastAsia="Calibri"/>
                <w:sz w:val="22"/>
                <w:szCs w:val="22"/>
              </w:rPr>
            </w:pPr>
          </w:p>
          <w:p w14:paraId="25BB96DE" w14:textId="77777777" w:rsidR="008415E5" w:rsidRPr="004F572A" w:rsidRDefault="008415E5" w:rsidP="008415E5">
            <w:pPr>
              <w:widowControl w:val="0"/>
              <w:tabs>
                <w:tab w:val="clear" w:pos="567"/>
              </w:tabs>
              <w:rPr>
                <w:rFonts w:eastAsia="Calibri"/>
                <w:sz w:val="22"/>
                <w:szCs w:val="22"/>
                <w:vertAlign w:val="superscript"/>
              </w:rPr>
            </w:pPr>
          </w:p>
          <w:p w14:paraId="3AEE9B82" w14:textId="4686836D" w:rsidR="008415E5" w:rsidRPr="004F572A" w:rsidRDefault="008415E5" w:rsidP="008415E5">
            <w:pPr>
              <w:widowControl w:val="0"/>
              <w:tabs>
                <w:tab w:val="clear" w:pos="567"/>
              </w:tabs>
              <w:rPr>
                <w:rFonts w:eastAsia="Calibri"/>
                <w:sz w:val="22"/>
                <w:szCs w:val="22"/>
              </w:rPr>
            </w:pPr>
          </w:p>
        </w:tc>
      </w:tr>
      <w:tr w:rsidR="008415E5" w:rsidRPr="004F572A" w14:paraId="37E0CCE2" w14:textId="77777777" w:rsidTr="0074743C">
        <w:tc>
          <w:tcPr>
            <w:tcW w:w="2245" w:type="dxa"/>
          </w:tcPr>
          <w:p w14:paraId="5A848DF9" w14:textId="1BE9D5FF" w:rsidR="008415E5" w:rsidRPr="004F572A" w:rsidRDefault="008415E5" w:rsidP="000928CA">
            <w:pPr>
              <w:widowControl w:val="0"/>
              <w:tabs>
                <w:tab w:val="clear" w:pos="567"/>
              </w:tabs>
              <w:rPr>
                <w:rFonts w:eastAsia="Calibri"/>
                <w:sz w:val="22"/>
                <w:szCs w:val="22"/>
              </w:rPr>
            </w:pPr>
            <w:r w:rsidRPr="004F572A">
              <w:rPr>
                <w:rFonts w:eastAsia="Calibri"/>
                <w:sz w:val="22"/>
                <w:szCs w:val="22"/>
              </w:rPr>
              <w:t>Dažn</w:t>
            </w:r>
            <w:r w:rsidR="00D05341">
              <w:rPr>
                <w:rFonts w:eastAsia="Calibri"/>
                <w:sz w:val="22"/>
                <w:szCs w:val="22"/>
              </w:rPr>
              <w:t>as</w:t>
            </w:r>
          </w:p>
        </w:tc>
        <w:tc>
          <w:tcPr>
            <w:tcW w:w="3330" w:type="dxa"/>
          </w:tcPr>
          <w:p w14:paraId="5AA5A403" w14:textId="7EDD7227" w:rsidR="008415E5" w:rsidRPr="004F572A" w:rsidRDefault="008415E5" w:rsidP="008415E5">
            <w:pPr>
              <w:widowControl w:val="0"/>
              <w:tabs>
                <w:tab w:val="clear" w:pos="567"/>
              </w:tabs>
              <w:rPr>
                <w:rFonts w:eastAsia="Calibri"/>
                <w:sz w:val="22"/>
                <w:szCs w:val="22"/>
              </w:rPr>
            </w:pPr>
            <w:r w:rsidRPr="004F572A">
              <w:rPr>
                <w:rFonts w:eastAsia="Calibri"/>
                <w:sz w:val="22"/>
                <w:szCs w:val="22"/>
              </w:rPr>
              <w:t xml:space="preserve">Kepenų </w:t>
            </w:r>
            <w:proofErr w:type="spellStart"/>
            <w:r w:rsidRPr="004F572A">
              <w:rPr>
                <w:rFonts w:eastAsia="Calibri"/>
                <w:sz w:val="22"/>
                <w:szCs w:val="22"/>
              </w:rPr>
              <w:t>nepakankamumas</w:t>
            </w:r>
            <w:r w:rsidRPr="004F572A">
              <w:rPr>
                <w:rFonts w:eastAsia="Calibri"/>
                <w:sz w:val="22"/>
                <w:szCs w:val="22"/>
                <w:vertAlign w:val="superscript"/>
              </w:rPr>
              <w:t>k</w:t>
            </w:r>
            <w:proofErr w:type="spellEnd"/>
            <w:r w:rsidRPr="004F572A">
              <w:rPr>
                <w:rFonts w:eastAsia="Calibri"/>
                <w:sz w:val="22"/>
                <w:szCs w:val="22"/>
                <w:vertAlign w:val="superscript"/>
              </w:rPr>
              <w:t>,*</w:t>
            </w:r>
            <w:r w:rsidR="006175E4">
              <w:rPr>
                <w:rFonts w:eastAsia="Calibri"/>
                <w:sz w:val="22"/>
                <w:szCs w:val="22"/>
                <w:vertAlign w:val="superscript"/>
              </w:rPr>
              <w:t>,</w:t>
            </w:r>
            <w:r w:rsidRPr="004F572A">
              <w:rPr>
                <w:rFonts w:eastAsia="Calibri"/>
                <w:sz w:val="22"/>
                <w:szCs w:val="22"/>
                <w:vertAlign w:val="superscript"/>
              </w:rPr>
              <w:t xml:space="preserve"> †</w:t>
            </w:r>
            <w:r w:rsidRPr="004F572A">
              <w:rPr>
                <w:rFonts w:eastAsia="Calibri"/>
                <w:sz w:val="22"/>
                <w:szCs w:val="22"/>
              </w:rPr>
              <w:t xml:space="preserve"> </w:t>
            </w:r>
          </w:p>
          <w:p w14:paraId="1F91E786" w14:textId="772AFB18" w:rsidR="008415E5" w:rsidRPr="004F572A" w:rsidRDefault="008415E5" w:rsidP="008415E5">
            <w:pPr>
              <w:widowControl w:val="0"/>
              <w:tabs>
                <w:tab w:val="clear" w:pos="567"/>
              </w:tabs>
              <w:rPr>
                <w:rFonts w:eastAsia="Calibri"/>
                <w:sz w:val="22"/>
                <w:szCs w:val="22"/>
              </w:rPr>
            </w:pPr>
            <w:r w:rsidRPr="004F572A">
              <w:rPr>
                <w:rFonts w:eastAsia="Calibri"/>
                <w:sz w:val="22"/>
                <w:szCs w:val="22"/>
              </w:rPr>
              <w:t xml:space="preserve">Kepenų </w:t>
            </w:r>
            <w:proofErr w:type="spellStart"/>
            <w:r w:rsidRPr="004F572A">
              <w:rPr>
                <w:rFonts w:eastAsia="Calibri"/>
                <w:sz w:val="22"/>
                <w:szCs w:val="22"/>
              </w:rPr>
              <w:t>encefalopatija</w:t>
            </w:r>
            <w:r w:rsidRPr="004F572A">
              <w:rPr>
                <w:rFonts w:eastAsia="Calibri"/>
                <w:sz w:val="22"/>
                <w:szCs w:val="22"/>
                <w:vertAlign w:val="superscript"/>
              </w:rPr>
              <w:t>l</w:t>
            </w:r>
            <w:proofErr w:type="spellEnd"/>
            <w:r w:rsidRPr="004F572A">
              <w:rPr>
                <w:rFonts w:eastAsia="Calibri"/>
                <w:sz w:val="22"/>
                <w:szCs w:val="22"/>
                <w:vertAlign w:val="superscript"/>
              </w:rPr>
              <w:t>,*</w:t>
            </w:r>
            <w:r w:rsidR="006175E4">
              <w:rPr>
                <w:rFonts w:eastAsia="Calibri"/>
                <w:sz w:val="22"/>
                <w:szCs w:val="22"/>
                <w:vertAlign w:val="superscript"/>
              </w:rPr>
              <w:t>,</w:t>
            </w:r>
            <w:r w:rsidRPr="004F572A">
              <w:rPr>
                <w:rFonts w:eastAsia="Calibri"/>
                <w:sz w:val="22"/>
                <w:szCs w:val="22"/>
                <w:vertAlign w:val="superscript"/>
              </w:rPr>
              <w:t xml:space="preserve"> †</w:t>
            </w:r>
            <w:r w:rsidRPr="004F572A">
              <w:rPr>
                <w:rFonts w:eastAsia="Calibri"/>
                <w:sz w:val="22"/>
                <w:szCs w:val="22"/>
              </w:rPr>
              <w:t xml:space="preserve"> </w:t>
            </w:r>
          </w:p>
          <w:p w14:paraId="3B6BD0C1" w14:textId="7A6D4D33" w:rsidR="0074743C" w:rsidRPr="004F572A" w:rsidRDefault="008415E5" w:rsidP="0074743C">
            <w:pPr>
              <w:widowControl w:val="0"/>
              <w:tabs>
                <w:tab w:val="clear" w:pos="567"/>
              </w:tabs>
              <w:rPr>
                <w:rFonts w:eastAsia="Calibri"/>
                <w:sz w:val="22"/>
                <w:szCs w:val="22"/>
              </w:rPr>
            </w:pPr>
            <w:r w:rsidRPr="004F572A">
              <w:rPr>
                <w:rFonts w:eastAsia="Calibri"/>
                <w:sz w:val="22"/>
                <w:szCs w:val="22"/>
              </w:rPr>
              <w:lastRenderedPageBreak/>
              <w:t xml:space="preserve">Nenormali kepenų funkcija </w:t>
            </w:r>
          </w:p>
          <w:p w14:paraId="2A477176" w14:textId="55BA2383" w:rsidR="008415E5" w:rsidRPr="004F572A" w:rsidRDefault="008415E5" w:rsidP="008415E5">
            <w:pPr>
              <w:widowControl w:val="0"/>
              <w:tabs>
                <w:tab w:val="clear" w:pos="567"/>
              </w:tabs>
              <w:rPr>
                <w:rFonts w:eastAsia="Calibri"/>
                <w:sz w:val="22"/>
                <w:szCs w:val="22"/>
              </w:rPr>
            </w:pPr>
            <w:r w:rsidRPr="004F572A">
              <w:rPr>
                <w:rFonts w:eastAsia="Calibri"/>
                <w:sz w:val="22"/>
                <w:szCs w:val="22"/>
              </w:rPr>
              <w:t>Cholecistitas</w:t>
            </w:r>
          </w:p>
        </w:tc>
        <w:tc>
          <w:tcPr>
            <w:tcW w:w="3485" w:type="dxa"/>
            <w:gridSpan w:val="2"/>
          </w:tcPr>
          <w:p w14:paraId="52CDA777" w14:textId="77777777" w:rsidR="0074743C" w:rsidRPr="004F572A" w:rsidRDefault="0074743C" w:rsidP="000928CA">
            <w:pPr>
              <w:widowControl w:val="0"/>
              <w:tabs>
                <w:tab w:val="clear" w:pos="567"/>
              </w:tabs>
              <w:rPr>
                <w:rFonts w:eastAsia="Calibri"/>
                <w:sz w:val="22"/>
                <w:szCs w:val="22"/>
              </w:rPr>
            </w:pPr>
            <w:r w:rsidRPr="004F572A">
              <w:rPr>
                <w:rFonts w:eastAsia="Calibri"/>
                <w:sz w:val="22"/>
                <w:szCs w:val="22"/>
              </w:rPr>
              <w:lastRenderedPageBreak/>
              <w:t xml:space="preserve">Cholecistitas </w:t>
            </w:r>
          </w:p>
          <w:p w14:paraId="4E3787A0" w14:textId="1789C770" w:rsidR="0074743C" w:rsidRPr="004F572A" w:rsidRDefault="0074743C" w:rsidP="0074743C">
            <w:pPr>
              <w:widowControl w:val="0"/>
              <w:tabs>
                <w:tab w:val="clear" w:pos="567"/>
              </w:tabs>
              <w:rPr>
                <w:rFonts w:eastAsia="Calibri"/>
                <w:sz w:val="22"/>
                <w:szCs w:val="22"/>
              </w:rPr>
            </w:pPr>
            <w:r w:rsidRPr="004F572A">
              <w:rPr>
                <w:rFonts w:eastAsia="Calibri"/>
                <w:sz w:val="22"/>
                <w:szCs w:val="22"/>
              </w:rPr>
              <w:t xml:space="preserve">Nenormali kepenų funkcija </w:t>
            </w:r>
            <w:r w:rsidRPr="004F572A">
              <w:rPr>
                <w:rFonts w:eastAsia="Calibri"/>
                <w:sz w:val="22"/>
                <w:szCs w:val="22"/>
              </w:rPr>
              <w:lastRenderedPageBreak/>
              <w:t>Padidėjęs gama</w:t>
            </w:r>
            <w:r w:rsidR="006175E4">
              <w:rPr>
                <w:rFonts w:eastAsia="Calibri"/>
                <w:sz w:val="22"/>
                <w:szCs w:val="22"/>
              </w:rPr>
              <w:t>-</w:t>
            </w:r>
            <w:proofErr w:type="spellStart"/>
            <w:r w:rsidRPr="004F572A">
              <w:rPr>
                <w:rFonts w:eastAsia="Calibri"/>
                <w:sz w:val="22"/>
                <w:szCs w:val="22"/>
              </w:rPr>
              <w:t>glutamiltransferazės</w:t>
            </w:r>
            <w:proofErr w:type="spellEnd"/>
          </w:p>
          <w:p w14:paraId="11D873D7" w14:textId="435AE6C2" w:rsidR="008415E5" w:rsidRPr="004F572A" w:rsidRDefault="0074743C" w:rsidP="0074743C">
            <w:pPr>
              <w:widowControl w:val="0"/>
              <w:tabs>
                <w:tab w:val="clear" w:pos="567"/>
              </w:tabs>
              <w:rPr>
                <w:rFonts w:eastAsia="Calibri"/>
                <w:sz w:val="22"/>
                <w:szCs w:val="22"/>
              </w:rPr>
            </w:pPr>
            <w:r w:rsidRPr="004F572A">
              <w:rPr>
                <w:rFonts w:eastAsia="Calibri"/>
                <w:sz w:val="22"/>
                <w:szCs w:val="22"/>
              </w:rPr>
              <w:t>aktyvumas</w:t>
            </w:r>
          </w:p>
        </w:tc>
      </w:tr>
      <w:tr w:rsidR="008415E5" w:rsidRPr="004F572A" w14:paraId="5BC536D7" w14:textId="77777777" w:rsidTr="0074743C">
        <w:tc>
          <w:tcPr>
            <w:tcW w:w="2245" w:type="dxa"/>
          </w:tcPr>
          <w:p w14:paraId="524757EF" w14:textId="74C347BD" w:rsidR="008415E5" w:rsidRPr="004F572A" w:rsidRDefault="008415E5" w:rsidP="000928CA">
            <w:pPr>
              <w:widowControl w:val="0"/>
              <w:tabs>
                <w:tab w:val="clear" w:pos="567"/>
              </w:tabs>
              <w:rPr>
                <w:rFonts w:eastAsia="Calibri"/>
                <w:sz w:val="22"/>
                <w:szCs w:val="22"/>
              </w:rPr>
            </w:pPr>
            <w:r w:rsidRPr="004F572A">
              <w:rPr>
                <w:rFonts w:eastAsia="Calibri"/>
                <w:sz w:val="22"/>
                <w:szCs w:val="22"/>
              </w:rPr>
              <w:lastRenderedPageBreak/>
              <w:t>Nedažn</w:t>
            </w:r>
            <w:r w:rsidR="00D05341">
              <w:rPr>
                <w:rFonts w:eastAsia="Calibri"/>
                <w:sz w:val="22"/>
                <w:szCs w:val="22"/>
              </w:rPr>
              <w:t>as</w:t>
            </w:r>
          </w:p>
        </w:tc>
        <w:tc>
          <w:tcPr>
            <w:tcW w:w="3330" w:type="dxa"/>
          </w:tcPr>
          <w:p w14:paraId="160550FB" w14:textId="18036D02" w:rsidR="008415E5" w:rsidRPr="004F572A" w:rsidRDefault="0074743C" w:rsidP="001D1B52">
            <w:pPr>
              <w:widowControl w:val="0"/>
              <w:tabs>
                <w:tab w:val="clear" w:pos="567"/>
              </w:tabs>
              <w:rPr>
                <w:rFonts w:eastAsia="Calibri"/>
                <w:sz w:val="22"/>
                <w:szCs w:val="22"/>
              </w:rPr>
            </w:pPr>
            <w:r w:rsidRPr="004F572A">
              <w:rPr>
                <w:rFonts w:eastAsia="Calibri"/>
                <w:sz w:val="22"/>
                <w:szCs w:val="22"/>
              </w:rPr>
              <w:t>Kepenų ląstelių pažaida/</w:t>
            </w:r>
            <w:proofErr w:type="spellStart"/>
            <w:r w:rsidRPr="004F572A">
              <w:rPr>
                <w:rFonts w:eastAsia="Calibri"/>
                <w:sz w:val="22"/>
                <w:szCs w:val="22"/>
              </w:rPr>
              <w:t>hepatitas</w:t>
            </w:r>
            <w:r w:rsidRPr="004F572A">
              <w:rPr>
                <w:rFonts w:eastAsia="Calibri"/>
                <w:sz w:val="22"/>
                <w:szCs w:val="22"/>
                <w:vertAlign w:val="superscript"/>
              </w:rPr>
              <w:t>m</w:t>
            </w:r>
            <w:proofErr w:type="spellEnd"/>
          </w:p>
        </w:tc>
        <w:tc>
          <w:tcPr>
            <w:tcW w:w="3485" w:type="dxa"/>
            <w:gridSpan w:val="2"/>
          </w:tcPr>
          <w:p w14:paraId="1BBE8F9B" w14:textId="06CF5404" w:rsidR="0074743C" w:rsidRPr="004F572A" w:rsidRDefault="0074743C" w:rsidP="0074743C">
            <w:pPr>
              <w:widowControl w:val="0"/>
              <w:tabs>
                <w:tab w:val="clear" w:pos="567"/>
              </w:tabs>
              <w:rPr>
                <w:rFonts w:eastAsia="Calibri"/>
                <w:sz w:val="22"/>
                <w:szCs w:val="22"/>
              </w:rPr>
            </w:pPr>
            <w:r w:rsidRPr="004F572A">
              <w:rPr>
                <w:rFonts w:eastAsia="Calibri"/>
                <w:sz w:val="22"/>
                <w:szCs w:val="22"/>
              </w:rPr>
              <w:t xml:space="preserve">Kepenų </w:t>
            </w:r>
            <w:proofErr w:type="spellStart"/>
            <w:r w:rsidRPr="004F572A">
              <w:rPr>
                <w:rFonts w:eastAsia="Calibri"/>
                <w:sz w:val="22"/>
                <w:szCs w:val="22"/>
              </w:rPr>
              <w:t>nepakankamumas</w:t>
            </w:r>
            <w:r w:rsidRPr="004F572A">
              <w:rPr>
                <w:rFonts w:eastAsia="Calibri"/>
                <w:sz w:val="22"/>
                <w:szCs w:val="22"/>
                <w:vertAlign w:val="superscript"/>
              </w:rPr>
              <w:t>k</w:t>
            </w:r>
            <w:proofErr w:type="spellEnd"/>
            <w:r w:rsidRPr="004F572A">
              <w:rPr>
                <w:rFonts w:eastAsia="Calibri"/>
                <w:sz w:val="22"/>
                <w:szCs w:val="22"/>
                <w:vertAlign w:val="superscript"/>
              </w:rPr>
              <w:t>,*</w:t>
            </w:r>
            <w:r w:rsidR="006175E4">
              <w:rPr>
                <w:rFonts w:eastAsia="Calibri"/>
                <w:sz w:val="22"/>
                <w:szCs w:val="22"/>
                <w:vertAlign w:val="superscript"/>
              </w:rPr>
              <w:t>,</w:t>
            </w:r>
            <w:r w:rsidRPr="004F572A">
              <w:rPr>
                <w:rFonts w:eastAsia="Calibri"/>
                <w:sz w:val="22"/>
                <w:szCs w:val="22"/>
                <w:vertAlign w:val="superscript"/>
              </w:rPr>
              <w:t xml:space="preserve"> †</w:t>
            </w:r>
            <w:r w:rsidRPr="004F572A">
              <w:rPr>
                <w:rFonts w:eastAsia="Calibri"/>
                <w:sz w:val="22"/>
                <w:szCs w:val="22"/>
              </w:rPr>
              <w:t xml:space="preserve"> </w:t>
            </w:r>
          </w:p>
          <w:p w14:paraId="78EA2A68" w14:textId="3376B51B" w:rsidR="0074743C" w:rsidRPr="004F572A" w:rsidRDefault="0074743C" w:rsidP="0074743C">
            <w:pPr>
              <w:widowControl w:val="0"/>
              <w:tabs>
                <w:tab w:val="clear" w:pos="567"/>
              </w:tabs>
              <w:rPr>
                <w:rFonts w:eastAsia="Calibri"/>
                <w:sz w:val="22"/>
                <w:szCs w:val="22"/>
              </w:rPr>
            </w:pPr>
            <w:r w:rsidRPr="004F572A">
              <w:rPr>
                <w:rFonts w:eastAsia="Calibri"/>
                <w:sz w:val="22"/>
                <w:szCs w:val="22"/>
              </w:rPr>
              <w:t xml:space="preserve">Kepenų </w:t>
            </w:r>
            <w:proofErr w:type="spellStart"/>
            <w:r w:rsidRPr="004F572A">
              <w:rPr>
                <w:rFonts w:eastAsia="Calibri"/>
                <w:sz w:val="22"/>
                <w:szCs w:val="22"/>
              </w:rPr>
              <w:t>encefalopatija</w:t>
            </w:r>
            <w:r w:rsidRPr="004F572A">
              <w:rPr>
                <w:rFonts w:eastAsia="Calibri"/>
                <w:sz w:val="22"/>
                <w:szCs w:val="22"/>
                <w:vertAlign w:val="superscript"/>
              </w:rPr>
              <w:t>l</w:t>
            </w:r>
            <w:proofErr w:type="spellEnd"/>
            <w:r w:rsidRPr="004F572A">
              <w:rPr>
                <w:rFonts w:eastAsia="Calibri"/>
                <w:sz w:val="22"/>
                <w:szCs w:val="22"/>
                <w:vertAlign w:val="superscript"/>
              </w:rPr>
              <w:t xml:space="preserve">,* </w:t>
            </w:r>
            <w:r w:rsidR="006175E4">
              <w:rPr>
                <w:rFonts w:eastAsia="Calibri"/>
                <w:sz w:val="22"/>
                <w:szCs w:val="22"/>
                <w:vertAlign w:val="superscript"/>
              </w:rPr>
              <w:t>,</w:t>
            </w:r>
            <w:r w:rsidRPr="004F572A">
              <w:rPr>
                <w:rFonts w:eastAsia="Calibri"/>
                <w:sz w:val="22"/>
                <w:szCs w:val="22"/>
                <w:vertAlign w:val="superscript"/>
              </w:rPr>
              <w:t>†</w:t>
            </w:r>
            <w:r w:rsidRPr="004F572A">
              <w:rPr>
                <w:rFonts w:eastAsia="Calibri"/>
                <w:sz w:val="22"/>
                <w:szCs w:val="22"/>
              </w:rPr>
              <w:t xml:space="preserve"> </w:t>
            </w:r>
          </w:p>
          <w:p w14:paraId="650068E6" w14:textId="02A40F08" w:rsidR="008415E5" w:rsidRPr="004F572A" w:rsidRDefault="0074743C" w:rsidP="000928CA">
            <w:pPr>
              <w:widowControl w:val="0"/>
              <w:tabs>
                <w:tab w:val="clear" w:pos="567"/>
              </w:tabs>
              <w:rPr>
                <w:rFonts w:eastAsia="Calibri"/>
                <w:sz w:val="22"/>
                <w:szCs w:val="22"/>
              </w:rPr>
            </w:pPr>
            <w:r w:rsidRPr="004F572A">
              <w:rPr>
                <w:rFonts w:eastAsia="Calibri"/>
                <w:sz w:val="22"/>
                <w:szCs w:val="22"/>
              </w:rPr>
              <w:t>Kepenų ląstelių paž</w:t>
            </w:r>
            <w:r w:rsidR="006175E4">
              <w:rPr>
                <w:rFonts w:eastAsia="Calibri"/>
                <w:sz w:val="22"/>
                <w:szCs w:val="22"/>
              </w:rPr>
              <w:t>eidimas</w:t>
            </w:r>
            <w:r w:rsidRPr="004F572A">
              <w:rPr>
                <w:rFonts w:eastAsia="Calibri"/>
                <w:sz w:val="22"/>
                <w:szCs w:val="22"/>
              </w:rPr>
              <w:t>/</w:t>
            </w:r>
            <w:proofErr w:type="spellStart"/>
            <w:r w:rsidRPr="004F572A">
              <w:rPr>
                <w:rFonts w:eastAsia="Calibri"/>
                <w:sz w:val="22"/>
                <w:szCs w:val="22"/>
              </w:rPr>
              <w:t>hepatitas</w:t>
            </w:r>
            <w:r w:rsidRPr="004F572A">
              <w:rPr>
                <w:rFonts w:eastAsia="Calibri"/>
                <w:sz w:val="22"/>
                <w:szCs w:val="22"/>
                <w:vertAlign w:val="superscript"/>
              </w:rPr>
              <w:t>m</w:t>
            </w:r>
            <w:proofErr w:type="spellEnd"/>
          </w:p>
        </w:tc>
      </w:tr>
      <w:tr w:rsidR="0074743C" w:rsidRPr="004F572A" w14:paraId="4E81E478" w14:textId="77777777" w:rsidTr="0074743C">
        <w:tc>
          <w:tcPr>
            <w:tcW w:w="9060" w:type="dxa"/>
            <w:gridSpan w:val="4"/>
          </w:tcPr>
          <w:p w14:paraId="5D804D2B" w14:textId="617A535D" w:rsidR="0074743C" w:rsidRPr="004F572A" w:rsidRDefault="0074743C" w:rsidP="000928CA">
            <w:pPr>
              <w:widowControl w:val="0"/>
              <w:tabs>
                <w:tab w:val="clear" w:pos="567"/>
              </w:tabs>
              <w:rPr>
                <w:rFonts w:eastAsia="Calibri"/>
                <w:b/>
                <w:bCs/>
                <w:sz w:val="22"/>
                <w:szCs w:val="22"/>
              </w:rPr>
            </w:pPr>
            <w:r w:rsidRPr="004F572A">
              <w:rPr>
                <w:rFonts w:eastAsia="Calibri"/>
                <w:b/>
                <w:bCs/>
                <w:sz w:val="22"/>
                <w:szCs w:val="22"/>
              </w:rPr>
              <w:t>Odos ir poodinio audinio sutrikimai</w:t>
            </w:r>
          </w:p>
        </w:tc>
      </w:tr>
      <w:tr w:rsidR="008415E5" w:rsidRPr="004F572A" w14:paraId="1A77A950" w14:textId="77777777" w:rsidTr="0074743C">
        <w:tc>
          <w:tcPr>
            <w:tcW w:w="2245" w:type="dxa"/>
          </w:tcPr>
          <w:p w14:paraId="08A1C3A3" w14:textId="6AE152A3" w:rsidR="008415E5" w:rsidRPr="004F572A" w:rsidRDefault="0074743C" w:rsidP="000928CA">
            <w:pPr>
              <w:widowControl w:val="0"/>
              <w:tabs>
                <w:tab w:val="clear" w:pos="567"/>
              </w:tabs>
              <w:rPr>
                <w:rFonts w:eastAsia="Calibri"/>
                <w:sz w:val="22"/>
                <w:szCs w:val="22"/>
              </w:rPr>
            </w:pPr>
            <w:r w:rsidRPr="004F572A">
              <w:rPr>
                <w:rFonts w:eastAsia="Calibri"/>
                <w:sz w:val="22"/>
                <w:szCs w:val="22"/>
              </w:rPr>
              <w:t>Labai dažn</w:t>
            </w:r>
            <w:r w:rsidR="00D05341">
              <w:rPr>
                <w:rFonts w:eastAsia="Calibri"/>
                <w:sz w:val="22"/>
                <w:szCs w:val="22"/>
              </w:rPr>
              <w:t>as</w:t>
            </w:r>
          </w:p>
        </w:tc>
        <w:tc>
          <w:tcPr>
            <w:tcW w:w="3330" w:type="dxa"/>
          </w:tcPr>
          <w:p w14:paraId="4E2693D0" w14:textId="50D443BF" w:rsidR="0074743C" w:rsidRPr="004F572A" w:rsidRDefault="0074743C" w:rsidP="0074743C">
            <w:pPr>
              <w:widowControl w:val="0"/>
              <w:tabs>
                <w:tab w:val="clear" w:pos="567"/>
              </w:tabs>
              <w:rPr>
                <w:rFonts w:eastAsia="Calibri"/>
                <w:sz w:val="22"/>
                <w:szCs w:val="22"/>
              </w:rPr>
            </w:pPr>
            <w:r w:rsidRPr="004F572A">
              <w:rPr>
                <w:rFonts w:eastAsia="Calibri"/>
                <w:sz w:val="22"/>
                <w:szCs w:val="22"/>
              </w:rPr>
              <w:t xml:space="preserve">Delnų ir padų </w:t>
            </w:r>
            <w:proofErr w:type="spellStart"/>
            <w:r w:rsidRPr="004F572A">
              <w:rPr>
                <w:rFonts w:eastAsia="Calibri"/>
                <w:sz w:val="22"/>
                <w:szCs w:val="22"/>
              </w:rPr>
              <w:t>eritrodizestezijos</w:t>
            </w:r>
            <w:proofErr w:type="spellEnd"/>
          </w:p>
          <w:p w14:paraId="05D6A689" w14:textId="2220858D" w:rsidR="0074743C" w:rsidRPr="004F572A" w:rsidRDefault="0074743C" w:rsidP="0074743C">
            <w:pPr>
              <w:widowControl w:val="0"/>
              <w:tabs>
                <w:tab w:val="clear" w:pos="567"/>
              </w:tabs>
              <w:rPr>
                <w:rFonts w:eastAsia="Calibri"/>
                <w:sz w:val="22"/>
                <w:szCs w:val="22"/>
              </w:rPr>
            </w:pPr>
            <w:r w:rsidRPr="004F572A">
              <w:rPr>
                <w:rFonts w:eastAsia="Calibri"/>
                <w:sz w:val="22"/>
                <w:szCs w:val="22"/>
              </w:rPr>
              <w:t>sindromas</w:t>
            </w:r>
          </w:p>
          <w:p w14:paraId="0C35E0F0" w14:textId="77777777" w:rsidR="0074743C" w:rsidRPr="004F572A" w:rsidRDefault="0074743C" w:rsidP="0074743C">
            <w:pPr>
              <w:widowControl w:val="0"/>
              <w:tabs>
                <w:tab w:val="clear" w:pos="567"/>
              </w:tabs>
              <w:rPr>
                <w:rFonts w:eastAsia="Calibri"/>
                <w:sz w:val="22"/>
                <w:szCs w:val="22"/>
              </w:rPr>
            </w:pPr>
            <w:r w:rsidRPr="004F572A">
              <w:rPr>
                <w:rFonts w:eastAsia="Calibri"/>
                <w:sz w:val="22"/>
                <w:szCs w:val="22"/>
              </w:rPr>
              <w:t xml:space="preserve">Išbėrimas </w:t>
            </w:r>
          </w:p>
          <w:p w14:paraId="40DB0B3F" w14:textId="3C613DDC" w:rsidR="008415E5" w:rsidRPr="004F572A" w:rsidRDefault="00D97121" w:rsidP="0074743C">
            <w:pPr>
              <w:widowControl w:val="0"/>
              <w:tabs>
                <w:tab w:val="clear" w:pos="567"/>
              </w:tabs>
              <w:rPr>
                <w:rFonts w:eastAsia="Calibri"/>
                <w:sz w:val="22"/>
                <w:szCs w:val="22"/>
              </w:rPr>
            </w:pPr>
            <w:proofErr w:type="spellStart"/>
            <w:r>
              <w:rPr>
                <w:rFonts w:eastAsia="Calibri"/>
                <w:sz w:val="22"/>
                <w:szCs w:val="22"/>
              </w:rPr>
              <w:t>Alopecija</w:t>
            </w:r>
            <w:proofErr w:type="spellEnd"/>
          </w:p>
        </w:tc>
        <w:tc>
          <w:tcPr>
            <w:tcW w:w="3485" w:type="dxa"/>
            <w:gridSpan w:val="2"/>
          </w:tcPr>
          <w:p w14:paraId="2121B83D" w14:textId="77777777" w:rsidR="008415E5" w:rsidRDefault="0074743C" w:rsidP="0074743C">
            <w:pPr>
              <w:widowControl w:val="0"/>
              <w:tabs>
                <w:tab w:val="clear" w:pos="567"/>
              </w:tabs>
              <w:rPr>
                <w:rFonts w:eastAsia="Calibri"/>
                <w:sz w:val="22"/>
                <w:szCs w:val="22"/>
              </w:rPr>
            </w:pPr>
            <w:r w:rsidRPr="004F572A">
              <w:rPr>
                <w:rFonts w:eastAsia="Calibri"/>
                <w:sz w:val="22"/>
                <w:szCs w:val="22"/>
              </w:rPr>
              <w:t xml:space="preserve">Delnų ir padų </w:t>
            </w:r>
            <w:proofErr w:type="spellStart"/>
            <w:r w:rsidRPr="004F572A">
              <w:rPr>
                <w:rFonts w:eastAsia="Calibri"/>
                <w:sz w:val="22"/>
                <w:szCs w:val="22"/>
              </w:rPr>
              <w:t>eritrodizestezijos</w:t>
            </w:r>
            <w:proofErr w:type="spellEnd"/>
            <w:r w:rsidRPr="004F572A">
              <w:rPr>
                <w:rFonts w:eastAsia="Calibri"/>
                <w:sz w:val="22"/>
                <w:szCs w:val="22"/>
              </w:rPr>
              <w:t xml:space="preserve"> sindromas</w:t>
            </w:r>
          </w:p>
          <w:p w14:paraId="2E4B5138" w14:textId="02582B23" w:rsidR="006175E4" w:rsidRPr="004F572A" w:rsidRDefault="006175E4" w:rsidP="0074743C">
            <w:pPr>
              <w:widowControl w:val="0"/>
              <w:tabs>
                <w:tab w:val="clear" w:pos="567"/>
              </w:tabs>
              <w:rPr>
                <w:rFonts w:eastAsia="Calibri"/>
                <w:sz w:val="22"/>
                <w:szCs w:val="22"/>
              </w:rPr>
            </w:pPr>
            <w:r>
              <w:rPr>
                <w:rFonts w:eastAsia="Calibri"/>
                <w:sz w:val="22"/>
                <w:szCs w:val="22"/>
              </w:rPr>
              <w:t>Išbėrimas</w:t>
            </w:r>
          </w:p>
        </w:tc>
      </w:tr>
      <w:tr w:rsidR="008415E5" w:rsidRPr="004F572A" w14:paraId="3D8CD62F" w14:textId="77777777" w:rsidTr="0074743C">
        <w:tc>
          <w:tcPr>
            <w:tcW w:w="2245" w:type="dxa"/>
          </w:tcPr>
          <w:p w14:paraId="2191F0D9" w14:textId="612C21EA" w:rsidR="008415E5" w:rsidRPr="004F572A" w:rsidRDefault="00D15317" w:rsidP="000928CA">
            <w:pPr>
              <w:widowControl w:val="0"/>
              <w:tabs>
                <w:tab w:val="clear" w:pos="567"/>
              </w:tabs>
              <w:rPr>
                <w:rFonts w:eastAsia="Calibri"/>
                <w:sz w:val="22"/>
                <w:szCs w:val="22"/>
              </w:rPr>
            </w:pPr>
            <w:r w:rsidRPr="004F572A">
              <w:rPr>
                <w:rFonts w:eastAsia="Calibri"/>
                <w:sz w:val="22"/>
                <w:szCs w:val="22"/>
              </w:rPr>
              <w:t>Dažn</w:t>
            </w:r>
            <w:r w:rsidR="00D05341">
              <w:rPr>
                <w:rFonts w:eastAsia="Calibri"/>
                <w:sz w:val="22"/>
                <w:szCs w:val="22"/>
              </w:rPr>
              <w:t>as</w:t>
            </w:r>
          </w:p>
        </w:tc>
        <w:tc>
          <w:tcPr>
            <w:tcW w:w="3330" w:type="dxa"/>
          </w:tcPr>
          <w:p w14:paraId="76D16ADA" w14:textId="77D23C01" w:rsidR="008415E5" w:rsidRPr="004F572A" w:rsidRDefault="00D15317" w:rsidP="001D1B52">
            <w:pPr>
              <w:widowControl w:val="0"/>
              <w:tabs>
                <w:tab w:val="clear" w:pos="567"/>
              </w:tabs>
              <w:rPr>
                <w:rFonts w:eastAsia="Calibri"/>
                <w:sz w:val="22"/>
                <w:szCs w:val="22"/>
              </w:rPr>
            </w:pPr>
            <w:proofErr w:type="spellStart"/>
            <w:r w:rsidRPr="004F572A">
              <w:rPr>
                <w:rFonts w:eastAsia="Calibri"/>
                <w:sz w:val="22"/>
                <w:szCs w:val="22"/>
              </w:rPr>
              <w:t>Hiperkeratozė</w:t>
            </w:r>
            <w:proofErr w:type="spellEnd"/>
          </w:p>
        </w:tc>
        <w:tc>
          <w:tcPr>
            <w:tcW w:w="3485" w:type="dxa"/>
            <w:gridSpan w:val="2"/>
          </w:tcPr>
          <w:p w14:paraId="5AFD2BF9" w14:textId="751DF1BC" w:rsidR="008415E5" w:rsidRPr="004F572A" w:rsidRDefault="006175E4" w:rsidP="000928CA">
            <w:pPr>
              <w:widowControl w:val="0"/>
              <w:tabs>
                <w:tab w:val="clear" w:pos="567"/>
              </w:tabs>
              <w:rPr>
                <w:rFonts w:eastAsia="Calibri"/>
                <w:sz w:val="22"/>
                <w:szCs w:val="22"/>
              </w:rPr>
            </w:pPr>
            <w:proofErr w:type="spellStart"/>
            <w:r>
              <w:rPr>
                <w:rFonts w:eastAsia="Calibri"/>
                <w:sz w:val="22"/>
                <w:szCs w:val="22"/>
              </w:rPr>
              <w:t>Alopecija</w:t>
            </w:r>
            <w:proofErr w:type="spellEnd"/>
          </w:p>
        </w:tc>
      </w:tr>
      <w:tr w:rsidR="008415E5" w:rsidRPr="004F572A" w14:paraId="1923537E" w14:textId="77777777" w:rsidTr="0074743C">
        <w:tc>
          <w:tcPr>
            <w:tcW w:w="2245" w:type="dxa"/>
          </w:tcPr>
          <w:p w14:paraId="68D2ED36" w14:textId="18CFB070" w:rsidR="008415E5" w:rsidRPr="004F572A" w:rsidRDefault="00D15317" w:rsidP="000928CA">
            <w:pPr>
              <w:widowControl w:val="0"/>
              <w:tabs>
                <w:tab w:val="clear" w:pos="567"/>
              </w:tabs>
              <w:rPr>
                <w:rFonts w:eastAsia="Calibri"/>
                <w:sz w:val="22"/>
                <w:szCs w:val="22"/>
              </w:rPr>
            </w:pPr>
            <w:r w:rsidRPr="004F572A">
              <w:rPr>
                <w:rFonts w:eastAsia="Calibri"/>
                <w:sz w:val="22"/>
                <w:szCs w:val="22"/>
              </w:rPr>
              <w:t>Nedažn</w:t>
            </w:r>
            <w:r w:rsidR="00D05341">
              <w:rPr>
                <w:rFonts w:eastAsia="Calibri"/>
                <w:sz w:val="22"/>
                <w:szCs w:val="22"/>
              </w:rPr>
              <w:t>as</w:t>
            </w:r>
          </w:p>
        </w:tc>
        <w:tc>
          <w:tcPr>
            <w:tcW w:w="3330" w:type="dxa"/>
          </w:tcPr>
          <w:p w14:paraId="7EE31445" w14:textId="77777777" w:rsidR="008415E5" w:rsidRPr="004F572A" w:rsidRDefault="008415E5" w:rsidP="001D1B52">
            <w:pPr>
              <w:widowControl w:val="0"/>
              <w:tabs>
                <w:tab w:val="clear" w:pos="567"/>
              </w:tabs>
              <w:rPr>
                <w:rFonts w:eastAsia="Calibri"/>
                <w:sz w:val="22"/>
                <w:szCs w:val="22"/>
              </w:rPr>
            </w:pPr>
          </w:p>
        </w:tc>
        <w:tc>
          <w:tcPr>
            <w:tcW w:w="3485" w:type="dxa"/>
            <w:gridSpan w:val="2"/>
          </w:tcPr>
          <w:p w14:paraId="688D8B3B" w14:textId="236930AE" w:rsidR="008415E5" w:rsidRPr="004F572A" w:rsidRDefault="00D15317" w:rsidP="000928CA">
            <w:pPr>
              <w:widowControl w:val="0"/>
              <w:tabs>
                <w:tab w:val="clear" w:pos="567"/>
              </w:tabs>
              <w:rPr>
                <w:rFonts w:eastAsia="Calibri"/>
                <w:sz w:val="22"/>
                <w:szCs w:val="22"/>
              </w:rPr>
            </w:pPr>
            <w:proofErr w:type="spellStart"/>
            <w:r w:rsidRPr="004F572A">
              <w:rPr>
                <w:rFonts w:eastAsia="Calibri"/>
                <w:sz w:val="22"/>
                <w:szCs w:val="22"/>
              </w:rPr>
              <w:t>Hiperkeratozė</w:t>
            </w:r>
            <w:proofErr w:type="spellEnd"/>
          </w:p>
        </w:tc>
      </w:tr>
      <w:tr w:rsidR="00D15317" w:rsidRPr="004F572A" w14:paraId="7CC339D2" w14:textId="77777777" w:rsidTr="00D15317">
        <w:tc>
          <w:tcPr>
            <w:tcW w:w="9060" w:type="dxa"/>
            <w:gridSpan w:val="4"/>
          </w:tcPr>
          <w:p w14:paraId="34022C62" w14:textId="60E9F7E3" w:rsidR="00D15317" w:rsidRPr="004F572A" w:rsidRDefault="00D15317" w:rsidP="000928CA">
            <w:pPr>
              <w:widowControl w:val="0"/>
              <w:tabs>
                <w:tab w:val="clear" w:pos="567"/>
              </w:tabs>
              <w:rPr>
                <w:rFonts w:eastAsia="Calibri"/>
                <w:b/>
                <w:bCs/>
                <w:sz w:val="22"/>
                <w:szCs w:val="22"/>
              </w:rPr>
            </w:pPr>
            <w:r w:rsidRPr="004F572A">
              <w:rPr>
                <w:rFonts w:eastAsia="Calibri"/>
                <w:b/>
                <w:bCs/>
                <w:sz w:val="22"/>
                <w:szCs w:val="22"/>
              </w:rPr>
              <w:t>Skeleto, raumenų ir jungiamojo audinio sutrikimai</w:t>
            </w:r>
          </w:p>
        </w:tc>
      </w:tr>
      <w:tr w:rsidR="00D15317" w:rsidRPr="004F572A" w14:paraId="4CFE13E2" w14:textId="77777777" w:rsidTr="0074743C">
        <w:tc>
          <w:tcPr>
            <w:tcW w:w="2245" w:type="dxa"/>
          </w:tcPr>
          <w:p w14:paraId="10ED6D9A" w14:textId="72B064F8" w:rsidR="00D15317" w:rsidRPr="004F572A" w:rsidRDefault="00D15317" w:rsidP="000928CA">
            <w:pPr>
              <w:widowControl w:val="0"/>
              <w:tabs>
                <w:tab w:val="clear" w:pos="567"/>
              </w:tabs>
              <w:rPr>
                <w:rFonts w:eastAsia="Calibri"/>
                <w:sz w:val="22"/>
                <w:szCs w:val="22"/>
              </w:rPr>
            </w:pPr>
            <w:r w:rsidRPr="004F572A">
              <w:rPr>
                <w:rFonts w:eastAsia="Calibri"/>
                <w:sz w:val="22"/>
                <w:szCs w:val="22"/>
              </w:rPr>
              <w:t>Labai dažn</w:t>
            </w:r>
            <w:r w:rsidR="00D05341">
              <w:rPr>
                <w:rFonts w:eastAsia="Calibri"/>
                <w:sz w:val="22"/>
                <w:szCs w:val="22"/>
              </w:rPr>
              <w:t>as</w:t>
            </w:r>
          </w:p>
        </w:tc>
        <w:tc>
          <w:tcPr>
            <w:tcW w:w="3330" w:type="dxa"/>
          </w:tcPr>
          <w:p w14:paraId="694FF976" w14:textId="2733A28F" w:rsidR="00D15317" w:rsidRPr="004F572A" w:rsidRDefault="00D15317" w:rsidP="00D15317">
            <w:pPr>
              <w:widowControl w:val="0"/>
              <w:tabs>
                <w:tab w:val="clear" w:pos="567"/>
              </w:tabs>
              <w:rPr>
                <w:rFonts w:eastAsia="Calibri"/>
                <w:sz w:val="22"/>
                <w:szCs w:val="22"/>
              </w:rPr>
            </w:pPr>
            <w:r w:rsidRPr="004F572A">
              <w:rPr>
                <w:rFonts w:eastAsia="Calibri"/>
                <w:sz w:val="22"/>
                <w:szCs w:val="22"/>
              </w:rPr>
              <w:t xml:space="preserve">Nugaros skausmas </w:t>
            </w:r>
          </w:p>
          <w:p w14:paraId="3C2207BF" w14:textId="18829E76" w:rsidR="00D15317" w:rsidRPr="004F572A" w:rsidRDefault="00D15317" w:rsidP="00D15317">
            <w:pPr>
              <w:widowControl w:val="0"/>
              <w:tabs>
                <w:tab w:val="clear" w:pos="567"/>
              </w:tabs>
              <w:rPr>
                <w:rFonts w:eastAsia="Calibri"/>
                <w:sz w:val="22"/>
                <w:szCs w:val="22"/>
              </w:rPr>
            </w:pPr>
            <w:proofErr w:type="spellStart"/>
            <w:r w:rsidRPr="004F572A">
              <w:rPr>
                <w:rFonts w:eastAsia="Calibri"/>
                <w:sz w:val="22"/>
                <w:szCs w:val="22"/>
              </w:rPr>
              <w:t>Artralgija</w:t>
            </w:r>
            <w:proofErr w:type="spellEnd"/>
            <w:r w:rsidRPr="004F572A">
              <w:rPr>
                <w:rFonts w:eastAsia="Calibri"/>
                <w:sz w:val="22"/>
                <w:szCs w:val="22"/>
              </w:rPr>
              <w:t xml:space="preserve"> </w:t>
            </w:r>
          </w:p>
          <w:p w14:paraId="0090091A" w14:textId="2761AD55" w:rsidR="00D15317" w:rsidRPr="004F572A" w:rsidRDefault="00D15317" w:rsidP="00D15317">
            <w:pPr>
              <w:widowControl w:val="0"/>
              <w:tabs>
                <w:tab w:val="clear" w:pos="567"/>
              </w:tabs>
              <w:rPr>
                <w:rFonts w:eastAsia="Calibri"/>
                <w:sz w:val="22"/>
                <w:szCs w:val="22"/>
              </w:rPr>
            </w:pPr>
            <w:proofErr w:type="spellStart"/>
            <w:r w:rsidRPr="004F572A">
              <w:rPr>
                <w:rFonts w:eastAsia="Calibri"/>
                <w:sz w:val="22"/>
                <w:szCs w:val="22"/>
              </w:rPr>
              <w:t>Mialgija</w:t>
            </w:r>
            <w:proofErr w:type="spellEnd"/>
            <w:r w:rsidRPr="004F572A">
              <w:rPr>
                <w:rFonts w:eastAsia="Calibri"/>
                <w:sz w:val="22"/>
                <w:szCs w:val="22"/>
              </w:rPr>
              <w:t xml:space="preserve"> </w:t>
            </w:r>
          </w:p>
          <w:p w14:paraId="30B9CE56" w14:textId="769C4DD0" w:rsidR="00D15317" w:rsidRPr="004F572A" w:rsidRDefault="00D15317" w:rsidP="00D15317">
            <w:pPr>
              <w:widowControl w:val="0"/>
              <w:tabs>
                <w:tab w:val="clear" w:pos="567"/>
              </w:tabs>
              <w:rPr>
                <w:rFonts w:eastAsia="Calibri"/>
                <w:sz w:val="22"/>
                <w:szCs w:val="22"/>
              </w:rPr>
            </w:pPr>
            <w:r w:rsidRPr="004F572A">
              <w:rPr>
                <w:rFonts w:eastAsia="Calibri"/>
                <w:sz w:val="22"/>
                <w:szCs w:val="22"/>
              </w:rPr>
              <w:t xml:space="preserve">Galūnių skausmas </w:t>
            </w:r>
          </w:p>
          <w:p w14:paraId="7F92581A" w14:textId="632D934E" w:rsidR="00D15317" w:rsidRPr="004F572A" w:rsidRDefault="00D15317" w:rsidP="00D15317">
            <w:pPr>
              <w:widowControl w:val="0"/>
              <w:tabs>
                <w:tab w:val="clear" w:pos="567"/>
              </w:tabs>
              <w:rPr>
                <w:rFonts w:eastAsia="Calibri"/>
                <w:sz w:val="22"/>
                <w:szCs w:val="22"/>
              </w:rPr>
            </w:pPr>
            <w:r w:rsidRPr="004F572A">
              <w:rPr>
                <w:rFonts w:eastAsia="Calibri"/>
                <w:sz w:val="22"/>
                <w:szCs w:val="22"/>
              </w:rPr>
              <w:t>Skeleto ir raumenų skausmas</w:t>
            </w:r>
          </w:p>
        </w:tc>
        <w:tc>
          <w:tcPr>
            <w:tcW w:w="3485" w:type="dxa"/>
            <w:gridSpan w:val="2"/>
          </w:tcPr>
          <w:p w14:paraId="524748EC" w14:textId="77777777" w:rsidR="00D15317" w:rsidRPr="004F572A" w:rsidRDefault="00D15317" w:rsidP="00D15317">
            <w:pPr>
              <w:widowControl w:val="0"/>
              <w:tabs>
                <w:tab w:val="clear" w:pos="567"/>
              </w:tabs>
              <w:rPr>
                <w:rFonts w:eastAsia="Calibri"/>
                <w:sz w:val="22"/>
                <w:szCs w:val="22"/>
              </w:rPr>
            </w:pPr>
            <w:r w:rsidRPr="004F572A">
              <w:rPr>
                <w:rFonts w:eastAsia="Calibri"/>
                <w:sz w:val="22"/>
                <w:szCs w:val="22"/>
              </w:rPr>
              <w:t xml:space="preserve">Nugaros skausmas </w:t>
            </w:r>
          </w:p>
          <w:p w14:paraId="76F0FE5B" w14:textId="77777777" w:rsidR="00D15317" w:rsidRPr="004F572A" w:rsidRDefault="00D15317" w:rsidP="00D15317">
            <w:pPr>
              <w:widowControl w:val="0"/>
              <w:tabs>
                <w:tab w:val="clear" w:pos="567"/>
              </w:tabs>
              <w:rPr>
                <w:rFonts w:eastAsia="Calibri"/>
                <w:sz w:val="22"/>
                <w:szCs w:val="22"/>
              </w:rPr>
            </w:pPr>
            <w:proofErr w:type="spellStart"/>
            <w:r w:rsidRPr="004F572A">
              <w:rPr>
                <w:rFonts w:eastAsia="Calibri"/>
                <w:sz w:val="22"/>
                <w:szCs w:val="22"/>
              </w:rPr>
              <w:t>Artralgija</w:t>
            </w:r>
            <w:proofErr w:type="spellEnd"/>
            <w:r w:rsidRPr="004F572A">
              <w:rPr>
                <w:rFonts w:eastAsia="Calibri"/>
                <w:sz w:val="22"/>
                <w:szCs w:val="22"/>
              </w:rPr>
              <w:t xml:space="preserve"> </w:t>
            </w:r>
          </w:p>
          <w:p w14:paraId="3CB31F94" w14:textId="77777777" w:rsidR="00D15317" w:rsidRPr="004F572A" w:rsidRDefault="00D15317" w:rsidP="00D15317">
            <w:pPr>
              <w:widowControl w:val="0"/>
              <w:tabs>
                <w:tab w:val="clear" w:pos="567"/>
              </w:tabs>
              <w:rPr>
                <w:rFonts w:eastAsia="Calibri"/>
                <w:sz w:val="22"/>
                <w:szCs w:val="22"/>
              </w:rPr>
            </w:pPr>
            <w:proofErr w:type="spellStart"/>
            <w:r w:rsidRPr="004F572A">
              <w:rPr>
                <w:rFonts w:eastAsia="Calibri"/>
                <w:sz w:val="22"/>
                <w:szCs w:val="22"/>
              </w:rPr>
              <w:t>Mialgija</w:t>
            </w:r>
            <w:proofErr w:type="spellEnd"/>
            <w:r w:rsidRPr="004F572A">
              <w:rPr>
                <w:rFonts w:eastAsia="Calibri"/>
                <w:sz w:val="22"/>
                <w:szCs w:val="22"/>
              </w:rPr>
              <w:t xml:space="preserve"> </w:t>
            </w:r>
          </w:p>
          <w:p w14:paraId="2C4ACF43" w14:textId="780A42D7" w:rsidR="00D15317" w:rsidRPr="004F572A" w:rsidRDefault="00D15317" w:rsidP="00D15317">
            <w:pPr>
              <w:widowControl w:val="0"/>
              <w:tabs>
                <w:tab w:val="clear" w:pos="567"/>
              </w:tabs>
              <w:rPr>
                <w:rFonts w:eastAsia="Calibri"/>
                <w:sz w:val="22"/>
                <w:szCs w:val="22"/>
              </w:rPr>
            </w:pPr>
            <w:r w:rsidRPr="004F572A">
              <w:rPr>
                <w:rFonts w:eastAsia="Calibri"/>
                <w:sz w:val="22"/>
                <w:szCs w:val="22"/>
              </w:rPr>
              <w:t>Galūnių skausmas</w:t>
            </w:r>
          </w:p>
        </w:tc>
      </w:tr>
      <w:tr w:rsidR="00D15317" w:rsidRPr="004F572A" w14:paraId="223D8D91" w14:textId="77777777" w:rsidTr="0074743C">
        <w:tc>
          <w:tcPr>
            <w:tcW w:w="2245" w:type="dxa"/>
          </w:tcPr>
          <w:p w14:paraId="6033B904" w14:textId="741E6558" w:rsidR="00D15317" w:rsidRPr="004F572A" w:rsidRDefault="00D15317" w:rsidP="000928CA">
            <w:pPr>
              <w:widowControl w:val="0"/>
              <w:tabs>
                <w:tab w:val="clear" w:pos="567"/>
              </w:tabs>
              <w:rPr>
                <w:rFonts w:eastAsia="Calibri"/>
                <w:sz w:val="22"/>
                <w:szCs w:val="22"/>
              </w:rPr>
            </w:pPr>
            <w:r w:rsidRPr="004F572A">
              <w:rPr>
                <w:rFonts w:eastAsia="Calibri"/>
                <w:sz w:val="22"/>
                <w:szCs w:val="22"/>
              </w:rPr>
              <w:t>Dažn</w:t>
            </w:r>
            <w:r w:rsidR="00D05341">
              <w:rPr>
                <w:rFonts w:eastAsia="Calibri"/>
                <w:sz w:val="22"/>
                <w:szCs w:val="22"/>
              </w:rPr>
              <w:t>as</w:t>
            </w:r>
          </w:p>
        </w:tc>
        <w:tc>
          <w:tcPr>
            <w:tcW w:w="3330" w:type="dxa"/>
          </w:tcPr>
          <w:p w14:paraId="3B4DB2B5" w14:textId="77777777" w:rsidR="00D15317" w:rsidRPr="004F572A" w:rsidRDefault="00D15317" w:rsidP="001D1B52">
            <w:pPr>
              <w:widowControl w:val="0"/>
              <w:tabs>
                <w:tab w:val="clear" w:pos="567"/>
              </w:tabs>
              <w:rPr>
                <w:rFonts w:eastAsia="Calibri"/>
                <w:sz w:val="22"/>
                <w:szCs w:val="22"/>
              </w:rPr>
            </w:pPr>
          </w:p>
        </w:tc>
        <w:tc>
          <w:tcPr>
            <w:tcW w:w="3485" w:type="dxa"/>
            <w:gridSpan w:val="2"/>
          </w:tcPr>
          <w:p w14:paraId="2ECDA4F1" w14:textId="1397C893" w:rsidR="00D15317" w:rsidRPr="004F572A" w:rsidRDefault="00D15317" w:rsidP="000928CA">
            <w:pPr>
              <w:widowControl w:val="0"/>
              <w:tabs>
                <w:tab w:val="clear" w:pos="567"/>
              </w:tabs>
              <w:rPr>
                <w:rFonts w:eastAsia="Calibri"/>
                <w:sz w:val="22"/>
                <w:szCs w:val="22"/>
              </w:rPr>
            </w:pPr>
            <w:r w:rsidRPr="004F572A">
              <w:rPr>
                <w:rFonts w:eastAsia="Calibri"/>
                <w:sz w:val="22"/>
                <w:szCs w:val="22"/>
              </w:rPr>
              <w:t>Skeleto ir raumenų skausmas</w:t>
            </w:r>
          </w:p>
        </w:tc>
      </w:tr>
      <w:tr w:rsidR="00D15317" w:rsidRPr="004F572A" w14:paraId="5DC70F61" w14:textId="77777777" w:rsidTr="0074743C">
        <w:tc>
          <w:tcPr>
            <w:tcW w:w="2245" w:type="dxa"/>
          </w:tcPr>
          <w:p w14:paraId="1660BD0B" w14:textId="4D22C67F" w:rsidR="00D15317" w:rsidRPr="004F572A" w:rsidRDefault="00D15317" w:rsidP="000928CA">
            <w:pPr>
              <w:widowControl w:val="0"/>
              <w:tabs>
                <w:tab w:val="clear" w:pos="567"/>
              </w:tabs>
              <w:rPr>
                <w:rFonts w:eastAsia="Calibri"/>
                <w:sz w:val="22"/>
                <w:szCs w:val="22"/>
              </w:rPr>
            </w:pPr>
            <w:r w:rsidRPr="004F572A">
              <w:rPr>
                <w:rFonts w:eastAsia="Calibri"/>
                <w:sz w:val="22"/>
                <w:szCs w:val="22"/>
              </w:rPr>
              <w:t>Nedažn</w:t>
            </w:r>
            <w:r w:rsidR="00D05341">
              <w:rPr>
                <w:rFonts w:eastAsia="Calibri"/>
                <w:sz w:val="22"/>
                <w:szCs w:val="22"/>
              </w:rPr>
              <w:t>as</w:t>
            </w:r>
          </w:p>
        </w:tc>
        <w:tc>
          <w:tcPr>
            <w:tcW w:w="3330" w:type="dxa"/>
          </w:tcPr>
          <w:p w14:paraId="184104DF" w14:textId="0139862D" w:rsidR="00D15317" w:rsidRPr="004F572A" w:rsidRDefault="00D15317" w:rsidP="001D1B52">
            <w:pPr>
              <w:widowControl w:val="0"/>
              <w:tabs>
                <w:tab w:val="clear" w:pos="567"/>
              </w:tabs>
              <w:rPr>
                <w:rFonts w:eastAsia="Calibri"/>
                <w:sz w:val="22"/>
                <w:szCs w:val="22"/>
              </w:rPr>
            </w:pPr>
            <w:r w:rsidRPr="004F572A">
              <w:rPr>
                <w:rFonts w:eastAsia="Calibri"/>
                <w:sz w:val="22"/>
                <w:szCs w:val="22"/>
              </w:rPr>
              <w:t xml:space="preserve">Žandikaulio </w:t>
            </w:r>
            <w:proofErr w:type="spellStart"/>
            <w:r w:rsidRPr="004F572A">
              <w:rPr>
                <w:rFonts w:eastAsia="Calibri"/>
                <w:sz w:val="22"/>
                <w:szCs w:val="22"/>
              </w:rPr>
              <w:t>osteonekrozė</w:t>
            </w:r>
            <w:proofErr w:type="spellEnd"/>
          </w:p>
        </w:tc>
        <w:tc>
          <w:tcPr>
            <w:tcW w:w="3485" w:type="dxa"/>
            <w:gridSpan w:val="2"/>
          </w:tcPr>
          <w:p w14:paraId="1164A97E" w14:textId="77777777" w:rsidR="00D15317" w:rsidRPr="004F572A" w:rsidRDefault="00D15317" w:rsidP="000928CA">
            <w:pPr>
              <w:widowControl w:val="0"/>
              <w:tabs>
                <w:tab w:val="clear" w:pos="567"/>
              </w:tabs>
              <w:rPr>
                <w:rFonts w:eastAsia="Calibri"/>
                <w:sz w:val="22"/>
                <w:szCs w:val="22"/>
              </w:rPr>
            </w:pPr>
          </w:p>
        </w:tc>
      </w:tr>
      <w:tr w:rsidR="00D15317" w:rsidRPr="004F572A" w14:paraId="01C0F0FA" w14:textId="77777777" w:rsidTr="00D15317">
        <w:tc>
          <w:tcPr>
            <w:tcW w:w="9060" w:type="dxa"/>
            <w:gridSpan w:val="4"/>
          </w:tcPr>
          <w:p w14:paraId="73A39B00" w14:textId="1AE070C4" w:rsidR="00D15317" w:rsidRPr="004F572A" w:rsidRDefault="00D15317" w:rsidP="000928CA">
            <w:pPr>
              <w:widowControl w:val="0"/>
              <w:tabs>
                <w:tab w:val="clear" w:pos="567"/>
              </w:tabs>
              <w:rPr>
                <w:rFonts w:eastAsia="Calibri"/>
                <w:b/>
                <w:bCs/>
                <w:sz w:val="22"/>
                <w:szCs w:val="22"/>
              </w:rPr>
            </w:pPr>
            <w:r w:rsidRPr="004F572A">
              <w:rPr>
                <w:rFonts w:eastAsia="Calibri"/>
                <w:b/>
                <w:bCs/>
                <w:sz w:val="22"/>
                <w:szCs w:val="22"/>
              </w:rPr>
              <w:t>Inkstų ir šlapimo takų sutrikimai</w:t>
            </w:r>
          </w:p>
        </w:tc>
      </w:tr>
      <w:tr w:rsidR="00D15317" w:rsidRPr="004F572A" w14:paraId="055A3DAA" w14:textId="77777777" w:rsidTr="0074743C">
        <w:tc>
          <w:tcPr>
            <w:tcW w:w="2245" w:type="dxa"/>
          </w:tcPr>
          <w:p w14:paraId="32304A5E" w14:textId="4A25D4C5" w:rsidR="00D15317" w:rsidRPr="004F572A" w:rsidRDefault="00D15317" w:rsidP="00D15317">
            <w:pPr>
              <w:widowControl w:val="0"/>
              <w:tabs>
                <w:tab w:val="clear" w:pos="567"/>
              </w:tabs>
              <w:rPr>
                <w:rFonts w:eastAsia="Calibri"/>
                <w:sz w:val="22"/>
                <w:szCs w:val="22"/>
              </w:rPr>
            </w:pPr>
            <w:r w:rsidRPr="004F572A">
              <w:rPr>
                <w:rFonts w:eastAsia="Calibri"/>
                <w:sz w:val="22"/>
                <w:szCs w:val="22"/>
              </w:rPr>
              <w:t>Labai dažn</w:t>
            </w:r>
            <w:r w:rsidR="00D05341">
              <w:rPr>
                <w:rFonts w:eastAsia="Calibri"/>
                <w:sz w:val="22"/>
                <w:szCs w:val="22"/>
              </w:rPr>
              <w:t>as</w:t>
            </w:r>
          </w:p>
        </w:tc>
        <w:tc>
          <w:tcPr>
            <w:tcW w:w="3330" w:type="dxa"/>
          </w:tcPr>
          <w:p w14:paraId="6E0F4C6F" w14:textId="1A3C7EDF" w:rsidR="00F73A9E" w:rsidRPr="004F572A" w:rsidRDefault="00F73A9E" w:rsidP="00F73A9E">
            <w:pPr>
              <w:widowControl w:val="0"/>
              <w:tabs>
                <w:tab w:val="clear" w:pos="567"/>
              </w:tabs>
              <w:rPr>
                <w:rFonts w:eastAsia="Calibri"/>
                <w:sz w:val="22"/>
                <w:szCs w:val="22"/>
              </w:rPr>
            </w:pPr>
            <w:proofErr w:type="spellStart"/>
            <w:r w:rsidRPr="004F572A">
              <w:rPr>
                <w:rFonts w:eastAsia="Calibri"/>
                <w:sz w:val="22"/>
                <w:szCs w:val="22"/>
              </w:rPr>
              <w:t>Proteinurija</w:t>
            </w:r>
            <w:proofErr w:type="spellEnd"/>
            <w:r w:rsidRPr="004F572A">
              <w:rPr>
                <w:rFonts w:eastAsia="Calibri"/>
                <w:sz w:val="22"/>
                <w:szCs w:val="22"/>
              </w:rPr>
              <w:t xml:space="preserve">* </w:t>
            </w:r>
          </w:p>
          <w:p w14:paraId="01A1D344" w14:textId="5BF43203" w:rsidR="00D15317" w:rsidRPr="004F572A" w:rsidRDefault="00F73A9E" w:rsidP="00F73A9E">
            <w:pPr>
              <w:widowControl w:val="0"/>
              <w:tabs>
                <w:tab w:val="clear" w:pos="567"/>
              </w:tabs>
              <w:rPr>
                <w:rFonts w:eastAsia="Calibri"/>
                <w:sz w:val="22"/>
                <w:szCs w:val="22"/>
              </w:rPr>
            </w:pPr>
            <w:r w:rsidRPr="004F572A">
              <w:rPr>
                <w:rFonts w:eastAsia="Calibri"/>
                <w:sz w:val="22"/>
                <w:szCs w:val="22"/>
              </w:rPr>
              <w:t>Padidėjęs kreatinino kiekis kraujyje</w:t>
            </w:r>
            <w:r w:rsidRPr="004F572A">
              <w:rPr>
                <w:rFonts w:eastAsia="Calibri"/>
                <w:sz w:val="22"/>
                <w:szCs w:val="22"/>
                <w:vertAlign w:val="superscript"/>
              </w:rPr>
              <w:t>‡</w:t>
            </w:r>
          </w:p>
        </w:tc>
        <w:tc>
          <w:tcPr>
            <w:tcW w:w="3485" w:type="dxa"/>
            <w:gridSpan w:val="2"/>
          </w:tcPr>
          <w:p w14:paraId="48465C28" w14:textId="77777777" w:rsidR="00D15317" w:rsidRPr="004F572A" w:rsidRDefault="00F73A9E" w:rsidP="00D15317">
            <w:pPr>
              <w:widowControl w:val="0"/>
              <w:tabs>
                <w:tab w:val="clear" w:pos="567"/>
              </w:tabs>
              <w:rPr>
                <w:rFonts w:eastAsia="Calibri"/>
                <w:sz w:val="22"/>
                <w:szCs w:val="22"/>
              </w:rPr>
            </w:pPr>
            <w:proofErr w:type="spellStart"/>
            <w:r w:rsidRPr="004F572A">
              <w:rPr>
                <w:rFonts w:eastAsia="Calibri"/>
                <w:sz w:val="22"/>
                <w:szCs w:val="22"/>
              </w:rPr>
              <w:t>Proteinurija</w:t>
            </w:r>
            <w:proofErr w:type="spellEnd"/>
            <w:r w:rsidRPr="004F572A">
              <w:rPr>
                <w:rFonts w:eastAsia="Calibri"/>
                <w:sz w:val="22"/>
                <w:szCs w:val="22"/>
              </w:rPr>
              <w:t>*</w:t>
            </w:r>
          </w:p>
          <w:p w14:paraId="38328662" w14:textId="4E4A3FF3" w:rsidR="00F73A9E" w:rsidRPr="004F572A" w:rsidRDefault="00F73A9E" w:rsidP="00D15317">
            <w:pPr>
              <w:widowControl w:val="0"/>
              <w:tabs>
                <w:tab w:val="clear" w:pos="567"/>
              </w:tabs>
              <w:rPr>
                <w:rFonts w:eastAsia="Calibri"/>
                <w:sz w:val="22"/>
                <w:szCs w:val="22"/>
              </w:rPr>
            </w:pPr>
            <w:r w:rsidRPr="004F572A">
              <w:rPr>
                <w:rFonts w:eastAsia="Calibri"/>
                <w:sz w:val="22"/>
                <w:szCs w:val="22"/>
              </w:rPr>
              <w:t>Padidėjęs kreatinino kiekis kraujyje</w:t>
            </w:r>
            <w:r w:rsidRPr="004F572A">
              <w:rPr>
                <w:rFonts w:eastAsia="Calibri"/>
                <w:sz w:val="22"/>
                <w:szCs w:val="22"/>
                <w:vertAlign w:val="superscript"/>
              </w:rPr>
              <w:t>‡</w:t>
            </w:r>
          </w:p>
        </w:tc>
      </w:tr>
      <w:tr w:rsidR="00D15317" w:rsidRPr="004F572A" w14:paraId="625BA87F" w14:textId="77777777" w:rsidTr="0074743C">
        <w:tc>
          <w:tcPr>
            <w:tcW w:w="2245" w:type="dxa"/>
          </w:tcPr>
          <w:p w14:paraId="28AEAB8D" w14:textId="28607338" w:rsidR="00D15317" w:rsidRPr="004F572A" w:rsidRDefault="00D15317" w:rsidP="00D15317">
            <w:pPr>
              <w:widowControl w:val="0"/>
              <w:tabs>
                <w:tab w:val="clear" w:pos="567"/>
              </w:tabs>
              <w:rPr>
                <w:rFonts w:eastAsia="Calibri"/>
                <w:sz w:val="22"/>
                <w:szCs w:val="22"/>
              </w:rPr>
            </w:pPr>
            <w:r w:rsidRPr="004F572A">
              <w:rPr>
                <w:rFonts w:eastAsia="Calibri"/>
                <w:sz w:val="22"/>
                <w:szCs w:val="22"/>
              </w:rPr>
              <w:t>Dažn</w:t>
            </w:r>
            <w:r w:rsidR="00D05341">
              <w:rPr>
                <w:rFonts w:eastAsia="Calibri"/>
                <w:sz w:val="22"/>
                <w:szCs w:val="22"/>
              </w:rPr>
              <w:t>as</w:t>
            </w:r>
          </w:p>
        </w:tc>
        <w:tc>
          <w:tcPr>
            <w:tcW w:w="3330" w:type="dxa"/>
          </w:tcPr>
          <w:p w14:paraId="007F4F45" w14:textId="77777777" w:rsidR="008D5F9F" w:rsidRPr="004F572A" w:rsidRDefault="00F73A9E" w:rsidP="00F73A9E">
            <w:pPr>
              <w:widowControl w:val="0"/>
              <w:tabs>
                <w:tab w:val="clear" w:pos="567"/>
              </w:tabs>
              <w:rPr>
                <w:rFonts w:eastAsia="Calibri"/>
                <w:sz w:val="22"/>
                <w:szCs w:val="22"/>
                <w:vertAlign w:val="superscript"/>
              </w:rPr>
            </w:pPr>
            <w:r w:rsidRPr="004F572A">
              <w:rPr>
                <w:rFonts w:eastAsia="Calibri"/>
                <w:sz w:val="22"/>
                <w:szCs w:val="22"/>
              </w:rPr>
              <w:t xml:space="preserve">Inkstų </w:t>
            </w:r>
            <w:proofErr w:type="spellStart"/>
            <w:r w:rsidRPr="004F572A">
              <w:rPr>
                <w:rFonts w:eastAsia="Calibri"/>
                <w:sz w:val="22"/>
                <w:szCs w:val="22"/>
              </w:rPr>
              <w:t>nepakankamumas</w:t>
            </w:r>
            <w:r w:rsidRPr="004F572A">
              <w:rPr>
                <w:rFonts w:eastAsia="Calibri"/>
                <w:sz w:val="22"/>
                <w:szCs w:val="22"/>
                <w:vertAlign w:val="superscript"/>
              </w:rPr>
              <w:t>n</w:t>
            </w:r>
            <w:proofErr w:type="spellEnd"/>
            <w:r w:rsidRPr="004F572A">
              <w:rPr>
                <w:rFonts w:eastAsia="Calibri"/>
                <w:sz w:val="22"/>
                <w:szCs w:val="22"/>
                <w:vertAlign w:val="superscript"/>
              </w:rPr>
              <w:t>,*,†</w:t>
            </w:r>
          </w:p>
          <w:p w14:paraId="23A9C52B" w14:textId="77777777" w:rsidR="00F73A9E" w:rsidRPr="004F572A" w:rsidRDefault="00F73A9E" w:rsidP="00F73A9E">
            <w:pPr>
              <w:widowControl w:val="0"/>
              <w:tabs>
                <w:tab w:val="clear" w:pos="567"/>
              </w:tabs>
              <w:rPr>
                <w:rFonts w:eastAsia="Calibri"/>
                <w:sz w:val="22"/>
                <w:szCs w:val="22"/>
              </w:rPr>
            </w:pPr>
            <w:r w:rsidRPr="004F572A">
              <w:rPr>
                <w:rFonts w:eastAsia="Calibri"/>
                <w:sz w:val="22"/>
                <w:szCs w:val="22"/>
              </w:rPr>
              <w:t>Inkstų funkcijos sutrikimas*</w:t>
            </w:r>
          </w:p>
          <w:p w14:paraId="4FF7F712" w14:textId="27B7473B" w:rsidR="00D15317" w:rsidRPr="004F572A" w:rsidRDefault="00F73A9E" w:rsidP="00F73A9E">
            <w:pPr>
              <w:widowControl w:val="0"/>
              <w:tabs>
                <w:tab w:val="clear" w:pos="567"/>
              </w:tabs>
              <w:rPr>
                <w:rFonts w:eastAsia="Calibri"/>
                <w:sz w:val="22"/>
                <w:szCs w:val="22"/>
              </w:rPr>
            </w:pPr>
            <w:r w:rsidRPr="004F572A">
              <w:rPr>
                <w:rFonts w:eastAsia="Calibri"/>
                <w:sz w:val="22"/>
                <w:szCs w:val="22"/>
              </w:rPr>
              <w:t xml:space="preserve">Padidėjęs </w:t>
            </w:r>
            <w:r w:rsidR="008D5F9F" w:rsidRPr="004F572A">
              <w:rPr>
                <w:rFonts w:eastAsia="Calibri"/>
                <w:sz w:val="22"/>
                <w:szCs w:val="22"/>
              </w:rPr>
              <w:t>šlapalo</w:t>
            </w:r>
            <w:r w:rsidRPr="004F572A">
              <w:rPr>
                <w:rFonts w:eastAsia="Calibri"/>
                <w:sz w:val="22"/>
                <w:szCs w:val="22"/>
              </w:rPr>
              <w:t xml:space="preserve"> kiekis kraujyje</w:t>
            </w:r>
          </w:p>
        </w:tc>
        <w:tc>
          <w:tcPr>
            <w:tcW w:w="3485" w:type="dxa"/>
            <w:gridSpan w:val="2"/>
          </w:tcPr>
          <w:p w14:paraId="2EF9BE0B" w14:textId="77777777" w:rsidR="008D5F9F" w:rsidRPr="004F572A" w:rsidRDefault="008D5F9F" w:rsidP="008D5F9F">
            <w:pPr>
              <w:widowControl w:val="0"/>
              <w:tabs>
                <w:tab w:val="clear" w:pos="567"/>
              </w:tabs>
              <w:rPr>
                <w:rFonts w:eastAsia="Calibri"/>
                <w:sz w:val="22"/>
                <w:szCs w:val="22"/>
                <w:vertAlign w:val="superscript"/>
              </w:rPr>
            </w:pPr>
            <w:r w:rsidRPr="004F572A">
              <w:rPr>
                <w:rFonts w:eastAsia="Calibri"/>
                <w:sz w:val="22"/>
                <w:szCs w:val="22"/>
              </w:rPr>
              <w:t xml:space="preserve">Inkstų </w:t>
            </w:r>
            <w:proofErr w:type="spellStart"/>
            <w:r w:rsidRPr="004F572A">
              <w:rPr>
                <w:rFonts w:eastAsia="Calibri"/>
                <w:sz w:val="22"/>
                <w:szCs w:val="22"/>
              </w:rPr>
              <w:t>nepakankamumas</w:t>
            </w:r>
            <w:r w:rsidRPr="004F572A">
              <w:rPr>
                <w:rFonts w:eastAsia="Calibri"/>
                <w:sz w:val="22"/>
                <w:szCs w:val="22"/>
                <w:vertAlign w:val="superscript"/>
              </w:rPr>
              <w:t>n</w:t>
            </w:r>
            <w:proofErr w:type="spellEnd"/>
            <w:r w:rsidRPr="004F572A">
              <w:rPr>
                <w:rFonts w:eastAsia="Calibri"/>
                <w:sz w:val="22"/>
                <w:szCs w:val="22"/>
                <w:vertAlign w:val="superscript"/>
              </w:rPr>
              <w:t>,*,†</w:t>
            </w:r>
          </w:p>
          <w:p w14:paraId="76CE45E0" w14:textId="77777777" w:rsidR="00D15317" w:rsidRPr="004F572A" w:rsidRDefault="00D15317" w:rsidP="00D15317">
            <w:pPr>
              <w:widowControl w:val="0"/>
              <w:tabs>
                <w:tab w:val="clear" w:pos="567"/>
              </w:tabs>
              <w:rPr>
                <w:rFonts w:eastAsia="Calibri"/>
                <w:sz w:val="22"/>
                <w:szCs w:val="22"/>
              </w:rPr>
            </w:pPr>
          </w:p>
        </w:tc>
      </w:tr>
      <w:tr w:rsidR="00D15317" w:rsidRPr="004F572A" w14:paraId="612E0BB8" w14:textId="77777777" w:rsidTr="0074743C">
        <w:tc>
          <w:tcPr>
            <w:tcW w:w="2245" w:type="dxa"/>
          </w:tcPr>
          <w:p w14:paraId="5A4E6BE6" w14:textId="1730E32B" w:rsidR="00D15317" w:rsidRPr="004F572A" w:rsidRDefault="00D15317" w:rsidP="00D15317">
            <w:pPr>
              <w:widowControl w:val="0"/>
              <w:tabs>
                <w:tab w:val="clear" w:pos="567"/>
              </w:tabs>
              <w:rPr>
                <w:rFonts w:eastAsia="Calibri"/>
                <w:sz w:val="22"/>
                <w:szCs w:val="22"/>
              </w:rPr>
            </w:pPr>
            <w:r w:rsidRPr="004F572A">
              <w:rPr>
                <w:rFonts w:eastAsia="Calibri"/>
                <w:sz w:val="22"/>
                <w:szCs w:val="22"/>
              </w:rPr>
              <w:t>Nedažn</w:t>
            </w:r>
            <w:r w:rsidR="00D05341">
              <w:rPr>
                <w:rFonts w:eastAsia="Calibri"/>
                <w:sz w:val="22"/>
                <w:szCs w:val="22"/>
              </w:rPr>
              <w:t>as</w:t>
            </w:r>
          </w:p>
        </w:tc>
        <w:tc>
          <w:tcPr>
            <w:tcW w:w="3330" w:type="dxa"/>
          </w:tcPr>
          <w:p w14:paraId="0D8E3006" w14:textId="341B7044" w:rsidR="00D15317" w:rsidRPr="004F572A" w:rsidRDefault="008D5F9F" w:rsidP="00D15317">
            <w:pPr>
              <w:widowControl w:val="0"/>
              <w:tabs>
                <w:tab w:val="clear" w:pos="567"/>
              </w:tabs>
              <w:rPr>
                <w:rFonts w:eastAsia="Calibri"/>
                <w:sz w:val="22"/>
                <w:szCs w:val="22"/>
              </w:rPr>
            </w:pPr>
            <w:proofErr w:type="spellStart"/>
            <w:r w:rsidRPr="004F572A">
              <w:rPr>
                <w:rFonts w:eastAsia="Calibri"/>
                <w:sz w:val="22"/>
                <w:szCs w:val="22"/>
              </w:rPr>
              <w:t>Nefrozinis</w:t>
            </w:r>
            <w:proofErr w:type="spellEnd"/>
            <w:r w:rsidRPr="004F572A">
              <w:rPr>
                <w:rFonts w:eastAsia="Calibri"/>
                <w:sz w:val="22"/>
                <w:szCs w:val="22"/>
              </w:rPr>
              <w:t xml:space="preserve"> sindromas</w:t>
            </w:r>
          </w:p>
        </w:tc>
        <w:tc>
          <w:tcPr>
            <w:tcW w:w="3485" w:type="dxa"/>
            <w:gridSpan w:val="2"/>
          </w:tcPr>
          <w:p w14:paraId="238760A8" w14:textId="77777777" w:rsidR="008D5F9F" w:rsidRPr="004F572A" w:rsidRDefault="008D5F9F" w:rsidP="008D5F9F">
            <w:pPr>
              <w:widowControl w:val="0"/>
              <w:tabs>
                <w:tab w:val="clear" w:pos="567"/>
              </w:tabs>
              <w:rPr>
                <w:rFonts w:eastAsia="Calibri"/>
                <w:sz w:val="22"/>
                <w:szCs w:val="22"/>
              </w:rPr>
            </w:pPr>
            <w:r w:rsidRPr="004F572A">
              <w:rPr>
                <w:rFonts w:eastAsia="Calibri"/>
                <w:sz w:val="22"/>
                <w:szCs w:val="22"/>
              </w:rPr>
              <w:t>Inkstų funkcijos sutrikimas*</w:t>
            </w:r>
          </w:p>
          <w:p w14:paraId="22D50503" w14:textId="1B93DF3B" w:rsidR="00D15317" w:rsidRPr="004F572A" w:rsidRDefault="008D5F9F" w:rsidP="008D5F9F">
            <w:pPr>
              <w:widowControl w:val="0"/>
              <w:tabs>
                <w:tab w:val="clear" w:pos="567"/>
              </w:tabs>
              <w:rPr>
                <w:rFonts w:eastAsia="Calibri"/>
                <w:sz w:val="22"/>
                <w:szCs w:val="22"/>
              </w:rPr>
            </w:pPr>
            <w:r w:rsidRPr="004F572A">
              <w:rPr>
                <w:rFonts w:eastAsia="Calibri"/>
                <w:sz w:val="22"/>
                <w:szCs w:val="22"/>
              </w:rPr>
              <w:t>Padidėjęs šlapalo kiekis kraujyje</w:t>
            </w:r>
          </w:p>
        </w:tc>
      </w:tr>
      <w:tr w:rsidR="008D5F9F" w:rsidRPr="004F572A" w14:paraId="63D6D906" w14:textId="77777777" w:rsidTr="008D5F9F">
        <w:tc>
          <w:tcPr>
            <w:tcW w:w="9060" w:type="dxa"/>
            <w:gridSpan w:val="4"/>
          </w:tcPr>
          <w:p w14:paraId="15DF6797" w14:textId="3A9FBC1D" w:rsidR="008D5F9F" w:rsidRPr="004F572A" w:rsidRDefault="008D5F9F" w:rsidP="00D15317">
            <w:pPr>
              <w:widowControl w:val="0"/>
              <w:tabs>
                <w:tab w:val="clear" w:pos="567"/>
              </w:tabs>
              <w:rPr>
                <w:rFonts w:eastAsia="Calibri"/>
                <w:b/>
                <w:bCs/>
                <w:sz w:val="22"/>
                <w:szCs w:val="22"/>
              </w:rPr>
            </w:pPr>
            <w:r w:rsidRPr="004F572A">
              <w:rPr>
                <w:rFonts w:eastAsia="Calibri"/>
                <w:b/>
                <w:bCs/>
                <w:sz w:val="22"/>
                <w:szCs w:val="22"/>
              </w:rPr>
              <w:t>Bendrieji sutrikimai ir vartojimo vietos pažeidimai</w:t>
            </w:r>
          </w:p>
        </w:tc>
      </w:tr>
      <w:tr w:rsidR="008D5F9F" w:rsidRPr="004F572A" w14:paraId="7F92088A" w14:textId="77777777" w:rsidTr="0074743C">
        <w:tc>
          <w:tcPr>
            <w:tcW w:w="2245" w:type="dxa"/>
          </w:tcPr>
          <w:p w14:paraId="3541B41F" w14:textId="4987A876" w:rsidR="008D5F9F" w:rsidRPr="004F572A" w:rsidRDefault="008D5F9F" w:rsidP="008D5F9F">
            <w:pPr>
              <w:widowControl w:val="0"/>
              <w:tabs>
                <w:tab w:val="clear" w:pos="567"/>
              </w:tabs>
              <w:rPr>
                <w:rFonts w:eastAsia="Calibri"/>
                <w:sz w:val="22"/>
                <w:szCs w:val="22"/>
              </w:rPr>
            </w:pPr>
            <w:r w:rsidRPr="004F572A">
              <w:rPr>
                <w:rFonts w:eastAsia="Calibri"/>
                <w:sz w:val="22"/>
                <w:szCs w:val="22"/>
              </w:rPr>
              <w:t>Labai dažn</w:t>
            </w:r>
            <w:r w:rsidR="00D05341">
              <w:rPr>
                <w:rFonts w:eastAsia="Calibri"/>
                <w:sz w:val="22"/>
                <w:szCs w:val="22"/>
              </w:rPr>
              <w:t>as</w:t>
            </w:r>
          </w:p>
        </w:tc>
        <w:tc>
          <w:tcPr>
            <w:tcW w:w="3330" w:type="dxa"/>
          </w:tcPr>
          <w:p w14:paraId="5C27E236" w14:textId="388E946B" w:rsidR="008D5F9F" w:rsidRPr="004F572A" w:rsidRDefault="008D5F9F" w:rsidP="008D5F9F">
            <w:pPr>
              <w:widowControl w:val="0"/>
              <w:tabs>
                <w:tab w:val="clear" w:pos="567"/>
              </w:tabs>
              <w:rPr>
                <w:rFonts w:eastAsia="Calibri"/>
                <w:sz w:val="22"/>
                <w:szCs w:val="22"/>
              </w:rPr>
            </w:pPr>
            <w:r w:rsidRPr="004F572A">
              <w:rPr>
                <w:rFonts w:eastAsia="Calibri"/>
                <w:sz w:val="22"/>
                <w:szCs w:val="22"/>
              </w:rPr>
              <w:t xml:space="preserve">Nuovargis </w:t>
            </w:r>
          </w:p>
          <w:p w14:paraId="011E2469" w14:textId="2A50D690" w:rsidR="008D5F9F" w:rsidRPr="004F572A" w:rsidRDefault="008D5F9F" w:rsidP="008D5F9F">
            <w:pPr>
              <w:widowControl w:val="0"/>
              <w:tabs>
                <w:tab w:val="clear" w:pos="567"/>
              </w:tabs>
              <w:rPr>
                <w:rFonts w:eastAsia="Calibri"/>
                <w:sz w:val="22"/>
                <w:szCs w:val="22"/>
              </w:rPr>
            </w:pPr>
            <w:proofErr w:type="spellStart"/>
            <w:r w:rsidRPr="004F572A">
              <w:rPr>
                <w:rFonts w:eastAsia="Calibri"/>
                <w:sz w:val="22"/>
                <w:szCs w:val="22"/>
              </w:rPr>
              <w:t>Astenija</w:t>
            </w:r>
            <w:proofErr w:type="spellEnd"/>
            <w:r w:rsidRPr="004F572A">
              <w:rPr>
                <w:rFonts w:eastAsia="Calibri"/>
                <w:sz w:val="22"/>
                <w:szCs w:val="22"/>
              </w:rPr>
              <w:t xml:space="preserve"> </w:t>
            </w:r>
          </w:p>
          <w:p w14:paraId="34A7CCFF" w14:textId="7C678E1B" w:rsidR="008D5F9F" w:rsidRPr="004F572A" w:rsidRDefault="008D5F9F" w:rsidP="008D5F9F">
            <w:pPr>
              <w:widowControl w:val="0"/>
              <w:tabs>
                <w:tab w:val="clear" w:pos="567"/>
              </w:tabs>
              <w:rPr>
                <w:rFonts w:eastAsia="Calibri"/>
                <w:sz w:val="22"/>
                <w:szCs w:val="22"/>
              </w:rPr>
            </w:pPr>
            <w:r w:rsidRPr="004F572A">
              <w:rPr>
                <w:rFonts w:eastAsia="Calibri"/>
                <w:sz w:val="22"/>
                <w:szCs w:val="22"/>
              </w:rPr>
              <w:t>Periferinė edema</w:t>
            </w:r>
          </w:p>
        </w:tc>
        <w:tc>
          <w:tcPr>
            <w:tcW w:w="3485" w:type="dxa"/>
            <w:gridSpan w:val="2"/>
          </w:tcPr>
          <w:p w14:paraId="55C4B019" w14:textId="77777777" w:rsidR="008D5F9F" w:rsidRPr="004F572A" w:rsidRDefault="008D5F9F" w:rsidP="008D5F9F">
            <w:pPr>
              <w:widowControl w:val="0"/>
              <w:tabs>
                <w:tab w:val="clear" w:pos="567"/>
              </w:tabs>
              <w:rPr>
                <w:rFonts w:eastAsia="Calibri"/>
                <w:sz w:val="22"/>
                <w:szCs w:val="22"/>
              </w:rPr>
            </w:pPr>
            <w:r w:rsidRPr="004F572A">
              <w:rPr>
                <w:rFonts w:eastAsia="Calibri"/>
                <w:sz w:val="22"/>
                <w:szCs w:val="22"/>
              </w:rPr>
              <w:t>Nuovargis</w:t>
            </w:r>
          </w:p>
          <w:p w14:paraId="672F6192" w14:textId="77777777" w:rsidR="008D5F9F" w:rsidRPr="004F572A" w:rsidRDefault="008D5F9F" w:rsidP="008D5F9F">
            <w:pPr>
              <w:widowControl w:val="0"/>
              <w:tabs>
                <w:tab w:val="clear" w:pos="567"/>
              </w:tabs>
              <w:rPr>
                <w:rFonts w:eastAsia="Calibri"/>
                <w:sz w:val="22"/>
                <w:szCs w:val="22"/>
              </w:rPr>
            </w:pPr>
            <w:proofErr w:type="spellStart"/>
            <w:r w:rsidRPr="004F572A">
              <w:rPr>
                <w:rFonts w:eastAsia="Calibri"/>
                <w:sz w:val="22"/>
                <w:szCs w:val="22"/>
              </w:rPr>
              <w:t>Astenija</w:t>
            </w:r>
            <w:proofErr w:type="spellEnd"/>
          </w:p>
          <w:p w14:paraId="24703445" w14:textId="518EEE94" w:rsidR="008D5F9F" w:rsidRPr="004F572A" w:rsidRDefault="008D5F9F" w:rsidP="008D5F9F">
            <w:pPr>
              <w:widowControl w:val="0"/>
              <w:tabs>
                <w:tab w:val="clear" w:pos="567"/>
              </w:tabs>
              <w:rPr>
                <w:rFonts w:eastAsia="Calibri"/>
                <w:sz w:val="22"/>
                <w:szCs w:val="22"/>
              </w:rPr>
            </w:pPr>
            <w:r w:rsidRPr="004F572A">
              <w:rPr>
                <w:rFonts w:eastAsia="Calibri"/>
                <w:sz w:val="22"/>
                <w:szCs w:val="22"/>
              </w:rPr>
              <w:t>Periferinė edema</w:t>
            </w:r>
          </w:p>
        </w:tc>
      </w:tr>
      <w:tr w:rsidR="008D5F9F" w:rsidRPr="004F572A" w14:paraId="56F1B4EC" w14:textId="77777777" w:rsidTr="0074743C">
        <w:tc>
          <w:tcPr>
            <w:tcW w:w="2245" w:type="dxa"/>
          </w:tcPr>
          <w:p w14:paraId="069C521D" w14:textId="7456876A" w:rsidR="008D5F9F" w:rsidRPr="004F572A" w:rsidRDefault="008D5F9F" w:rsidP="008D5F9F">
            <w:pPr>
              <w:widowControl w:val="0"/>
              <w:tabs>
                <w:tab w:val="clear" w:pos="567"/>
              </w:tabs>
              <w:rPr>
                <w:rFonts w:eastAsia="Calibri"/>
                <w:sz w:val="22"/>
                <w:szCs w:val="22"/>
              </w:rPr>
            </w:pPr>
            <w:r w:rsidRPr="004F572A">
              <w:rPr>
                <w:rFonts w:eastAsia="Calibri"/>
                <w:sz w:val="22"/>
                <w:szCs w:val="22"/>
              </w:rPr>
              <w:t>Dažn</w:t>
            </w:r>
            <w:r w:rsidR="00D05341">
              <w:rPr>
                <w:rFonts w:eastAsia="Calibri"/>
                <w:sz w:val="22"/>
                <w:szCs w:val="22"/>
              </w:rPr>
              <w:t>as</w:t>
            </w:r>
          </w:p>
        </w:tc>
        <w:tc>
          <w:tcPr>
            <w:tcW w:w="3330" w:type="dxa"/>
          </w:tcPr>
          <w:p w14:paraId="3606E080" w14:textId="4254E135" w:rsidR="008D5F9F" w:rsidRPr="004F572A" w:rsidRDefault="008D5F9F" w:rsidP="008D5F9F">
            <w:pPr>
              <w:widowControl w:val="0"/>
              <w:tabs>
                <w:tab w:val="clear" w:pos="567"/>
              </w:tabs>
              <w:rPr>
                <w:rFonts w:eastAsia="Calibri"/>
                <w:sz w:val="22"/>
                <w:szCs w:val="22"/>
              </w:rPr>
            </w:pPr>
            <w:r w:rsidRPr="004F572A">
              <w:rPr>
                <w:rFonts w:eastAsia="Calibri"/>
                <w:sz w:val="22"/>
                <w:szCs w:val="22"/>
              </w:rPr>
              <w:t>Negalavimas</w:t>
            </w:r>
          </w:p>
        </w:tc>
        <w:tc>
          <w:tcPr>
            <w:tcW w:w="3485" w:type="dxa"/>
            <w:gridSpan w:val="2"/>
          </w:tcPr>
          <w:p w14:paraId="40DF70A8" w14:textId="0BAA4738" w:rsidR="008D5F9F" w:rsidRPr="004F572A" w:rsidRDefault="008D5F9F" w:rsidP="008D5F9F">
            <w:pPr>
              <w:widowControl w:val="0"/>
              <w:tabs>
                <w:tab w:val="clear" w:pos="567"/>
              </w:tabs>
              <w:rPr>
                <w:rFonts w:eastAsia="Calibri"/>
                <w:sz w:val="22"/>
                <w:szCs w:val="22"/>
              </w:rPr>
            </w:pPr>
            <w:r w:rsidRPr="004F572A">
              <w:rPr>
                <w:rFonts w:eastAsia="Calibri"/>
                <w:sz w:val="22"/>
                <w:szCs w:val="22"/>
              </w:rPr>
              <w:t>Negalavimas</w:t>
            </w:r>
          </w:p>
        </w:tc>
      </w:tr>
      <w:tr w:rsidR="008D5F9F" w:rsidRPr="004F572A" w14:paraId="1A1B6EC7" w14:textId="77777777" w:rsidTr="0074743C">
        <w:tc>
          <w:tcPr>
            <w:tcW w:w="2245" w:type="dxa"/>
          </w:tcPr>
          <w:p w14:paraId="63487429" w14:textId="3695D177" w:rsidR="008D5F9F" w:rsidRPr="004F572A" w:rsidRDefault="008D5F9F" w:rsidP="008D5F9F">
            <w:pPr>
              <w:widowControl w:val="0"/>
              <w:tabs>
                <w:tab w:val="clear" w:pos="567"/>
              </w:tabs>
              <w:rPr>
                <w:rFonts w:eastAsia="Calibri"/>
                <w:sz w:val="22"/>
                <w:szCs w:val="22"/>
              </w:rPr>
            </w:pPr>
            <w:r w:rsidRPr="004F572A">
              <w:rPr>
                <w:rFonts w:eastAsia="Calibri"/>
                <w:sz w:val="22"/>
                <w:szCs w:val="22"/>
              </w:rPr>
              <w:t>Nedažn</w:t>
            </w:r>
            <w:r w:rsidR="00D05341">
              <w:rPr>
                <w:rFonts w:eastAsia="Calibri"/>
                <w:sz w:val="22"/>
                <w:szCs w:val="22"/>
              </w:rPr>
              <w:t>as</w:t>
            </w:r>
          </w:p>
        </w:tc>
        <w:tc>
          <w:tcPr>
            <w:tcW w:w="3330" w:type="dxa"/>
          </w:tcPr>
          <w:p w14:paraId="6D9D39E2" w14:textId="2BF93F86" w:rsidR="008D5F9F" w:rsidRPr="004F572A" w:rsidRDefault="008D5F9F" w:rsidP="008D5F9F">
            <w:pPr>
              <w:widowControl w:val="0"/>
              <w:tabs>
                <w:tab w:val="clear" w:pos="567"/>
              </w:tabs>
              <w:rPr>
                <w:rFonts w:eastAsia="Calibri"/>
                <w:sz w:val="22"/>
                <w:szCs w:val="22"/>
              </w:rPr>
            </w:pPr>
            <w:r w:rsidRPr="004F572A">
              <w:rPr>
                <w:rFonts w:eastAsia="Calibri"/>
                <w:sz w:val="22"/>
                <w:szCs w:val="22"/>
              </w:rPr>
              <w:t>Sutrikęs gijimas</w:t>
            </w:r>
          </w:p>
        </w:tc>
        <w:tc>
          <w:tcPr>
            <w:tcW w:w="3485" w:type="dxa"/>
            <w:gridSpan w:val="2"/>
          </w:tcPr>
          <w:p w14:paraId="43C29002" w14:textId="77EA3AB2" w:rsidR="008D5F9F" w:rsidRPr="004F572A" w:rsidRDefault="008D5F9F" w:rsidP="008D5F9F">
            <w:pPr>
              <w:widowControl w:val="0"/>
              <w:tabs>
                <w:tab w:val="clear" w:pos="567"/>
              </w:tabs>
              <w:rPr>
                <w:rFonts w:eastAsia="Calibri"/>
                <w:sz w:val="22"/>
                <w:szCs w:val="22"/>
              </w:rPr>
            </w:pPr>
            <w:r w:rsidRPr="004F572A">
              <w:rPr>
                <w:rFonts w:eastAsia="Calibri"/>
                <w:sz w:val="22"/>
                <w:szCs w:val="22"/>
              </w:rPr>
              <w:t>Sutrikęs gijimas</w:t>
            </w:r>
          </w:p>
        </w:tc>
      </w:tr>
      <w:tr w:rsidR="00F73A9E" w:rsidRPr="004F572A" w14:paraId="34340200" w14:textId="77777777" w:rsidTr="0074743C">
        <w:tc>
          <w:tcPr>
            <w:tcW w:w="2245" w:type="dxa"/>
          </w:tcPr>
          <w:p w14:paraId="0AD861CF" w14:textId="37ED946A" w:rsidR="00F73A9E" w:rsidRPr="004F572A" w:rsidRDefault="006175E4" w:rsidP="00D15317">
            <w:pPr>
              <w:widowControl w:val="0"/>
              <w:tabs>
                <w:tab w:val="clear" w:pos="567"/>
              </w:tabs>
              <w:rPr>
                <w:rFonts w:eastAsia="Calibri"/>
                <w:sz w:val="22"/>
                <w:szCs w:val="22"/>
              </w:rPr>
            </w:pPr>
            <w:r>
              <w:rPr>
                <w:rFonts w:eastAsia="Calibri"/>
                <w:sz w:val="22"/>
                <w:szCs w:val="22"/>
              </w:rPr>
              <w:t>Nežinomas</w:t>
            </w:r>
          </w:p>
        </w:tc>
        <w:tc>
          <w:tcPr>
            <w:tcW w:w="3330" w:type="dxa"/>
          </w:tcPr>
          <w:p w14:paraId="2A2CEF4F" w14:textId="37F6D0CF" w:rsidR="00F73A9E" w:rsidRPr="004F572A" w:rsidRDefault="008D5F9F" w:rsidP="00D15317">
            <w:pPr>
              <w:widowControl w:val="0"/>
              <w:tabs>
                <w:tab w:val="clear" w:pos="567"/>
              </w:tabs>
              <w:rPr>
                <w:rFonts w:eastAsia="Calibri"/>
                <w:sz w:val="22"/>
                <w:szCs w:val="22"/>
              </w:rPr>
            </w:pPr>
            <w:r w:rsidRPr="004F572A">
              <w:rPr>
                <w:rFonts w:eastAsia="Calibri"/>
                <w:sz w:val="22"/>
                <w:szCs w:val="22"/>
              </w:rPr>
              <w:t xml:space="preserve">Ne virškinimo trakto </w:t>
            </w:r>
            <w:proofErr w:type="spellStart"/>
            <w:r w:rsidRPr="004F572A">
              <w:rPr>
                <w:rFonts w:eastAsia="Calibri"/>
                <w:sz w:val="22"/>
                <w:szCs w:val="22"/>
              </w:rPr>
              <w:t>fistulė</w:t>
            </w:r>
            <w:r w:rsidRPr="004F572A">
              <w:rPr>
                <w:rFonts w:eastAsia="Calibri"/>
                <w:sz w:val="22"/>
                <w:szCs w:val="22"/>
                <w:vertAlign w:val="superscript"/>
              </w:rPr>
              <w:t>o</w:t>
            </w:r>
            <w:proofErr w:type="spellEnd"/>
          </w:p>
        </w:tc>
        <w:tc>
          <w:tcPr>
            <w:tcW w:w="3485" w:type="dxa"/>
            <w:gridSpan w:val="2"/>
          </w:tcPr>
          <w:p w14:paraId="18E56A84" w14:textId="77777777" w:rsidR="00F73A9E" w:rsidRPr="004F572A" w:rsidRDefault="00F73A9E" w:rsidP="00D15317">
            <w:pPr>
              <w:widowControl w:val="0"/>
              <w:tabs>
                <w:tab w:val="clear" w:pos="567"/>
              </w:tabs>
              <w:rPr>
                <w:rFonts w:eastAsia="Calibri"/>
                <w:sz w:val="22"/>
                <w:szCs w:val="22"/>
              </w:rPr>
            </w:pPr>
          </w:p>
        </w:tc>
      </w:tr>
    </w:tbl>
    <w:p w14:paraId="35ED2A8C" w14:textId="2C9181B2" w:rsidR="008D5F9F" w:rsidRPr="004F572A" w:rsidRDefault="008D5F9F" w:rsidP="00856328">
      <w:pPr>
        <w:tabs>
          <w:tab w:val="clear" w:pos="567"/>
        </w:tabs>
        <w:suppressAutoHyphens w:val="0"/>
        <w:spacing w:line="240" w:lineRule="auto"/>
        <w:ind w:left="180" w:hanging="180"/>
        <w:rPr>
          <w:rFonts w:ascii="TimesNewRomanPSMT" w:eastAsia="Times New Roman" w:hAnsi="TimesNewRomanPSMT"/>
          <w:sz w:val="20"/>
          <w:szCs w:val="20"/>
          <w:lang w:eastAsia="en-US"/>
        </w:rPr>
      </w:pPr>
      <w:r w:rsidRPr="004F572A">
        <w:rPr>
          <w:rFonts w:ascii="TimesNewRomanPSMT" w:eastAsia="Times New Roman" w:hAnsi="TimesNewRomanPSMT"/>
          <w:sz w:val="20"/>
          <w:szCs w:val="20"/>
          <w:lang w:eastAsia="en-US"/>
        </w:rPr>
        <w:t>§: Nepageidaujamų reakcijų dažnis, pateiktas 6</w:t>
      </w:r>
      <w:r w:rsidR="00D53FC3">
        <w:rPr>
          <w:rFonts w:ascii="TimesNewRomanPSMT" w:eastAsia="Times New Roman" w:hAnsi="TimesNewRomanPSMT"/>
          <w:sz w:val="20"/>
          <w:szCs w:val="20"/>
          <w:lang w:eastAsia="en-US"/>
        </w:rPr>
        <w:t> </w:t>
      </w:r>
      <w:r w:rsidRPr="004F572A">
        <w:rPr>
          <w:rFonts w:ascii="TimesNewRomanPSMT" w:eastAsia="Times New Roman" w:hAnsi="TimesNewRomanPSMT"/>
          <w:sz w:val="20"/>
          <w:szCs w:val="20"/>
          <w:lang w:eastAsia="en-US"/>
        </w:rPr>
        <w:t xml:space="preserve">lentelėje, </w:t>
      </w:r>
      <w:r w:rsidR="00856328" w:rsidRPr="004F572A">
        <w:rPr>
          <w:rFonts w:ascii="TimesNewRomanPSMT" w:eastAsia="Times New Roman" w:hAnsi="TimesNewRomanPSMT"/>
          <w:sz w:val="20"/>
          <w:szCs w:val="20"/>
          <w:lang w:eastAsia="en-US"/>
        </w:rPr>
        <w:t xml:space="preserve">gali būti ne visiškai priskirtinas </w:t>
      </w:r>
      <w:r w:rsidRPr="004F572A">
        <w:rPr>
          <w:rFonts w:ascii="TimesNewRomanPSMT" w:eastAsia="Times New Roman" w:hAnsi="TimesNewRomanPSMT"/>
          <w:sz w:val="20"/>
          <w:szCs w:val="20"/>
          <w:lang w:eastAsia="en-US"/>
        </w:rPr>
        <w:t xml:space="preserve">vien tik </w:t>
      </w:r>
      <w:proofErr w:type="spellStart"/>
      <w:r w:rsidRPr="004F572A">
        <w:rPr>
          <w:rFonts w:ascii="TimesNewRomanPSMT" w:eastAsia="Times New Roman" w:hAnsi="TimesNewRomanPSMT"/>
          <w:sz w:val="20"/>
          <w:szCs w:val="20"/>
          <w:lang w:eastAsia="en-US"/>
        </w:rPr>
        <w:t>lenvatinibui</w:t>
      </w:r>
      <w:proofErr w:type="spellEnd"/>
      <w:r w:rsidRPr="004F572A">
        <w:rPr>
          <w:rFonts w:ascii="TimesNewRomanPSMT" w:eastAsia="Times New Roman" w:hAnsi="TimesNewRomanPSMT"/>
          <w:sz w:val="20"/>
          <w:szCs w:val="20"/>
          <w:lang w:eastAsia="en-US"/>
        </w:rPr>
        <w:t>, bet gali būti susijęs su pagrindine liga ar kitais kartu vartojamais vaistiniais preparatais.</w:t>
      </w:r>
    </w:p>
    <w:p w14:paraId="1AAE3AEE" w14:textId="77777777" w:rsidR="00856328" w:rsidRPr="004F572A" w:rsidRDefault="008D5F9F" w:rsidP="008D5F9F">
      <w:pPr>
        <w:tabs>
          <w:tab w:val="clear" w:pos="567"/>
        </w:tabs>
        <w:suppressAutoHyphens w:val="0"/>
        <w:spacing w:line="240" w:lineRule="auto"/>
        <w:rPr>
          <w:rFonts w:ascii="TimesNewRomanPSMT" w:eastAsia="Times New Roman" w:hAnsi="TimesNewRomanPSMT"/>
          <w:sz w:val="20"/>
          <w:szCs w:val="20"/>
          <w:lang w:eastAsia="en-US"/>
        </w:rPr>
      </w:pPr>
      <w:r w:rsidRPr="004F572A">
        <w:rPr>
          <w:rFonts w:ascii="TimesNewRomanPSMT" w:eastAsia="Times New Roman" w:hAnsi="TimesNewRomanPSMT"/>
          <w:sz w:val="20"/>
          <w:szCs w:val="20"/>
          <w:lang w:eastAsia="en-US"/>
        </w:rPr>
        <w:t xml:space="preserve">*: Žr. 4.8 skyrių „Atrinktų nepageidaujamų reakcijų apibūdinimas“. </w:t>
      </w:r>
    </w:p>
    <w:p w14:paraId="668606A9" w14:textId="7EFDC77D" w:rsidR="008D5F9F" w:rsidRPr="004F572A" w:rsidRDefault="008D5F9F" w:rsidP="008D5F9F">
      <w:pPr>
        <w:tabs>
          <w:tab w:val="clear" w:pos="567"/>
        </w:tabs>
        <w:suppressAutoHyphens w:val="0"/>
        <w:spacing w:line="240" w:lineRule="auto"/>
        <w:rPr>
          <w:rFonts w:ascii="TimesNewRomanPSMT" w:eastAsia="Times New Roman" w:hAnsi="TimesNewRomanPSMT"/>
          <w:sz w:val="20"/>
          <w:szCs w:val="20"/>
          <w:lang w:eastAsia="en-US"/>
        </w:rPr>
      </w:pPr>
      <w:r w:rsidRPr="004F572A">
        <w:rPr>
          <w:rFonts w:ascii="TimesNewRomanPSMT" w:eastAsia="Times New Roman" w:hAnsi="TimesNewRomanPSMT"/>
          <w:sz w:val="20"/>
          <w:szCs w:val="20"/>
          <w:lang w:eastAsia="en-US"/>
        </w:rPr>
        <w:t xml:space="preserve">†: </w:t>
      </w:r>
      <w:r w:rsidR="006175E4">
        <w:rPr>
          <w:rFonts w:ascii="TimesNewRomanPSMT" w:eastAsia="Times New Roman" w:hAnsi="TimesNewRomanPSMT"/>
          <w:sz w:val="20"/>
          <w:szCs w:val="20"/>
          <w:lang w:eastAsia="en-US"/>
        </w:rPr>
        <w:t>Įeina atvejai, pasibaigę</w:t>
      </w:r>
      <w:r w:rsidR="00856328" w:rsidRPr="004F572A">
        <w:rPr>
          <w:rFonts w:ascii="TimesNewRomanPSMT" w:eastAsia="Times New Roman" w:hAnsi="TimesNewRomanPSMT"/>
          <w:sz w:val="20"/>
          <w:szCs w:val="20"/>
          <w:lang w:eastAsia="en-US"/>
        </w:rPr>
        <w:t xml:space="preserve"> mirtimi</w:t>
      </w:r>
      <w:r w:rsidRPr="004F572A">
        <w:rPr>
          <w:rFonts w:ascii="TimesNewRomanPSMT" w:eastAsia="Times New Roman" w:hAnsi="TimesNewRomanPSMT"/>
          <w:sz w:val="20"/>
          <w:szCs w:val="20"/>
          <w:lang w:eastAsia="en-US"/>
        </w:rPr>
        <w:t>.</w:t>
      </w:r>
    </w:p>
    <w:p w14:paraId="5D43F626" w14:textId="3EBA7E60" w:rsidR="00AE30F8" w:rsidRPr="004F572A" w:rsidRDefault="008D5F9F" w:rsidP="008D5F9F">
      <w:pPr>
        <w:widowControl w:val="0"/>
        <w:tabs>
          <w:tab w:val="clear" w:pos="567"/>
        </w:tabs>
        <w:rPr>
          <w:rFonts w:eastAsia="Calibri"/>
          <w:sz w:val="20"/>
          <w:szCs w:val="20"/>
        </w:rPr>
      </w:pPr>
      <w:r w:rsidRPr="004F572A">
        <w:rPr>
          <w:rFonts w:ascii="TimesNewRomanPSMT" w:eastAsia="Times New Roman" w:hAnsi="TimesNewRomanPSMT"/>
          <w:sz w:val="20"/>
          <w:szCs w:val="20"/>
          <w:lang w:eastAsia="en-US"/>
        </w:rPr>
        <w:t>‡: Dažnis pagrįstas laboratoriniais duomenimis.</w:t>
      </w:r>
    </w:p>
    <w:p w14:paraId="24051F07" w14:textId="77777777" w:rsidR="00AE30F8" w:rsidRPr="004F572A" w:rsidRDefault="00AE30F8" w:rsidP="000928CA">
      <w:pPr>
        <w:widowControl w:val="0"/>
        <w:tabs>
          <w:tab w:val="clear" w:pos="567"/>
        </w:tabs>
        <w:rPr>
          <w:rFonts w:eastAsia="Calibri"/>
          <w:sz w:val="20"/>
          <w:szCs w:val="20"/>
        </w:rPr>
      </w:pPr>
    </w:p>
    <w:p w14:paraId="4B886A7E" w14:textId="68DB1093" w:rsidR="00856328" w:rsidRPr="004F572A" w:rsidRDefault="00856328" w:rsidP="00856328">
      <w:pPr>
        <w:widowControl w:val="0"/>
        <w:tabs>
          <w:tab w:val="clear" w:pos="567"/>
        </w:tabs>
        <w:rPr>
          <w:rFonts w:eastAsia="Calibri"/>
          <w:sz w:val="20"/>
          <w:szCs w:val="20"/>
        </w:rPr>
      </w:pPr>
      <w:r w:rsidRPr="004F572A">
        <w:rPr>
          <w:rFonts w:eastAsia="Calibri"/>
          <w:sz w:val="20"/>
          <w:szCs w:val="20"/>
        </w:rPr>
        <w:t xml:space="preserve">Buvo apjungti </w:t>
      </w:r>
      <w:r w:rsidR="006175E4">
        <w:rPr>
          <w:rFonts w:eastAsia="Calibri"/>
          <w:sz w:val="20"/>
          <w:szCs w:val="20"/>
        </w:rPr>
        <w:t>toliau nurodyti</w:t>
      </w:r>
      <w:r w:rsidRPr="004F572A">
        <w:rPr>
          <w:rFonts w:eastAsia="Calibri"/>
          <w:sz w:val="20"/>
          <w:szCs w:val="20"/>
        </w:rPr>
        <w:t xml:space="preserve"> terminai</w:t>
      </w:r>
      <w:r w:rsidR="001F26F7" w:rsidRPr="004F572A">
        <w:rPr>
          <w:rFonts w:eastAsia="Calibri"/>
          <w:sz w:val="20"/>
          <w:szCs w:val="20"/>
        </w:rPr>
        <w:t>:</w:t>
      </w:r>
    </w:p>
    <w:p w14:paraId="207837E5" w14:textId="4AAE9B77" w:rsidR="00856328" w:rsidRPr="004F572A" w:rsidRDefault="00856328" w:rsidP="001F26F7">
      <w:pPr>
        <w:widowControl w:val="0"/>
        <w:tabs>
          <w:tab w:val="clear" w:pos="567"/>
        </w:tabs>
        <w:ind w:left="180" w:hanging="180"/>
        <w:rPr>
          <w:rFonts w:eastAsia="Calibri"/>
          <w:sz w:val="20"/>
          <w:szCs w:val="20"/>
        </w:rPr>
      </w:pPr>
      <w:r w:rsidRPr="004F572A">
        <w:rPr>
          <w:rFonts w:eastAsia="Calibri"/>
          <w:sz w:val="20"/>
          <w:szCs w:val="20"/>
        </w:rPr>
        <w:t xml:space="preserve">a: </w:t>
      </w:r>
      <w:proofErr w:type="spellStart"/>
      <w:r w:rsidRPr="004F572A">
        <w:rPr>
          <w:rFonts w:eastAsia="Calibri"/>
          <w:sz w:val="20"/>
          <w:szCs w:val="20"/>
        </w:rPr>
        <w:t>Trombocitopenij</w:t>
      </w:r>
      <w:r w:rsidR="001F26F7" w:rsidRPr="004F572A">
        <w:rPr>
          <w:rFonts w:eastAsia="Calibri"/>
          <w:sz w:val="20"/>
          <w:szCs w:val="20"/>
        </w:rPr>
        <w:t>a</w:t>
      </w:r>
      <w:proofErr w:type="spellEnd"/>
      <w:r w:rsidR="001F26F7" w:rsidRPr="004F572A">
        <w:rPr>
          <w:rFonts w:eastAsia="Calibri"/>
          <w:sz w:val="20"/>
          <w:szCs w:val="20"/>
        </w:rPr>
        <w:t xml:space="preserve"> apima</w:t>
      </w:r>
      <w:r w:rsidRPr="004F572A">
        <w:rPr>
          <w:rFonts w:eastAsia="Calibri"/>
          <w:sz w:val="20"/>
          <w:szCs w:val="20"/>
        </w:rPr>
        <w:t xml:space="preserve"> </w:t>
      </w:r>
      <w:proofErr w:type="spellStart"/>
      <w:r w:rsidRPr="004F572A">
        <w:rPr>
          <w:rFonts w:eastAsia="Calibri"/>
          <w:sz w:val="20"/>
          <w:szCs w:val="20"/>
        </w:rPr>
        <w:t>trombocitopenij</w:t>
      </w:r>
      <w:r w:rsidR="001F26F7" w:rsidRPr="004F572A">
        <w:rPr>
          <w:rFonts w:eastAsia="Calibri"/>
          <w:sz w:val="20"/>
          <w:szCs w:val="20"/>
        </w:rPr>
        <w:t>ą</w:t>
      </w:r>
      <w:proofErr w:type="spellEnd"/>
      <w:r w:rsidRPr="004F572A">
        <w:rPr>
          <w:rFonts w:eastAsia="Calibri"/>
          <w:sz w:val="20"/>
          <w:szCs w:val="20"/>
        </w:rPr>
        <w:t xml:space="preserve"> ir sumažėj</w:t>
      </w:r>
      <w:r w:rsidR="001F26F7" w:rsidRPr="004F572A">
        <w:rPr>
          <w:rFonts w:eastAsia="Calibri"/>
          <w:sz w:val="20"/>
          <w:szCs w:val="20"/>
        </w:rPr>
        <w:t>usį</w:t>
      </w:r>
      <w:r w:rsidRPr="004F572A">
        <w:rPr>
          <w:rFonts w:eastAsia="Calibri"/>
          <w:sz w:val="20"/>
          <w:szCs w:val="20"/>
        </w:rPr>
        <w:t xml:space="preserve"> trombocitų skaiči</w:t>
      </w:r>
      <w:r w:rsidR="001F26F7" w:rsidRPr="004F572A">
        <w:rPr>
          <w:rFonts w:eastAsia="Calibri"/>
          <w:sz w:val="20"/>
          <w:szCs w:val="20"/>
        </w:rPr>
        <w:t>ų</w:t>
      </w:r>
      <w:r w:rsidRPr="004F572A">
        <w:rPr>
          <w:rFonts w:eastAsia="Calibri"/>
          <w:sz w:val="20"/>
          <w:szCs w:val="20"/>
        </w:rPr>
        <w:t xml:space="preserve">. </w:t>
      </w:r>
      <w:proofErr w:type="spellStart"/>
      <w:r w:rsidRPr="004F572A">
        <w:rPr>
          <w:rFonts w:eastAsia="Calibri"/>
          <w:sz w:val="20"/>
          <w:szCs w:val="20"/>
        </w:rPr>
        <w:t>Neutropenija</w:t>
      </w:r>
      <w:proofErr w:type="spellEnd"/>
      <w:r w:rsidRPr="004F572A">
        <w:rPr>
          <w:rFonts w:eastAsia="Calibri"/>
          <w:sz w:val="20"/>
          <w:szCs w:val="20"/>
        </w:rPr>
        <w:t xml:space="preserve"> </w:t>
      </w:r>
      <w:r w:rsidR="001F26F7" w:rsidRPr="004F572A">
        <w:rPr>
          <w:rFonts w:eastAsia="Calibri"/>
          <w:sz w:val="20"/>
          <w:szCs w:val="20"/>
        </w:rPr>
        <w:t xml:space="preserve">apima </w:t>
      </w:r>
      <w:proofErr w:type="spellStart"/>
      <w:r w:rsidRPr="004F572A">
        <w:rPr>
          <w:rFonts w:eastAsia="Calibri"/>
          <w:sz w:val="20"/>
          <w:szCs w:val="20"/>
        </w:rPr>
        <w:t>neutropenij</w:t>
      </w:r>
      <w:r w:rsidR="001F26F7" w:rsidRPr="004F572A">
        <w:rPr>
          <w:rFonts w:eastAsia="Calibri"/>
          <w:sz w:val="20"/>
          <w:szCs w:val="20"/>
        </w:rPr>
        <w:t>ą</w:t>
      </w:r>
      <w:proofErr w:type="spellEnd"/>
      <w:r w:rsidRPr="004F572A">
        <w:rPr>
          <w:rFonts w:eastAsia="Calibri"/>
          <w:sz w:val="20"/>
          <w:szCs w:val="20"/>
        </w:rPr>
        <w:t xml:space="preserve"> ir sumažėj</w:t>
      </w:r>
      <w:r w:rsidR="001F26F7" w:rsidRPr="004F572A">
        <w:rPr>
          <w:rFonts w:eastAsia="Calibri"/>
          <w:sz w:val="20"/>
          <w:szCs w:val="20"/>
        </w:rPr>
        <w:t>usį</w:t>
      </w:r>
      <w:r w:rsidRPr="004F572A">
        <w:rPr>
          <w:rFonts w:eastAsia="Calibri"/>
          <w:sz w:val="20"/>
          <w:szCs w:val="20"/>
        </w:rPr>
        <w:t xml:space="preserve"> </w:t>
      </w:r>
      <w:proofErr w:type="spellStart"/>
      <w:r w:rsidRPr="004F572A">
        <w:rPr>
          <w:rFonts w:eastAsia="Calibri"/>
          <w:sz w:val="20"/>
          <w:szCs w:val="20"/>
        </w:rPr>
        <w:t>neutrofilų</w:t>
      </w:r>
      <w:proofErr w:type="spellEnd"/>
      <w:r w:rsidRPr="004F572A">
        <w:rPr>
          <w:rFonts w:eastAsia="Calibri"/>
          <w:sz w:val="20"/>
          <w:szCs w:val="20"/>
        </w:rPr>
        <w:t xml:space="preserve"> </w:t>
      </w:r>
      <w:r w:rsidR="001F26F7" w:rsidRPr="004F572A">
        <w:rPr>
          <w:rFonts w:eastAsia="Calibri"/>
          <w:sz w:val="20"/>
          <w:szCs w:val="20"/>
        </w:rPr>
        <w:t>skaičių</w:t>
      </w:r>
      <w:r w:rsidRPr="004F572A">
        <w:rPr>
          <w:rFonts w:eastAsia="Calibri"/>
          <w:sz w:val="20"/>
          <w:szCs w:val="20"/>
        </w:rPr>
        <w:t xml:space="preserve">. </w:t>
      </w:r>
      <w:proofErr w:type="spellStart"/>
      <w:r w:rsidR="001F26F7" w:rsidRPr="004F572A">
        <w:rPr>
          <w:rFonts w:eastAsia="Calibri"/>
          <w:sz w:val="20"/>
          <w:szCs w:val="20"/>
        </w:rPr>
        <w:t>Leukopenija</w:t>
      </w:r>
      <w:proofErr w:type="spellEnd"/>
      <w:r w:rsidR="001F26F7" w:rsidRPr="004F572A">
        <w:rPr>
          <w:rFonts w:eastAsia="Calibri"/>
          <w:sz w:val="20"/>
          <w:szCs w:val="20"/>
        </w:rPr>
        <w:t xml:space="preserve"> apima </w:t>
      </w:r>
      <w:proofErr w:type="spellStart"/>
      <w:r w:rsidR="001F26F7" w:rsidRPr="004F572A">
        <w:rPr>
          <w:rFonts w:eastAsia="Calibri"/>
          <w:sz w:val="20"/>
          <w:szCs w:val="20"/>
        </w:rPr>
        <w:t>leukopeniją</w:t>
      </w:r>
      <w:proofErr w:type="spellEnd"/>
      <w:r w:rsidR="001F26F7" w:rsidRPr="004F572A">
        <w:rPr>
          <w:rFonts w:eastAsia="Calibri"/>
          <w:sz w:val="20"/>
          <w:szCs w:val="20"/>
        </w:rPr>
        <w:t xml:space="preserve"> ir sumažėjusį baltųjų kraujo ląstelių skaičių. </w:t>
      </w:r>
      <w:proofErr w:type="spellStart"/>
      <w:r w:rsidRPr="004F572A">
        <w:rPr>
          <w:rFonts w:eastAsia="Calibri"/>
          <w:sz w:val="20"/>
          <w:szCs w:val="20"/>
        </w:rPr>
        <w:t>Limfopenij</w:t>
      </w:r>
      <w:r w:rsidR="001F26F7" w:rsidRPr="004F572A">
        <w:rPr>
          <w:rFonts w:eastAsia="Calibri"/>
          <w:sz w:val="20"/>
          <w:szCs w:val="20"/>
        </w:rPr>
        <w:t>a</w:t>
      </w:r>
      <w:proofErr w:type="spellEnd"/>
      <w:r w:rsidRPr="004F572A">
        <w:rPr>
          <w:rFonts w:eastAsia="Calibri"/>
          <w:sz w:val="20"/>
          <w:szCs w:val="20"/>
        </w:rPr>
        <w:t xml:space="preserve"> </w:t>
      </w:r>
      <w:r w:rsidR="001F26F7" w:rsidRPr="004F572A">
        <w:rPr>
          <w:rFonts w:eastAsia="Calibri"/>
          <w:sz w:val="20"/>
          <w:szCs w:val="20"/>
        </w:rPr>
        <w:t>apima</w:t>
      </w:r>
      <w:r w:rsidRPr="004F572A">
        <w:rPr>
          <w:rFonts w:eastAsia="Calibri"/>
          <w:sz w:val="20"/>
          <w:szCs w:val="20"/>
        </w:rPr>
        <w:t xml:space="preserve"> </w:t>
      </w:r>
      <w:proofErr w:type="spellStart"/>
      <w:r w:rsidRPr="004F572A">
        <w:rPr>
          <w:rFonts w:eastAsia="Calibri"/>
          <w:sz w:val="20"/>
          <w:szCs w:val="20"/>
        </w:rPr>
        <w:t>limfopenij</w:t>
      </w:r>
      <w:r w:rsidR="001F26F7" w:rsidRPr="004F572A">
        <w:rPr>
          <w:rFonts w:eastAsia="Calibri"/>
          <w:sz w:val="20"/>
          <w:szCs w:val="20"/>
        </w:rPr>
        <w:t>ą</w:t>
      </w:r>
      <w:proofErr w:type="spellEnd"/>
      <w:r w:rsidRPr="004F572A">
        <w:rPr>
          <w:rFonts w:eastAsia="Calibri"/>
          <w:sz w:val="20"/>
          <w:szCs w:val="20"/>
        </w:rPr>
        <w:t xml:space="preserve"> ir sumažėj</w:t>
      </w:r>
      <w:r w:rsidR="001F26F7" w:rsidRPr="004F572A">
        <w:rPr>
          <w:rFonts w:eastAsia="Calibri"/>
          <w:sz w:val="20"/>
          <w:szCs w:val="20"/>
        </w:rPr>
        <w:t>usį limfocitų skaičių.</w:t>
      </w:r>
    </w:p>
    <w:p w14:paraId="0A030D97" w14:textId="77777777" w:rsidR="00856328" w:rsidRPr="004F572A" w:rsidRDefault="00856328" w:rsidP="00184C3F">
      <w:pPr>
        <w:widowControl w:val="0"/>
        <w:tabs>
          <w:tab w:val="clear" w:pos="567"/>
        </w:tabs>
        <w:ind w:left="180" w:hanging="180"/>
        <w:rPr>
          <w:rFonts w:eastAsia="Calibri"/>
          <w:sz w:val="20"/>
          <w:szCs w:val="20"/>
        </w:rPr>
      </w:pPr>
      <w:r w:rsidRPr="004F572A">
        <w:rPr>
          <w:rFonts w:eastAsia="Calibri"/>
          <w:sz w:val="20"/>
          <w:szCs w:val="20"/>
        </w:rPr>
        <w:t xml:space="preserve">b: </w:t>
      </w:r>
      <w:proofErr w:type="spellStart"/>
      <w:r w:rsidRPr="004F572A">
        <w:rPr>
          <w:rFonts w:eastAsia="Calibri"/>
          <w:sz w:val="20"/>
          <w:szCs w:val="20"/>
        </w:rPr>
        <w:t>Hipomagnezemij</w:t>
      </w:r>
      <w:r w:rsidR="001F26F7" w:rsidRPr="004F572A">
        <w:rPr>
          <w:rFonts w:eastAsia="Calibri"/>
          <w:sz w:val="20"/>
          <w:szCs w:val="20"/>
        </w:rPr>
        <w:t>a</w:t>
      </w:r>
      <w:proofErr w:type="spellEnd"/>
      <w:r w:rsidR="001F26F7" w:rsidRPr="004F572A">
        <w:rPr>
          <w:rFonts w:eastAsia="Calibri"/>
          <w:sz w:val="20"/>
          <w:szCs w:val="20"/>
        </w:rPr>
        <w:t xml:space="preserve"> apima</w:t>
      </w:r>
      <w:r w:rsidRPr="004F572A">
        <w:rPr>
          <w:rFonts w:eastAsia="Calibri"/>
          <w:sz w:val="20"/>
          <w:szCs w:val="20"/>
        </w:rPr>
        <w:t xml:space="preserve"> </w:t>
      </w:r>
      <w:proofErr w:type="spellStart"/>
      <w:r w:rsidRPr="004F572A">
        <w:rPr>
          <w:rFonts w:eastAsia="Calibri"/>
          <w:sz w:val="20"/>
          <w:szCs w:val="20"/>
        </w:rPr>
        <w:t>hipomagnezemij</w:t>
      </w:r>
      <w:r w:rsidR="001F26F7" w:rsidRPr="004F572A">
        <w:rPr>
          <w:rFonts w:eastAsia="Calibri"/>
          <w:sz w:val="20"/>
          <w:szCs w:val="20"/>
        </w:rPr>
        <w:t>ą</w:t>
      </w:r>
      <w:proofErr w:type="spellEnd"/>
      <w:r w:rsidRPr="004F572A">
        <w:rPr>
          <w:rFonts w:eastAsia="Calibri"/>
          <w:sz w:val="20"/>
          <w:szCs w:val="20"/>
        </w:rPr>
        <w:t xml:space="preserve"> ir sumažėj</w:t>
      </w:r>
      <w:r w:rsidR="001F26F7" w:rsidRPr="004F572A">
        <w:rPr>
          <w:rFonts w:eastAsia="Calibri"/>
          <w:sz w:val="20"/>
          <w:szCs w:val="20"/>
        </w:rPr>
        <w:t>usį</w:t>
      </w:r>
      <w:r w:rsidRPr="004F572A">
        <w:rPr>
          <w:rFonts w:eastAsia="Calibri"/>
          <w:sz w:val="20"/>
          <w:szCs w:val="20"/>
        </w:rPr>
        <w:t xml:space="preserve"> magnio kiek</w:t>
      </w:r>
      <w:r w:rsidR="001F26F7" w:rsidRPr="004F572A">
        <w:rPr>
          <w:rFonts w:eastAsia="Calibri"/>
          <w:sz w:val="20"/>
          <w:szCs w:val="20"/>
        </w:rPr>
        <w:t>į</w:t>
      </w:r>
      <w:r w:rsidRPr="004F572A">
        <w:rPr>
          <w:rFonts w:eastAsia="Calibri"/>
          <w:sz w:val="20"/>
          <w:szCs w:val="20"/>
        </w:rPr>
        <w:t xml:space="preserve"> kraujyje.</w:t>
      </w:r>
      <w:r w:rsidR="00184C3F" w:rsidRPr="004F572A">
        <w:rPr>
          <w:rFonts w:eastAsia="Calibri"/>
          <w:sz w:val="20"/>
          <w:szCs w:val="20"/>
        </w:rPr>
        <w:t xml:space="preserve"> </w:t>
      </w:r>
      <w:proofErr w:type="spellStart"/>
      <w:r w:rsidRPr="004F572A">
        <w:rPr>
          <w:rFonts w:eastAsia="Calibri"/>
          <w:sz w:val="20"/>
          <w:szCs w:val="20"/>
        </w:rPr>
        <w:t>Hipercholesterolemij</w:t>
      </w:r>
      <w:r w:rsidR="00184C3F" w:rsidRPr="004F572A">
        <w:rPr>
          <w:rFonts w:eastAsia="Calibri"/>
          <w:sz w:val="20"/>
          <w:szCs w:val="20"/>
        </w:rPr>
        <w:t>a</w:t>
      </w:r>
      <w:proofErr w:type="spellEnd"/>
      <w:r w:rsidR="00184C3F" w:rsidRPr="004F572A">
        <w:rPr>
          <w:rFonts w:eastAsia="Calibri"/>
          <w:sz w:val="20"/>
          <w:szCs w:val="20"/>
        </w:rPr>
        <w:t xml:space="preserve"> apima</w:t>
      </w:r>
      <w:r w:rsidRPr="004F572A">
        <w:rPr>
          <w:rFonts w:eastAsia="Calibri"/>
          <w:sz w:val="20"/>
          <w:szCs w:val="20"/>
        </w:rPr>
        <w:t xml:space="preserve"> </w:t>
      </w:r>
      <w:proofErr w:type="spellStart"/>
      <w:r w:rsidRPr="004F572A">
        <w:rPr>
          <w:rFonts w:eastAsia="Calibri"/>
          <w:sz w:val="20"/>
          <w:szCs w:val="20"/>
        </w:rPr>
        <w:t>hipercholesterolemij</w:t>
      </w:r>
      <w:r w:rsidR="00184C3F" w:rsidRPr="004F572A">
        <w:rPr>
          <w:rFonts w:eastAsia="Calibri"/>
          <w:sz w:val="20"/>
          <w:szCs w:val="20"/>
        </w:rPr>
        <w:t>ą</w:t>
      </w:r>
      <w:proofErr w:type="spellEnd"/>
      <w:r w:rsidRPr="004F572A">
        <w:rPr>
          <w:rFonts w:eastAsia="Calibri"/>
          <w:sz w:val="20"/>
          <w:szCs w:val="20"/>
        </w:rPr>
        <w:t xml:space="preserve"> ir padidėj</w:t>
      </w:r>
      <w:r w:rsidR="00184C3F" w:rsidRPr="004F572A">
        <w:rPr>
          <w:rFonts w:eastAsia="Calibri"/>
          <w:sz w:val="20"/>
          <w:szCs w:val="20"/>
        </w:rPr>
        <w:t>usį</w:t>
      </w:r>
      <w:r w:rsidRPr="004F572A">
        <w:rPr>
          <w:rFonts w:eastAsia="Calibri"/>
          <w:sz w:val="20"/>
          <w:szCs w:val="20"/>
        </w:rPr>
        <w:t xml:space="preserve"> cholesterolio kiek</w:t>
      </w:r>
      <w:r w:rsidR="00184C3F" w:rsidRPr="004F572A">
        <w:rPr>
          <w:rFonts w:eastAsia="Calibri"/>
          <w:sz w:val="20"/>
          <w:szCs w:val="20"/>
        </w:rPr>
        <w:t>į</w:t>
      </w:r>
      <w:r w:rsidRPr="004F572A">
        <w:rPr>
          <w:rFonts w:eastAsia="Calibri"/>
          <w:sz w:val="20"/>
          <w:szCs w:val="20"/>
        </w:rPr>
        <w:t xml:space="preserve"> kraujyje.</w:t>
      </w:r>
    </w:p>
    <w:p w14:paraId="322D0863" w14:textId="3717D582" w:rsidR="00856328" w:rsidRPr="004F572A" w:rsidRDefault="00856328" w:rsidP="00856328">
      <w:pPr>
        <w:widowControl w:val="0"/>
        <w:tabs>
          <w:tab w:val="clear" w:pos="567"/>
        </w:tabs>
        <w:rPr>
          <w:rFonts w:eastAsia="Calibri"/>
          <w:sz w:val="20"/>
          <w:szCs w:val="20"/>
        </w:rPr>
      </w:pPr>
      <w:r w:rsidRPr="004F572A">
        <w:rPr>
          <w:rFonts w:eastAsia="Calibri"/>
          <w:sz w:val="20"/>
          <w:szCs w:val="20"/>
        </w:rPr>
        <w:t>c: Miokardo infarkt</w:t>
      </w:r>
      <w:r w:rsidR="00184C3F" w:rsidRPr="004F572A">
        <w:rPr>
          <w:rFonts w:eastAsia="Calibri"/>
          <w:sz w:val="20"/>
          <w:szCs w:val="20"/>
        </w:rPr>
        <w:t>as apima</w:t>
      </w:r>
      <w:r w:rsidRPr="004F572A">
        <w:rPr>
          <w:rFonts w:eastAsia="Calibri"/>
          <w:sz w:val="20"/>
          <w:szCs w:val="20"/>
        </w:rPr>
        <w:t xml:space="preserve"> miokardo infarkt</w:t>
      </w:r>
      <w:r w:rsidR="00184C3F" w:rsidRPr="004F572A">
        <w:rPr>
          <w:rFonts w:eastAsia="Calibri"/>
          <w:sz w:val="20"/>
          <w:szCs w:val="20"/>
        </w:rPr>
        <w:t>ą</w:t>
      </w:r>
      <w:r w:rsidRPr="004F572A">
        <w:rPr>
          <w:rFonts w:eastAsia="Calibri"/>
          <w:sz w:val="20"/>
          <w:szCs w:val="20"/>
        </w:rPr>
        <w:t xml:space="preserve"> ir ūmin</w:t>
      </w:r>
      <w:r w:rsidR="00184C3F" w:rsidRPr="004F572A">
        <w:rPr>
          <w:rFonts w:eastAsia="Calibri"/>
          <w:sz w:val="20"/>
          <w:szCs w:val="20"/>
        </w:rPr>
        <w:t>į</w:t>
      </w:r>
      <w:r w:rsidRPr="004F572A">
        <w:rPr>
          <w:rFonts w:eastAsia="Calibri"/>
          <w:sz w:val="20"/>
          <w:szCs w:val="20"/>
        </w:rPr>
        <w:t xml:space="preserve"> miokardo infarkt</w:t>
      </w:r>
      <w:r w:rsidR="00184C3F" w:rsidRPr="004F572A">
        <w:rPr>
          <w:rFonts w:eastAsia="Calibri"/>
          <w:sz w:val="20"/>
          <w:szCs w:val="20"/>
        </w:rPr>
        <w:t>ą</w:t>
      </w:r>
      <w:r w:rsidRPr="004F572A">
        <w:rPr>
          <w:rFonts w:eastAsia="Calibri"/>
          <w:sz w:val="20"/>
          <w:szCs w:val="20"/>
        </w:rPr>
        <w:t>.</w:t>
      </w:r>
    </w:p>
    <w:p w14:paraId="04015757" w14:textId="267DC3F4" w:rsidR="00856328" w:rsidRPr="004F572A" w:rsidRDefault="00856328" w:rsidP="00412E4E">
      <w:pPr>
        <w:widowControl w:val="0"/>
        <w:tabs>
          <w:tab w:val="clear" w:pos="567"/>
        </w:tabs>
        <w:ind w:left="180" w:hanging="180"/>
        <w:rPr>
          <w:rFonts w:eastAsia="Calibri"/>
          <w:sz w:val="20"/>
          <w:szCs w:val="20"/>
        </w:rPr>
      </w:pPr>
      <w:r w:rsidRPr="004F572A">
        <w:rPr>
          <w:rFonts w:eastAsia="Calibri"/>
          <w:sz w:val="20"/>
          <w:szCs w:val="20"/>
        </w:rPr>
        <w:t>d: Apima visus kraujavimo terminus.</w:t>
      </w:r>
      <w:r w:rsidR="00412E4E" w:rsidRPr="004F572A">
        <w:rPr>
          <w:rFonts w:eastAsia="Calibri"/>
          <w:sz w:val="20"/>
          <w:szCs w:val="20"/>
        </w:rPr>
        <w:t xml:space="preserve"> </w:t>
      </w:r>
      <w:r w:rsidRPr="004F572A">
        <w:rPr>
          <w:rFonts w:eastAsia="Calibri"/>
          <w:sz w:val="20"/>
          <w:szCs w:val="20"/>
        </w:rPr>
        <w:t>Kraujavimo atvejų, kurie pasireiškė 5 ar daugiau</w:t>
      </w:r>
      <w:r w:rsidR="00412E4E" w:rsidRPr="004F572A">
        <w:rPr>
          <w:rFonts w:eastAsia="Calibri"/>
          <w:sz w:val="20"/>
          <w:szCs w:val="20"/>
        </w:rPr>
        <w:t xml:space="preserve"> </w:t>
      </w:r>
      <w:r w:rsidR="006175E4">
        <w:rPr>
          <w:rFonts w:eastAsia="Calibri"/>
          <w:sz w:val="20"/>
          <w:szCs w:val="20"/>
        </w:rPr>
        <w:t xml:space="preserve">DSK </w:t>
      </w:r>
      <w:r w:rsidR="00412E4E" w:rsidRPr="004F572A">
        <w:rPr>
          <w:rFonts w:eastAsia="Calibri"/>
          <w:sz w:val="20"/>
          <w:szCs w:val="20"/>
        </w:rPr>
        <w:t xml:space="preserve">sergančių </w:t>
      </w:r>
      <w:r w:rsidR="006175E4">
        <w:rPr>
          <w:rFonts w:eastAsia="Calibri"/>
          <w:sz w:val="20"/>
          <w:szCs w:val="20"/>
        </w:rPr>
        <w:t>pacientų</w:t>
      </w:r>
      <w:r w:rsidRPr="004F572A">
        <w:rPr>
          <w:rFonts w:eastAsia="Calibri"/>
          <w:sz w:val="20"/>
          <w:szCs w:val="20"/>
        </w:rPr>
        <w:t>, pavadinimai</w:t>
      </w:r>
      <w:r w:rsidR="00412E4E" w:rsidRPr="004F572A">
        <w:rPr>
          <w:rFonts w:eastAsia="Calibri"/>
          <w:sz w:val="20"/>
          <w:szCs w:val="20"/>
        </w:rPr>
        <w:t xml:space="preserve">: </w:t>
      </w:r>
      <w:r w:rsidRPr="004F572A">
        <w:rPr>
          <w:rFonts w:eastAsia="Calibri"/>
          <w:sz w:val="20"/>
          <w:szCs w:val="20"/>
        </w:rPr>
        <w:t xml:space="preserve">kraujavimas iš nosies, atsikosėjimas krauju, </w:t>
      </w:r>
      <w:proofErr w:type="spellStart"/>
      <w:r w:rsidRPr="004F572A">
        <w:rPr>
          <w:rFonts w:eastAsia="Calibri"/>
          <w:sz w:val="20"/>
          <w:szCs w:val="20"/>
        </w:rPr>
        <w:t>hematurija</w:t>
      </w:r>
      <w:proofErr w:type="spellEnd"/>
      <w:r w:rsidRPr="004F572A">
        <w:rPr>
          <w:rFonts w:eastAsia="Calibri"/>
          <w:sz w:val="20"/>
          <w:szCs w:val="20"/>
        </w:rPr>
        <w:t>, kraujas išmatose, sumušimas, dantenų</w:t>
      </w:r>
      <w:r w:rsidR="00412E4E" w:rsidRPr="004F572A">
        <w:rPr>
          <w:rFonts w:eastAsia="Calibri"/>
          <w:sz w:val="20"/>
          <w:szCs w:val="20"/>
        </w:rPr>
        <w:t xml:space="preserve"> </w:t>
      </w:r>
      <w:r w:rsidRPr="004F572A">
        <w:rPr>
          <w:rFonts w:eastAsia="Calibri"/>
          <w:sz w:val="20"/>
          <w:szCs w:val="20"/>
        </w:rPr>
        <w:t xml:space="preserve">kraujavimas, </w:t>
      </w:r>
      <w:proofErr w:type="spellStart"/>
      <w:r w:rsidRPr="004F572A">
        <w:rPr>
          <w:rFonts w:eastAsia="Calibri"/>
          <w:sz w:val="20"/>
          <w:szCs w:val="20"/>
        </w:rPr>
        <w:t>petechijos</w:t>
      </w:r>
      <w:proofErr w:type="spellEnd"/>
      <w:r w:rsidRPr="004F572A">
        <w:rPr>
          <w:rFonts w:eastAsia="Calibri"/>
          <w:sz w:val="20"/>
          <w:szCs w:val="20"/>
        </w:rPr>
        <w:t>, kraujavimas iš plaučių, kraujavimas iš tiesiosios žarnos, kraujas</w:t>
      </w:r>
      <w:r w:rsidR="00412E4E" w:rsidRPr="004F572A">
        <w:rPr>
          <w:rFonts w:eastAsia="Calibri"/>
          <w:sz w:val="20"/>
          <w:szCs w:val="20"/>
        </w:rPr>
        <w:t xml:space="preserve"> </w:t>
      </w:r>
      <w:r w:rsidRPr="004F572A">
        <w:rPr>
          <w:rFonts w:eastAsia="Calibri"/>
          <w:sz w:val="20"/>
          <w:szCs w:val="20"/>
        </w:rPr>
        <w:t>šlapime, kraujosruva ir kraujavimas iš makšties</w:t>
      </w:r>
      <w:r w:rsidR="00E146FE" w:rsidRPr="004F572A">
        <w:rPr>
          <w:rFonts w:eastAsia="Calibri"/>
          <w:sz w:val="20"/>
          <w:szCs w:val="20"/>
        </w:rPr>
        <w:t>.</w:t>
      </w:r>
    </w:p>
    <w:p w14:paraId="04A79017" w14:textId="2536C847" w:rsidR="00856328" w:rsidRPr="004F572A" w:rsidRDefault="00856328" w:rsidP="00E146FE">
      <w:pPr>
        <w:widowControl w:val="0"/>
        <w:tabs>
          <w:tab w:val="clear" w:pos="567"/>
        </w:tabs>
        <w:ind w:left="180"/>
        <w:rPr>
          <w:rFonts w:eastAsia="Calibri"/>
          <w:sz w:val="20"/>
          <w:szCs w:val="20"/>
        </w:rPr>
      </w:pPr>
      <w:r w:rsidRPr="004F572A">
        <w:rPr>
          <w:rFonts w:eastAsia="Calibri"/>
          <w:sz w:val="20"/>
          <w:szCs w:val="20"/>
        </w:rPr>
        <w:t>Kraujavimo atvejų, kurie pasireiškė 5 ar daugiau</w:t>
      </w:r>
      <w:r w:rsidR="006175E4">
        <w:rPr>
          <w:rFonts w:eastAsia="Calibri"/>
          <w:sz w:val="20"/>
          <w:szCs w:val="20"/>
        </w:rPr>
        <w:t xml:space="preserve"> HCK </w:t>
      </w:r>
      <w:r w:rsidR="00E146FE" w:rsidRPr="004F572A">
        <w:rPr>
          <w:rFonts w:eastAsia="Calibri"/>
          <w:sz w:val="20"/>
          <w:szCs w:val="20"/>
        </w:rPr>
        <w:t xml:space="preserve">sergančių </w:t>
      </w:r>
      <w:r w:rsidR="006175E4">
        <w:rPr>
          <w:rFonts w:eastAsia="Calibri"/>
          <w:sz w:val="20"/>
          <w:szCs w:val="20"/>
        </w:rPr>
        <w:t>pacientų</w:t>
      </w:r>
      <w:r w:rsidRPr="004F572A">
        <w:rPr>
          <w:rFonts w:eastAsia="Calibri"/>
          <w:sz w:val="20"/>
          <w:szCs w:val="20"/>
        </w:rPr>
        <w:t>, pavadinimai</w:t>
      </w:r>
      <w:r w:rsidR="00E146FE" w:rsidRPr="004F572A">
        <w:rPr>
          <w:rFonts w:eastAsia="Calibri"/>
          <w:sz w:val="20"/>
          <w:szCs w:val="20"/>
        </w:rPr>
        <w:t xml:space="preserve">: </w:t>
      </w:r>
      <w:r w:rsidRPr="004F572A">
        <w:rPr>
          <w:rFonts w:eastAsia="Calibri"/>
          <w:sz w:val="20"/>
          <w:szCs w:val="20"/>
        </w:rPr>
        <w:t xml:space="preserve">kraujavimas iš nosies, </w:t>
      </w:r>
      <w:proofErr w:type="spellStart"/>
      <w:r w:rsidRPr="004F572A">
        <w:rPr>
          <w:rFonts w:eastAsia="Calibri"/>
          <w:sz w:val="20"/>
          <w:szCs w:val="20"/>
        </w:rPr>
        <w:t>hematurija</w:t>
      </w:r>
      <w:proofErr w:type="spellEnd"/>
      <w:r w:rsidRPr="004F572A">
        <w:rPr>
          <w:rFonts w:eastAsia="Calibri"/>
          <w:sz w:val="20"/>
          <w:szCs w:val="20"/>
        </w:rPr>
        <w:t>, kraujavimas iš dantenų, atsikosėjimas krauju, kraujavimas iš</w:t>
      </w:r>
      <w:r w:rsidR="00E146FE" w:rsidRPr="004F572A">
        <w:rPr>
          <w:rFonts w:eastAsia="Calibri"/>
          <w:sz w:val="20"/>
          <w:szCs w:val="20"/>
        </w:rPr>
        <w:t xml:space="preserve"> </w:t>
      </w:r>
      <w:proofErr w:type="spellStart"/>
      <w:r w:rsidRPr="004F572A">
        <w:rPr>
          <w:rFonts w:eastAsia="Calibri"/>
          <w:sz w:val="20"/>
          <w:szCs w:val="20"/>
        </w:rPr>
        <w:t>varikozinių</w:t>
      </w:r>
      <w:proofErr w:type="spellEnd"/>
      <w:r w:rsidRPr="004F572A">
        <w:rPr>
          <w:rFonts w:eastAsia="Calibri"/>
          <w:sz w:val="20"/>
          <w:szCs w:val="20"/>
        </w:rPr>
        <w:t xml:space="preserve"> stemplės venų, kraujavimas iš hemoro</w:t>
      </w:r>
      <w:r w:rsidR="00E146FE" w:rsidRPr="004F572A">
        <w:rPr>
          <w:rFonts w:eastAsia="Calibri"/>
          <w:sz w:val="20"/>
          <w:szCs w:val="20"/>
        </w:rPr>
        <w:t>jaus</w:t>
      </w:r>
      <w:r w:rsidRPr="004F572A">
        <w:rPr>
          <w:rFonts w:eastAsia="Calibri"/>
          <w:sz w:val="20"/>
          <w:szCs w:val="20"/>
        </w:rPr>
        <w:t xml:space="preserve"> mazgų, kraujavimas iš burnos,</w:t>
      </w:r>
      <w:r w:rsidR="00E146FE" w:rsidRPr="004F572A">
        <w:rPr>
          <w:rFonts w:eastAsia="Calibri"/>
          <w:sz w:val="20"/>
          <w:szCs w:val="20"/>
        </w:rPr>
        <w:t xml:space="preserve"> </w:t>
      </w:r>
      <w:r w:rsidRPr="004F572A">
        <w:rPr>
          <w:rFonts w:eastAsia="Calibri"/>
          <w:sz w:val="20"/>
          <w:szCs w:val="20"/>
        </w:rPr>
        <w:t>kraujavimas iš tiesiosios žarnos, kraujavimas iš viršutinės virškin</w:t>
      </w:r>
      <w:r w:rsidR="00E146FE" w:rsidRPr="004F572A">
        <w:rPr>
          <w:rFonts w:eastAsia="Calibri"/>
          <w:sz w:val="20"/>
          <w:szCs w:val="20"/>
        </w:rPr>
        <w:t>imo</w:t>
      </w:r>
      <w:r w:rsidRPr="004F572A">
        <w:rPr>
          <w:rFonts w:eastAsia="Calibri"/>
          <w:sz w:val="20"/>
          <w:szCs w:val="20"/>
        </w:rPr>
        <w:t xml:space="preserve"> trakto dalies.</w:t>
      </w:r>
    </w:p>
    <w:p w14:paraId="2B4F78D4" w14:textId="4BA5460C" w:rsidR="00856328" w:rsidRPr="004F572A" w:rsidRDefault="00856328" w:rsidP="00E146FE">
      <w:pPr>
        <w:widowControl w:val="0"/>
        <w:tabs>
          <w:tab w:val="clear" w:pos="567"/>
        </w:tabs>
        <w:ind w:left="180" w:hanging="180"/>
        <w:rPr>
          <w:rFonts w:eastAsia="Calibri"/>
          <w:sz w:val="20"/>
          <w:szCs w:val="20"/>
        </w:rPr>
      </w:pPr>
      <w:r w:rsidRPr="004F572A">
        <w:rPr>
          <w:rFonts w:eastAsia="Calibri"/>
          <w:sz w:val="20"/>
          <w:szCs w:val="20"/>
        </w:rPr>
        <w:lastRenderedPageBreak/>
        <w:t>e: Hipertenzij</w:t>
      </w:r>
      <w:r w:rsidR="00E146FE" w:rsidRPr="004F572A">
        <w:rPr>
          <w:rFonts w:eastAsia="Calibri"/>
          <w:sz w:val="20"/>
          <w:szCs w:val="20"/>
        </w:rPr>
        <w:t>a apima</w:t>
      </w:r>
      <w:r w:rsidRPr="004F572A">
        <w:rPr>
          <w:rFonts w:eastAsia="Calibri"/>
          <w:sz w:val="20"/>
          <w:szCs w:val="20"/>
        </w:rPr>
        <w:t xml:space="preserve"> hipertenzij</w:t>
      </w:r>
      <w:r w:rsidR="00E146FE" w:rsidRPr="004F572A">
        <w:rPr>
          <w:rFonts w:eastAsia="Calibri"/>
          <w:sz w:val="20"/>
          <w:szCs w:val="20"/>
        </w:rPr>
        <w:t>ą</w:t>
      </w:r>
      <w:r w:rsidRPr="004F572A">
        <w:rPr>
          <w:rFonts w:eastAsia="Calibri"/>
          <w:sz w:val="20"/>
          <w:szCs w:val="20"/>
        </w:rPr>
        <w:t xml:space="preserve">, </w:t>
      </w:r>
      <w:proofErr w:type="spellStart"/>
      <w:r w:rsidRPr="004F572A">
        <w:rPr>
          <w:rFonts w:eastAsia="Calibri"/>
          <w:sz w:val="20"/>
          <w:szCs w:val="20"/>
        </w:rPr>
        <w:t>hipertenzin</w:t>
      </w:r>
      <w:r w:rsidR="00E146FE" w:rsidRPr="004F572A">
        <w:rPr>
          <w:rFonts w:eastAsia="Calibri"/>
          <w:sz w:val="20"/>
          <w:szCs w:val="20"/>
        </w:rPr>
        <w:t>ę</w:t>
      </w:r>
      <w:proofErr w:type="spellEnd"/>
      <w:r w:rsidRPr="004F572A">
        <w:rPr>
          <w:rFonts w:eastAsia="Calibri"/>
          <w:sz w:val="20"/>
          <w:szCs w:val="20"/>
        </w:rPr>
        <w:t xml:space="preserve"> kriz</w:t>
      </w:r>
      <w:r w:rsidR="00E146FE" w:rsidRPr="004F572A">
        <w:rPr>
          <w:rFonts w:eastAsia="Calibri"/>
          <w:sz w:val="20"/>
          <w:szCs w:val="20"/>
        </w:rPr>
        <w:t>ę</w:t>
      </w:r>
      <w:r w:rsidRPr="004F572A">
        <w:rPr>
          <w:rFonts w:eastAsia="Calibri"/>
          <w:sz w:val="20"/>
          <w:szCs w:val="20"/>
        </w:rPr>
        <w:t>, padidėj</w:t>
      </w:r>
      <w:r w:rsidR="00E146FE" w:rsidRPr="004F572A">
        <w:rPr>
          <w:rFonts w:eastAsia="Calibri"/>
          <w:sz w:val="20"/>
          <w:szCs w:val="20"/>
        </w:rPr>
        <w:t>usį</w:t>
      </w:r>
      <w:r w:rsidRPr="004F572A">
        <w:rPr>
          <w:rFonts w:eastAsia="Calibri"/>
          <w:sz w:val="20"/>
          <w:szCs w:val="20"/>
        </w:rPr>
        <w:t xml:space="preserve"> </w:t>
      </w:r>
      <w:proofErr w:type="spellStart"/>
      <w:r w:rsidRPr="004F572A">
        <w:rPr>
          <w:rFonts w:eastAsia="Calibri"/>
          <w:sz w:val="20"/>
          <w:szCs w:val="20"/>
        </w:rPr>
        <w:t>diastolin</w:t>
      </w:r>
      <w:r w:rsidR="00E146FE" w:rsidRPr="004F572A">
        <w:rPr>
          <w:rFonts w:eastAsia="Calibri"/>
          <w:sz w:val="20"/>
          <w:szCs w:val="20"/>
        </w:rPr>
        <w:t>į</w:t>
      </w:r>
      <w:proofErr w:type="spellEnd"/>
      <w:r w:rsidRPr="004F572A">
        <w:rPr>
          <w:rFonts w:eastAsia="Calibri"/>
          <w:sz w:val="20"/>
          <w:szCs w:val="20"/>
        </w:rPr>
        <w:t xml:space="preserve"> kraujo</w:t>
      </w:r>
      <w:r w:rsidR="00E146FE" w:rsidRPr="004F572A">
        <w:rPr>
          <w:rFonts w:eastAsia="Calibri"/>
          <w:sz w:val="20"/>
          <w:szCs w:val="20"/>
        </w:rPr>
        <w:t xml:space="preserve"> spaudimą</w:t>
      </w:r>
      <w:r w:rsidRPr="004F572A">
        <w:rPr>
          <w:rFonts w:eastAsia="Calibri"/>
          <w:sz w:val="20"/>
          <w:szCs w:val="20"/>
        </w:rPr>
        <w:t xml:space="preserve">, </w:t>
      </w:r>
      <w:proofErr w:type="spellStart"/>
      <w:r w:rsidRPr="004F572A">
        <w:rPr>
          <w:rFonts w:eastAsia="Calibri"/>
          <w:sz w:val="20"/>
          <w:szCs w:val="20"/>
        </w:rPr>
        <w:t>ortostatin</w:t>
      </w:r>
      <w:r w:rsidR="00E146FE" w:rsidRPr="004F572A">
        <w:rPr>
          <w:rFonts w:eastAsia="Calibri"/>
          <w:sz w:val="20"/>
          <w:szCs w:val="20"/>
        </w:rPr>
        <w:t>ę</w:t>
      </w:r>
      <w:proofErr w:type="spellEnd"/>
      <w:r w:rsidR="00E146FE" w:rsidRPr="004F572A">
        <w:rPr>
          <w:rFonts w:eastAsia="Calibri"/>
          <w:sz w:val="20"/>
          <w:szCs w:val="20"/>
        </w:rPr>
        <w:t xml:space="preserve"> </w:t>
      </w:r>
      <w:r w:rsidRPr="004F572A">
        <w:rPr>
          <w:rFonts w:eastAsia="Calibri"/>
          <w:sz w:val="20"/>
          <w:szCs w:val="20"/>
        </w:rPr>
        <w:t>hipertenzij</w:t>
      </w:r>
      <w:r w:rsidR="00E146FE" w:rsidRPr="004F572A">
        <w:rPr>
          <w:rFonts w:eastAsia="Calibri"/>
          <w:sz w:val="20"/>
          <w:szCs w:val="20"/>
        </w:rPr>
        <w:t>ą</w:t>
      </w:r>
      <w:r w:rsidRPr="004F572A">
        <w:rPr>
          <w:rFonts w:eastAsia="Calibri"/>
          <w:sz w:val="20"/>
          <w:szCs w:val="20"/>
        </w:rPr>
        <w:t xml:space="preserve"> ir padidėj</w:t>
      </w:r>
      <w:r w:rsidR="00E146FE" w:rsidRPr="004F572A">
        <w:rPr>
          <w:rFonts w:eastAsia="Calibri"/>
          <w:sz w:val="20"/>
          <w:szCs w:val="20"/>
        </w:rPr>
        <w:t>usį kraujosp</w:t>
      </w:r>
      <w:r w:rsidR="006175E4">
        <w:rPr>
          <w:rFonts w:eastAsia="Calibri"/>
          <w:sz w:val="20"/>
          <w:szCs w:val="20"/>
        </w:rPr>
        <w:t>ūdį</w:t>
      </w:r>
      <w:r w:rsidRPr="004F572A">
        <w:rPr>
          <w:rFonts w:eastAsia="Calibri"/>
          <w:sz w:val="20"/>
          <w:szCs w:val="20"/>
        </w:rPr>
        <w:t>.</w:t>
      </w:r>
    </w:p>
    <w:p w14:paraId="22DB38E1" w14:textId="77777777" w:rsidR="00856328" w:rsidRPr="004F572A" w:rsidRDefault="00856328" w:rsidP="00E146FE">
      <w:pPr>
        <w:widowControl w:val="0"/>
        <w:tabs>
          <w:tab w:val="clear" w:pos="567"/>
        </w:tabs>
        <w:ind w:left="180" w:hanging="180"/>
        <w:rPr>
          <w:rFonts w:eastAsia="Calibri"/>
          <w:sz w:val="20"/>
          <w:szCs w:val="20"/>
        </w:rPr>
      </w:pPr>
      <w:r w:rsidRPr="004F572A">
        <w:rPr>
          <w:rFonts w:eastAsia="Calibri"/>
          <w:sz w:val="20"/>
          <w:szCs w:val="20"/>
        </w:rPr>
        <w:t xml:space="preserve">f: Virškinimo trakto bei pilvo skausmas </w:t>
      </w:r>
      <w:r w:rsidR="00E146FE" w:rsidRPr="004F572A">
        <w:rPr>
          <w:rFonts w:eastAsia="Calibri"/>
          <w:sz w:val="20"/>
          <w:szCs w:val="20"/>
        </w:rPr>
        <w:t>apima</w:t>
      </w:r>
      <w:r w:rsidRPr="004F572A">
        <w:rPr>
          <w:rFonts w:eastAsia="Calibri"/>
          <w:sz w:val="20"/>
          <w:szCs w:val="20"/>
        </w:rPr>
        <w:t xml:space="preserve"> pilvo diskomfort</w:t>
      </w:r>
      <w:r w:rsidR="00E146FE" w:rsidRPr="004F572A">
        <w:rPr>
          <w:rFonts w:eastAsia="Calibri"/>
          <w:sz w:val="20"/>
          <w:szCs w:val="20"/>
        </w:rPr>
        <w:t>ą</w:t>
      </w:r>
      <w:r w:rsidRPr="004F572A">
        <w:rPr>
          <w:rFonts w:eastAsia="Calibri"/>
          <w:sz w:val="20"/>
          <w:szCs w:val="20"/>
        </w:rPr>
        <w:t>, pilvo skausm</w:t>
      </w:r>
      <w:r w:rsidR="00E146FE" w:rsidRPr="004F572A">
        <w:rPr>
          <w:rFonts w:eastAsia="Calibri"/>
          <w:sz w:val="20"/>
          <w:szCs w:val="20"/>
        </w:rPr>
        <w:t>ą</w:t>
      </w:r>
      <w:r w:rsidRPr="004F572A">
        <w:rPr>
          <w:rFonts w:eastAsia="Calibri"/>
          <w:sz w:val="20"/>
          <w:szCs w:val="20"/>
        </w:rPr>
        <w:t>, apatinės pilvo</w:t>
      </w:r>
      <w:r w:rsidR="00E146FE" w:rsidRPr="004F572A">
        <w:rPr>
          <w:rFonts w:eastAsia="Calibri"/>
          <w:sz w:val="20"/>
          <w:szCs w:val="20"/>
        </w:rPr>
        <w:t xml:space="preserve"> </w:t>
      </w:r>
      <w:r w:rsidRPr="004F572A">
        <w:rPr>
          <w:rFonts w:eastAsia="Calibri"/>
          <w:sz w:val="20"/>
          <w:szCs w:val="20"/>
        </w:rPr>
        <w:t>dalies skausm</w:t>
      </w:r>
      <w:r w:rsidR="00E146FE" w:rsidRPr="004F572A">
        <w:rPr>
          <w:rFonts w:eastAsia="Calibri"/>
          <w:sz w:val="20"/>
          <w:szCs w:val="20"/>
        </w:rPr>
        <w:t>ą</w:t>
      </w:r>
      <w:r w:rsidRPr="004F572A">
        <w:rPr>
          <w:rFonts w:eastAsia="Calibri"/>
          <w:sz w:val="20"/>
          <w:szCs w:val="20"/>
        </w:rPr>
        <w:t>, viršutinės pilvo dalies skausm</w:t>
      </w:r>
      <w:r w:rsidR="00E146FE" w:rsidRPr="004F572A">
        <w:rPr>
          <w:rFonts w:eastAsia="Calibri"/>
          <w:sz w:val="20"/>
          <w:szCs w:val="20"/>
        </w:rPr>
        <w:t>ą</w:t>
      </w:r>
      <w:r w:rsidRPr="004F572A">
        <w:rPr>
          <w:rFonts w:eastAsia="Calibri"/>
          <w:sz w:val="20"/>
          <w:szCs w:val="20"/>
        </w:rPr>
        <w:t>, pilvo jautrum</w:t>
      </w:r>
      <w:r w:rsidR="00E146FE" w:rsidRPr="004F572A">
        <w:rPr>
          <w:rFonts w:eastAsia="Calibri"/>
          <w:sz w:val="20"/>
          <w:szCs w:val="20"/>
        </w:rPr>
        <w:t>ą</w:t>
      </w:r>
      <w:r w:rsidRPr="004F572A">
        <w:rPr>
          <w:rFonts w:eastAsia="Calibri"/>
          <w:sz w:val="20"/>
          <w:szCs w:val="20"/>
        </w:rPr>
        <w:t>, diskomfort</w:t>
      </w:r>
      <w:r w:rsidR="00E146FE" w:rsidRPr="004F572A">
        <w:rPr>
          <w:rFonts w:eastAsia="Calibri"/>
          <w:sz w:val="20"/>
          <w:szCs w:val="20"/>
        </w:rPr>
        <w:t>ą</w:t>
      </w:r>
      <w:r w:rsidRPr="004F572A">
        <w:rPr>
          <w:rFonts w:eastAsia="Calibri"/>
          <w:sz w:val="20"/>
          <w:szCs w:val="20"/>
        </w:rPr>
        <w:t xml:space="preserve"> </w:t>
      </w:r>
      <w:proofErr w:type="spellStart"/>
      <w:r w:rsidRPr="004F572A">
        <w:rPr>
          <w:rFonts w:eastAsia="Calibri"/>
          <w:sz w:val="20"/>
          <w:szCs w:val="20"/>
        </w:rPr>
        <w:t>epigastriumo</w:t>
      </w:r>
      <w:proofErr w:type="spellEnd"/>
      <w:r w:rsidR="00E146FE" w:rsidRPr="004F572A">
        <w:rPr>
          <w:rFonts w:eastAsia="Calibri"/>
          <w:sz w:val="20"/>
          <w:szCs w:val="20"/>
        </w:rPr>
        <w:t xml:space="preserve"> </w:t>
      </w:r>
      <w:r w:rsidRPr="004F572A">
        <w:rPr>
          <w:rFonts w:eastAsia="Calibri"/>
          <w:sz w:val="20"/>
          <w:szCs w:val="20"/>
        </w:rPr>
        <w:t>srityje ir virškinimo trakto skausm</w:t>
      </w:r>
      <w:r w:rsidR="00E146FE" w:rsidRPr="004F572A">
        <w:rPr>
          <w:rFonts w:eastAsia="Calibri"/>
          <w:sz w:val="20"/>
          <w:szCs w:val="20"/>
        </w:rPr>
        <w:t>ą</w:t>
      </w:r>
      <w:r w:rsidRPr="004F572A">
        <w:rPr>
          <w:rFonts w:eastAsia="Calibri"/>
          <w:sz w:val="20"/>
          <w:szCs w:val="20"/>
        </w:rPr>
        <w:t>.</w:t>
      </w:r>
    </w:p>
    <w:p w14:paraId="4F21DDBD" w14:textId="1E7D1E3E" w:rsidR="00856328" w:rsidRPr="004F572A" w:rsidRDefault="00856328" w:rsidP="00E146FE">
      <w:pPr>
        <w:widowControl w:val="0"/>
        <w:tabs>
          <w:tab w:val="clear" w:pos="567"/>
        </w:tabs>
        <w:ind w:left="180" w:hanging="180"/>
        <w:rPr>
          <w:rFonts w:eastAsia="Calibri"/>
          <w:sz w:val="20"/>
          <w:szCs w:val="20"/>
        </w:rPr>
      </w:pPr>
      <w:r w:rsidRPr="004F572A">
        <w:rPr>
          <w:rFonts w:eastAsia="Calibri"/>
          <w:sz w:val="20"/>
          <w:szCs w:val="20"/>
        </w:rPr>
        <w:t>g: Burnos uždegim</w:t>
      </w:r>
      <w:r w:rsidR="00E146FE" w:rsidRPr="004F572A">
        <w:rPr>
          <w:rFonts w:eastAsia="Calibri"/>
          <w:sz w:val="20"/>
          <w:szCs w:val="20"/>
        </w:rPr>
        <w:t>as apima</w:t>
      </w:r>
      <w:r w:rsidRPr="004F572A">
        <w:rPr>
          <w:rFonts w:eastAsia="Calibri"/>
          <w:sz w:val="20"/>
          <w:szCs w:val="20"/>
        </w:rPr>
        <w:t xml:space="preserve"> </w:t>
      </w:r>
      <w:proofErr w:type="spellStart"/>
      <w:r w:rsidRPr="004F572A">
        <w:rPr>
          <w:rFonts w:eastAsia="Calibri"/>
          <w:sz w:val="20"/>
          <w:szCs w:val="20"/>
        </w:rPr>
        <w:t>aftin</w:t>
      </w:r>
      <w:r w:rsidR="00E146FE" w:rsidRPr="004F572A">
        <w:rPr>
          <w:rFonts w:eastAsia="Calibri"/>
          <w:sz w:val="20"/>
          <w:szCs w:val="20"/>
        </w:rPr>
        <w:t>į</w:t>
      </w:r>
      <w:proofErr w:type="spellEnd"/>
      <w:r w:rsidRPr="004F572A">
        <w:rPr>
          <w:rFonts w:eastAsia="Calibri"/>
          <w:sz w:val="20"/>
          <w:szCs w:val="20"/>
        </w:rPr>
        <w:t xml:space="preserve"> stomatit</w:t>
      </w:r>
      <w:r w:rsidR="00E146FE" w:rsidRPr="004F572A">
        <w:rPr>
          <w:rFonts w:eastAsia="Calibri"/>
          <w:sz w:val="20"/>
          <w:szCs w:val="20"/>
        </w:rPr>
        <w:t>ą</w:t>
      </w:r>
      <w:r w:rsidRPr="004F572A">
        <w:rPr>
          <w:rFonts w:eastAsia="Calibri"/>
          <w:sz w:val="20"/>
          <w:szCs w:val="20"/>
        </w:rPr>
        <w:t xml:space="preserve">, </w:t>
      </w:r>
      <w:proofErr w:type="spellStart"/>
      <w:r w:rsidRPr="004F572A">
        <w:rPr>
          <w:rFonts w:eastAsia="Calibri"/>
          <w:sz w:val="20"/>
          <w:szCs w:val="20"/>
        </w:rPr>
        <w:t>aftin</w:t>
      </w:r>
      <w:r w:rsidR="00E146FE" w:rsidRPr="004F572A">
        <w:rPr>
          <w:rFonts w:eastAsia="Calibri"/>
          <w:sz w:val="20"/>
          <w:szCs w:val="20"/>
        </w:rPr>
        <w:t>ę</w:t>
      </w:r>
      <w:proofErr w:type="spellEnd"/>
      <w:r w:rsidRPr="004F572A">
        <w:rPr>
          <w:rFonts w:eastAsia="Calibri"/>
          <w:sz w:val="20"/>
          <w:szCs w:val="20"/>
        </w:rPr>
        <w:t xml:space="preserve"> op</w:t>
      </w:r>
      <w:r w:rsidR="00E146FE" w:rsidRPr="004F572A">
        <w:rPr>
          <w:rFonts w:eastAsia="Calibri"/>
          <w:sz w:val="20"/>
          <w:szCs w:val="20"/>
        </w:rPr>
        <w:t>ą</w:t>
      </w:r>
      <w:r w:rsidRPr="004F572A">
        <w:rPr>
          <w:rFonts w:eastAsia="Calibri"/>
          <w:sz w:val="20"/>
          <w:szCs w:val="20"/>
        </w:rPr>
        <w:t>, dantenų erozij</w:t>
      </w:r>
      <w:r w:rsidR="00E146FE" w:rsidRPr="004F572A">
        <w:rPr>
          <w:rFonts w:eastAsia="Calibri"/>
          <w:sz w:val="20"/>
          <w:szCs w:val="20"/>
        </w:rPr>
        <w:t>ą</w:t>
      </w:r>
      <w:r w:rsidRPr="004F572A">
        <w:rPr>
          <w:rFonts w:eastAsia="Calibri"/>
          <w:sz w:val="20"/>
          <w:szCs w:val="20"/>
        </w:rPr>
        <w:t>, dantenų išopėjim</w:t>
      </w:r>
      <w:r w:rsidR="00E146FE" w:rsidRPr="004F572A">
        <w:rPr>
          <w:rFonts w:eastAsia="Calibri"/>
          <w:sz w:val="20"/>
          <w:szCs w:val="20"/>
        </w:rPr>
        <w:t>ą</w:t>
      </w:r>
      <w:r w:rsidRPr="004F572A">
        <w:rPr>
          <w:rFonts w:eastAsia="Calibri"/>
          <w:sz w:val="20"/>
          <w:szCs w:val="20"/>
        </w:rPr>
        <w:t>, burnos</w:t>
      </w:r>
      <w:r w:rsidR="00E146FE" w:rsidRPr="004F572A">
        <w:rPr>
          <w:rFonts w:eastAsia="Calibri"/>
          <w:sz w:val="20"/>
          <w:szCs w:val="20"/>
        </w:rPr>
        <w:t xml:space="preserve"> </w:t>
      </w:r>
      <w:r w:rsidRPr="004F572A">
        <w:rPr>
          <w:rFonts w:eastAsia="Calibri"/>
          <w:sz w:val="20"/>
          <w:szCs w:val="20"/>
        </w:rPr>
        <w:t>gleivinės pūsl</w:t>
      </w:r>
      <w:r w:rsidR="006175E4">
        <w:rPr>
          <w:rFonts w:eastAsia="Calibri"/>
          <w:sz w:val="20"/>
          <w:szCs w:val="20"/>
        </w:rPr>
        <w:t>eles</w:t>
      </w:r>
      <w:r w:rsidRPr="004F572A">
        <w:rPr>
          <w:rFonts w:eastAsia="Calibri"/>
          <w:sz w:val="20"/>
          <w:szCs w:val="20"/>
        </w:rPr>
        <w:t>, stomatit</w:t>
      </w:r>
      <w:r w:rsidR="00E146FE" w:rsidRPr="004F572A">
        <w:rPr>
          <w:rFonts w:eastAsia="Calibri"/>
          <w:sz w:val="20"/>
          <w:szCs w:val="20"/>
        </w:rPr>
        <w:t>ą</w:t>
      </w:r>
      <w:r w:rsidRPr="004F572A">
        <w:rPr>
          <w:rFonts w:eastAsia="Calibri"/>
          <w:sz w:val="20"/>
          <w:szCs w:val="20"/>
        </w:rPr>
        <w:t>, glosit</w:t>
      </w:r>
      <w:r w:rsidR="00E146FE" w:rsidRPr="004F572A">
        <w:rPr>
          <w:rFonts w:eastAsia="Calibri"/>
          <w:sz w:val="20"/>
          <w:szCs w:val="20"/>
        </w:rPr>
        <w:t>ą</w:t>
      </w:r>
      <w:r w:rsidRPr="004F572A">
        <w:rPr>
          <w:rFonts w:eastAsia="Calibri"/>
          <w:sz w:val="20"/>
          <w:szCs w:val="20"/>
        </w:rPr>
        <w:t xml:space="preserve">, burnos </w:t>
      </w:r>
      <w:r w:rsidR="00E146FE" w:rsidRPr="004F572A">
        <w:rPr>
          <w:rFonts w:eastAsia="Calibri"/>
          <w:sz w:val="20"/>
          <w:szCs w:val="20"/>
        </w:rPr>
        <w:t>iš</w:t>
      </w:r>
      <w:r w:rsidRPr="004F572A">
        <w:rPr>
          <w:rFonts w:eastAsia="Calibri"/>
          <w:sz w:val="20"/>
          <w:szCs w:val="20"/>
        </w:rPr>
        <w:t>opėjim</w:t>
      </w:r>
      <w:r w:rsidR="00E146FE" w:rsidRPr="004F572A">
        <w:rPr>
          <w:rFonts w:eastAsia="Calibri"/>
          <w:sz w:val="20"/>
          <w:szCs w:val="20"/>
        </w:rPr>
        <w:t>ą</w:t>
      </w:r>
      <w:r w:rsidRPr="004F572A">
        <w:rPr>
          <w:rFonts w:eastAsia="Calibri"/>
          <w:sz w:val="20"/>
          <w:szCs w:val="20"/>
        </w:rPr>
        <w:t xml:space="preserve"> ir gleivinės uždegim</w:t>
      </w:r>
      <w:r w:rsidR="00E146FE" w:rsidRPr="004F572A">
        <w:rPr>
          <w:rFonts w:eastAsia="Calibri"/>
          <w:sz w:val="20"/>
          <w:szCs w:val="20"/>
        </w:rPr>
        <w:t>ą</w:t>
      </w:r>
      <w:r w:rsidRPr="004F572A">
        <w:rPr>
          <w:rFonts w:eastAsia="Calibri"/>
          <w:sz w:val="20"/>
          <w:szCs w:val="20"/>
        </w:rPr>
        <w:t>.</w:t>
      </w:r>
    </w:p>
    <w:p w14:paraId="614478DF" w14:textId="77777777" w:rsidR="00856328" w:rsidRPr="004F572A" w:rsidRDefault="00856328" w:rsidP="001B6621">
      <w:pPr>
        <w:widowControl w:val="0"/>
        <w:tabs>
          <w:tab w:val="clear" w:pos="567"/>
        </w:tabs>
        <w:ind w:left="180" w:hanging="180"/>
        <w:rPr>
          <w:rFonts w:eastAsia="Calibri"/>
          <w:sz w:val="20"/>
          <w:szCs w:val="20"/>
        </w:rPr>
      </w:pPr>
      <w:r w:rsidRPr="004F572A">
        <w:rPr>
          <w:rFonts w:eastAsia="Calibri"/>
          <w:sz w:val="20"/>
          <w:szCs w:val="20"/>
        </w:rPr>
        <w:t>h: Burnos skausm</w:t>
      </w:r>
      <w:r w:rsidR="001B6621" w:rsidRPr="004F572A">
        <w:rPr>
          <w:rFonts w:eastAsia="Calibri"/>
          <w:sz w:val="20"/>
          <w:szCs w:val="20"/>
        </w:rPr>
        <w:t>as apima</w:t>
      </w:r>
      <w:r w:rsidRPr="004F572A">
        <w:rPr>
          <w:rFonts w:eastAsia="Calibri"/>
          <w:sz w:val="20"/>
          <w:szCs w:val="20"/>
        </w:rPr>
        <w:t xml:space="preserve"> burnos skausm</w:t>
      </w:r>
      <w:r w:rsidR="001B6621" w:rsidRPr="004F572A">
        <w:rPr>
          <w:rFonts w:eastAsia="Calibri"/>
          <w:sz w:val="20"/>
          <w:szCs w:val="20"/>
        </w:rPr>
        <w:t>ą</w:t>
      </w:r>
      <w:r w:rsidRPr="004F572A">
        <w:rPr>
          <w:rFonts w:eastAsia="Calibri"/>
          <w:sz w:val="20"/>
          <w:szCs w:val="20"/>
        </w:rPr>
        <w:t>, liežuvio skausm</w:t>
      </w:r>
      <w:r w:rsidR="001B6621" w:rsidRPr="004F572A">
        <w:rPr>
          <w:rFonts w:eastAsia="Calibri"/>
          <w:sz w:val="20"/>
          <w:szCs w:val="20"/>
        </w:rPr>
        <w:t>ą</w:t>
      </w:r>
      <w:r w:rsidRPr="004F572A">
        <w:rPr>
          <w:rFonts w:eastAsia="Calibri"/>
          <w:sz w:val="20"/>
          <w:szCs w:val="20"/>
        </w:rPr>
        <w:t>, dantenų skausm</w:t>
      </w:r>
      <w:r w:rsidR="001B6621" w:rsidRPr="004F572A">
        <w:rPr>
          <w:rFonts w:eastAsia="Calibri"/>
          <w:sz w:val="20"/>
          <w:szCs w:val="20"/>
        </w:rPr>
        <w:t>ą</w:t>
      </w:r>
      <w:r w:rsidRPr="004F572A">
        <w:rPr>
          <w:rFonts w:eastAsia="Calibri"/>
          <w:sz w:val="20"/>
          <w:szCs w:val="20"/>
        </w:rPr>
        <w:t>, nemalon</w:t>
      </w:r>
      <w:r w:rsidR="001B6621" w:rsidRPr="004F572A">
        <w:rPr>
          <w:rFonts w:eastAsia="Calibri"/>
          <w:sz w:val="20"/>
          <w:szCs w:val="20"/>
        </w:rPr>
        <w:t>ų</w:t>
      </w:r>
      <w:r w:rsidRPr="004F572A">
        <w:rPr>
          <w:rFonts w:eastAsia="Calibri"/>
          <w:sz w:val="20"/>
          <w:szCs w:val="20"/>
        </w:rPr>
        <w:t xml:space="preserve"> pojūt</w:t>
      </w:r>
      <w:r w:rsidR="001B6621" w:rsidRPr="004F572A">
        <w:rPr>
          <w:rFonts w:eastAsia="Calibri"/>
          <w:sz w:val="20"/>
          <w:szCs w:val="20"/>
        </w:rPr>
        <w:t xml:space="preserve">į </w:t>
      </w:r>
      <w:r w:rsidRPr="004F572A">
        <w:rPr>
          <w:rFonts w:eastAsia="Calibri"/>
          <w:sz w:val="20"/>
          <w:szCs w:val="20"/>
        </w:rPr>
        <w:t>burnoje ir gerklėje, burnos ir ryklės skausm</w:t>
      </w:r>
      <w:r w:rsidR="001B6621" w:rsidRPr="004F572A">
        <w:rPr>
          <w:rFonts w:eastAsia="Calibri"/>
          <w:sz w:val="20"/>
          <w:szCs w:val="20"/>
        </w:rPr>
        <w:t>ą</w:t>
      </w:r>
      <w:r w:rsidRPr="004F572A">
        <w:rPr>
          <w:rFonts w:eastAsia="Calibri"/>
          <w:sz w:val="20"/>
          <w:szCs w:val="20"/>
        </w:rPr>
        <w:t xml:space="preserve"> bei liežuvio diskomfort</w:t>
      </w:r>
      <w:r w:rsidR="001B6621" w:rsidRPr="004F572A">
        <w:rPr>
          <w:rFonts w:eastAsia="Calibri"/>
          <w:sz w:val="20"/>
          <w:szCs w:val="20"/>
        </w:rPr>
        <w:t>ą.</w:t>
      </w:r>
    </w:p>
    <w:p w14:paraId="1ADDDB5B" w14:textId="40FDE8DF" w:rsidR="00856328" w:rsidRPr="004F572A" w:rsidRDefault="00856328" w:rsidP="00856328">
      <w:pPr>
        <w:widowControl w:val="0"/>
        <w:tabs>
          <w:tab w:val="clear" w:pos="567"/>
        </w:tabs>
        <w:rPr>
          <w:rFonts w:eastAsia="Calibri"/>
          <w:sz w:val="20"/>
          <w:szCs w:val="20"/>
        </w:rPr>
      </w:pPr>
      <w:r w:rsidRPr="004F572A">
        <w:rPr>
          <w:rFonts w:eastAsia="Calibri"/>
          <w:sz w:val="20"/>
          <w:szCs w:val="20"/>
        </w:rPr>
        <w:t xml:space="preserve">i: </w:t>
      </w:r>
      <w:r w:rsidR="001B6621" w:rsidRPr="004F572A">
        <w:rPr>
          <w:rFonts w:eastAsia="Calibri"/>
          <w:sz w:val="20"/>
          <w:szCs w:val="20"/>
        </w:rPr>
        <w:t>P</w:t>
      </w:r>
      <w:r w:rsidRPr="004F572A">
        <w:rPr>
          <w:rFonts w:eastAsia="Calibri"/>
          <w:sz w:val="20"/>
          <w:szCs w:val="20"/>
        </w:rPr>
        <w:t>ankreatitas apima pankreatitą ir ūminį pankreatitą</w:t>
      </w:r>
      <w:r w:rsidR="006175E4">
        <w:rPr>
          <w:rFonts w:eastAsia="Calibri"/>
          <w:sz w:val="20"/>
          <w:szCs w:val="20"/>
        </w:rPr>
        <w:t>.</w:t>
      </w:r>
    </w:p>
    <w:p w14:paraId="33505765" w14:textId="798EF18B" w:rsidR="00856328" w:rsidRPr="004F572A" w:rsidRDefault="00856328" w:rsidP="001B6621">
      <w:pPr>
        <w:widowControl w:val="0"/>
        <w:tabs>
          <w:tab w:val="clear" w:pos="567"/>
        </w:tabs>
        <w:ind w:left="180" w:hanging="180"/>
        <w:rPr>
          <w:rFonts w:eastAsia="Calibri"/>
          <w:sz w:val="20"/>
          <w:szCs w:val="20"/>
        </w:rPr>
      </w:pPr>
      <w:r w:rsidRPr="004F572A">
        <w:rPr>
          <w:rFonts w:eastAsia="Calibri"/>
          <w:sz w:val="20"/>
          <w:szCs w:val="20"/>
        </w:rPr>
        <w:t xml:space="preserve">j: </w:t>
      </w:r>
      <w:r w:rsidR="003A6188">
        <w:rPr>
          <w:rFonts w:eastAsia="Calibri"/>
          <w:sz w:val="20"/>
          <w:szCs w:val="20"/>
        </w:rPr>
        <w:t xml:space="preserve">Padidėjęs </w:t>
      </w:r>
      <w:proofErr w:type="spellStart"/>
      <w:r w:rsidR="003A6188">
        <w:rPr>
          <w:rFonts w:eastAsia="Calibri"/>
          <w:sz w:val="20"/>
          <w:szCs w:val="20"/>
        </w:rPr>
        <w:t>bilirubino</w:t>
      </w:r>
      <w:proofErr w:type="spellEnd"/>
      <w:r w:rsidR="003A6188">
        <w:rPr>
          <w:rFonts w:eastAsia="Calibri"/>
          <w:sz w:val="20"/>
          <w:szCs w:val="20"/>
        </w:rPr>
        <w:t xml:space="preserve"> kiekis kraujyje</w:t>
      </w:r>
      <w:r w:rsidRPr="004F572A">
        <w:rPr>
          <w:rFonts w:eastAsia="Calibri"/>
          <w:sz w:val="20"/>
          <w:szCs w:val="20"/>
        </w:rPr>
        <w:t xml:space="preserve"> apima </w:t>
      </w:r>
      <w:proofErr w:type="spellStart"/>
      <w:r w:rsidRPr="004F572A">
        <w:rPr>
          <w:rFonts w:eastAsia="Calibri"/>
          <w:sz w:val="20"/>
          <w:szCs w:val="20"/>
        </w:rPr>
        <w:t>hiperbilirubinemiją</w:t>
      </w:r>
      <w:proofErr w:type="spellEnd"/>
      <w:r w:rsidRPr="004F572A">
        <w:rPr>
          <w:rFonts w:eastAsia="Calibri"/>
          <w:sz w:val="20"/>
          <w:szCs w:val="20"/>
        </w:rPr>
        <w:t xml:space="preserve">, padidėjusį </w:t>
      </w:r>
      <w:proofErr w:type="spellStart"/>
      <w:r w:rsidRPr="004F572A">
        <w:rPr>
          <w:rFonts w:eastAsia="Calibri"/>
          <w:sz w:val="20"/>
          <w:szCs w:val="20"/>
        </w:rPr>
        <w:t>bilirubino</w:t>
      </w:r>
      <w:proofErr w:type="spellEnd"/>
      <w:r w:rsidRPr="004F572A">
        <w:rPr>
          <w:rFonts w:eastAsia="Calibri"/>
          <w:sz w:val="20"/>
          <w:szCs w:val="20"/>
        </w:rPr>
        <w:t xml:space="preserve"> kiekį kraujyje, geltą ir</w:t>
      </w:r>
      <w:r w:rsidR="001B6621" w:rsidRPr="004F572A">
        <w:rPr>
          <w:rFonts w:eastAsia="Calibri"/>
          <w:sz w:val="20"/>
          <w:szCs w:val="20"/>
        </w:rPr>
        <w:t xml:space="preserve"> </w:t>
      </w:r>
      <w:r w:rsidRPr="004F572A">
        <w:rPr>
          <w:rFonts w:eastAsia="Calibri"/>
          <w:sz w:val="20"/>
          <w:szCs w:val="20"/>
        </w:rPr>
        <w:t xml:space="preserve">padidėjusį netiesioginio </w:t>
      </w:r>
      <w:proofErr w:type="spellStart"/>
      <w:r w:rsidRPr="004F572A">
        <w:rPr>
          <w:rFonts w:eastAsia="Calibri"/>
          <w:sz w:val="20"/>
          <w:szCs w:val="20"/>
        </w:rPr>
        <w:t>bilirubino</w:t>
      </w:r>
      <w:proofErr w:type="spellEnd"/>
      <w:r w:rsidRPr="004F572A">
        <w:rPr>
          <w:rFonts w:eastAsia="Calibri"/>
          <w:sz w:val="20"/>
          <w:szCs w:val="20"/>
        </w:rPr>
        <w:t xml:space="preserve"> kiekį. </w:t>
      </w:r>
      <w:proofErr w:type="spellStart"/>
      <w:r w:rsidRPr="004F572A">
        <w:rPr>
          <w:rFonts w:eastAsia="Calibri"/>
          <w:sz w:val="20"/>
          <w:szCs w:val="20"/>
        </w:rPr>
        <w:t>Hipoalbuminemija</w:t>
      </w:r>
      <w:proofErr w:type="spellEnd"/>
      <w:r w:rsidRPr="004F572A">
        <w:rPr>
          <w:rFonts w:eastAsia="Calibri"/>
          <w:sz w:val="20"/>
          <w:szCs w:val="20"/>
        </w:rPr>
        <w:t xml:space="preserve"> apima </w:t>
      </w:r>
      <w:proofErr w:type="spellStart"/>
      <w:r w:rsidRPr="004F572A">
        <w:rPr>
          <w:rFonts w:eastAsia="Calibri"/>
          <w:sz w:val="20"/>
          <w:szCs w:val="20"/>
        </w:rPr>
        <w:t>hipoalbuminemiją</w:t>
      </w:r>
      <w:proofErr w:type="spellEnd"/>
      <w:r w:rsidRPr="004F572A">
        <w:rPr>
          <w:rFonts w:eastAsia="Calibri"/>
          <w:sz w:val="20"/>
          <w:szCs w:val="20"/>
        </w:rPr>
        <w:t xml:space="preserve"> ir</w:t>
      </w:r>
      <w:r w:rsidR="001B6621" w:rsidRPr="004F572A">
        <w:rPr>
          <w:rFonts w:eastAsia="Calibri"/>
          <w:sz w:val="20"/>
          <w:szCs w:val="20"/>
        </w:rPr>
        <w:t xml:space="preserve"> </w:t>
      </w:r>
      <w:r w:rsidRPr="004F572A">
        <w:rPr>
          <w:rFonts w:eastAsia="Calibri"/>
          <w:sz w:val="20"/>
          <w:szCs w:val="20"/>
        </w:rPr>
        <w:t xml:space="preserve">sumažėjusį </w:t>
      </w:r>
      <w:proofErr w:type="spellStart"/>
      <w:r w:rsidRPr="004F572A">
        <w:rPr>
          <w:rFonts w:eastAsia="Calibri"/>
          <w:sz w:val="20"/>
          <w:szCs w:val="20"/>
        </w:rPr>
        <w:t>albuminų</w:t>
      </w:r>
      <w:proofErr w:type="spellEnd"/>
      <w:r w:rsidRPr="004F572A">
        <w:rPr>
          <w:rFonts w:eastAsia="Calibri"/>
          <w:sz w:val="20"/>
          <w:szCs w:val="20"/>
        </w:rPr>
        <w:t xml:space="preserve"> kiekį kraujyje.</w:t>
      </w:r>
    </w:p>
    <w:p w14:paraId="4C34EB74" w14:textId="77777777" w:rsidR="00856328" w:rsidRPr="004F572A" w:rsidRDefault="00856328" w:rsidP="001B6621">
      <w:pPr>
        <w:widowControl w:val="0"/>
        <w:tabs>
          <w:tab w:val="clear" w:pos="567"/>
        </w:tabs>
        <w:ind w:left="180" w:hanging="180"/>
        <w:rPr>
          <w:rFonts w:eastAsia="Calibri"/>
          <w:sz w:val="20"/>
          <w:szCs w:val="20"/>
        </w:rPr>
      </w:pPr>
      <w:r w:rsidRPr="004F572A">
        <w:rPr>
          <w:rFonts w:eastAsia="Calibri"/>
          <w:sz w:val="20"/>
          <w:szCs w:val="20"/>
        </w:rPr>
        <w:t>k: Kepenų nepakankamumas apima kepenų nepakankamumą, ūminį kepenų nepakankamumą ir</w:t>
      </w:r>
      <w:r w:rsidR="001B6621" w:rsidRPr="004F572A">
        <w:rPr>
          <w:rFonts w:eastAsia="Calibri"/>
          <w:sz w:val="20"/>
          <w:szCs w:val="20"/>
        </w:rPr>
        <w:t xml:space="preserve"> </w:t>
      </w:r>
      <w:r w:rsidRPr="004F572A">
        <w:rPr>
          <w:rFonts w:eastAsia="Calibri"/>
          <w:sz w:val="20"/>
          <w:szCs w:val="20"/>
        </w:rPr>
        <w:t>lėtinį kepenų nepakankamumą.</w:t>
      </w:r>
    </w:p>
    <w:p w14:paraId="2539A03A" w14:textId="77777777" w:rsidR="00856328" w:rsidRPr="004F572A" w:rsidRDefault="00856328" w:rsidP="001B6621">
      <w:pPr>
        <w:widowControl w:val="0"/>
        <w:tabs>
          <w:tab w:val="clear" w:pos="567"/>
        </w:tabs>
        <w:ind w:left="180" w:hanging="180"/>
        <w:rPr>
          <w:rFonts w:eastAsia="Calibri"/>
          <w:sz w:val="20"/>
          <w:szCs w:val="20"/>
        </w:rPr>
      </w:pPr>
      <w:r w:rsidRPr="004F572A">
        <w:rPr>
          <w:rFonts w:eastAsia="Calibri"/>
          <w:sz w:val="20"/>
          <w:szCs w:val="20"/>
        </w:rPr>
        <w:t xml:space="preserve">l: </w:t>
      </w:r>
      <w:proofErr w:type="spellStart"/>
      <w:r w:rsidRPr="004F572A">
        <w:rPr>
          <w:rFonts w:eastAsia="Calibri"/>
          <w:sz w:val="20"/>
          <w:szCs w:val="20"/>
        </w:rPr>
        <w:t>Hepatinė</w:t>
      </w:r>
      <w:proofErr w:type="spellEnd"/>
      <w:r w:rsidRPr="004F572A">
        <w:rPr>
          <w:rFonts w:eastAsia="Calibri"/>
          <w:sz w:val="20"/>
          <w:szCs w:val="20"/>
        </w:rPr>
        <w:t xml:space="preserve"> </w:t>
      </w:r>
      <w:proofErr w:type="spellStart"/>
      <w:r w:rsidRPr="004F572A">
        <w:rPr>
          <w:rFonts w:eastAsia="Calibri"/>
          <w:sz w:val="20"/>
          <w:szCs w:val="20"/>
        </w:rPr>
        <w:t>encefalopatija</w:t>
      </w:r>
      <w:proofErr w:type="spellEnd"/>
      <w:r w:rsidRPr="004F572A">
        <w:rPr>
          <w:rFonts w:eastAsia="Calibri"/>
          <w:sz w:val="20"/>
          <w:szCs w:val="20"/>
        </w:rPr>
        <w:t xml:space="preserve"> apima </w:t>
      </w:r>
      <w:proofErr w:type="spellStart"/>
      <w:r w:rsidRPr="004F572A">
        <w:rPr>
          <w:rFonts w:eastAsia="Calibri"/>
          <w:sz w:val="20"/>
          <w:szCs w:val="20"/>
        </w:rPr>
        <w:t>hepatinę</w:t>
      </w:r>
      <w:proofErr w:type="spellEnd"/>
      <w:r w:rsidRPr="004F572A">
        <w:rPr>
          <w:rFonts w:eastAsia="Calibri"/>
          <w:sz w:val="20"/>
          <w:szCs w:val="20"/>
        </w:rPr>
        <w:t xml:space="preserve"> </w:t>
      </w:r>
      <w:proofErr w:type="spellStart"/>
      <w:r w:rsidRPr="004F572A">
        <w:rPr>
          <w:rFonts w:eastAsia="Calibri"/>
          <w:sz w:val="20"/>
          <w:szCs w:val="20"/>
        </w:rPr>
        <w:t>encefalopatiją</w:t>
      </w:r>
      <w:proofErr w:type="spellEnd"/>
      <w:r w:rsidRPr="004F572A">
        <w:rPr>
          <w:rFonts w:eastAsia="Calibri"/>
          <w:sz w:val="20"/>
          <w:szCs w:val="20"/>
        </w:rPr>
        <w:t xml:space="preserve">, </w:t>
      </w:r>
      <w:proofErr w:type="spellStart"/>
      <w:r w:rsidRPr="004F572A">
        <w:rPr>
          <w:rFonts w:eastAsia="Calibri"/>
          <w:sz w:val="20"/>
          <w:szCs w:val="20"/>
        </w:rPr>
        <w:t>hepatinę</w:t>
      </w:r>
      <w:proofErr w:type="spellEnd"/>
      <w:r w:rsidRPr="004F572A">
        <w:rPr>
          <w:rFonts w:eastAsia="Calibri"/>
          <w:sz w:val="20"/>
          <w:szCs w:val="20"/>
        </w:rPr>
        <w:t xml:space="preserve"> komą, </w:t>
      </w:r>
      <w:proofErr w:type="spellStart"/>
      <w:r w:rsidRPr="004F572A">
        <w:rPr>
          <w:rFonts w:eastAsia="Calibri"/>
          <w:sz w:val="20"/>
          <w:szCs w:val="20"/>
        </w:rPr>
        <w:t>metabolinę</w:t>
      </w:r>
      <w:proofErr w:type="spellEnd"/>
      <w:r w:rsidR="001B6621" w:rsidRPr="004F572A">
        <w:rPr>
          <w:rFonts w:eastAsia="Calibri"/>
          <w:sz w:val="20"/>
          <w:szCs w:val="20"/>
        </w:rPr>
        <w:t xml:space="preserve"> </w:t>
      </w:r>
      <w:proofErr w:type="spellStart"/>
      <w:r w:rsidRPr="004F572A">
        <w:rPr>
          <w:rFonts w:eastAsia="Calibri"/>
          <w:sz w:val="20"/>
          <w:szCs w:val="20"/>
        </w:rPr>
        <w:t>encefalopatiją</w:t>
      </w:r>
      <w:proofErr w:type="spellEnd"/>
      <w:r w:rsidRPr="004F572A">
        <w:rPr>
          <w:rFonts w:eastAsia="Calibri"/>
          <w:sz w:val="20"/>
          <w:szCs w:val="20"/>
        </w:rPr>
        <w:t xml:space="preserve"> ir </w:t>
      </w:r>
      <w:proofErr w:type="spellStart"/>
      <w:r w:rsidRPr="004F572A">
        <w:rPr>
          <w:rFonts w:eastAsia="Calibri"/>
          <w:sz w:val="20"/>
          <w:szCs w:val="20"/>
        </w:rPr>
        <w:t>encefalopatiją</w:t>
      </w:r>
      <w:proofErr w:type="spellEnd"/>
      <w:r w:rsidRPr="004F572A">
        <w:rPr>
          <w:rFonts w:eastAsia="Calibri"/>
          <w:sz w:val="20"/>
          <w:szCs w:val="20"/>
        </w:rPr>
        <w:t>.</w:t>
      </w:r>
    </w:p>
    <w:p w14:paraId="2EC497CE" w14:textId="37A30CC8" w:rsidR="00856328" w:rsidRPr="004F572A" w:rsidRDefault="00856328" w:rsidP="00773219">
      <w:pPr>
        <w:widowControl w:val="0"/>
        <w:tabs>
          <w:tab w:val="clear" w:pos="567"/>
        </w:tabs>
        <w:ind w:left="180" w:hanging="180"/>
        <w:rPr>
          <w:rFonts w:eastAsia="Calibri"/>
          <w:sz w:val="20"/>
          <w:szCs w:val="20"/>
        </w:rPr>
      </w:pPr>
      <w:r w:rsidRPr="004F572A">
        <w:rPr>
          <w:rFonts w:eastAsia="Calibri"/>
          <w:sz w:val="20"/>
          <w:szCs w:val="20"/>
        </w:rPr>
        <w:t xml:space="preserve">m: </w:t>
      </w:r>
      <w:proofErr w:type="spellStart"/>
      <w:r w:rsidRPr="004F572A">
        <w:rPr>
          <w:rFonts w:eastAsia="Calibri"/>
          <w:sz w:val="20"/>
          <w:szCs w:val="20"/>
        </w:rPr>
        <w:t>Hepatoceliulin</w:t>
      </w:r>
      <w:r w:rsidR="001B6621" w:rsidRPr="004F572A">
        <w:rPr>
          <w:rFonts w:eastAsia="Calibri"/>
          <w:sz w:val="20"/>
          <w:szCs w:val="20"/>
        </w:rPr>
        <w:t>is</w:t>
      </w:r>
      <w:proofErr w:type="spellEnd"/>
      <w:r w:rsidRPr="004F572A">
        <w:rPr>
          <w:rFonts w:eastAsia="Calibri"/>
          <w:sz w:val="20"/>
          <w:szCs w:val="20"/>
        </w:rPr>
        <w:t xml:space="preserve"> pažeidim</w:t>
      </w:r>
      <w:r w:rsidR="001B6621" w:rsidRPr="004F572A">
        <w:rPr>
          <w:rFonts w:eastAsia="Calibri"/>
          <w:sz w:val="20"/>
          <w:szCs w:val="20"/>
        </w:rPr>
        <w:t>as</w:t>
      </w:r>
      <w:r w:rsidRPr="004F572A">
        <w:rPr>
          <w:rFonts w:eastAsia="Calibri"/>
          <w:sz w:val="20"/>
          <w:szCs w:val="20"/>
        </w:rPr>
        <w:t xml:space="preserve"> ir hepatit</w:t>
      </w:r>
      <w:r w:rsidR="001B6621" w:rsidRPr="004F572A">
        <w:rPr>
          <w:rFonts w:eastAsia="Calibri"/>
          <w:sz w:val="20"/>
          <w:szCs w:val="20"/>
        </w:rPr>
        <w:t>as apima vaistinių preparatų sukeltą</w:t>
      </w:r>
      <w:r w:rsidRPr="004F572A">
        <w:rPr>
          <w:rFonts w:eastAsia="Calibri"/>
          <w:sz w:val="20"/>
          <w:szCs w:val="20"/>
        </w:rPr>
        <w:t xml:space="preserve"> kepenų paž</w:t>
      </w:r>
      <w:r w:rsidR="005D377E">
        <w:rPr>
          <w:rFonts w:eastAsia="Calibri"/>
          <w:sz w:val="20"/>
          <w:szCs w:val="20"/>
        </w:rPr>
        <w:t>eidimą</w:t>
      </w:r>
      <w:r w:rsidRPr="004F572A">
        <w:rPr>
          <w:rFonts w:eastAsia="Calibri"/>
          <w:sz w:val="20"/>
          <w:szCs w:val="20"/>
        </w:rPr>
        <w:t xml:space="preserve">, kepenų </w:t>
      </w:r>
      <w:proofErr w:type="spellStart"/>
      <w:r w:rsidRPr="004F572A">
        <w:rPr>
          <w:rFonts w:eastAsia="Calibri"/>
          <w:sz w:val="20"/>
          <w:szCs w:val="20"/>
        </w:rPr>
        <w:t>steatoz</w:t>
      </w:r>
      <w:r w:rsidR="00773219" w:rsidRPr="004F572A">
        <w:rPr>
          <w:rFonts w:eastAsia="Calibri"/>
          <w:sz w:val="20"/>
          <w:szCs w:val="20"/>
        </w:rPr>
        <w:t>ę</w:t>
      </w:r>
      <w:proofErr w:type="spellEnd"/>
      <w:r w:rsidRPr="004F572A">
        <w:rPr>
          <w:rFonts w:eastAsia="Calibri"/>
          <w:sz w:val="20"/>
          <w:szCs w:val="20"/>
        </w:rPr>
        <w:t xml:space="preserve"> ir</w:t>
      </w:r>
      <w:r w:rsidR="00773219" w:rsidRPr="004F572A">
        <w:rPr>
          <w:rFonts w:eastAsia="Calibri"/>
          <w:sz w:val="20"/>
          <w:szCs w:val="20"/>
        </w:rPr>
        <w:t xml:space="preserve"> </w:t>
      </w:r>
      <w:proofErr w:type="spellStart"/>
      <w:r w:rsidRPr="004F572A">
        <w:rPr>
          <w:rFonts w:eastAsia="Calibri"/>
          <w:sz w:val="20"/>
          <w:szCs w:val="20"/>
        </w:rPr>
        <w:t>cholestazin</w:t>
      </w:r>
      <w:r w:rsidR="005D377E">
        <w:rPr>
          <w:rFonts w:eastAsia="Calibri"/>
          <w:sz w:val="20"/>
          <w:szCs w:val="20"/>
        </w:rPr>
        <w:t>į</w:t>
      </w:r>
      <w:proofErr w:type="spellEnd"/>
      <w:r w:rsidRPr="004F572A">
        <w:rPr>
          <w:rFonts w:eastAsia="Calibri"/>
          <w:sz w:val="20"/>
          <w:szCs w:val="20"/>
        </w:rPr>
        <w:t xml:space="preserve"> kepenų paž</w:t>
      </w:r>
      <w:r w:rsidR="005D377E">
        <w:rPr>
          <w:rFonts w:eastAsia="Calibri"/>
          <w:sz w:val="20"/>
          <w:szCs w:val="20"/>
        </w:rPr>
        <w:t>eidimą</w:t>
      </w:r>
      <w:r w:rsidR="00773219" w:rsidRPr="004F572A">
        <w:rPr>
          <w:rFonts w:eastAsia="Calibri"/>
          <w:sz w:val="20"/>
          <w:szCs w:val="20"/>
        </w:rPr>
        <w:t>.</w:t>
      </w:r>
    </w:p>
    <w:p w14:paraId="47007F4B" w14:textId="77777777" w:rsidR="00856328" w:rsidRPr="004F572A" w:rsidRDefault="00856328" w:rsidP="00773219">
      <w:pPr>
        <w:widowControl w:val="0"/>
        <w:tabs>
          <w:tab w:val="clear" w:pos="567"/>
        </w:tabs>
        <w:ind w:left="180" w:hanging="180"/>
        <w:rPr>
          <w:rFonts w:eastAsia="Calibri"/>
          <w:sz w:val="20"/>
          <w:szCs w:val="20"/>
        </w:rPr>
      </w:pPr>
      <w:r w:rsidRPr="004F572A">
        <w:rPr>
          <w:rFonts w:eastAsia="Calibri"/>
          <w:sz w:val="20"/>
          <w:szCs w:val="20"/>
        </w:rPr>
        <w:t>n: Inkstų nepakankamumo atvej</w:t>
      </w:r>
      <w:r w:rsidR="00773219" w:rsidRPr="004F572A">
        <w:rPr>
          <w:rFonts w:eastAsia="Calibri"/>
          <w:sz w:val="20"/>
          <w:szCs w:val="20"/>
        </w:rPr>
        <w:t>ai apima</w:t>
      </w:r>
      <w:r w:rsidRPr="004F572A">
        <w:rPr>
          <w:rFonts w:eastAsia="Calibri"/>
          <w:sz w:val="20"/>
          <w:szCs w:val="20"/>
        </w:rPr>
        <w:t xml:space="preserve"> ūmin</w:t>
      </w:r>
      <w:r w:rsidR="00773219" w:rsidRPr="004F572A">
        <w:rPr>
          <w:rFonts w:eastAsia="Calibri"/>
          <w:sz w:val="20"/>
          <w:szCs w:val="20"/>
        </w:rPr>
        <w:t>į</w:t>
      </w:r>
      <w:r w:rsidRPr="004F572A">
        <w:rPr>
          <w:rFonts w:eastAsia="Calibri"/>
          <w:sz w:val="20"/>
          <w:szCs w:val="20"/>
        </w:rPr>
        <w:t xml:space="preserve"> </w:t>
      </w:r>
      <w:proofErr w:type="spellStart"/>
      <w:r w:rsidRPr="004F572A">
        <w:rPr>
          <w:rFonts w:eastAsia="Calibri"/>
          <w:sz w:val="20"/>
          <w:szCs w:val="20"/>
        </w:rPr>
        <w:t>prerenalin</w:t>
      </w:r>
      <w:r w:rsidR="00773219" w:rsidRPr="004F572A">
        <w:rPr>
          <w:rFonts w:eastAsia="Calibri"/>
          <w:sz w:val="20"/>
          <w:szCs w:val="20"/>
        </w:rPr>
        <w:t>į</w:t>
      </w:r>
      <w:proofErr w:type="spellEnd"/>
      <w:r w:rsidRPr="004F572A">
        <w:rPr>
          <w:rFonts w:eastAsia="Calibri"/>
          <w:sz w:val="20"/>
          <w:szCs w:val="20"/>
        </w:rPr>
        <w:t xml:space="preserve"> nepakankamum</w:t>
      </w:r>
      <w:r w:rsidR="00773219" w:rsidRPr="004F572A">
        <w:rPr>
          <w:rFonts w:eastAsia="Calibri"/>
          <w:sz w:val="20"/>
          <w:szCs w:val="20"/>
        </w:rPr>
        <w:t>ą</w:t>
      </w:r>
      <w:r w:rsidRPr="004F572A">
        <w:rPr>
          <w:rFonts w:eastAsia="Calibri"/>
          <w:sz w:val="20"/>
          <w:szCs w:val="20"/>
        </w:rPr>
        <w:t>, inkstų</w:t>
      </w:r>
      <w:r w:rsidR="00773219" w:rsidRPr="004F572A">
        <w:rPr>
          <w:rFonts w:eastAsia="Calibri"/>
          <w:sz w:val="20"/>
          <w:szCs w:val="20"/>
        </w:rPr>
        <w:t xml:space="preserve"> </w:t>
      </w:r>
      <w:r w:rsidRPr="004F572A">
        <w:rPr>
          <w:rFonts w:eastAsia="Calibri"/>
          <w:sz w:val="20"/>
          <w:szCs w:val="20"/>
        </w:rPr>
        <w:t>nepakankamum</w:t>
      </w:r>
      <w:r w:rsidR="00773219" w:rsidRPr="004F572A">
        <w:rPr>
          <w:rFonts w:eastAsia="Calibri"/>
          <w:sz w:val="20"/>
          <w:szCs w:val="20"/>
        </w:rPr>
        <w:t>ą</w:t>
      </w:r>
      <w:r w:rsidRPr="004F572A">
        <w:rPr>
          <w:rFonts w:eastAsia="Calibri"/>
          <w:sz w:val="20"/>
          <w:szCs w:val="20"/>
        </w:rPr>
        <w:t>, ūmin</w:t>
      </w:r>
      <w:r w:rsidR="00773219" w:rsidRPr="004F572A">
        <w:rPr>
          <w:rFonts w:eastAsia="Calibri"/>
          <w:sz w:val="20"/>
          <w:szCs w:val="20"/>
        </w:rPr>
        <w:t>į</w:t>
      </w:r>
      <w:r w:rsidRPr="004F572A">
        <w:rPr>
          <w:rFonts w:eastAsia="Calibri"/>
          <w:sz w:val="20"/>
          <w:szCs w:val="20"/>
        </w:rPr>
        <w:t xml:space="preserve"> inkstų pažeidim</w:t>
      </w:r>
      <w:r w:rsidR="00773219" w:rsidRPr="004F572A">
        <w:rPr>
          <w:rFonts w:eastAsia="Calibri"/>
          <w:sz w:val="20"/>
          <w:szCs w:val="20"/>
        </w:rPr>
        <w:t>ą</w:t>
      </w:r>
      <w:r w:rsidRPr="004F572A">
        <w:rPr>
          <w:rFonts w:eastAsia="Calibri"/>
          <w:sz w:val="20"/>
          <w:szCs w:val="20"/>
        </w:rPr>
        <w:t>, ūmin</w:t>
      </w:r>
      <w:r w:rsidR="00773219" w:rsidRPr="004F572A">
        <w:rPr>
          <w:rFonts w:eastAsia="Calibri"/>
          <w:sz w:val="20"/>
          <w:szCs w:val="20"/>
        </w:rPr>
        <w:t>į</w:t>
      </w:r>
      <w:r w:rsidRPr="004F572A">
        <w:rPr>
          <w:rFonts w:eastAsia="Calibri"/>
          <w:sz w:val="20"/>
          <w:szCs w:val="20"/>
        </w:rPr>
        <w:t xml:space="preserve"> inkstų nepakankamum</w:t>
      </w:r>
      <w:r w:rsidR="00773219" w:rsidRPr="004F572A">
        <w:rPr>
          <w:rFonts w:eastAsia="Calibri"/>
          <w:sz w:val="20"/>
          <w:szCs w:val="20"/>
        </w:rPr>
        <w:t>ą</w:t>
      </w:r>
      <w:r w:rsidRPr="004F572A">
        <w:rPr>
          <w:rFonts w:eastAsia="Calibri"/>
          <w:sz w:val="20"/>
          <w:szCs w:val="20"/>
        </w:rPr>
        <w:t xml:space="preserve"> ir inkstų kanalėlių</w:t>
      </w:r>
      <w:r w:rsidR="00773219" w:rsidRPr="004F572A">
        <w:rPr>
          <w:rFonts w:eastAsia="Calibri"/>
          <w:sz w:val="20"/>
          <w:szCs w:val="20"/>
        </w:rPr>
        <w:t xml:space="preserve"> </w:t>
      </w:r>
      <w:r w:rsidRPr="004F572A">
        <w:rPr>
          <w:rFonts w:eastAsia="Calibri"/>
          <w:sz w:val="20"/>
          <w:szCs w:val="20"/>
        </w:rPr>
        <w:t>nekroz</w:t>
      </w:r>
      <w:r w:rsidR="00773219" w:rsidRPr="004F572A">
        <w:rPr>
          <w:rFonts w:eastAsia="Calibri"/>
          <w:sz w:val="20"/>
          <w:szCs w:val="20"/>
        </w:rPr>
        <w:t>ę</w:t>
      </w:r>
      <w:r w:rsidRPr="004F572A">
        <w:rPr>
          <w:rFonts w:eastAsia="Calibri"/>
          <w:sz w:val="20"/>
          <w:szCs w:val="20"/>
        </w:rPr>
        <w:t>.</w:t>
      </w:r>
    </w:p>
    <w:p w14:paraId="792048B1" w14:textId="052E21B0" w:rsidR="00856328" w:rsidRPr="004F572A" w:rsidRDefault="00856328" w:rsidP="00773219">
      <w:pPr>
        <w:widowControl w:val="0"/>
        <w:tabs>
          <w:tab w:val="clear" w:pos="567"/>
        </w:tabs>
        <w:ind w:left="180" w:hanging="180"/>
        <w:rPr>
          <w:rFonts w:eastAsia="Calibri"/>
          <w:sz w:val="20"/>
          <w:szCs w:val="20"/>
        </w:rPr>
      </w:pPr>
      <w:r w:rsidRPr="004F572A">
        <w:rPr>
          <w:rFonts w:eastAsia="Calibri"/>
          <w:sz w:val="20"/>
          <w:szCs w:val="20"/>
        </w:rPr>
        <w:t xml:space="preserve">o: Ne virškinimo trakto fistulė apima atvejus, kai fistulė </w:t>
      </w:r>
      <w:r w:rsidR="00773219" w:rsidRPr="004F572A">
        <w:rPr>
          <w:rFonts w:eastAsia="Calibri"/>
          <w:sz w:val="20"/>
          <w:szCs w:val="20"/>
        </w:rPr>
        <w:t>susiformuoja</w:t>
      </w:r>
      <w:r w:rsidRPr="004F572A">
        <w:rPr>
          <w:rFonts w:eastAsia="Calibri"/>
          <w:sz w:val="20"/>
          <w:szCs w:val="20"/>
        </w:rPr>
        <w:t xml:space="preserve"> ne skrandyje ir žarn</w:t>
      </w:r>
      <w:r w:rsidR="00773219" w:rsidRPr="004F572A">
        <w:rPr>
          <w:rFonts w:eastAsia="Calibri"/>
          <w:sz w:val="20"/>
          <w:szCs w:val="20"/>
        </w:rPr>
        <w:t>ose</w:t>
      </w:r>
      <w:r w:rsidRPr="004F572A">
        <w:rPr>
          <w:rFonts w:eastAsia="Calibri"/>
          <w:sz w:val="20"/>
          <w:szCs w:val="20"/>
        </w:rPr>
        <w:t>, pvz.,</w:t>
      </w:r>
      <w:r w:rsidR="00773219" w:rsidRPr="004F572A">
        <w:rPr>
          <w:rFonts w:eastAsia="Calibri"/>
          <w:sz w:val="20"/>
          <w:szCs w:val="20"/>
        </w:rPr>
        <w:t xml:space="preserve"> </w:t>
      </w:r>
      <w:r w:rsidRPr="004F572A">
        <w:rPr>
          <w:rFonts w:eastAsia="Calibri"/>
          <w:sz w:val="20"/>
          <w:szCs w:val="20"/>
        </w:rPr>
        <w:t>trachėjos, trachėjos</w:t>
      </w:r>
      <w:r w:rsidR="005D377E">
        <w:rPr>
          <w:rFonts w:eastAsia="Calibri"/>
          <w:sz w:val="20"/>
          <w:szCs w:val="20"/>
        </w:rPr>
        <w:t xml:space="preserve"> ir </w:t>
      </w:r>
      <w:r w:rsidRPr="004F572A">
        <w:rPr>
          <w:rFonts w:eastAsia="Calibri"/>
          <w:sz w:val="20"/>
          <w:szCs w:val="20"/>
        </w:rPr>
        <w:t>stemplės, stemplės, moters lyties organų fistulė ir odos fistulė.</w:t>
      </w:r>
    </w:p>
    <w:p w14:paraId="6691B672" w14:textId="77777777" w:rsidR="00773219" w:rsidRPr="004F572A" w:rsidRDefault="00773219" w:rsidP="00856328">
      <w:pPr>
        <w:widowControl w:val="0"/>
        <w:tabs>
          <w:tab w:val="clear" w:pos="567"/>
        </w:tabs>
        <w:rPr>
          <w:rFonts w:eastAsia="Calibri"/>
          <w:sz w:val="20"/>
          <w:szCs w:val="20"/>
        </w:rPr>
      </w:pPr>
    </w:p>
    <w:p w14:paraId="2CA24F67" w14:textId="0E6E2A10" w:rsidR="00AE30F8" w:rsidRPr="004F572A" w:rsidRDefault="00856328" w:rsidP="00856328">
      <w:pPr>
        <w:widowControl w:val="0"/>
        <w:tabs>
          <w:tab w:val="clear" w:pos="567"/>
        </w:tabs>
        <w:rPr>
          <w:rFonts w:eastAsia="Calibri"/>
          <w:sz w:val="22"/>
          <w:szCs w:val="22"/>
          <w:u w:val="single"/>
        </w:rPr>
      </w:pPr>
      <w:r w:rsidRPr="004F572A">
        <w:rPr>
          <w:rFonts w:eastAsia="Calibri"/>
          <w:sz w:val="22"/>
          <w:szCs w:val="22"/>
          <w:u w:val="single"/>
        </w:rPr>
        <w:t>Atrinktų nepageidaujamų reakcijų apibūdinimas</w:t>
      </w:r>
    </w:p>
    <w:p w14:paraId="7310FA08" w14:textId="77777777" w:rsidR="00AE30F8" w:rsidRPr="004F572A" w:rsidRDefault="00AE30F8" w:rsidP="000928CA">
      <w:pPr>
        <w:widowControl w:val="0"/>
        <w:tabs>
          <w:tab w:val="clear" w:pos="567"/>
        </w:tabs>
        <w:rPr>
          <w:rFonts w:eastAsia="Calibri"/>
          <w:sz w:val="22"/>
          <w:szCs w:val="22"/>
        </w:rPr>
      </w:pPr>
    </w:p>
    <w:p w14:paraId="729AA921" w14:textId="77777777" w:rsidR="00EE46EF" w:rsidRPr="00E27691" w:rsidRDefault="00EE46EF" w:rsidP="00EE46EF">
      <w:pPr>
        <w:widowControl w:val="0"/>
        <w:tabs>
          <w:tab w:val="clear" w:pos="567"/>
        </w:tabs>
        <w:rPr>
          <w:rFonts w:eastAsia="Calibri"/>
          <w:i/>
          <w:iCs/>
          <w:sz w:val="22"/>
          <w:szCs w:val="22"/>
          <w:u w:val="single"/>
        </w:rPr>
      </w:pPr>
      <w:r w:rsidRPr="00E27691">
        <w:rPr>
          <w:rFonts w:eastAsia="Calibri"/>
          <w:i/>
          <w:iCs/>
          <w:sz w:val="22"/>
          <w:szCs w:val="22"/>
          <w:u w:val="single"/>
        </w:rPr>
        <w:t xml:space="preserve">Hipertenzija (žr. 4.4 skyrių) </w:t>
      </w:r>
    </w:p>
    <w:p w14:paraId="57A5536B" w14:textId="77777777" w:rsidR="00EE46EF" w:rsidRPr="004F572A" w:rsidRDefault="00EE46EF" w:rsidP="00EE46EF">
      <w:pPr>
        <w:widowControl w:val="0"/>
        <w:tabs>
          <w:tab w:val="clear" w:pos="567"/>
        </w:tabs>
        <w:rPr>
          <w:rFonts w:eastAsia="Calibri"/>
          <w:i/>
          <w:iCs/>
          <w:sz w:val="22"/>
          <w:szCs w:val="22"/>
        </w:rPr>
      </w:pPr>
    </w:p>
    <w:p w14:paraId="4748B514" w14:textId="32573BFE" w:rsidR="00EE46EF" w:rsidRPr="004F572A" w:rsidRDefault="00EE46EF" w:rsidP="00EE46EF">
      <w:pPr>
        <w:widowControl w:val="0"/>
        <w:tabs>
          <w:tab w:val="clear" w:pos="567"/>
        </w:tabs>
        <w:rPr>
          <w:rFonts w:eastAsia="Calibri"/>
          <w:i/>
          <w:iCs/>
          <w:sz w:val="22"/>
          <w:szCs w:val="22"/>
        </w:rPr>
      </w:pPr>
      <w:r w:rsidRPr="004F572A">
        <w:rPr>
          <w:rFonts w:eastAsia="Calibri"/>
          <w:i/>
          <w:iCs/>
          <w:sz w:val="22"/>
          <w:szCs w:val="22"/>
        </w:rPr>
        <w:t>DSK</w:t>
      </w:r>
    </w:p>
    <w:p w14:paraId="0A2D7DF5" w14:textId="77777777" w:rsidR="00EE46EF" w:rsidRPr="004F572A" w:rsidRDefault="00EE46EF" w:rsidP="00EE46EF">
      <w:pPr>
        <w:widowControl w:val="0"/>
        <w:tabs>
          <w:tab w:val="clear" w:pos="567"/>
        </w:tabs>
        <w:rPr>
          <w:rFonts w:eastAsia="Calibri"/>
          <w:sz w:val="22"/>
          <w:szCs w:val="22"/>
        </w:rPr>
      </w:pPr>
    </w:p>
    <w:p w14:paraId="4B578B45" w14:textId="6418D0A2" w:rsidR="00EE46EF" w:rsidRPr="004F572A" w:rsidRDefault="00EE46EF" w:rsidP="00EE46EF">
      <w:pPr>
        <w:widowControl w:val="0"/>
        <w:tabs>
          <w:tab w:val="clear" w:pos="567"/>
        </w:tabs>
        <w:rPr>
          <w:rFonts w:eastAsia="Calibri"/>
          <w:sz w:val="22"/>
          <w:szCs w:val="22"/>
        </w:rPr>
      </w:pPr>
      <w:r w:rsidRPr="004F572A">
        <w:rPr>
          <w:rFonts w:eastAsia="Calibri"/>
          <w:sz w:val="22"/>
          <w:szCs w:val="22"/>
        </w:rPr>
        <w:t>Pagrindinio 3</w:t>
      </w:r>
      <w:r w:rsidR="00D53FC3">
        <w:rPr>
          <w:rFonts w:eastAsia="Calibri"/>
          <w:sz w:val="22"/>
          <w:szCs w:val="22"/>
        </w:rPr>
        <w:t> </w:t>
      </w:r>
      <w:r w:rsidRPr="004F572A">
        <w:rPr>
          <w:rFonts w:eastAsia="Calibri"/>
          <w:sz w:val="22"/>
          <w:szCs w:val="22"/>
        </w:rPr>
        <w:t xml:space="preserve">fazės </w:t>
      </w:r>
      <w:r w:rsidR="00232A53">
        <w:rPr>
          <w:rFonts w:eastAsia="Calibri"/>
          <w:sz w:val="22"/>
          <w:szCs w:val="22"/>
        </w:rPr>
        <w:t xml:space="preserve">tyrimo </w:t>
      </w:r>
      <w:r w:rsidRPr="004F572A">
        <w:rPr>
          <w:rFonts w:eastAsia="Calibri"/>
          <w:sz w:val="22"/>
          <w:szCs w:val="22"/>
        </w:rPr>
        <w:t xml:space="preserve">SELECT </w:t>
      </w:r>
      <w:r w:rsidR="00232A53">
        <w:rPr>
          <w:rFonts w:eastAsia="Calibri"/>
          <w:sz w:val="22"/>
          <w:szCs w:val="22"/>
        </w:rPr>
        <w:t>metu</w:t>
      </w:r>
      <w:r w:rsidRPr="004F572A">
        <w:rPr>
          <w:rFonts w:eastAsia="Calibri"/>
          <w:sz w:val="22"/>
          <w:szCs w:val="22"/>
        </w:rPr>
        <w:t xml:space="preserve"> (žr. 5.1 skyrių) hipertenzija (įskaitant hipertenziją, </w:t>
      </w:r>
      <w:proofErr w:type="spellStart"/>
      <w:r w:rsidRPr="004F572A">
        <w:rPr>
          <w:rFonts w:eastAsia="Calibri"/>
          <w:sz w:val="22"/>
          <w:szCs w:val="22"/>
        </w:rPr>
        <w:t>hipertenzinę</w:t>
      </w:r>
      <w:proofErr w:type="spellEnd"/>
      <w:r w:rsidRPr="004F572A">
        <w:rPr>
          <w:rFonts w:eastAsia="Calibri"/>
          <w:sz w:val="22"/>
          <w:szCs w:val="22"/>
        </w:rPr>
        <w:t xml:space="preserve"> krizę, padidėjusį </w:t>
      </w:r>
      <w:proofErr w:type="spellStart"/>
      <w:r w:rsidRPr="004F572A">
        <w:rPr>
          <w:rFonts w:eastAsia="Calibri"/>
          <w:sz w:val="22"/>
          <w:szCs w:val="22"/>
        </w:rPr>
        <w:t>diastolinį</w:t>
      </w:r>
      <w:proofErr w:type="spellEnd"/>
      <w:r w:rsidRPr="004F572A">
        <w:rPr>
          <w:rFonts w:eastAsia="Calibri"/>
          <w:sz w:val="22"/>
          <w:szCs w:val="22"/>
        </w:rPr>
        <w:t xml:space="preserve"> kraujo</w:t>
      </w:r>
      <w:r w:rsidR="00232A53">
        <w:rPr>
          <w:rFonts w:eastAsia="Calibri"/>
          <w:sz w:val="22"/>
          <w:szCs w:val="22"/>
        </w:rPr>
        <w:t>spūdį</w:t>
      </w:r>
      <w:r w:rsidRPr="004F572A">
        <w:rPr>
          <w:rFonts w:eastAsia="Calibri"/>
          <w:sz w:val="22"/>
          <w:szCs w:val="22"/>
        </w:rPr>
        <w:t xml:space="preserve"> ir padidėjusį kraujo</w:t>
      </w:r>
      <w:r w:rsidR="00232A53">
        <w:rPr>
          <w:rFonts w:eastAsia="Calibri"/>
          <w:sz w:val="22"/>
          <w:szCs w:val="22"/>
        </w:rPr>
        <w:t>spūdį</w:t>
      </w:r>
      <w:r w:rsidRPr="004F572A">
        <w:rPr>
          <w:rFonts w:eastAsia="Calibri"/>
          <w:sz w:val="22"/>
          <w:szCs w:val="22"/>
        </w:rPr>
        <w:t xml:space="preserve">) nustatyta 72,8 % </w:t>
      </w:r>
      <w:proofErr w:type="spellStart"/>
      <w:r w:rsidRPr="004F572A">
        <w:rPr>
          <w:rFonts w:eastAsia="Calibri"/>
          <w:sz w:val="22"/>
          <w:szCs w:val="22"/>
        </w:rPr>
        <w:t>lenvatinibu</w:t>
      </w:r>
      <w:proofErr w:type="spellEnd"/>
      <w:r w:rsidRPr="004F572A">
        <w:rPr>
          <w:rFonts w:eastAsia="Calibri"/>
          <w:sz w:val="22"/>
          <w:szCs w:val="22"/>
        </w:rPr>
        <w:t xml:space="preserve"> gydytų pacientų ir 16,0 % </w:t>
      </w:r>
      <w:r w:rsidR="00232A53" w:rsidRPr="004F572A">
        <w:rPr>
          <w:rFonts w:eastAsia="Calibri"/>
          <w:sz w:val="22"/>
          <w:szCs w:val="22"/>
        </w:rPr>
        <w:t xml:space="preserve">pacientų </w:t>
      </w:r>
      <w:r w:rsidRPr="004F572A">
        <w:rPr>
          <w:rFonts w:eastAsia="Calibri"/>
          <w:sz w:val="22"/>
          <w:szCs w:val="22"/>
        </w:rPr>
        <w:t>placebo grupė</w:t>
      </w:r>
      <w:r w:rsidR="00232A53">
        <w:rPr>
          <w:rFonts w:eastAsia="Calibri"/>
          <w:sz w:val="22"/>
          <w:szCs w:val="22"/>
        </w:rPr>
        <w:t>je</w:t>
      </w:r>
      <w:r w:rsidRPr="004F572A">
        <w:rPr>
          <w:rFonts w:eastAsia="Calibri"/>
          <w:sz w:val="22"/>
          <w:szCs w:val="22"/>
        </w:rPr>
        <w:t xml:space="preserve">. Laiko iki pasireiškimo mediana </w:t>
      </w:r>
      <w:proofErr w:type="spellStart"/>
      <w:r w:rsidRPr="004F572A">
        <w:rPr>
          <w:rFonts w:eastAsia="Calibri"/>
          <w:sz w:val="22"/>
          <w:szCs w:val="22"/>
        </w:rPr>
        <w:t>lenvatinibu</w:t>
      </w:r>
      <w:proofErr w:type="spellEnd"/>
      <w:r w:rsidRPr="004F572A">
        <w:rPr>
          <w:rFonts w:eastAsia="Calibri"/>
          <w:sz w:val="22"/>
          <w:szCs w:val="22"/>
        </w:rPr>
        <w:t xml:space="preserve"> gydytiems pacientams buvo 16 dienų. 3</w:t>
      </w:r>
      <w:r w:rsidR="00D53FC3">
        <w:rPr>
          <w:rFonts w:eastAsia="Calibri"/>
          <w:sz w:val="22"/>
          <w:szCs w:val="22"/>
        </w:rPr>
        <w:noBreakHyphen/>
      </w:r>
      <w:r w:rsidRPr="004F572A">
        <w:rPr>
          <w:rFonts w:eastAsia="Calibri"/>
          <w:sz w:val="22"/>
          <w:szCs w:val="22"/>
        </w:rPr>
        <w:t>iojo ar didesnio laipsnio reakcijos (įskaitant vieną 4</w:t>
      </w:r>
      <w:r w:rsidR="00D53FC3">
        <w:rPr>
          <w:rFonts w:eastAsia="Calibri"/>
          <w:sz w:val="22"/>
          <w:szCs w:val="22"/>
        </w:rPr>
        <w:noBreakHyphen/>
      </w:r>
      <w:r w:rsidRPr="004F572A">
        <w:rPr>
          <w:rFonts w:eastAsia="Calibri"/>
          <w:sz w:val="22"/>
          <w:szCs w:val="22"/>
        </w:rPr>
        <w:t xml:space="preserve">ojo laipsnio reakciją) pasireiškė 44,4 % </w:t>
      </w:r>
      <w:proofErr w:type="spellStart"/>
      <w:r w:rsidRPr="004F572A">
        <w:rPr>
          <w:rFonts w:eastAsia="Calibri"/>
          <w:sz w:val="22"/>
          <w:szCs w:val="22"/>
        </w:rPr>
        <w:t>lenvatinibu</w:t>
      </w:r>
      <w:proofErr w:type="spellEnd"/>
      <w:r w:rsidRPr="004F572A">
        <w:rPr>
          <w:rFonts w:eastAsia="Calibri"/>
          <w:sz w:val="22"/>
          <w:szCs w:val="22"/>
        </w:rPr>
        <w:t xml:space="preserve"> gydytų pacientų ir 3,8 % placeb</w:t>
      </w:r>
      <w:r w:rsidR="00232A53">
        <w:rPr>
          <w:rFonts w:eastAsia="Calibri"/>
          <w:sz w:val="22"/>
          <w:szCs w:val="22"/>
        </w:rPr>
        <w:t>u gydytų</w:t>
      </w:r>
      <w:r w:rsidRPr="004F572A">
        <w:rPr>
          <w:rFonts w:eastAsia="Calibri"/>
          <w:sz w:val="22"/>
          <w:szCs w:val="22"/>
        </w:rPr>
        <w:t xml:space="preserve"> pacientų. Didžioji dalis </w:t>
      </w:r>
      <w:r w:rsidR="00232A53">
        <w:rPr>
          <w:rFonts w:eastAsia="Calibri"/>
          <w:sz w:val="22"/>
          <w:szCs w:val="22"/>
        </w:rPr>
        <w:t>reakcijų praėjo</w:t>
      </w:r>
      <w:r w:rsidRPr="004F572A">
        <w:rPr>
          <w:rFonts w:eastAsia="Calibri"/>
          <w:sz w:val="22"/>
          <w:szCs w:val="22"/>
        </w:rPr>
        <w:t xml:space="preserve"> ar išnyko </w:t>
      </w:r>
      <w:r w:rsidR="00232A53">
        <w:rPr>
          <w:rFonts w:eastAsia="Calibri"/>
          <w:sz w:val="22"/>
          <w:szCs w:val="22"/>
        </w:rPr>
        <w:t>laikinai sustabdžius</w:t>
      </w:r>
      <w:r w:rsidRPr="004F572A">
        <w:rPr>
          <w:rFonts w:eastAsia="Calibri"/>
          <w:sz w:val="22"/>
          <w:szCs w:val="22"/>
        </w:rPr>
        <w:t xml:space="preserve"> vaistinio preparato vartojimą arba sumažinus dozę, tai nustatyta atitinkamai 13,0</w:t>
      </w:r>
      <w:r w:rsidR="009E647E" w:rsidRPr="004F572A">
        <w:rPr>
          <w:rFonts w:eastAsia="Calibri"/>
          <w:sz w:val="22"/>
          <w:szCs w:val="22"/>
        </w:rPr>
        <w:t> </w:t>
      </w:r>
      <w:r w:rsidRPr="004F572A">
        <w:rPr>
          <w:rFonts w:eastAsia="Calibri"/>
          <w:sz w:val="22"/>
          <w:szCs w:val="22"/>
        </w:rPr>
        <w:t>% ir 13,4</w:t>
      </w:r>
      <w:r w:rsidR="009E647E" w:rsidRPr="004F572A">
        <w:rPr>
          <w:rFonts w:eastAsia="Calibri"/>
          <w:sz w:val="22"/>
          <w:szCs w:val="22"/>
        </w:rPr>
        <w:t> </w:t>
      </w:r>
      <w:r w:rsidRPr="004F572A">
        <w:rPr>
          <w:rFonts w:eastAsia="Calibri"/>
          <w:sz w:val="22"/>
          <w:szCs w:val="22"/>
        </w:rPr>
        <w:t>% pacientų. 1,1</w:t>
      </w:r>
      <w:r w:rsidR="009E647E" w:rsidRPr="004F572A">
        <w:rPr>
          <w:rFonts w:eastAsia="Calibri"/>
          <w:sz w:val="22"/>
          <w:szCs w:val="22"/>
        </w:rPr>
        <w:t> </w:t>
      </w:r>
      <w:r w:rsidRPr="004F572A">
        <w:rPr>
          <w:rFonts w:eastAsia="Calibri"/>
          <w:sz w:val="22"/>
          <w:szCs w:val="22"/>
        </w:rPr>
        <w:t>% pacientų dėl hipertenzijos reikėjo visiškai nutraukti gydymą.</w:t>
      </w:r>
    </w:p>
    <w:p w14:paraId="48562543" w14:textId="77777777" w:rsidR="009E647E" w:rsidRPr="004F572A" w:rsidRDefault="009E647E" w:rsidP="00EE46EF">
      <w:pPr>
        <w:widowControl w:val="0"/>
        <w:tabs>
          <w:tab w:val="clear" w:pos="567"/>
        </w:tabs>
        <w:rPr>
          <w:rFonts w:eastAsia="Calibri"/>
          <w:i/>
          <w:iCs/>
          <w:sz w:val="22"/>
          <w:szCs w:val="22"/>
        </w:rPr>
      </w:pPr>
    </w:p>
    <w:p w14:paraId="7886A915" w14:textId="62C55B8D" w:rsidR="00EE46EF" w:rsidRPr="004F572A" w:rsidRDefault="00EE46EF" w:rsidP="00EE46EF">
      <w:pPr>
        <w:widowControl w:val="0"/>
        <w:tabs>
          <w:tab w:val="clear" w:pos="567"/>
        </w:tabs>
        <w:rPr>
          <w:rFonts w:eastAsia="Calibri"/>
          <w:i/>
          <w:iCs/>
          <w:sz w:val="22"/>
          <w:szCs w:val="22"/>
        </w:rPr>
      </w:pPr>
      <w:r w:rsidRPr="004F572A">
        <w:rPr>
          <w:rFonts w:eastAsia="Calibri"/>
          <w:i/>
          <w:iCs/>
          <w:sz w:val="22"/>
          <w:szCs w:val="22"/>
        </w:rPr>
        <w:t>HCK</w:t>
      </w:r>
    </w:p>
    <w:p w14:paraId="569869BF" w14:textId="77777777" w:rsidR="009E647E" w:rsidRPr="004F572A" w:rsidRDefault="009E647E" w:rsidP="00EE46EF">
      <w:pPr>
        <w:widowControl w:val="0"/>
        <w:tabs>
          <w:tab w:val="clear" w:pos="567"/>
        </w:tabs>
        <w:rPr>
          <w:rFonts w:eastAsia="Calibri"/>
          <w:sz w:val="22"/>
          <w:szCs w:val="22"/>
        </w:rPr>
      </w:pPr>
    </w:p>
    <w:p w14:paraId="611194B8" w14:textId="5CB81C73" w:rsidR="00EE46EF" w:rsidRPr="004F572A" w:rsidRDefault="00EE46EF" w:rsidP="00EE46EF">
      <w:pPr>
        <w:widowControl w:val="0"/>
        <w:tabs>
          <w:tab w:val="clear" w:pos="567"/>
        </w:tabs>
        <w:rPr>
          <w:rFonts w:eastAsia="Calibri"/>
          <w:sz w:val="22"/>
          <w:szCs w:val="22"/>
        </w:rPr>
      </w:pPr>
      <w:r w:rsidRPr="004F572A">
        <w:rPr>
          <w:rFonts w:eastAsia="Calibri"/>
          <w:sz w:val="22"/>
          <w:szCs w:val="22"/>
        </w:rPr>
        <w:t>3</w:t>
      </w:r>
      <w:r w:rsidR="00D53FC3">
        <w:rPr>
          <w:rFonts w:eastAsia="Calibri"/>
          <w:sz w:val="22"/>
          <w:szCs w:val="22"/>
        </w:rPr>
        <w:t> </w:t>
      </w:r>
      <w:r w:rsidRPr="004F572A">
        <w:rPr>
          <w:rFonts w:eastAsia="Calibri"/>
          <w:sz w:val="22"/>
          <w:szCs w:val="22"/>
        </w:rPr>
        <w:t>fazės REFLECT tyrim</w:t>
      </w:r>
      <w:r w:rsidR="00232A53">
        <w:rPr>
          <w:rFonts w:eastAsia="Calibri"/>
          <w:sz w:val="22"/>
          <w:szCs w:val="22"/>
        </w:rPr>
        <w:t>e</w:t>
      </w:r>
      <w:r w:rsidR="009E647E" w:rsidRPr="004F572A">
        <w:rPr>
          <w:rFonts w:eastAsia="Calibri"/>
          <w:sz w:val="22"/>
          <w:szCs w:val="22"/>
        </w:rPr>
        <w:t xml:space="preserve"> </w:t>
      </w:r>
      <w:r w:rsidRPr="004F572A">
        <w:rPr>
          <w:rFonts w:eastAsia="Calibri"/>
          <w:sz w:val="22"/>
          <w:szCs w:val="22"/>
        </w:rPr>
        <w:t xml:space="preserve">(žr. 5.1 skyrių) </w:t>
      </w:r>
      <w:r w:rsidR="009E647E" w:rsidRPr="004F572A">
        <w:rPr>
          <w:rFonts w:eastAsia="Calibri"/>
          <w:sz w:val="22"/>
          <w:szCs w:val="22"/>
        </w:rPr>
        <w:t>hipertenzij</w:t>
      </w:r>
      <w:r w:rsidR="009C0460" w:rsidRPr="004F572A">
        <w:rPr>
          <w:rFonts w:eastAsia="Calibri"/>
          <w:sz w:val="22"/>
          <w:szCs w:val="22"/>
        </w:rPr>
        <w:t>a</w:t>
      </w:r>
      <w:r w:rsidRPr="004F572A">
        <w:rPr>
          <w:rFonts w:eastAsia="Calibri"/>
          <w:sz w:val="22"/>
          <w:szCs w:val="22"/>
        </w:rPr>
        <w:t xml:space="preserve"> (įskaitant hipertenziją, padidėjusį kraujo</w:t>
      </w:r>
      <w:r w:rsidR="00232A53">
        <w:rPr>
          <w:rFonts w:eastAsia="Calibri"/>
          <w:sz w:val="22"/>
          <w:szCs w:val="22"/>
        </w:rPr>
        <w:t>spūdį</w:t>
      </w:r>
      <w:r w:rsidRPr="004F572A">
        <w:rPr>
          <w:rFonts w:eastAsia="Calibri"/>
          <w:sz w:val="22"/>
          <w:szCs w:val="22"/>
        </w:rPr>
        <w:t xml:space="preserve">, padidėjusį </w:t>
      </w:r>
      <w:proofErr w:type="spellStart"/>
      <w:r w:rsidRPr="004F572A">
        <w:rPr>
          <w:rFonts w:eastAsia="Calibri"/>
          <w:sz w:val="22"/>
          <w:szCs w:val="22"/>
        </w:rPr>
        <w:t>diastolinį</w:t>
      </w:r>
      <w:proofErr w:type="spellEnd"/>
      <w:r w:rsidRPr="004F572A">
        <w:rPr>
          <w:rFonts w:eastAsia="Calibri"/>
          <w:sz w:val="22"/>
          <w:szCs w:val="22"/>
        </w:rPr>
        <w:t xml:space="preserve"> kraujo</w:t>
      </w:r>
      <w:r w:rsidR="00232A53">
        <w:rPr>
          <w:rFonts w:eastAsia="Calibri"/>
          <w:sz w:val="22"/>
          <w:szCs w:val="22"/>
        </w:rPr>
        <w:t>spūdį</w:t>
      </w:r>
      <w:r w:rsidRPr="004F572A">
        <w:rPr>
          <w:rFonts w:eastAsia="Calibri"/>
          <w:sz w:val="22"/>
          <w:szCs w:val="22"/>
        </w:rPr>
        <w:t xml:space="preserve"> ir </w:t>
      </w:r>
      <w:proofErr w:type="spellStart"/>
      <w:r w:rsidRPr="004F572A">
        <w:rPr>
          <w:rFonts w:eastAsia="Calibri"/>
          <w:sz w:val="22"/>
          <w:szCs w:val="22"/>
        </w:rPr>
        <w:t>ortostatinę</w:t>
      </w:r>
      <w:proofErr w:type="spellEnd"/>
      <w:r w:rsidRPr="004F572A">
        <w:rPr>
          <w:rFonts w:eastAsia="Calibri"/>
          <w:sz w:val="22"/>
          <w:szCs w:val="22"/>
        </w:rPr>
        <w:t xml:space="preserve"> hipertenziją) </w:t>
      </w:r>
      <w:r w:rsidR="00232A53">
        <w:rPr>
          <w:rFonts w:eastAsia="Calibri"/>
          <w:sz w:val="22"/>
          <w:szCs w:val="22"/>
        </w:rPr>
        <w:t>buvo užregistruota</w:t>
      </w:r>
      <w:r w:rsidR="00232A53" w:rsidRPr="004F572A">
        <w:rPr>
          <w:rFonts w:eastAsia="Calibri"/>
          <w:sz w:val="22"/>
          <w:szCs w:val="22"/>
        </w:rPr>
        <w:t xml:space="preserve"> </w:t>
      </w:r>
      <w:r w:rsidRPr="004F572A">
        <w:rPr>
          <w:rFonts w:eastAsia="Calibri"/>
          <w:sz w:val="22"/>
          <w:szCs w:val="22"/>
        </w:rPr>
        <w:t>44,5</w:t>
      </w:r>
      <w:r w:rsidR="009E647E" w:rsidRPr="004F572A">
        <w:rPr>
          <w:rFonts w:eastAsia="Calibri"/>
          <w:sz w:val="22"/>
          <w:szCs w:val="22"/>
        </w:rPr>
        <w:t> </w:t>
      </w:r>
      <w:r w:rsidRPr="004F572A">
        <w:rPr>
          <w:rFonts w:eastAsia="Calibri"/>
          <w:sz w:val="22"/>
          <w:szCs w:val="22"/>
        </w:rPr>
        <w:t xml:space="preserve">% </w:t>
      </w:r>
      <w:proofErr w:type="spellStart"/>
      <w:r w:rsidRPr="004F572A">
        <w:rPr>
          <w:rFonts w:eastAsia="Calibri"/>
          <w:sz w:val="22"/>
          <w:szCs w:val="22"/>
        </w:rPr>
        <w:t>lenvatinibu</w:t>
      </w:r>
      <w:proofErr w:type="spellEnd"/>
      <w:r w:rsidRPr="004F572A">
        <w:rPr>
          <w:rFonts w:eastAsia="Calibri"/>
          <w:sz w:val="22"/>
          <w:szCs w:val="22"/>
        </w:rPr>
        <w:t xml:space="preserve"> gydytų pacientų</w:t>
      </w:r>
      <w:r w:rsidR="00232A53">
        <w:rPr>
          <w:rFonts w:eastAsia="Calibri"/>
          <w:sz w:val="22"/>
          <w:szCs w:val="22"/>
        </w:rPr>
        <w:t>, o</w:t>
      </w:r>
      <w:r w:rsidRPr="004F572A">
        <w:rPr>
          <w:rFonts w:eastAsia="Calibri"/>
          <w:sz w:val="22"/>
          <w:szCs w:val="22"/>
        </w:rPr>
        <w:t xml:space="preserve"> 3</w:t>
      </w:r>
      <w:r w:rsidR="00D53FC3">
        <w:rPr>
          <w:rFonts w:eastAsia="Calibri"/>
          <w:sz w:val="22"/>
          <w:szCs w:val="22"/>
        </w:rPr>
        <w:noBreakHyphen/>
      </w:r>
      <w:r w:rsidRPr="004F572A">
        <w:rPr>
          <w:rFonts w:eastAsia="Calibri"/>
          <w:sz w:val="22"/>
          <w:szCs w:val="22"/>
        </w:rPr>
        <w:t>ojo laipsnio hipertenzija pasireiškė 23,5</w:t>
      </w:r>
      <w:r w:rsidR="009E647E" w:rsidRPr="004F572A">
        <w:rPr>
          <w:rFonts w:eastAsia="Calibri"/>
          <w:sz w:val="22"/>
          <w:szCs w:val="22"/>
        </w:rPr>
        <w:t> </w:t>
      </w:r>
      <w:r w:rsidRPr="004F572A">
        <w:rPr>
          <w:rFonts w:eastAsia="Calibri"/>
          <w:sz w:val="22"/>
          <w:szCs w:val="22"/>
        </w:rPr>
        <w:t xml:space="preserve">% pacientų. Laiko iki </w:t>
      </w:r>
      <w:r w:rsidR="00232A53">
        <w:rPr>
          <w:rFonts w:eastAsia="Calibri"/>
          <w:sz w:val="22"/>
          <w:szCs w:val="22"/>
        </w:rPr>
        <w:t xml:space="preserve">poveikio </w:t>
      </w:r>
      <w:r w:rsidRPr="004F572A">
        <w:rPr>
          <w:rFonts w:eastAsia="Calibri"/>
          <w:sz w:val="22"/>
          <w:szCs w:val="22"/>
        </w:rPr>
        <w:t>pasireiškimo mediana buvo 26</w:t>
      </w:r>
      <w:r w:rsidR="00D53FC3">
        <w:rPr>
          <w:rFonts w:eastAsia="Calibri"/>
          <w:sz w:val="22"/>
          <w:szCs w:val="22"/>
        </w:rPr>
        <w:t> </w:t>
      </w:r>
      <w:r w:rsidRPr="004F572A">
        <w:rPr>
          <w:rFonts w:eastAsia="Calibri"/>
          <w:sz w:val="22"/>
          <w:szCs w:val="22"/>
        </w:rPr>
        <w:t xml:space="preserve">dienos. </w:t>
      </w:r>
      <w:r w:rsidR="00232A53">
        <w:rPr>
          <w:rFonts w:eastAsia="Calibri"/>
          <w:sz w:val="22"/>
          <w:szCs w:val="22"/>
        </w:rPr>
        <w:t>Daugumoje</w:t>
      </w:r>
      <w:r w:rsidR="009C0460" w:rsidRPr="004F572A">
        <w:rPr>
          <w:rFonts w:eastAsia="Calibri"/>
          <w:sz w:val="22"/>
          <w:szCs w:val="22"/>
        </w:rPr>
        <w:t xml:space="preserve"> atvejų </w:t>
      </w:r>
      <w:r w:rsidR="00232A53">
        <w:rPr>
          <w:rFonts w:eastAsia="Calibri"/>
          <w:sz w:val="22"/>
          <w:szCs w:val="22"/>
        </w:rPr>
        <w:t>poveikis praėjo sumažinus dozę ar sustabdžius vaistinio preparato</w:t>
      </w:r>
      <w:r w:rsidR="009E647E" w:rsidRPr="004F572A">
        <w:rPr>
          <w:rFonts w:eastAsia="Calibri"/>
          <w:sz w:val="22"/>
          <w:szCs w:val="22"/>
        </w:rPr>
        <w:t xml:space="preserve"> vartojimą</w:t>
      </w:r>
      <w:r w:rsidRPr="004F572A">
        <w:rPr>
          <w:rFonts w:eastAsia="Calibri"/>
          <w:sz w:val="22"/>
          <w:szCs w:val="22"/>
        </w:rPr>
        <w:t>, atitinkamai 3,6</w:t>
      </w:r>
      <w:r w:rsidR="009C0460" w:rsidRPr="004F572A">
        <w:rPr>
          <w:rFonts w:eastAsia="Calibri"/>
          <w:sz w:val="22"/>
          <w:szCs w:val="22"/>
        </w:rPr>
        <w:t> </w:t>
      </w:r>
      <w:r w:rsidRPr="004F572A">
        <w:rPr>
          <w:rFonts w:eastAsia="Calibri"/>
          <w:sz w:val="22"/>
          <w:szCs w:val="22"/>
        </w:rPr>
        <w:t>% ir 3,4</w:t>
      </w:r>
      <w:r w:rsidR="009C0460" w:rsidRPr="004F572A">
        <w:rPr>
          <w:rFonts w:eastAsia="Calibri"/>
          <w:sz w:val="22"/>
          <w:szCs w:val="22"/>
        </w:rPr>
        <w:t> </w:t>
      </w:r>
      <w:r w:rsidRPr="004F572A">
        <w:rPr>
          <w:rFonts w:eastAsia="Calibri"/>
          <w:sz w:val="22"/>
          <w:szCs w:val="22"/>
        </w:rPr>
        <w:t>% pacientų. Vienas asmuo (0,2</w:t>
      </w:r>
      <w:r w:rsidR="009C0460" w:rsidRPr="004F572A">
        <w:rPr>
          <w:rFonts w:eastAsia="Calibri"/>
          <w:sz w:val="22"/>
          <w:szCs w:val="22"/>
        </w:rPr>
        <w:t> </w:t>
      </w:r>
      <w:r w:rsidRPr="004F572A">
        <w:rPr>
          <w:rFonts w:eastAsia="Calibri"/>
          <w:sz w:val="22"/>
          <w:szCs w:val="22"/>
        </w:rPr>
        <w:t>%) dėl hipertenzijos turėjo nutraukti gydymą.</w:t>
      </w:r>
    </w:p>
    <w:p w14:paraId="5718856F" w14:textId="77777777" w:rsidR="009C0460" w:rsidRPr="004F572A" w:rsidRDefault="009C0460" w:rsidP="00EE46EF">
      <w:pPr>
        <w:widowControl w:val="0"/>
        <w:tabs>
          <w:tab w:val="clear" w:pos="567"/>
        </w:tabs>
        <w:rPr>
          <w:rFonts w:eastAsia="Calibri"/>
          <w:sz w:val="22"/>
          <w:szCs w:val="22"/>
        </w:rPr>
      </w:pPr>
    </w:p>
    <w:p w14:paraId="0CC7F440" w14:textId="610C029D" w:rsidR="009C0460" w:rsidRPr="00E27691" w:rsidRDefault="009C0460" w:rsidP="00EE46EF">
      <w:pPr>
        <w:widowControl w:val="0"/>
        <w:tabs>
          <w:tab w:val="clear" w:pos="567"/>
        </w:tabs>
        <w:rPr>
          <w:rFonts w:eastAsia="Calibri"/>
          <w:i/>
          <w:iCs/>
          <w:sz w:val="22"/>
          <w:szCs w:val="22"/>
        </w:rPr>
      </w:pPr>
      <w:r w:rsidRPr="00E27691">
        <w:rPr>
          <w:rFonts w:eastAsia="Calibri"/>
          <w:i/>
          <w:iCs/>
          <w:sz w:val="22"/>
          <w:szCs w:val="22"/>
        </w:rPr>
        <w:t>EK</w:t>
      </w:r>
    </w:p>
    <w:p w14:paraId="78C7200E" w14:textId="77777777" w:rsidR="009C0460" w:rsidRPr="004F572A" w:rsidRDefault="009C0460" w:rsidP="00EE46EF">
      <w:pPr>
        <w:widowControl w:val="0"/>
        <w:tabs>
          <w:tab w:val="clear" w:pos="567"/>
        </w:tabs>
        <w:rPr>
          <w:rFonts w:eastAsia="Calibri"/>
          <w:sz w:val="22"/>
          <w:szCs w:val="22"/>
        </w:rPr>
      </w:pPr>
    </w:p>
    <w:p w14:paraId="7A834E0D" w14:textId="6299F0B5" w:rsidR="00EE46EF" w:rsidRPr="004F572A" w:rsidRDefault="00EE46EF" w:rsidP="00EE46EF">
      <w:pPr>
        <w:widowControl w:val="0"/>
        <w:tabs>
          <w:tab w:val="clear" w:pos="567"/>
        </w:tabs>
        <w:rPr>
          <w:rFonts w:eastAsia="Calibri"/>
          <w:sz w:val="22"/>
          <w:szCs w:val="22"/>
        </w:rPr>
      </w:pPr>
      <w:r w:rsidRPr="004F572A">
        <w:rPr>
          <w:rFonts w:eastAsia="Calibri"/>
          <w:sz w:val="22"/>
          <w:szCs w:val="22"/>
        </w:rPr>
        <w:t>3</w:t>
      </w:r>
      <w:r w:rsidR="00D53FC3">
        <w:rPr>
          <w:rFonts w:eastAsia="Calibri"/>
          <w:sz w:val="22"/>
          <w:szCs w:val="22"/>
        </w:rPr>
        <w:t> </w:t>
      </w:r>
      <w:r w:rsidRPr="004F572A">
        <w:rPr>
          <w:rFonts w:eastAsia="Calibri"/>
          <w:sz w:val="22"/>
          <w:szCs w:val="22"/>
        </w:rPr>
        <w:t>fazės 309 tyrim</w:t>
      </w:r>
      <w:r w:rsidR="00232A53">
        <w:rPr>
          <w:rFonts w:eastAsia="Calibri"/>
          <w:sz w:val="22"/>
          <w:szCs w:val="22"/>
        </w:rPr>
        <w:t>e</w:t>
      </w:r>
      <w:r w:rsidR="009C0460" w:rsidRPr="004F572A">
        <w:rPr>
          <w:rFonts w:eastAsia="Calibri"/>
          <w:sz w:val="22"/>
          <w:szCs w:val="22"/>
        </w:rPr>
        <w:t xml:space="preserve"> </w:t>
      </w:r>
      <w:r w:rsidRPr="004F572A">
        <w:rPr>
          <w:rFonts w:eastAsia="Calibri"/>
          <w:sz w:val="22"/>
          <w:szCs w:val="22"/>
        </w:rPr>
        <w:t xml:space="preserve">(žr. 5.1 skyrių) </w:t>
      </w:r>
      <w:r w:rsidR="00232A53">
        <w:rPr>
          <w:rFonts w:eastAsia="Calibri"/>
          <w:sz w:val="22"/>
          <w:szCs w:val="22"/>
        </w:rPr>
        <w:t xml:space="preserve">apie </w:t>
      </w:r>
      <w:r w:rsidRPr="004F572A">
        <w:rPr>
          <w:rFonts w:eastAsia="Calibri"/>
          <w:sz w:val="22"/>
          <w:szCs w:val="22"/>
        </w:rPr>
        <w:t xml:space="preserve">hipertenziją </w:t>
      </w:r>
      <w:r w:rsidR="00232A53">
        <w:rPr>
          <w:rFonts w:eastAsia="Calibri"/>
          <w:sz w:val="22"/>
          <w:szCs w:val="22"/>
        </w:rPr>
        <w:t>pranešta</w:t>
      </w:r>
      <w:r w:rsidRPr="004F572A">
        <w:rPr>
          <w:rFonts w:eastAsia="Calibri"/>
          <w:sz w:val="22"/>
          <w:szCs w:val="22"/>
        </w:rPr>
        <w:t xml:space="preserve"> 65</w:t>
      </w:r>
      <w:r w:rsidR="009C0460" w:rsidRPr="004F572A">
        <w:rPr>
          <w:rFonts w:eastAsia="Calibri"/>
          <w:sz w:val="22"/>
          <w:szCs w:val="22"/>
        </w:rPr>
        <w:t> </w:t>
      </w:r>
      <w:r w:rsidRPr="004F572A">
        <w:rPr>
          <w:rFonts w:eastAsia="Calibri"/>
          <w:sz w:val="22"/>
          <w:szCs w:val="22"/>
        </w:rPr>
        <w:t xml:space="preserve">% </w:t>
      </w:r>
      <w:proofErr w:type="spellStart"/>
      <w:r w:rsidRPr="004F572A">
        <w:rPr>
          <w:rFonts w:eastAsia="Calibri"/>
          <w:sz w:val="22"/>
          <w:szCs w:val="22"/>
        </w:rPr>
        <w:t>lenvatinibo</w:t>
      </w:r>
      <w:proofErr w:type="spellEnd"/>
      <w:r w:rsidRPr="004F572A">
        <w:rPr>
          <w:rFonts w:eastAsia="Calibri"/>
          <w:sz w:val="22"/>
          <w:szCs w:val="22"/>
        </w:rPr>
        <w:t xml:space="preserve"> ir </w:t>
      </w:r>
      <w:proofErr w:type="spellStart"/>
      <w:r w:rsidRPr="004F572A">
        <w:rPr>
          <w:rFonts w:eastAsia="Calibri"/>
          <w:sz w:val="22"/>
          <w:szCs w:val="22"/>
        </w:rPr>
        <w:t>pembrolizumabo</w:t>
      </w:r>
      <w:proofErr w:type="spellEnd"/>
      <w:r w:rsidRPr="004F572A">
        <w:rPr>
          <w:rFonts w:eastAsia="Calibri"/>
          <w:sz w:val="22"/>
          <w:szCs w:val="22"/>
        </w:rPr>
        <w:t xml:space="preserve"> grupės pacientų. 3 ar aukštesnio laipsnio reakcijos pasireiškė 38,4</w:t>
      </w:r>
      <w:r w:rsidR="009C0460" w:rsidRPr="004F572A">
        <w:rPr>
          <w:rFonts w:eastAsia="Calibri"/>
          <w:sz w:val="22"/>
          <w:szCs w:val="22"/>
        </w:rPr>
        <w:t> </w:t>
      </w:r>
      <w:r w:rsidRPr="004F572A">
        <w:rPr>
          <w:rFonts w:eastAsia="Calibri"/>
          <w:sz w:val="22"/>
          <w:szCs w:val="22"/>
        </w:rPr>
        <w:t xml:space="preserve">% </w:t>
      </w:r>
      <w:proofErr w:type="spellStart"/>
      <w:r w:rsidRPr="004F572A">
        <w:rPr>
          <w:rFonts w:eastAsia="Calibri"/>
          <w:sz w:val="22"/>
          <w:szCs w:val="22"/>
        </w:rPr>
        <w:t>lenvatinibo</w:t>
      </w:r>
      <w:proofErr w:type="spellEnd"/>
      <w:r w:rsidRPr="004F572A">
        <w:rPr>
          <w:rFonts w:eastAsia="Calibri"/>
          <w:sz w:val="22"/>
          <w:szCs w:val="22"/>
        </w:rPr>
        <w:t xml:space="preserve"> ir </w:t>
      </w:r>
      <w:proofErr w:type="spellStart"/>
      <w:r w:rsidRPr="004F572A">
        <w:rPr>
          <w:rFonts w:eastAsia="Calibri"/>
          <w:sz w:val="22"/>
          <w:szCs w:val="22"/>
        </w:rPr>
        <w:t>pembrolizumabo</w:t>
      </w:r>
      <w:proofErr w:type="spellEnd"/>
      <w:r w:rsidRPr="004F572A">
        <w:rPr>
          <w:rFonts w:eastAsia="Calibri"/>
          <w:sz w:val="22"/>
          <w:szCs w:val="22"/>
        </w:rPr>
        <w:t xml:space="preserve"> grupės pacientų. Vidutinis laikas iki pasireiškimo </w:t>
      </w:r>
      <w:proofErr w:type="spellStart"/>
      <w:r w:rsidRPr="004F572A">
        <w:rPr>
          <w:rFonts w:eastAsia="Calibri"/>
          <w:sz w:val="22"/>
          <w:szCs w:val="22"/>
        </w:rPr>
        <w:t>lenvatinibo</w:t>
      </w:r>
      <w:proofErr w:type="spellEnd"/>
      <w:r w:rsidRPr="004F572A">
        <w:rPr>
          <w:rFonts w:eastAsia="Calibri"/>
          <w:sz w:val="22"/>
          <w:szCs w:val="22"/>
        </w:rPr>
        <w:t xml:space="preserve"> ir </w:t>
      </w:r>
      <w:proofErr w:type="spellStart"/>
      <w:r w:rsidRPr="004F572A">
        <w:rPr>
          <w:rFonts w:eastAsia="Calibri"/>
          <w:sz w:val="22"/>
          <w:szCs w:val="22"/>
        </w:rPr>
        <w:t>pembrolizumabo</w:t>
      </w:r>
      <w:proofErr w:type="spellEnd"/>
      <w:r w:rsidRPr="004F572A">
        <w:rPr>
          <w:rFonts w:eastAsia="Calibri"/>
          <w:sz w:val="22"/>
          <w:szCs w:val="22"/>
        </w:rPr>
        <w:t xml:space="preserve"> grupėje buvo 15</w:t>
      </w:r>
      <w:r w:rsidR="00D53FC3">
        <w:rPr>
          <w:rFonts w:eastAsia="Calibri"/>
          <w:sz w:val="22"/>
          <w:szCs w:val="22"/>
        </w:rPr>
        <w:t> </w:t>
      </w:r>
      <w:r w:rsidRPr="004F572A">
        <w:rPr>
          <w:rFonts w:eastAsia="Calibri"/>
          <w:sz w:val="22"/>
          <w:szCs w:val="22"/>
        </w:rPr>
        <w:t xml:space="preserve">dienų. </w:t>
      </w:r>
      <w:proofErr w:type="spellStart"/>
      <w:r w:rsidR="00232A53" w:rsidRPr="00232A53">
        <w:rPr>
          <w:rFonts w:eastAsia="Calibri"/>
          <w:sz w:val="22"/>
          <w:szCs w:val="22"/>
        </w:rPr>
        <w:t>Lenvatinibo</w:t>
      </w:r>
      <w:proofErr w:type="spellEnd"/>
      <w:r w:rsidR="00232A53" w:rsidRPr="00232A53">
        <w:rPr>
          <w:rFonts w:eastAsia="Calibri"/>
          <w:sz w:val="22"/>
          <w:szCs w:val="22"/>
        </w:rPr>
        <w:t xml:space="preserve"> vartojimą </w:t>
      </w:r>
      <w:r w:rsidR="00232A53">
        <w:rPr>
          <w:rFonts w:eastAsia="Calibri"/>
          <w:sz w:val="22"/>
          <w:szCs w:val="22"/>
        </w:rPr>
        <w:t>laikinai sustabdė</w:t>
      </w:r>
      <w:r w:rsidR="00232A53" w:rsidRPr="00232A53">
        <w:rPr>
          <w:rFonts w:eastAsia="Calibri"/>
          <w:sz w:val="22"/>
          <w:szCs w:val="22"/>
        </w:rPr>
        <w:t>, sumažino ir nutraukė atitinkamai</w:t>
      </w:r>
      <w:r w:rsidR="00232A53">
        <w:rPr>
          <w:rFonts w:eastAsia="Calibri"/>
          <w:sz w:val="22"/>
          <w:szCs w:val="22"/>
        </w:rPr>
        <w:t xml:space="preserve"> </w:t>
      </w:r>
      <w:r w:rsidRPr="004F572A">
        <w:rPr>
          <w:rFonts w:eastAsia="Calibri"/>
          <w:sz w:val="22"/>
          <w:szCs w:val="22"/>
        </w:rPr>
        <w:t>11,6</w:t>
      </w:r>
      <w:r w:rsidR="008811A6" w:rsidRPr="004F572A">
        <w:rPr>
          <w:rFonts w:eastAsia="Calibri"/>
          <w:sz w:val="22"/>
          <w:szCs w:val="22"/>
        </w:rPr>
        <w:t> </w:t>
      </w:r>
      <w:r w:rsidRPr="004F572A">
        <w:rPr>
          <w:rFonts w:eastAsia="Calibri"/>
          <w:sz w:val="22"/>
          <w:szCs w:val="22"/>
        </w:rPr>
        <w:t>%, 17,7</w:t>
      </w:r>
      <w:r w:rsidR="008811A6" w:rsidRPr="004F572A">
        <w:rPr>
          <w:rFonts w:eastAsia="Calibri"/>
          <w:sz w:val="22"/>
          <w:szCs w:val="22"/>
        </w:rPr>
        <w:t> </w:t>
      </w:r>
      <w:r w:rsidRPr="004F572A">
        <w:rPr>
          <w:rFonts w:eastAsia="Calibri"/>
          <w:sz w:val="22"/>
          <w:szCs w:val="22"/>
        </w:rPr>
        <w:t>% ir 2,0</w:t>
      </w:r>
      <w:r w:rsidR="008811A6" w:rsidRPr="004F572A">
        <w:rPr>
          <w:rFonts w:eastAsia="Calibri"/>
          <w:sz w:val="22"/>
          <w:szCs w:val="22"/>
        </w:rPr>
        <w:t> </w:t>
      </w:r>
      <w:r w:rsidRPr="004F572A">
        <w:rPr>
          <w:rFonts w:eastAsia="Calibri"/>
          <w:sz w:val="22"/>
          <w:szCs w:val="22"/>
        </w:rPr>
        <w:t>% pacientų.</w:t>
      </w:r>
    </w:p>
    <w:p w14:paraId="1F827557" w14:textId="77777777" w:rsidR="008811A6" w:rsidRPr="004F572A" w:rsidRDefault="008811A6" w:rsidP="00EE46EF">
      <w:pPr>
        <w:widowControl w:val="0"/>
        <w:tabs>
          <w:tab w:val="clear" w:pos="567"/>
        </w:tabs>
        <w:rPr>
          <w:rFonts w:eastAsia="Calibri"/>
          <w:i/>
          <w:iCs/>
          <w:sz w:val="22"/>
          <w:szCs w:val="22"/>
        </w:rPr>
      </w:pPr>
    </w:p>
    <w:p w14:paraId="20714458" w14:textId="77777777" w:rsidR="008811A6" w:rsidRPr="004F572A" w:rsidRDefault="00EE46EF" w:rsidP="00EE46EF">
      <w:pPr>
        <w:widowControl w:val="0"/>
        <w:tabs>
          <w:tab w:val="clear" w:pos="567"/>
        </w:tabs>
        <w:rPr>
          <w:rFonts w:eastAsia="Calibri"/>
          <w:i/>
          <w:iCs/>
          <w:sz w:val="22"/>
          <w:szCs w:val="22"/>
          <w:u w:val="single"/>
        </w:rPr>
      </w:pPr>
      <w:proofErr w:type="spellStart"/>
      <w:r w:rsidRPr="004F572A">
        <w:rPr>
          <w:rFonts w:eastAsia="Calibri"/>
          <w:i/>
          <w:iCs/>
          <w:sz w:val="22"/>
          <w:szCs w:val="22"/>
          <w:u w:val="single"/>
        </w:rPr>
        <w:t>Proteinurija</w:t>
      </w:r>
      <w:proofErr w:type="spellEnd"/>
      <w:r w:rsidRPr="004F572A">
        <w:rPr>
          <w:rFonts w:eastAsia="Calibri"/>
          <w:i/>
          <w:iCs/>
          <w:sz w:val="22"/>
          <w:szCs w:val="22"/>
          <w:u w:val="single"/>
        </w:rPr>
        <w:t xml:space="preserve"> (žr. 4.4 skyrių) </w:t>
      </w:r>
    </w:p>
    <w:p w14:paraId="20D53104" w14:textId="77777777" w:rsidR="008811A6" w:rsidRPr="004F572A" w:rsidRDefault="008811A6" w:rsidP="00EE46EF">
      <w:pPr>
        <w:widowControl w:val="0"/>
        <w:tabs>
          <w:tab w:val="clear" w:pos="567"/>
        </w:tabs>
        <w:rPr>
          <w:rFonts w:eastAsia="Calibri"/>
          <w:i/>
          <w:iCs/>
          <w:sz w:val="22"/>
          <w:szCs w:val="22"/>
        </w:rPr>
      </w:pPr>
    </w:p>
    <w:p w14:paraId="70AF208E" w14:textId="3457A156" w:rsidR="00AE30F8" w:rsidRPr="004F572A" w:rsidRDefault="00EE46EF" w:rsidP="00EE46EF">
      <w:pPr>
        <w:widowControl w:val="0"/>
        <w:tabs>
          <w:tab w:val="clear" w:pos="567"/>
        </w:tabs>
        <w:rPr>
          <w:rFonts w:eastAsia="Calibri"/>
          <w:sz w:val="22"/>
          <w:szCs w:val="22"/>
        </w:rPr>
      </w:pPr>
      <w:r w:rsidRPr="004F572A">
        <w:rPr>
          <w:rFonts w:eastAsia="Calibri"/>
          <w:i/>
          <w:iCs/>
          <w:sz w:val="22"/>
          <w:szCs w:val="22"/>
        </w:rPr>
        <w:t>DSK</w:t>
      </w:r>
    </w:p>
    <w:p w14:paraId="305D4CBC" w14:textId="77777777" w:rsidR="00AE30F8" w:rsidRPr="004F572A" w:rsidRDefault="00AE30F8" w:rsidP="000928CA">
      <w:pPr>
        <w:widowControl w:val="0"/>
        <w:tabs>
          <w:tab w:val="clear" w:pos="567"/>
        </w:tabs>
        <w:rPr>
          <w:rFonts w:eastAsia="Calibri"/>
          <w:sz w:val="22"/>
          <w:szCs w:val="22"/>
        </w:rPr>
      </w:pPr>
    </w:p>
    <w:p w14:paraId="4130A6AD" w14:textId="6E1B38CB" w:rsidR="008811A6" w:rsidRPr="004F572A" w:rsidRDefault="008811A6" w:rsidP="008811A6">
      <w:pPr>
        <w:widowControl w:val="0"/>
        <w:tabs>
          <w:tab w:val="clear" w:pos="567"/>
        </w:tabs>
        <w:rPr>
          <w:rFonts w:eastAsia="Calibri"/>
          <w:sz w:val="22"/>
          <w:szCs w:val="22"/>
        </w:rPr>
      </w:pPr>
      <w:r w:rsidRPr="004F572A">
        <w:rPr>
          <w:rFonts w:eastAsia="Calibri"/>
          <w:sz w:val="22"/>
          <w:szCs w:val="22"/>
        </w:rPr>
        <w:lastRenderedPageBreak/>
        <w:t xml:space="preserve">Pagrindinio 3 fazės tyrimo SELECT </w:t>
      </w:r>
      <w:r w:rsidR="00232A53">
        <w:rPr>
          <w:rFonts w:eastAsia="Calibri"/>
          <w:sz w:val="22"/>
          <w:szCs w:val="22"/>
        </w:rPr>
        <w:t xml:space="preserve">metu </w:t>
      </w:r>
      <w:r w:rsidRPr="004F572A">
        <w:rPr>
          <w:rFonts w:eastAsia="Calibri"/>
          <w:sz w:val="22"/>
          <w:szCs w:val="22"/>
        </w:rPr>
        <w:t>(žr. 5.1 skyrių)</w:t>
      </w:r>
      <w:r w:rsidR="00232A53">
        <w:rPr>
          <w:rFonts w:eastAsia="Calibri"/>
          <w:sz w:val="22"/>
          <w:szCs w:val="22"/>
        </w:rPr>
        <w:t xml:space="preserve"> </w:t>
      </w:r>
      <w:proofErr w:type="spellStart"/>
      <w:r w:rsidRPr="004F572A">
        <w:rPr>
          <w:rFonts w:eastAsia="Calibri"/>
          <w:sz w:val="22"/>
          <w:szCs w:val="22"/>
        </w:rPr>
        <w:t>proteinurija</w:t>
      </w:r>
      <w:proofErr w:type="spellEnd"/>
      <w:r w:rsidRPr="004F572A">
        <w:rPr>
          <w:rFonts w:eastAsia="Calibri"/>
          <w:sz w:val="22"/>
          <w:szCs w:val="22"/>
        </w:rPr>
        <w:t xml:space="preserve"> </w:t>
      </w:r>
      <w:r w:rsidR="00232A53">
        <w:rPr>
          <w:rFonts w:eastAsia="Calibri"/>
          <w:sz w:val="22"/>
          <w:szCs w:val="22"/>
        </w:rPr>
        <w:t>nustatyta</w:t>
      </w:r>
      <w:r w:rsidRPr="004F572A">
        <w:rPr>
          <w:rFonts w:eastAsia="Calibri"/>
          <w:sz w:val="22"/>
          <w:szCs w:val="22"/>
        </w:rPr>
        <w:t xml:space="preserve"> 33,7 % </w:t>
      </w:r>
      <w:proofErr w:type="spellStart"/>
      <w:r w:rsidRPr="004F572A">
        <w:rPr>
          <w:rFonts w:eastAsia="Calibri"/>
          <w:sz w:val="22"/>
          <w:szCs w:val="22"/>
        </w:rPr>
        <w:t>lenvatinibu</w:t>
      </w:r>
      <w:proofErr w:type="spellEnd"/>
      <w:r w:rsidRPr="004F572A">
        <w:rPr>
          <w:rFonts w:eastAsia="Calibri"/>
          <w:sz w:val="22"/>
          <w:szCs w:val="22"/>
        </w:rPr>
        <w:t xml:space="preserve"> gydytų pacientų ir 3,1 % placebo grupės pacientų. Laiko iki pasireiškimo mediana buvo 6,7 savaitės. 3</w:t>
      </w:r>
      <w:r w:rsidR="00D53FC3">
        <w:rPr>
          <w:rFonts w:eastAsia="Calibri"/>
          <w:sz w:val="22"/>
          <w:szCs w:val="22"/>
        </w:rPr>
        <w:noBreakHyphen/>
      </w:r>
      <w:r w:rsidRPr="004F572A">
        <w:rPr>
          <w:rFonts w:eastAsia="Calibri"/>
          <w:sz w:val="22"/>
          <w:szCs w:val="22"/>
        </w:rPr>
        <w:t xml:space="preserve">iojo laipsnio reakcijos pasireiškė 10,7 % </w:t>
      </w:r>
      <w:proofErr w:type="spellStart"/>
      <w:r w:rsidRPr="004F572A">
        <w:rPr>
          <w:rFonts w:eastAsia="Calibri"/>
          <w:sz w:val="22"/>
          <w:szCs w:val="22"/>
        </w:rPr>
        <w:t>lenvatinibu</w:t>
      </w:r>
      <w:proofErr w:type="spellEnd"/>
      <w:r w:rsidRPr="004F572A">
        <w:rPr>
          <w:rFonts w:eastAsia="Calibri"/>
          <w:sz w:val="22"/>
          <w:szCs w:val="22"/>
        </w:rPr>
        <w:t xml:space="preserve"> gydytų pacientų ir nepasireiškė nė vienam placebo grupės pacientui. Didžioji dalis </w:t>
      </w:r>
      <w:r w:rsidR="00232A53">
        <w:rPr>
          <w:rFonts w:eastAsia="Calibri"/>
          <w:sz w:val="22"/>
          <w:szCs w:val="22"/>
        </w:rPr>
        <w:t>reakcijų galiausiai praėjo</w:t>
      </w:r>
      <w:r w:rsidRPr="004F572A">
        <w:rPr>
          <w:rFonts w:eastAsia="Calibri"/>
          <w:sz w:val="22"/>
          <w:szCs w:val="22"/>
        </w:rPr>
        <w:t xml:space="preserve"> ar išnyko </w:t>
      </w:r>
      <w:r w:rsidR="00232A53">
        <w:rPr>
          <w:rFonts w:eastAsia="Calibri"/>
          <w:sz w:val="22"/>
          <w:szCs w:val="22"/>
        </w:rPr>
        <w:t>laikinai sustabdžius</w:t>
      </w:r>
      <w:r w:rsidRPr="004F572A">
        <w:rPr>
          <w:rFonts w:eastAsia="Calibri"/>
          <w:sz w:val="22"/>
          <w:szCs w:val="22"/>
        </w:rPr>
        <w:t xml:space="preserve"> </w:t>
      </w:r>
      <w:r w:rsidR="00232A53">
        <w:rPr>
          <w:rFonts w:eastAsia="Calibri"/>
          <w:sz w:val="22"/>
          <w:szCs w:val="22"/>
        </w:rPr>
        <w:t>vaistinio preparato</w:t>
      </w:r>
      <w:r w:rsidRPr="004F572A">
        <w:rPr>
          <w:rFonts w:eastAsia="Calibri"/>
          <w:sz w:val="22"/>
          <w:szCs w:val="22"/>
        </w:rPr>
        <w:t xml:space="preserve"> vartojimą ar</w:t>
      </w:r>
      <w:r w:rsidR="00232A53">
        <w:rPr>
          <w:rFonts w:eastAsia="Calibri"/>
          <w:sz w:val="22"/>
          <w:szCs w:val="22"/>
        </w:rPr>
        <w:t>ba</w:t>
      </w:r>
      <w:r w:rsidRPr="004F572A">
        <w:rPr>
          <w:rFonts w:eastAsia="Calibri"/>
          <w:sz w:val="22"/>
          <w:szCs w:val="22"/>
        </w:rPr>
        <w:t xml:space="preserve"> sumažinus</w:t>
      </w:r>
      <w:r w:rsidR="00232A53">
        <w:rPr>
          <w:rFonts w:eastAsia="Calibri"/>
          <w:sz w:val="22"/>
          <w:szCs w:val="22"/>
        </w:rPr>
        <w:t xml:space="preserve"> dozę</w:t>
      </w:r>
      <w:r w:rsidRPr="004F572A">
        <w:rPr>
          <w:rFonts w:eastAsia="Calibri"/>
          <w:sz w:val="22"/>
          <w:szCs w:val="22"/>
        </w:rPr>
        <w:t xml:space="preserve">, tai nustatyta atitinkamai 16,9 % ir 10,7 % pacientų. 0,8 % pacientų dėl </w:t>
      </w:r>
      <w:proofErr w:type="spellStart"/>
      <w:r w:rsidRPr="004F572A">
        <w:rPr>
          <w:rFonts w:eastAsia="Calibri"/>
          <w:sz w:val="22"/>
          <w:szCs w:val="22"/>
        </w:rPr>
        <w:t>proteinurijos</w:t>
      </w:r>
      <w:proofErr w:type="spellEnd"/>
      <w:r w:rsidRPr="004F572A">
        <w:rPr>
          <w:rFonts w:eastAsia="Calibri"/>
          <w:sz w:val="22"/>
          <w:szCs w:val="22"/>
        </w:rPr>
        <w:t xml:space="preserve"> reikėjo visiškai nutraukti gydymą.</w:t>
      </w:r>
    </w:p>
    <w:p w14:paraId="63C2CDF1" w14:textId="77777777" w:rsidR="00501958" w:rsidRPr="004F572A" w:rsidRDefault="00501958" w:rsidP="008811A6">
      <w:pPr>
        <w:widowControl w:val="0"/>
        <w:tabs>
          <w:tab w:val="clear" w:pos="567"/>
        </w:tabs>
        <w:rPr>
          <w:rFonts w:eastAsia="Calibri"/>
          <w:i/>
          <w:iCs/>
          <w:sz w:val="22"/>
          <w:szCs w:val="22"/>
        </w:rPr>
      </w:pPr>
    </w:p>
    <w:p w14:paraId="02770CF9" w14:textId="224247A2" w:rsidR="008811A6" w:rsidRPr="004F572A" w:rsidRDefault="008811A6" w:rsidP="008811A6">
      <w:pPr>
        <w:widowControl w:val="0"/>
        <w:tabs>
          <w:tab w:val="clear" w:pos="567"/>
        </w:tabs>
        <w:rPr>
          <w:rFonts w:eastAsia="Calibri"/>
          <w:i/>
          <w:iCs/>
          <w:sz w:val="22"/>
          <w:szCs w:val="22"/>
        </w:rPr>
      </w:pPr>
      <w:r w:rsidRPr="004F572A">
        <w:rPr>
          <w:rFonts w:eastAsia="Calibri"/>
          <w:i/>
          <w:iCs/>
          <w:sz w:val="22"/>
          <w:szCs w:val="22"/>
        </w:rPr>
        <w:t>HCK</w:t>
      </w:r>
    </w:p>
    <w:p w14:paraId="5CBE1140" w14:textId="77777777" w:rsidR="00501958" w:rsidRPr="004F572A" w:rsidRDefault="00501958" w:rsidP="008811A6">
      <w:pPr>
        <w:widowControl w:val="0"/>
        <w:tabs>
          <w:tab w:val="clear" w:pos="567"/>
        </w:tabs>
        <w:rPr>
          <w:rFonts w:eastAsia="Calibri"/>
          <w:sz w:val="22"/>
          <w:szCs w:val="22"/>
        </w:rPr>
      </w:pPr>
    </w:p>
    <w:p w14:paraId="705A86C4" w14:textId="422B4C64" w:rsidR="008811A6" w:rsidRPr="004F572A" w:rsidRDefault="008811A6" w:rsidP="008811A6">
      <w:pPr>
        <w:widowControl w:val="0"/>
        <w:tabs>
          <w:tab w:val="clear" w:pos="567"/>
        </w:tabs>
        <w:rPr>
          <w:rFonts w:eastAsia="Calibri"/>
          <w:sz w:val="22"/>
          <w:szCs w:val="22"/>
        </w:rPr>
      </w:pPr>
      <w:r w:rsidRPr="004F572A">
        <w:rPr>
          <w:rFonts w:eastAsia="Calibri"/>
          <w:sz w:val="22"/>
          <w:szCs w:val="22"/>
        </w:rPr>
        <w:t>3</w:t>
      </w:r>
      <w:r w:rsidR="00D53FC3">
        <w:rPr>
          <w:rFonts w:eastAsia="Calibri"/>
          <w:sz w:val="22"/>
          <w:szCs w:val="22"/>
        </w:rPr>
        <w:t> </w:t>
      </w:r>
      <w:r w:rsidRPr="004F572A">
        <w:rPr>
          <w:rFonts w:eastAsia="Calibri"/>
          <w:sz w:val="22"/>
          <w:szCs w:val="22"/>
        </w:rPr>
        <w:t>fazės REFLECT tyrim</w:t>
      </w:r>
      <w:r w:rsidR="00232A53">
        <w:rPr>
          <w:rFonts w:eastAsia="Calibri"/>
          <w:sz w:val="22"/>
          <w:szCs w:val="22"/>
        </w:rPr>
        <w:t>e</w:t>
      </w:r>
      <w:r w:rsidRPr="004F572A">
        <w:rPr>
          <w:rFonts w:eastAsia="Calibri"/>
          <w:sz w:val="22"/>
          <w:szCs w:val="22"/>
        </w:rPr>
        <w:t xml:space="preserve"> (žr. 5.1 skyrių)</w:t>
      </w:r>
      <w:r w:rsidR="00501958" w:rsidRPr="004F572A">
        <w:rPr>
          <w:rFonts w:eastAsia="Calibri"/>
          <w:sz w:val="22"/>
          <w:szCs w:val="22"/>
        </w:rPr>
        <w:t xml:space="preserve"> </w:t>
      </w:r>
      <w:proofErr w:type="spellStart"/>
      <w:r w:rsidRPr="004F572A">
        <w:rPr>
          <w:rFonts w:eastAsia="Calibri"/>
          <w:sz w:val="22"/>
          <w:szCs w:val="22"/>
        </w:rPr>
        <w:t>proteinurija</w:t>
      </w:r>
      <w:proofErr w:type="spellEnd"/>
      <w:r w:rsidRPr="004F572A">
        <w:rPr>
          <w:rFonts w:eastAsia="Calibri"/>
          <w:sz w:val="22"/>
          <w:szCs w:val="22"/>
        </w:rPr>
        <w:t xml:space="preserve"> </w:t>
      </w:r>
      <w:r w:rsidR="00232A53">
        <w:rPr>
          <w:rFonts w:eastAsia="Calibri"/>
          <w:sz w:val="22"/>
          <w:szCs w:val="22"/>
        </w:rPr>
        <w:t>buvo užregistruota</w:t>
      </w:r>
      <w:r w:rsidRPr="004F572A">
        <w:rPr>
          <w:rFonts w:eastAsia="Calibri"/>
          <w:sz w:val="22"/>
          <w:szCs w:val="22"/>
        </w:rPr>
        <w:t xml:space="preserve"> 26,3</w:t>
      </w:r>
      <w:r w:rsidR="00501958" w:rsidRPr="004F572A">
        <w:rPr>
          <w:rFonts w:eastAsia="Calibri"/>
          <w:sz w:val="22"/>
          <w:szCs w:val="22"/>
        </w:rPr>
        <w:t> </w:t>
      </w:r>
      <w:r w:rsidRPr="004F572A">
        <w:rPr>
          <w:rFonts w:eastAsia="Calibri"/>
          <w:sz w:val="22"/>
          <w:szCs w:val="22"/>
        </w:rPr>
        <w:t xml:space="preserve">% </w:t>
      </w:r>
      <w:proofErr w:type="spellStart"/>
      <w:r w:rsidRPr="004F572A">
        <w:rPr>
          <w:rFonts w:eastAsia="Calibri"/>
          <w:sz w:val="22"/>
          <w:szCs w:val="22"/>
        </w:rPr>
        <w:t>lenvatinibu</w:t>
      </w:r>
      <w:proofErr w:type="spellEnd"/>
      <w:r w:rsidRPr="004F572A">
        <w:rPr>
          <w:rFonts w:eastAsia="Calibri"/>
          <w:sz w:val="22"/>
          <w:szCs w:val="22"/>
        </w:rPr>
        <w:t xml:space="preserve"> gydytų pacientų</w:t>
      </w:r>
      <w:r w:rsidR="00232A53">
        <w:rPr>
          <w:rFonts w:eastAsia="Calibri"/>
          <w:sz w:val="22"/>
          <w:szCs w:val="22"/>
        </w:rPr>
        <w:t>, o</w:t>
      </w:r>
      <w:r w:rsidRPr="004F572A">
        <w:rPr>
          <w:rFonts w:eastAsia="Calibri"/>
          <w:sz w:val="22"/>
          <w:szCs w:val="22"/>
        </w:rPr>
        <w:t xml:space="preserve"> 3</w:t>
      </w:r>
      <w:r w:rsidR="00D53FC3">
        <w:rPr>
          <w:rFonts w:eastAsia="Calibri"/>
          <w:sz w:val="22"/>
          <w:szCs w:val="22"/>
        </w:rPr>
        <w:noBreakHyphen/>
      </w:r>
      <w:r w:rsidRPr="004F572A">
        <w:rPr>
          <w:rFonts w:eastAsia="Calibri"/>
          <w:sz w:val="22"/>
          <w:szCs w:val="22"/>
        </w:rPr>
        <w:t>ojo laipsnio reakcijos pasireiškė 5,9</w:t>
      </w:r>
      <w:r w:rsidR="00501958" w:rsidRPr="004F572A">
        <w:rPr>
          <w:rFonts w:eastAsia="Calibri"/>
          <w:sz w:val="22"/>
          <w:szCs w:val="22"/>
        </w:rPr>
        <w:t> </w:t>
      </w:r>
      <w:r w:rsidRPr="004F572A">
        <w:rPr>
          <w:rFonts w:eastAsia="Calibri"/>
          <w:sz w:val="22"/>
          <w:szCs w:val="22"/>
        </w:rPr>
        <w:t xml:space="preserve">% pacientų. Laiko mediana iki </w:t>
      </w:r>
      <w:r w:rsidR="00232A53">
        <w:rPr>
          <w:rFonts w:eastAsia="Calibri"/>
          <w:sz w:val="22"/>
          <w:szCs w:val="22"/>
        </w:rPr>
        <w:t xml:space="preserve">poveikio </w:t>
      </w:r>
      <w:r w:rsidRPr="004F572A">
        <w:rPr>
          <w:rFonts w:eastAsia="Calibri"/>
          <w:sz w:val="22"/>
          <w:szCs w:val="22"/>
        </w:rPr>
        <w:t xml:space="preserve">pasireiškimo buvo 6,1 savaičių. </w:t>
      </w:r>
      <w:r w:rsidR="00232A53">
        <w:rPr>
          <w:rFonts w:eastAsia="Calibri"/>
          <w:sz w:val="22"/>
          <w:szCs w:val="22"/>
        </w:rPr>
        <w:t>Daugumoje</w:t>
      </w:r>
      <w:r w:rsidR="00501958" w:rsidRPr="004F572A">
        <w:rPr>
          <w:rFonts w:eastAsia="Calibri"/>
          <w:sz w:val="22"/>
          <w:szCs w:val="22"/>
        </w:rPr>
        <w:t xml:space="preserve"> atvejų </w:t>
      </w:r>
      <w:r w:rsidR="00036DEC">
        <w:rPr>
          <w:rFonts w:eastAsia="Calibri"/>
          <w:sz w:val="22"/>
          <w:szCs w:val="22"/>
        </w:rPr>
        <w:t xml:space="preserve">poveikis praėjo sumažinus dozę ar sustabdžius vaistinio preparato </w:t>
      </w:r>
      <w:r w:rsidR="00501958" w:rsidRPr="004F572A">
        <w:rPr>
          <w:rFonts w:eastAsia="Calibri"/>
          <w:sz w:val="22"/>
          <w:szCs w:val="22"/>
        </w:rPr>
        <w:t>vartojimą</w:t>
      </w:r>
      <w:r w:rsidRPr="004F572A">
        <w:rPr>
          <w:rFonts w:eastAsia="Calibri"/>
          <w:sz w:val="22"/>
          <w:szCs w:val="22"/>
        </w:rPr>
        <w:t xml:space="preserve">, </w:t>
      </w:r>
      <w:r w:rsidR="00501958" w:rsidRPr="004F572A">
        <w:rPr>
          <w:rFonts w:eastAsia="Calibri"/>
          <w:sz w:val="22"/>
          <w:szCs w:val="22"/>
        </w:rPr>
        <w:t>atitinkamai</w:t>
      </w:r>
      <w:r w:rsidRPr="004F572A">
        <w:rPr>
          <w:rFonts w:eastAsia="Calibri"/>
          <w:sz w:val="22"/>
          <w:szCs w:val="22"/>
        </w:rPr>
        <w:t xml:space="preserve"> 6,9</w:t>
      </w:r>
      <w:r w:rsidR="00501958" w:rsidRPr="004F572A">
        <w:rPr>
          <w:rFonts w:eastAsia="Calibri"/>
          <w:sz w:val="22"/>
          <w:szCs w:val="22"/>
        </w:rPr>
        <w:t> </w:t>
      </w:r>
      <w:r w:rsidRPr="004F572A">
        <w:rPr>
          <w:rFonts w:eastAsia="Calibri"/>
          <w:sz w:val="22"/>
          <w:szCs w:val="22"/>
        </w:rPr>
        <w:t>% ir 2</w:t>
      </w:r>
      <w:r w:rsidR="00036DEC">
        <w:rPr>
          <w:rFonts w:eastAsia="Calibri"/>
          <w:sz w:val="22"/>
          <w:szCs w:val="22"/>
        </w:rPr>
        <w:t>,</w:t>
      </w:r>
      <w:r w:rsidRPr="004F572A">
        <w:rPr>
          <w:rFonts w:eastAsia="Calibri"/>
          <w:sz w:val="22"/>
          <w:szCs w:val="22"/>
        </w:rPr>
        <w:t>5</w:t>
      </w:r>
      <w:r w:rsidR="00501958" w:rsidRPr="004F572A">
        <w:rPr>
          <w:rFonts w:eastAsia="Calibri"/>
          <w:sz w:val="22"/>
          <w:szCs w:val="22"/>
        </w:rPr>
        <w:t> </w:t>
      </w:r>
      <w:r w:rsidRPr="004F572A">
        <w:rPr>
          <w:rFonts w:eastAsia="Calibri"/>
          <w:sz w:val="22"/>
          <w:szCs w:val="22"/>
        </w:rPr>
        <w:t xml:space="preserve">% pacientų. Dėl </w:t>
      </w:r>
      <w:proofErr w:type="spellStart"/>
      <w:r w:rsidRPr="004F572A">
        <w:rPr>
          <w:rFonts w:eastAsia="Calibri"/>
          <w:sz w:val="22"/>
          <w:szCs w:val="22"/>
        </w:rPr>
        <w:t>proteinurijos</w:t>
      </w:r>
      <w:proofErr w:type="spellEnd"/>
      <w:r w:rsidRPr="004F572A">
        <w:rPr>
          <w:rFonts w:eastAsia="Calibri"/>
          <w:sz w:val="22"/>
          <w:szCs w:val="22"/>
        </w:rPr>
        <w:t xml:space="preserve"> gydymą visam laikui nutraukė 0,6</w:t>
      </w:r>
      <w:r w:rsidR="00501958" w:rsidRPr="004F572A">
        <w:rPr>
          <w:rFonts w:eastAsia="Calibri"/>
          <w:sz w:val="22"/>
          <w:szCs w:val="22"/>
        </w:rPr>
        <w:t> </w:t>
      </w:r>
      <w:r w:rsidRPr="004F572A">
        <w:rPr>
          <w:rFonts w:eastAsia="Calibri"/>
          <w:sz w:val="22"/>
          <w:szCs w:val="22"/>
        </w:rPr>
        <w:t>% pacientų</w:t>
      </w:r>
      <w:r w:rsidR="00501958" w:rsidRPr="004F572A">
        <w:rPr>
          <w:rFonts w:eastAsia="Calibri"/>
          <w:sz w:val="22"/>
          <w:szCs w:val="22"/>
        </w:rPr>
        <w:t>.</w:t>
      </w:r>
    </w:p>
    <w:p w14:paraId="4571B06F" w14:textId="77777777" w:rsidR="008811A6" w:rsidRPr="004F572A" w:rsidRDefault="008811A6" w:rsidP="000928CA">
      <w:pPr>
        <w:widowControl w:val="0"/>
        <w:tabs>
          <w:tab w:val="clear" w:pos="567"/>
        </w:tabs>
        <w:rPr>
          <w:rFonts w:eastAsia="Calibri"/>
          <w:sz w:val="22"/>
          <w:szCs w:val="22"/>
        </w:rPr>
      </w:pPr>
    </w:p>
    <w:p w14:paraId="7C644F41" w14:textId="77777777" w:rsidR="00501958" w:rsidRPr="004F572A" w:rsidRDefault="00501958" w:rsidP="00501958">
      <w:pPr>
        <w:widowControl w:val="0"/>
        <w:tabs>
          <w:tab w:val="clear" w:pos="567"/>
        </w:tabs>
        <w:rPr>
          <w:rFonts w:eastAsia="Calibri"/>
          <w:i/>
          <w:iCs/>
          <w:sz w:val="22"/>
          <w:szCs w:val="22"/>
        </w:rPr>
      </w:pPr>
      <w:r w:rsidRPr="004F572A">
        <w:rPr>
          <w:rFonts w:eastAsia="Calibri"/>
          <w:i/>
          <w:iCs/>
          <w:sz w:val="22"/>
          <w:szCs w:val="22"/>
        </w:rPr>
        <w:t>EK</w:t>
      </w:r>
    </w:p>
    <w:p w14:paraId="00A7D9AB" w14:textId="77777777" w:rsidR="00501958" w:rsidRPr="004F572A" w:rsidRDefault="00501958" w:rsidP="00501958">
      <w:pPr>
        <w:widowControl w:val="0"/>
        <w:tabs>
          <w:tab w:val="clear" w:pos="567"/>
        </w:tabs>
        <w:rPr>
          <w:rFonts w:eastAsia="Calibri"/>
          <w:sz w:val="22"/>
          <w:szCs w:val="22"/>
        </w:rPr>
      </w:pPr>
    </w:p>
    <w:p w14:paraId="2F4167E7" w14:textId="6BC28A25" w:rsidR="00501958" w:rsidRPr="004F572A" w:rsidRDefault="00501958" w:rsidP="00501958">
      <w:pPr>
        <w:widowControl w:val="0"/>
        <w:tabs>
          <w:tab w:val="clear" w:pos="567"/>
        </w:tabs>
        <w:rPr>
          <w:rFonts w:eastAsia="Calibri"/>
          <w:sz w:val="22"/>
          <w:szCs w:val="22"/>
        </w:rPr>
      </w:pPr>
      <w:r w:rsidRPr="004F572A">
        <w:rPr>
          <w:rFonts w:eastAsia="Calibri"/>
          <w:sz w:val="22"/>
          <w:szCs w:val="22"/>
        </w:rPr>
        <w:t>3</w:t>
      </w:r>
      <w:r w:rsidR="00D53FC3">
        <w:rPr>
          <w:rFonts w:eastAsia="Calibri"/>
          <w:sz w:val="22"/>
          <w:szCs w:val="22"/>
        </w:rPr>
        <w:t> </w:t>
      </w:r>
      <w:r w:rsidRPr="004F572A">
        <w:rPr>
          <w:rFonts w:eastAsia="Calibri"/>
          <w:sz w:val="22"/>
          <w:szCs w:val="22"/>
        </w:rPr>
        <w:t>fazės 309 tyrim</w:t>
      </w:r>
      <w:r w:rsidR="00036DEC">
        <w:rPr>
          <w:rFonts w:eastAsia="Calibri"/>
          <w:sz w:val="22"/>
          <w:szCs w:val="22"/>
        </w:rPr>
        <w:t>e</w:t>
      </w:r>
      <w:r w:rsidRPr="004F572A">
        <w:rPr>
          <w:rFonts w:eastAsia="Calibri"/>
          <w:sz w:val="22"/>
          <w:szCs w:val="22"/>
        </w:rPr>
        <w:t xml:space="preserve"> (žr. 5.1 skyrių) </w:t>
      </w:r>
      <w:r w:rsidR="00036DEC">
        <w:rPr>
          <w:rFonts w:eastAsia="Calibri"/>
          <w:sz w:val="22"/>
          <w:szCs w:val="22"/>
        </w:rPr>
        <w:t xml:space="preserve">nustatyta </w:t>
      </w:r>
      <w:proofErr w:type="spellStart"/>
      <w:r w:rsidRPr="004F572A">
        <w:rPr>
          <w:rFonts w:eastAsia="Calibri"/>
          <w:sz w:val="22"/>
          <w:szCs w:val="22"/>
        </w:rPr>
        <w:t>proteinurija</w:t>
      </w:r>
      <w:proofErr w:type="spellEnd"/>
      <w:r w:rsidRPr="004F572A">
        <w:rPr>
          <w:rFonts w:eastAsia="Calibri"/>
          <w:sz w:val="22"/>
          <w:szCs w:val="22"/>
        </w:rPr>
        <w:t xml:space="preserve"> 29,6 % </w:t>
      </w:r>
      <w:proofErr w:type="spellStart"/>
      <w:r w:rsidRPr="004F572A">
        <w:rPr>
          <w:rFonts w:eastAsia="Calibri"/>
          <w:sz w:val="22"/>
          <w:szCs w:val="22"/>
        </w:rPr>
        <w:t>lenvatinibo</w:t>
      </w:r>
      <w:proofErr w:type="spellEnd"/>
      <w:r w:rsidRPr="004F572A">
        <w:rPr>
          <w:rFonts w:eastAsia="Calibri"/>
          <w:sz w:val="22"/>
          <w:szCs w:val="22"/>
        </w:rPr>
        <w:t xml:space="preserve"> ir </w:t>
      </w:r>
      <w:proofErr w:type="spellStart"/>
      <w:r w:rsidRPr="004F572A">
        <w:rPr>
          <w:rFonts w:eastAsia="Calibri"/>
          <w:sz w:val="22"/>
          <w:szCs w:val="22"/>
        </w:rPr>
        <w:t>pembrolizumabo</w:t>
      </w:r>
      <w:proofErr w:type="spellEnd"/>
      <w:r w:rsidRPr="004F572A">
        <w:rPr>
          <w:rFonts w:eastAsia="Calibri"/>
          <w:sz w:val="22"/>
          <w:szCs w:val="22"/>
        </w:rPr>
        <w:t xml:space="preserve"> deriniu gydytų pacientų</w:t>
      </w:r>
      <w:r w:rsidR="00036DEC">
        <w:rPr>
          <w:rFonts w:eastAsia="Calibri"/>
          <w:sz w:val="22"/>
          <w:szCs w:val="22"/>
        </w:rPr>
        <w:t>, o</w:t>
      </w:r>
      <w:r w:rsidRPr="004F572A">
        <w:rPr>
          <w:rFonts w:eastAsia="Calibri"/>
          <w:sz w:val="22"/>
          <w:szCs w:val="22"/>
        </w:rPr>
        <w:t xml:space="preserve"> ≥</w:t>
      </w:r>
      <w:r w:rsidR="00D53FC3">
        <w:rPr>
          <w:rFonts w:eastAsia="Calibri"/>
          <w:sz w:val="22"/>
          <w:szCs w:val="22"/>
        </w:rPr>
        <w:t> </w:t>
      </w:r>
      <w:r w:rsidRPr="004F572A">
        <w:rPr>
          <w:rFonts w:eastAsia="Calibri"/>
          <w:sz w:val="22"/>
          <w:szCs w:val="22"/>
        </w:rPr>
        <w:t>3</w:t>
      </w:r>
      <w:r w:rsidR="00D53FC3">
        <w:rPr>
          <w:rFonts w:eastAsia="Calibri"/>
          <w:sz w:val="22"/>
          <w:szCs w:val="22"/>
        </w:rPr>
        <w:t> </w:t>
      </w:r>
      <w:r w:rsidRPr="004F572A">
        <w:rPr>
          <w:rFonts w:eastAsia="Calibri"/>
          <w:sz w:val="22"/>
          <w:szCs w:val="22"/>
        </w:rPr>
        <w:t xml:space="preserve">laipsnio reakcijos pasireiškė 5,4 % pacientų. Vidutinis laikas iki pasireiškimo buvo 34,5 dienos. </w:t>
      </w:r>
      <w:proofErr w:type="spellStart"/>
      <w:r w:rsidR="00036DEC" w:rsidRPr="00036DEC">
        <w:rPr>
          <w:rFonts w:eastAsia="Calibri"/>
          <w:sz w:val="22"/>
          <w:szCs w:val="22"/>
        </w:rPr>
        <w:t>Lenvatinibo</w:t>
      </w:r>
      <w:proofErr w:type="spellEnd"/>
      <w:r w:rsidR="00036DEC" w:rsidRPr="00036DEC">
        <w:rPr>
          <w:rFonts w:eastAsia="Calibri"/>
          <w:sz w:val="22"/>
          <w:szCs w:val="22"/>
        </w:rPr>
        <w:t xml:space="preserve"> vartojimą laikinai sustabdė</w:t>
      </w:r>
      <w:r w:rsidRPr="004F572A">
        <w:rPr>
          <w:rFonts w:eastAsia="Calibri"/>
          <w:sz w:val="22"/>
          <w:szCs w:val="22"/>
        </w:rPr>
        <w:t xml:space="preserve">, sumažino ir </w:t>
      </w:r>
      <w:r w:rsidR="00C87CAC" w:rsidRPr="004F572A">
        <w:rPr>
          <w:rFonts w:eastAsia="Calibri"/>
          <w:sz w:val="22"/>
          <w:szCs w:val="22"/>
        </w:rPr>
        <w:t xml:space="preserve">nutraukė </w:t>
      </w:r>
      <w:r w:rsidR="00A65488" w:rsidRPr="004F572A">
        <w:rPr>
          <w:rFonts w:eastAsia="Calibri"/>
          <w:sz w:val="22"/>
          <w:szCs w:val="22"/>
        </w:rPr>
        <w:t xml:space="preserve">atitinkamai </w:t>
      </w:r>
      <w:r w:rsidRPr="004F572A">
        <w:rPr>
          <w:rFonts w:eastAsia="Calibri"/>
          <w:sz w:val="22"/>
          <w:szCs w:val="22"/>
        </w:rPr>
        <w:t>6,2</w:t>
      </w:r>
      <w:r w:rsidR="00C87CAC" w:rsidRPr="004F572A">
        <w:rPr>
          <w:rFonts w:eastAsia="Calibri"/>
          <w:sz w:val="22"/>
          <w:szCs w:val="22"/>
        </w:rPr>
        <w:t> </w:t>
      </w:r>
      <w:r w:rsidRPr="004F572A">
        <w:rPr>
          <w:rFonts w:eastAsia="Calibri"/>
          <w:sz w:val="22"/>
          <w:szCs w:val="22"/>
        </w:rPr>
        <w:t>%, 7,9</w:t>
      </w:r>
      <w:r w:rsidR="00C87CAC" w:rsidRPr="004F572A">
        <w:rPr>
          <w:rFonts w:eastAsia="Calibri"/>
          <w:sz w:val="22"/>
          <w:szCs w:val="22"/>
        </w:rPr>
        <w:t> </w:t>
      </w:r>
      <w:r w:rsidRPr="004F572A">
        <w:rPr>
          <w:rFonts w:eastAsia="Calibri"/>
          <w:sz w:val="22"/>
          <w:szCs w:val="22"/>
        </w:rPr>
        <w:t>% ir 1,2</w:t>
      </w:r>
      <w:r w:rsidR="00C87CAC" w:rsidRPr="004F572A">
        <w:rPr>
          <w:rFonts w:eastAsia="Calibri"/>
          <w:sz w:val="22"/>
          <w:szCs w:val="22"/>
        </w:rPr>
        <w:t> </w:t>
      </w:r>
      <w:r w:rsidRPr="004F572A">
        <w:rPr>
          <w:rFonts w:eastAsia="Calibri"/>
          <w:sz w:val="22"/>
          <w:szCs w:val="22"/>
        </w:rPr>
        <w:t>% pacientų.</w:t>
      </w:r>
    </w:p>
    <w:p w14:paraId="600C107F" w14:textId="77777777" w:rsidR="00C87CAC" w:rsidRPr="004F572A" w:rsidRDefault="00C87CAC" w:rsidP="00501958">
      <w:pPr>
        <w:widowControl w:val="0"/>
        <w:tabs>
          <w:tab w:val="clear" w:pos="567"/>
        </w:tabs>
        <w:rPr>
          <w:rFonts w:eastAsia="Calibri"/>
          <w:i/>
          <w:iCs/>
          <w:sz w:val="22"/>
          <w:szCs w:val="22"/>
        </w:rPr>
      </w:pPr>
    </w:p>
    <w:p w14:paraId="197B8368" w14:textId="7BD54C6A" w:rsidR="008811A6" w:rsidRPr="004F572A" w:rsidRDefault="00501958" w:rsidP="00501958">
      <w:pPr>
        <w:widowControl w:val="0"/>
        <w:tabs>
          <w:tab w:val="clear" w:pos="567"/>
        </w:tabs>
        <w:rPr>
          <w:rFonts w:eastAsia="Calibri"/>
          <w:sz w:val="22"/>
          <w:szCs w:val="22"/>
          <w:u w:val="single"/>
        </w:rPr>
      </w:pPr>
      <w:r w:rsidRPr="004F572A">
        <w:rPr>
          <w:rFonts w:eastAsia="Calibri"/>
          <w:i/>
          <w:iCs/>
          <w:sz w:val="22"/>
          <w:szCs w:val="22"/>
          <w:u w:val="single"/>
        </w:rPr>
        <w:t>Inkstų nepakankamumas ir funkcijos sutrikimas (žr. 4.4 skyrių)</w:t>
      </w:r>
    </w:p>
    <w:p w14:paraId="19DAC800" w14:textId="77777777" w:rsidR="008811A6" w:rsidRPr="004F572A" w:rsidRDefault="008811A6" w:rsidP="000928CA">
      <w:pPr>
        <w:widowControl w:val="0"/>
        <w:tabs>
          <w:tab w:val="clear" w:pos="567"/>
        </w:tabs>
        <w:rPr>
          <w:rFonts w:eastAsia="Calibri"/>
          <w:sz w:val="22"/>
          <w:szCs w:val="22"/>
        </w:rPr>
      </w:pPr>
    </w:p>
    <w:p w14:paraId="2CA432B5" w14:textId="77777777" w:rsidR="00D77552" w:rsidRPr="004F572A" w:rsidRDefault="00D77552" w:rsidP="00D77552">
      <w:pPr>
        <w:widowControl w:val="0"/>
        <w:tabs>
          <w:tab w:val="clear" w:pos="567"/>
        </w:tabs>
        <w:rPr>
          <w:rFonts w:eastAsia="Calibri"/>
          <w:i/>
          <w:iCs/>
          <w:sz w:val="22"/>
          <w:szCs w:val="22"/>
        </w:rPr>
      </w:pPr>
      <w:r w:rsidRPr="004F572A">
        <w:rPr>
          <w:rFonts w:eastAsia="Calibri"/>
          <w:i/>
          <w:iCs/>
          <w:sz w:val="22"/>
          <w:szCs w:val="22"/>
        </w:rPr>
        <w:t>DSK</w:t>
      </w:r>
    </w:p>
    <w:p w14:paraId="542354C3" w14:textId="77777777" w:rsidR="00D77552" w:rsidRPr="004F572A" w:rsidRDefault="00D77552" w:rsidP="00D77552">
      <w:pPr>
        <w:widowControl w:val="0"/>
        <w:tabs>
          <w:tab w:val="clear" w:pos="567"/>
        </w:tabs>
        <w:rPr>
          <w:rFonts w:eastAsia="Calibri"/>
          <w:sz w:val="22"/>
          <w:szCs w:val="22"/>
        </w:rPr>
      </w:pPr>
    </w:p>
    <w:p w14:paraId="323A09BE" w14:textId="725387CE" w:rsidR="00D77552" w:rsidRPr="004F572A" w:rsidRDefault="00D77552" w:rsidP="00D77552">
      <w:pPr>
        <w:widowControl w:val="0"/>
        <w:tabs>
          <w:tab w:val="clear" w:pos="567"/>
        </w:tabs>
        <w:rPr>
          <w:rFonts w:eastAsia="Calibri"/>
          <w:sz w:val="22"/>
          <w:szCs w:val="22"/>
        </w:rPr>
      </w:pPr>
      <w:r w:rsidRPr="004F572A">
        <w:rPr>
          <w:rFonts w:eastAsia="Calibri"/>
          <w:sz w:val="22"/>
          <w:szCs w:val="22"/>
        </w:rPr>
        <w:t>Pagrindinio 3</w:t>
      </w:r>
      <w:r w:rsidR="00D53FC3">
        <w:rPr>
          <w:rFonts w:eastAsia="Calibri"/>
          <w:sz w:val="22"/>
          <w:szCs w:val="22"/>
        </w:rPr>
        <w:t> </w:t>
      </w:r>
      <w:r w:rsidRPr="004F572A">
        <w:rPr>
          <w:rFonts w:eastAsia="Calibri"/>
          <w:sz w:val="22"/>
          <w:szCs w:val="22"/>
        </w:rPr>
        <w:t>fazės tyrimo SELECT</w:t>
      </w:r>
      <w:r w:rsidR="00036DEC">
        <w:rPr>
          <w:rFonts w:eastAsia="Calibri"/>
          <w:sz w:val="22"/>
          <w:szCs w:val="22"/>
        </w:rPr>
        <w:t xml:space="preserve"> metu </w:t>
      </w:r>
      <w:r w:rsidRPr="004F572A">
        <w:rPr>
          <w:rFonts w:eastAsia="Calibri"/>
          <w:sz w:val="22"/>
          <w:szCs w:val="22"/>
        </w:rPr>
        <w:t>(žr. 5.1 skyrių) 5,0 % pacientų pasireiškė inkstų nepakankamumas ir 1,9 % pasireiškė inkstų funkcijos sutrikimas (3,1</w:t>
      </w:r>
      <w:r w:rsidR="00D53FC3">
        <w:rPr>
          <w:rFonts w:eastAsia="Calibri"/>
          <w:sz w:val="22"/>
          <w:szCs w:val="22"/>
        </w:rPr>
        <w:t> </w:t>
      </w:r>
      <w:r w:rsidRPr="004F572A">
        <w:rPr>
          <w:rFonts w:eastAsia="Calibri"/>
          <w:sz w:val="22"/>
          <w:szCs w:val="22"/>
        </w:rPr>
        <w:t>% pacientų nustatytas ≥ 3</w:t>
      </w:r>
      <w:r w:rsidR="00D53FC3">
        <w:rPr>
          <w:rFonts w:eastAsia="Calibri"/>
          <w:sz w:val="22"/>
          <w:szCs w:val="22"/>
        </w:rPr>
        <w:t> </w:t>
      </w:r>
      <w:r w:rsidRPr="004F572A">
        <w:rPr>
          <w:rFonts w:eastAsia="Calibri"/>
          <w:sz w:val="22"/>
          <w:szCs w:val="22"/>
        </w:rPr>
        <w:t>laipsnio inkstų nepakankamumo arba funkcijos sutrikimo reiškinys). Placebo grupėje 0,8 % pacientų pasireiškė inkstų nepakankamumas arba funkcijos sutrikimas (0,8 % buvo ≥ 3</w:t>
      </w:r>
      <w:r w:rsidR="00D53FC3">
        <w:rPr>
          <w:rFonts w:eastAsia="Calibri"/>
          <w:sz w:val="22"/>
          <w:szCs w:val="22"/>
        </w:rPr>
        <w:t> </w:t>
      </w:r>
      <w:r w:rsidRPr="004F572A">
        <w:rPr>
          <w:rFonts w:eastAsia="Calibri"/>
          <w:sz w:val="22"/>
          <w:szCs w:val="22"/>
        </w:rPr>
        <w:t>laipsnio).</w:t>
      </w:r>
    </w:p>
    <w:p w14:paraId="664813A8" w14:textId="77777777" w:rsidR="00D77552" w:rsidRPr="004F572A" w:rsidRDefault="00D77552" w:rsidP="00D77552">
      <w:pPr>
        <w:widowControl w:val="0"/>
        <w:tabs>
          <w:tab w:val="clear" w:pos="567"/>
        </w:tabs>
        <w:rPr>
          <w:rFonts w:eastAsia="Calibri"/>
          <w:i/>
          <w:iCs/>
          <w:sz w:val="22"/>
          <w:szCs w:val="22"/>
        </w:rPr>
      </w:pPr>
    </w:p>
    <w:p w14:paraId="77949C81" w14:textId="2162CC65" w:rsidR="00D77552" w:rsidRPr="004F572A" w:rsidRDefault="00D77552" w:rsidP="00D77552">
      <w:pPr>
        <w:widowControl w:val="0"/>
        <w:tabs>
          <w:tab w:val="clear" w:pos="567"/>
        </w:tabs>
        <w:rPr>
          <w:rFonts w:eastAsia="Calibri"/>
          <w:i/>
          <w:iCs/>
          <w:sz w:val="22"/>
          <w:szCs w:val="22"/>
        </w:rPr>
      </w:pPr>
      <w:r w:rsidRPr="004F572A">
        <w:rPr>
          <w:rFonts w:eastAsia="Calibri"/>
          <w:i/>
          <w:iCs/>
          <w:sz w:val="22"/>
          <w:szCs w:val="22"/>
        </w:rPr>
        <w:t>HCK</w:t>
      </w:r>
    </w:p>
    <w:p w14:paraId="09385EBF" w14:textId="77777777" w:rsidR="00D77552" w:rsidRPr="004F572A" w:rsidRDefault="00D77552" w:rsidP="00D77552">
      <w:pPr>
        <w:widowControl w:val="0"/>
        <w:tabs>
          <w:tab w:val="clear" w:pos="567"/>
        </w:tabs>
        <w:rPr>
          <w:rFonts w:eastAsia="Calibri"/>
          <w:i/>
          <w:iCs/>
          <w:sz w:val="22"/>
          <w:szCs w:val="22"/>
        </w:rPr>
      </w:pPr>
    </w:p>
    <w:p w14:paraId="1B4502F1" w14:textId="0F65AC86" w:rsidR="00D77552" w:rsidRPr="004F572A" w:rsidRDefault="00D77552" w:rsidP="00D77552">
      <w:pPr>
        <w:widowControl w:val="0"/>
        <w:tabs>
          <w:tab w:val="clear" w:pos="567"/>
        </w:tabs>
        <w:rPr>
          <w:rFonts w:eastAsia="Calibri"/>
          <w:sz w:val="22"/>
          <w:szCs w:val="22"/>
        </w:rPr>
      </w:pPr>
      <w:r w:rsidRPr="004F572A">
        <w:rPr>
          <w:rFonts w:eastAsia="Calibri"/>
          <w:sz w:val="22"/>
          <w:szCs w:val="22"/>
        </w:rPr>
        <w:t>3</w:t>
      </w:r>
      <w:r w:rsidR="00D53FC3">
        <w:rPr>
          <w:rFonts w:eastAsia="Calibri"/>
          <w:sz w:val="22"/>
          <w:szCs w:val="22"/>
        </w:rPr>
        <w:t> </w:t>
      </w:r>
      <w:r w:rsidRPr="004F572A">
        <w:rPr>
          <w:rFonts w:eastAsia="Calibri"/>
          <w:sz w:val="22"/>
          <w:szCs w:val="22"/>
        </w:rPr>
        <w:t>fazės REFLECT tyrim</w:t>
      </w:r>
      <w:r w:rsidR="00036DEC">
        <w:rPr>
          <w:rFonts w:eastAsia="Calibri"/>
          <w:sz w:val="22"/>
          <w:szCs w:val="22"/>
        </w:rPr>
        <w:t>e</w:t>
      </w:r>
      <w:r w:rsidRPr="004F572A">
        <w:rPr>
          <w:rFonts w:eastAsia="Calibri"/>
          <w:sz w:val="22"/>
          <w:szCs w:val="22"/>
        </w:rPr>
        <w:t xml:space="preserve"> (žr. 5.1 skyrių) inkstų funkcijos sutrikimo / nepakankamumo </w:t>
      </w:r>
      <w:r w:rsidR="00036DEC" w:rsidRPr="00036DEC">
        <w:rPr>
          <w:rFonts w:eastAsia="Calibri"/>
          <w:sz w:val="22"/>
          <w:szCs w:val="22"/>
        </w:rPr>
        <w:t>epizodai buvo užregistruoti</w:t>
      </w:r>
      <w:r w:rsidR="00036DEC">
        <w:rPr>
          <w:rFonts w:eastAsia="Calibri"/>
          <w:sz w:val="22"/>
          <w:szCs w:val="22"/>
        </w:rPr>
        <w:t xml:space="preserve"> 7</w:t>
      </w:r>
      <w:r w:rsidR="00036DEC" w:rsidRPr="004F572A">
        <w:rPr>
          <w:rFonts w:eastAsia="Calibri"/>
          <w:sz w:val="22"/>
          <w:szCs w:val="22"/>
        </w:rPr>
        <w:t xml:space="preserve">,1 % </w:t>
      </w:r>
      <w:proofErr w:type="spellStart"/>
      <w:r w:rsidR="00036DEC" w:rsidRPr="004F572A">
        <w:rPr>
          <w:rFonts w:eastAsia="Calibri"/>
          <w:sz w:val="22"/>
          <w:szCs w:val="22"/>
        </w:rPr>
        <w:t>lenvatinibu</w:t>
      </w:r>
      <w:proofErr w:type="spellEnd"/>
      <w:r w:rsidR="00036DEC" w:rsidRPr="004F572A">
        <w:rPr>
          <w:rFonts w:eastAsia="Calibri"/>
          <w:sz w:val="22"/>
          <w:szCs w:val="22"/>
        </w:rPr>
        <w:t xml:space="preserve"> gydytų pacientų </w:t>
      </w:r>
      <w:r w:rsidR="00036DEC">
        <w:rPr>
          <w:rFonts w:eastAsia="Calibri"/>
          <w:sz w:val="22"/>
          <w:szCs w:val="22"/>
        </w:rPr>
        <w:t xml:space="preserve">, o </w:t>
      </w:r>
      <w:r w:rsidRPr="004F572A">
        <w:rPr>
          <w:rFonts w:eastAsia="Calibri"/>
          <w:sz w:val="22"/>
          <w:szCs w:val="22"/>
        </w:rPr>
        <w:t>3</w:t>
      </w:r>
      <w:r w:rsidR="00D53FC3">
        <w:rPr>
          <w:rFonts w:eastAsia="Calibri"/>
          <w:sz w:val="22"/>
          <w:szCs w:val="22"/>
        </w:rPr>
        <w:noBreakHyphen/>
      </w:r>
      <w:r w:rsidRPr="004F572A">
        <w:rPr>
          <w:rFonts w:eastAsia="Calibri"/>
          <w:sz w:val="22"/>
          <w:szCs w:val="22"/>
        </w:rPr>
        <w:t xml:space="preserve">ojo ar didesnio laipsnio reakcijos pasireiškė 1,9 % </w:t>
      </w:r>
      <w:proofErr w:type="spellStart"/>
      <w:r w:rsidRPr="004F572A">
        <w:rPr>
          <w:rFonts w:eastAsia="Calibri"/>
          <w:sz w:val="22"/>
          <w:szCs w:val="22"/>
        </w:rPr>
        <w:t>lenvatinibu</w:t>
      </w:r>
      <w:proofErr w:type="spellEnd"/>
      <w:r w:rsidRPr="004F572A">
        <w:rPr>
          <w:rFonts w:eastAsia="Calibri"/>
          <w:sz w:val="22"/>
          <w:szCs w:val="22"/>
        </w:rPr>
        <w:t xml:space="preserve"> gydytų pacientų.</w:t>
      </w:r>
    </w:p>
    <w:p w14:paraId="03F9B797" w14:textId="77777777" w:rsidR="00D77552" w:rsidRPr="004F572A" w:rsidRDefault="00D77552" w:rsidP="00D77552">
      <w:pPr>
        <w:widowControl w:val="0"/>
        <w:tabs>
          <w:tab w:val="clear" w:pos="567"/>
        </w:tabs>
        <w:rPr>
          <w:rFonts w:eastAsia="Calibri"/>
          <w:i/>
          <w:iCs/>
          <w:sz w:val="22"/>
          <w:szCs w:val="22"/>
        </w:rPr>
      </w:pPr>
    </w:p>
    <w:p w14:paraId="418E979D" w14:textId="0957AFA3" w:rsidR="00D77552" w:rsidRPr="004F572A" w:rsidRDefault="00D77552" w:rsidP="00D77552">
      <w:pPr>
        <w:widowControl w:val="0"/>
        <w:tabs>
          <w:tab w:val="clear" w:pos="567"/>
        </w:tabs>
        <w:rPr>
          <w:rFonts w:eastAsia="Calibri"/>
          <w:i/>
          <w:iCs/>
          <w:sz w:val="22"/>
          <w:szCs w:val="22"/>
        </w:rPr>
      </w:pPr>
      <w:r w:rsidRPr="004F572A">
        <w:rPr>
          <w:rFonts w:eastAsia="Calibri"/>
          <w:i/>
          <w:iCs/>
          <w:sz w:val="22"/>
          <w:szCs w:val="22"/>
        </w:rPr>
        <w:t>EK</w:t>
      </w:r>
    </w:p>
    <w:p w14:paraId="3AE8D229" w14:textId="77777777" w:rsidR="00D77552" w:rsidRPr="004F572A" w:rsidRDefault="00D77552" w:rsidP="00D77552">
      <w:pPr>
        <w:widowControl w:val="0"/>
        <w:tabs>
          <w:tab w:val="clear" w:pos="567"/>
        </w:tabs>
        <w:rPr>
          <w:rFonts w:eastAsia="Calibri"/>
          <w:i/>
          <w:iCs/>
          <w:sz w:val="22"/>
          <w:szCs w:val="22"/>
        </w:rPr>
      </w:pPr>
    </w:p>
    <w:p w14:paraId="5C21C477" w14:textId="336E99EF" w:rsidR="008811A6" w:rsidRPr="004F572A" w:rsidRDefault="00D77552" w:rsidP="00D77552">
      <w:pPr>
        <w:widowControl w:val="0"/>
        <w:tabs>
          <w:tab w:val="clear" w:pos="567"/>
        </w:tabs>
        <w:rPr>
          <w:rFonts w:eastAsia="Calibri"/>
          <w:sz w:val="22"/>
          <w:szCs w:val="22"/>
        </w:rPr>
      </w:pPr>
      <w:r w:rsidRPr="004F572A">
        <w:rPr>
          <w:rFonts w:eastAsia="Calibri"/>
          <w:sz w:val="22"/>
          <w:szCs w:val="22"/>
        </w:rPr>
        <w:t>3</w:t>
      </w:r>
      <w:r w:rsidR="00D53FC3">
        <w:rPr>
          <w:rFonts w:eastAsia="Calibri"/>
          <w:sz w:val="22"/>
          <w:szCs w:val="22"/>
        </w:rPr>
        <w:t> </w:t>
      </w:r>
      <w:r w:rsidRPr="004F572A">
        <w:rPr>
          <w:rFonts w:eastAsia="Calibri"/>
          <w:sz w:val="22"/>
          <w:szCs w:val="22"/>
        </w:rPr>
        <w:t>fazės 309 tyrim</w:t>
      </w:r>
      <w:r w:rsidR="00036DEC">
        <w:rPr>
          <w:rFonts w:eastAsia="Calibri"/>
          <w:sz w:val="22"/>
          <w:szCs w:val="22"/>
        </w:rPr>
        <w:t>e</w:t>
      </w:r>
      <w:r w:rsidRPr="004F572A">
        <w:rPr>
          <w:rFonts w:eastAsia="Calibri"/>
          <w:sz w:val="22"/>
          <w:szCs w:val="22"/>
        </w:rPr>
        <w:t xml:space="preserve"> (žr. 5.1 skyrių) 18,2% </w:t>
      </w:r>
      <w:proofErr w:type="spellStart"/>
      <w:r w:rsidRPr="004F572A">
        <w:rPr>
          <w:rFonts w:eastAsia="Calibri"/>
          <w:sz w:val="22"/>
          <w:szCs w:val="22"/>
        </w:rPr>
        <w:t>lenvatinibo</w:t>
      </w:r>
      <w:proofErr w:type="spellEnd"/>
      <w:r w:rsidRPr="004F572A">
        <w:rPr>
          <w:rFonts w:eastAsia="Calibri"/>
          <w:sz w:val="22"/>
          <w:szCs w:val="22"/>
        </w:rPr>
        <w:t xml:space="preserve"> ir </w:t>
      </w:r>
      <w:proofErr w:type="spellStart"/>
      <w:r w:rsidRPr="004F572A">
        <w:rPr>
          <w:rFonts w:eastAsia="Calibri"/>
          <w:sz w:val="22"/>
          <w:szCs w:val="22"/>
        </w:rPr>
        <w:t>pembrolizumabo</w:t>
      </w:r>
      <w:proofErr w:type="spellEnd"/>
      <w:r w:rsidRPr="004F572A">
        <w:rPr>
          <w:rFonts w:eastAsia="Calibri"/>
          <w:sz w:val="22"/>
          <w:szCs w:val="22"/>
        </w:rPr>
        <w:t xml:space="preserve"> deriniu gydytų pacientų </w:t>
      </w:r>
      <w:r w:rsidR="00036DEC">
        <w:rPr>
          <w:rFonts w:eastAsia="Calibri"/>
          <w:sz w:val="22"/>
          <w:szCs w:val="22"/>
        </w:rPr>
        <w:t>pasireiškė</w:t>
      </w:r>
      <w:r w:rsidR="00036DEC" w:rsidRPr="004F572A">
        <w:rPr>
          <w:rFonts w:eastAsia="Calibri"/>
          <w:sz w:val="22"/>
          <w:szCs w:val="22"/>
        </w:rPr>
        <w:t xml:space="preserve"> </w:t>
      </w:r>
      <w:r w:rsidRPr="004F572A">
        <w:rPr>
          <w:rFonts w:eastAsia="Calibri"/>
          <w:sz w:val="22"/>
          <w:szCs w:val="22"/>
        </w:rPr>
        <w:t>inkstų nepakankamum</w:t>
      </w:r>
      <w:r w:rsidR="00036DEC">
        <w:rPr>
          <w:rFonts w:eastAsia="Calibri"/>
          <w:sz w:val="22"/>
          <w:szCs w:val="22"/>
        </w:rPr>
        <w:t>as</w:t>
      </w:r>
      <w:r w:rsidR="00080C68" w:rsidRPr="004F572A">
        <w:rPr>
          <w:rFonts w:eastAsia="Calibri"/>
          <w:sz w:val="22"/>
          <w:szCs w:val="22"/>
        </w:rPr>
        <w:t xml:space="preserve"> </w:t>
      </w:r>
      <w:r w:rsidRPr="004F572A">
        <w:rPr>
          <w:rFonts w:eastAsia="Calibri"/>
          <w:sz w:val="22"/>
          <w:szCs w:val="22"/>
        </w:rPr>
        <w:t>/</w:t>
      </w:r>
      <w:r w:rsidR="00080C68" w:rsidRPr="004F572A">
        <w:rPr>
          <w:rFonts w:eastAsia="Calibri"/>
          <w:sz w:val="22"/>
          <w:szCs w:val="22"/>
        </w:rPr>
        <w:t xml:space="preserve"> sutrikim</w:t>
      </w:r>
      <w:r w:rsidR="00036DEC">
        <w:rPr>
          <w:rFonts w:eastAsia="Calibri"/>
          <w:sz w:val="22"/>
          <w:szCs w:val="22"/>
        </w:rPr>
        <w:t>as</w:t>
      </w:r>
      <w:r w:rsidRPr="004F572A">
        <w:rPr>
          <w:rFonts w:eastAsia="Calibri"/>
          <w:sz w:val="22"/>
          <w:szCs w:val="22"/>
        </w:rPr>
        <w:t>. ≥</w:t>
      </w:r>
      <w:r w:rsidR="00D53FC3">
        <w:rPr>
          <w:rFonts w:eastAsia="Calibri"/>
          <w:sz w:val="22"/>
          <w:szCs w:val="22"/>
        </w:rPr>
        <w:t> </w:t>
      </w:r>
      <w:r w:rsidRPr="004F572A">
        <w:rPr>
          <w:rFonts w:eastAsia="Calibri"/>
          <w:sz w:val="22"/>
          <w:szCs w:val="22"/>
        </w:rPr>
        <w:t>3</w:t>
      </w:r>
      <w:r w:rsidR="00D53FC3">
        <w:rPr>
          <w:rFonts w:eastAsia="Calibri"/>
          <w:sz w:val="22"/>
          <w:szCs w:val="22"/>
        </w:rPr>
        <w:t> </w:t>
      </w:r>
      <w:r w:rsidRPr="004F572A">
        <w:rPr>
          <w:rFonts w:eastAsia="Calibri"/>
          <w:sz w:val="22"/>
          <w:szCs w:val="22"/>
        </w:rPr>
        <w:t>laipsnio reakcijos pasireiškė 4,2</w:t>
      </w:r>
      <w:r w:rsidR="00080C68" w:rsidRPr="004F572A">
        <w:rPr>
          <w:rFonts w:eastAsia="Calibri"/>
          <w:sz w:val="22"/>
          <w:szCs w:val="22"/>
        </w:rPr>
        <w:t> </w:t>
      </w:r>
      <w:r w:rsidRPr="004F572A">
        <w:rPr>
          <w:rFonts w:eastAsia="Calibri"/>
          <w:sz w:val="22"/>
          <w:szCs w:val="22"/>
        </w:rPr>
        <w:t>% pacientų. Vidutinis laikas iki</w:t>
      </w:r>
      <w:r w:rsidR="00080C68" w:rsidRPr="004F572A">
        <w:rPr>
          <w:rFonts w:eastAsia="Calibri"/>
          <w:sz w:val="22"/>
          <w:szCs w:val="22"/>
        </w:rPr>
        <w:t xml:space="preserve"> </w:t>
      </w:r>
      <w:r w:rsidRPr="004F572A">
        <w:rPr>
          <w:rFonts w:eastAsia="Calibri"/>
          <w:sz w:val="22"/>
          <w:szCs w:val="22"/>
        </w:rPr>
        <w:t>pasireiškimo buvo 86,0</w:t>
      </w:r>
      <w:r w:rsidR="00D53FC3">
        <w:rPr>
          <w:rFonts w:eastAsia="Calibri"/>
          <w:sz w:val="22"/>
          <w:szCs w:val="22"/>
        </w:rPr>
        <w:t> </w:t>
      </w:r>
      <w:r w:rsidRPr="004F572A">
        <w:rPr>
          <w:rFonts w:eastAsia="Calibri"/>
          <w:sz w:val="22"/>
          <w:szCs w:val="22"/>
        </w:rPr>
        <w:t xml:space="preserve">dienos. </w:t>
      </w:r>
      <w:proofErr w:type="spellStart"/>
      <w:r w:rsidR="00036DEC" w:rsidRPr="00036DEC">
        <w:rPr>
          <w:rFonts w:eastAsia="Calibri"/>
          <w:sz w:val="22"/>
          <w:szCs w:val="22"/>
        </w:rPr>
        <w:t>Lenvatinibo</w:t>
      </w:r>
      <w:proofErr w:type="spellEnd"/>
      <w:r w:rsidR="00036DEC" w:rsidRPr="00036DEC">
        <w:rPr>
          <w:rFonts w:eastAsia="Calibri"/>
          <w:sz w:val="22"/>
          <w:szCs w:val="22"/>
        </w:rPr>
        <w:t xml:space="preserve"> vartojimą nutraukė</w:t>
      </w:r>
      <w:r w:rsidR="00080C68" w:rsidRPr="004F572A">
        <w:rPr>
          <w:rFonts w:eastAsia="Calibri"/>
          <w:sz w:val="22"/>
          <w:szCs w:val="22"/>
        </w:rPr>
        <w:t xml:space="preserve">, sumažino ir nutraukė </w:t>
      </w:r>
      <w:r w:rsidRPr="004F572A">
        <w:rPr>
          <w:rFonts w:eastAsia="Calibri"/>
          <w:sz w:val="22"/>
          <w:szCs w:val="22"/>
        </w:rPr>
        <w:t>atitinkamai 3,0</w:t>
      </w:r>
      <w:r w:rsidR="00080C68" w:rsidRPr="004F572A">
        <w:rPr>
          <w:rFonts w:eastAsia="Calibri"/>
          <w:sz w:val="22"/>
          <w:szCs w:val="22"/>
        </w:rPr>
        <w:t> </w:t>
      </w:r>
      <w:r w:rsidRPr="004F572A">
        <w:rPr>
          <w:rFonts w:eastAsia="Calibri"/>
          <w:sz w:val="22"/>
          <w:szCs w:val="22"/>
        </w:rPr>
        <w:t>%, 1,7</w:t>
      </w:r>
      <w:r w:rsidR="00080C68" w:rsidRPr="004F572A">
        <w:rPr>
          <w:rFonts w:eastAsia="Calibri"/>
          <w:sz w:val="22"/>
          <w:szCs w:val="22"/>
        </w:rPr>
        <w:t> </w:t>
      </w:r>
      <w:r w:rsidRPr="004F572A">
        <w:rPr>
          <w:rFonts w:eastAsia="Calibri"/>
          <w:sz w:val="22"/>
          <w:szCs w:val="22"/>
        </w:rPr>
        <w:t>% ir 1,2</w:t>
      </w:r>
      <w:r w:rsidR="00080C68" w:rsidRPr="004F572A">
        <w:rPr>
          <w:rFonts w:eastAsia="Calibri"/>
          <w:sz w:val="22"/>
          <w:szCs w:val="22"/>
        </w:rPr>
        <w:t> </w:t>
      </w:r>
      <w:r w:rsidRPr="004F572A">
        <w:rPr>
          <w:rFonts w:eastAsia="Calibri"/>
          <w:sz w:val="22"/>
          <w:szCs w:val="22"/>
        </w:rPr>
        <w:t>% pacientų.</w:t>
      </w:r>
    </w:p>
    <w:p w14:paraId="04B92BF4" w14:textId="77777777" w:rsidR="008811A6" w:rsidRPr="004F572A" w:rsidRDefault="008811A6" w:rsidP="000928CA">
      <w:pPr>
        <w:widowControl w:val="0"/>
        <w:tabs>
          <w:tab w:val="clear" w:pos="567"/>
        </w:tabs>
        <w:rPr>
          <w:rFonts w:eastAsia="Calibri"/>
          <w:sz w:val="22"/>
          <w:szCs w:val="22"/>
        </w:rPr>
      </w:pPr>
    </w:p>
    <w:p w14:paraId="40742E16" w14:textId="351430D4" w:rsidR="00080C68" w:rsidRPr="004F572A" w:rsidRDefault="00080C68" w:rsidP="00080C68">
      <w:pPr>
        <w:widowControl w:val="0"/>
        <w:tabs>
          <w:tab w:val="clear" w:pos="567"/>
        </w:tabs>
        <w:rPr>
          <w:rFonts w:eastAsia="Calibri"/>
          <w:i/>
          <w:iCs/>
          <w:sz w:val="22"/>
          <w:szCs w:val="22"/>
        </w:rPr>
      </w:pPr>
      <w:r w:rsidRPr="004F572A">
        <w:rPr>
          <w:rFonts w:eastAsia="Calibri"/>
          <w:i/>
          <w:iCs/>
          <w:sz w:val="22"/>
          <w:szCs w:val="22"/>
          <w:u w:val="single"/>
        </w:rPr>
        <w:t xml:space="preserve">Širdies </w:t>
      </w:r>
      <w:r w:rsidR="00036DEC">
        <w:rPr>
          <w:rFonts w:eastAsia="Calibri"/>
          <w:i/>
          <w:iCs/>
          <w:sz w:val="22"/>
          <w:szCs w:val="22"/>
          <w:u w:val="single"/>
        </w:rPr>
        <w:t>dis</w:t>
      </w:r>
      <w:r w:rsidRPr="004F572A">
        <w:rPr>
          <w:rFonts w:eastAsia="Calibri"/>
          <w:i/>
          <w:iCs/>
          <w:sz w:val="22"/>
          <w:szCs w:val="22"/>
          <w:u w:val="single"/>
        </w:rPr>
        <w:t>funkcij</w:t>
      </w:r>
      <w:r w:rsidR="00036DEC">
        <w:rPr>
          <w:rFonts w:eastAsia="Calibri"/>
          <w:i/>
          <w:iCs/>
          <w:sz w:val="22"/>
          <w:szCs w:val="22"/>
          <w:u w:val="single"/>
        </w:rPr>
        <w:t>a</w:t>
      </w:r>
      <w:r w:rsidRPr="004F572A">
        <w:rPr>
          <w:rFonts w:eastAsia="Calibri"/>
          <w:i/>
          <w:iCs/>
          <w:sz w:val="22"/>
          <w:szCs w:val="22"/>
          <w:u w:val="single"/>
        </w:rPr>
        <w:t xml:space="preserve"> (žr. 4.4 skyrių)</w:t>
      </w:r>
      <w:r w:rsidRPr="004F572A">
        <w:rPr>
          <w:rFonts w:eastAsia="Calibri"/>
          <w:i/>
          <w:iCs/>
          <w:sz w:val="22"/>
          <w:szCs w:val="22"/>
        </w:rPr>
        <w:t xml:space="preserve"> </w:t>
      </w:r>
    </w:p>
    <w:p w14:paraId="07B397B2" w14:textId="77777777" w:rsidR="00080C68" w:rsidRPr="004F572A" w:rsidRDefault="00080C68" w:rsidP="00080C68">
      <w:pPr>
        <w:widowControl w:val="0"/>
        <w:tabs>
          <w:tab w:val="clear" w:pos="567"/>
        </w:tabs>
        <w:rPr>
          <w:rFonts w:eastAsia="Calibri"/>
          <w:i/>
          <w:iCs/>
          <w:sz w:val="22"/>
          <w:szCs w:val="22"/>
        </w:rPr>
      </w:pPr>
    </w:p>
    <w:p w14:paraId="2DBFD3B1" w14:textId="4418D516" w:rsidR="00080C68" w:rsidRPr="004F572A" w:rsidRDefault="00080C68" w:rsidP="00080C68">
      <w:pPr>
        <w:widowControl w:val="0"/>
        <w:tabs>
          <w:tab w:val="clear" w:pos="567"/>
        </w:tabs>
        <w:rPr>
          <w:rFonts w:eastAsia="Calibri"/>
          <w:i/>
          <w:iCs/>
          <w:sz w:val="22"/>
          <w:szCs w:val="22"/>
        </w:rPr>
      </w:pPr>
      <w:r w:rsidRPr="004F572A">
        <w:rPr>
          <w:rFonts w:eastAsia="Calibri"/>
          <w:i/>
          <w:iCs/>
          <w:sz w:val="22"/>
          <w:szCs w:val="22"/>
        </w:rPr>
        <w:t>DSK</w:t>
      </w:r>
    </w:p>
    <w:p w14:paraId="1A22BC84" w14:textId="77777777" w:rsidR="00080C68" w:rsidRPr="004F572A" w:rsidRDefault="00080C68" w:rsidP="00080C68">
      <w:pPr>
        <w:widowControl w:val="0"/>
        <w:tabs>
          <w:tab w:val="clear" w:pos="567"/>
        </w:tabs>
        <w:rPr>
          <w:rFonts w:eastAsia="Calibri"/>
          <w:sz w:val="22"/>
          <w:szCs w:val="22"/>
        </w:rPr>
      </w:pPr>
    </w:p>
    <w:p w14:paraId="3328EBDE" w14:textId="6E9CFDED" w:rsidR="00080C68" w:rsidRPr="004F572A" w:rsidRDefault="00080C68" w:rsidP="00080C68">
      <w:pPr>
        <w:widowControl w:val="0"/>
        <w:tabs>
          <w:tab w:val="clear" w:pos="567"/>
        </w:tabs>
        <w:rPr>
          <w:rFonts w:eastAsia="Calibri"/>
          <w:sz w:val="22"/>
          <w:szCs w:val="22"/>
        </w:rPr>
      </w:pPr>
      <w:r w:rsidRPr="004F572A">
        <w:rPr>
          <w:rFonts w:eastAsia="Calibri"/>
          <w:sz w:val="22"/>
          <w:szCs w:val="22"/>
        </w:rPr>
        <w:t>Pagrindinio 3</w:t>
      </w:r>
      <w:r w:rsidR="00D53FC3">
        <w:rPr>
          <w:rFonts w:eastAsia="Calibri"/>
          <w:sz w:val="22"/>
          <w:szCs w:val="22"/>
        </w:rPr>
        <w:t> </w:t>
      </w:r>
      <w:r w:rsidRPr="004F572A">
        <w:rPr>
          <w:rFonts w:eastAsia="Calibri"/>
          <w:sz w:val="22"/>
          <w:szCs w:val="22"/>
        </w:rPr>
        <w:t xml:space="preserve">fazės tyrimo SELECT </w:t>
      </w:r>
      <w:r w:rsidR="00036DEC">
        <w:rPr>
          <w:rFonts w:eastAsia="Calibri"/>
          <w:sz w:val="22"/>
          <w:szCs w:val="22"/>
        </w:rPr>
        <w:t xml:space="preserve">metu </w:t>
      </w:r>
      <w:r w:rsidRPr="004F572A">
        <w:rPr>
          <w:rFonts w:eastAsia="Calibri"/>
          <w:sz w:val="22"/>
          <w:szCs w:val="22"/>
        </w:rPr>
        <w:t>(žr. 5.1 skyrių) sumažėjusi išstūmimo frakcij</w:t>
      </w:r>
      <w:r w:rsidR="00036DEC">
        <w:rPr>
          <w:rFonts w:eastAsia="Calibri"/>
          <w:sz w:val="22"/>
          <w:szCs w:val="22"/>
        </w:rPr>
        <w:t>a</w:t>
      </w:r>
      <w:r w:rsidRPr="004F572A">
        <w:rPr>
          <w:rFonts w:eastAsia="Calibri"/>
          <w:sz w:val="22"/>
          <w:szCs w:val="22"/>
        </w:rPr>
        <w:t xml:space="preserve"> / širdies nepakankamum</w:t>
      </w:r>
      <w:r w:rsidR="00036DEC">
        <w:rPr>
          <w:rFonts w:eastAsia="Calibri"/>
          <w:sz w:val="22"/>
          <w:szCs w:val="22"/>
        </w:rPr>
        <w:t>as nustatytas</w:t>
      </w:r>
      <w:r w:rsidRPr="004F572A">
        <w:rPr>
          <w:rFonts w:eastAsia="Calibri"/>
          <w:sz w:val="22"/>
          <w:szCs w:val="22"/>
        </w:rPr>
        <w:t xml:space="preserve"> 6,5 % </w:t>
      </w:r>
      <w:r w:rsidR="00036DEC">
        <w:rPr>
          <w:rFonts w:eastAsia="Calibri"/>
          <w:sz w:val="22"/>
          <w:szCs w:val="22"/>
        </w:rPr>
        <w:t xml:space="preserve">pacientų </w:t>
      </w:r>
      <w:r w:rsidRPr="004F572A">
        <w:rPr>
          <w:rFonts w:eastAsia="Calibri"/>
          <w:sz w:val="22"/>
          <w:szCs w:val="22"/>
        </w:rPr>
        <w:t>(1,5 % buvo ≥ 3</w:t>
      </w:r>
      <w:r w:rsidR="00D53FC3">
        <w:rPr>
          <w:rFonts w:eastAsia="Calibri"/>
          <w:sz w:val="22"/>
          <w:szCs w:val="22"/>
        </w:rPr>
        <w:t> </w:t>
      </w:r>
      <w:r w:rsidRPr="004F572A">
        <w:rPr>
          <w:rFonts w:eastAsia="Calibri"/>
          <w:sz w:val="22"/>
          <w:szCs w:val="22"/>
        </w:rPr>
        <w:t xml:space="preserve">laipsnio) </w:t>
      </w:r>
      <w:proofErr w:type="spellStart"/>
      <w:r w:rsidRPr="004F572A">
        <w:rPr>
          <w:rFonts w:eastAsia="Calibri"/>
          <w:sz w:val="22"/>
          <w:szCs w:val="22"/>
        </w:rPr>
        <w:t>lenvatinibu</w:t>
      </w:r>
      <w:proofErr w:type="spellEnd"/>
      <w:r w:rsidRPr="004F572A">
        <w:rPr>
          <w:rFonts w:eastAsia="Calibri"/>
          <w:sz w:val="22"/>
          <w:szCs w:val="22"/>
        </w:rPr>
        <w:t xml:space="preserve"> gydyto</w:t>
      </w:r>
      <w:r w:rsidR="00036DEC">
        <w:rPr>
          <w:rFonts w:eastAsia="Calibri"/>
          <w:sz w:val="22"/>
          <w:szCs w:val="22"/>
        </w:rPr>
        <w:t>je</w:t>
      </w:r>
      <w:r w:rsidRPr="004F572A">
        <w:rPr>
          <w:rFonts w:eastAsia="Calibri"/>
          <w:sz w:val="22"/>
          <w:szCs w:val="22"/>
        </w:rPr>
        <w:t xml:space="preserve"> grupė</w:t>
      </w:r>
      <w:r w:rsidR="00036DEC">
        <w:rPr>
          <w:rFonts w:eastAsia="Calibri"/>
          <w:sz w:val="22"/>
          <w:szCs w:val="22"/>
        </w:rPr>
        <w:t>je</w:t>
      </w:r>
      <w:r w:rsidRPr="004F572A">
        <w:rPr>
          <w:rFonts w:eastAsia="Calibri"/>
          <w:sz w:val="22"/>
          <w:szCs w:val="22"/>
        </w:rPr>
        <w:t xml:space="preserve"> ir 2,3 % </w:t>
      </w:r>
      <w:r w:rsidR="00036DEC">
        <w:rPr>
          <w:rFonts w:eastAsia="Calibri"/>
          <w:sz w:val="22"/>
          <w:szCs w:val="22"/>
        </w:rPr>
        <w:t xml:space="preserve">pacientų </w:t>
      </w:r>
      <w:r w:rsidRPr="004F572A">
        <w:rPr>
          <w:rFonts w:eastAsia="Calibri"/>
          <w:sz w:val="22"/>
          <w:szCs w:val="22"/>
        </w:rPr>
        <w:t>placebo grupė</w:t>
      </w:r>
      <w:r w:rsidR="00036DEC">
        <w:rPr>
          <w:rFonts w:eastAsia="Calibri"/>
          <w:sz w:val="22"/>
          <w:szCs w:val="22"/>
        </w:rPr>
        <w:t>je</w:t>
      </w:r>
      <w:r w:rsidRPr="004F572A">
        <w:rPr>
          <w:rFonts w:eastAsia="Calibri"/>
          <w:sz w:val="22"/>
          <w:szCs w:val="22"/>
        </w:rPr>
        <w:t xml:space="preserve"> (nė vienas nebuvo ≥ 3</w:t>
      </w:r>
      <w:r w:rsidR="00D53FC3">
        <w:rPr>
          <w:rFonts w:eastAsia="Calibri"/>
          <w:sz w:val="22"/>
          <w:szCs w:val="22"/>
        </w:rPr>
        <w:t> </w:t>
      </w:r>
      <w:r w:rsidRPr="004F572A">
        <w:rPr>
          <w:rFonts w:eastAsia="Calibri"/>
          <w:sz w:val="22"/>
          <w:szCs w:val="22"/>
        </w:rPr>
        <w:t>laipsnio).</w:t>
      </w:r>
    </w:p>
    <w:p w14:paraId="61AED064" w14:textId="77777777" w:rsidR="00080C68" w:rsidRPr="004F572A" w:rsidRDefault="00080C68" w:rsidP="00080C68">
      <w:pPr>
        <w:widowControl w:val="0"/>
        <w:tabs>
          <w:tab w:val="clear" w:pos="567"/>
        </w:tabs>
        <w:rPr>
          <w:rFonts w:eastAsia="Calibri"/>
          <w:i/>
          <w:iCs/>
          <w:sz w:val="22"/>
          <w:szCs w:val="22"/>
        </w:rPr>
      </w:pPr>
    </w:p>
    <w:p w14:paraId="43ED70D3" w14:textId="647E7080" w:rsidR="00080C68" w:rsidRPr="004F572A" w:rsidRDefault="00080C68" w:rsidP="00080C68">
      <w:pPr>
        <w:widowControl w:val="0"/>
        <w:tabs>
          <w:tab w:val="clear" w:pos="567"/>
        </w:tabs>
        <w:rPr>
          <w:rFonts w:eastAsia="Calibri"/>
          <w:i/>
          <w:iCs/>
          <w:sz w:val="22"/>
          <w:szCs w:val="22"/>
        </w:rPr>
      </w:pPr>
      <w:r w:rsidRPr="004F572A">
        <w:rPr>
          <w:rFonts w:eastAsia="Calibri"/>
          <w:i/>
          <w:iCs/>
          <w:sz w:val="22"/>
          <w:szCs w:val="22"/>
        </w:rPr>
        <w:t>HCK</w:t>
      </w:r>
    </w:p>
    <w:p w14:paraId="084F4B17" w14:textId="77777777" w:rsidR="00080C68" w:rsidRPr="004F572A" w:rsidRDefault="00080C68" w:rsidP="00080C68">
      <w:pPr>
        <w:widowControl w:val="0"/>
        <w:tabs>
          <w:tab w:val="clear" w:pos="567"/>
        </w:tabs>
        <w:rPr>
          <w:rFonts w:eastAsia="Calibri"/>
          <w:i/>
          <w:iCs/>
          <w:sz w:val="22"/>
          <w:szCs w:val="22"/>
        </w:rPr>
      </w:pPr>
    </w:p>
    <w:p w14:paraId="070E2BF1" w14:textId="67DE1409" w:rsidR="00080C68" w:rsidRPr="004F572A" w:rsidRDefault="00080C68" w:rsidP="00080C68">
      <w:pPr>
        <w:widowControl w:val="0"/>
        <w:tabs>
          <w:tab w:val="clear" w:pos="567"/>
        </w:tabs>
        <w:rPr>
          <w:rFonts w:eastAsia="Calibri"/>
          <w:sz w:val="22"/>
          <w:szCs w:val="22"/>
        </w:rPr>
      </w:pPr>
      <w:r w:rsidRPr="004F572A">
        <w:rPr>
          <w:rFonts w:eastAsia="Calibri"/>
          <w:sz w:val="22"/>
          <w:szCs w:val="22"/>
        </w:rPr>
        <w:t>3</w:t>
      </w:r>
      <w:r w:rsidR="00D53FC3">
        <w:rPr>
          <w:rFonts w:eastAsia="Calibri"/>
          <w:sz w:val="22"/>
          <w:szCs w:val="22"/>
        </w:rPr>
        <w:t> </w:t>
      </w:r>
      <w:r w:rsidRPr="004F572A">
        <w:rPr>
          <w:rFonts w:eastAsia="Calibri"/>
          <w:sz w:val="22"/>
          <w:szCs w:val="22"/>
        </w:rPr>
        <w:t>fazės REFLECT tyrim</w:t>
      </w:r>
      <w:r w:rsidR="00036DEC">
        <w:rPr>
          <w:rFonts w:eastAsia="Calibri"/>
          <w:sz w:val="22"/>
          <w:szCs w:val="22"/>
        </w:rPr>
        <w:t>e</w:t>
      </w:r>
      <w:r w:rsidRPr="004F572A">
        <w:rPr>
          <w:rFonts w:eastAsia="Calibri"/>
          <w:sz w:val="22"/>
          <w:szCs w:val="22"/>
        </w:rPr>
        <w:t xml:space="preserve"> (žr. 5.1 skyrių)</w:t>
      </w:r>
      <w:r w:rsidR="005173F2" w:rsidRPr="004F572A">
        <w:rPr>
          <w:rFonts w:eastAsia="Calibri"/>
          <w:sz w:val="22"/>
          <w:szCs w:val="22"/>
        </w:rPr>
        <w:t xml:space="preserve"> </w:t>
      </w:r>
      <w:r w:rsidRPr="004F572A">
        <w:rPr>
          <w:rFonts w:eastAsia="Calibri"/>
          <w:sz w:val="22"/>
          <w:szCs w:val="22"/>
        </w:rPr>
        <w:t>širdies funkcijos sutrikim</w:t>
      </w:r>
      <w:r w:rsidR="00036DEC">
        <w:rPr>
          <w:rFonts w:eastAsia="Calibri"/>
          <w:sz w:val="22"/>
          <w:szCs w:val="22"/>
        </w:rPr>
        <w:t>ų</w:t>
      </w:r>
      <w:r w:rsidRPr="004F572A">
        <w:rPr>
          <w:rFonts w:eastAsia="Calibri"/>
          <w:sz w:val="22"/>
          <w:szCs w:val="22"/>
        </w:rPr>
        <w:t xml:space="preserve"> (įskaitant </w:t>
      </w:r>
      <w:proofErr w:type="spellStart"/>
      <w:r w:rsidRPr="004F572A">
        <w:rPr>
          <w:rFonts w:eastAsia="Calibri"/>
          <w:sz w:val="22"/>
          <w:szCs w:val="22"/>
        </w:rPr>
        <w:t>stazinį</w:t>
      </w:r>
      <w:proofErr w:type="spellEnd"/>
      <w:r w:rsidRPr="004F572A">
        <w:rPr>
          <w:rFonts w:eastAsia="Calibri"/>
          <w:sz w:val="22"/>
          <w:szCs w:val="22"/>
        </w:rPr>
        <w:t xml:space="preserve"> širdies nepakankamumą, </w:t>
      </w:r>
      <w:proofErr w:type="spellStart"/>
      <w:r w:rsidRPr="004F572A">
        <w:rPr>
          <w:rFonts w:eastAsia="Calibri"/>
          <w:sz w:val="22"/>
          <w:szCs w:val="22"/>
        </w:rPr>
        <w:t>kardiogeninį</w:t>
      </w:r>
      <w:proofErr w:type="spellEnd"/>
      <w:r w:rsidRPr="004F572A">
        <w:rPr>
          <w:rFonts w:eastAsia="Calibri"/>
          <w:sz w:val="22"/>
          <w:szCs w:val="22"/>
        </w:rPr>
        <w:t xml:space="preserve"> šoką ir </w:t>
      </w:r>
      <w:proofErr w:type="spellStart"/>
      <w:r w:rsidRPr="004F572A">
        <w:rPr>
          <w:rFonts w:eastAsia="Calibri"/>
          <w:sz w:val="22"/>
          <w:szCs w:val="22"/>
        </w:rPr>
        <w:t>kardiopulmoninį</w:t>
      </w:r>
      <w:proofErr w:type="spellEnd"/>
      <w:r w:rsidRPr="004F572A">
        <w:rPr>
          <w:rFonts w:eastAsia="Calibri"/>
          <w:sz w:val="22"/>
          <w:szCs w:val="22"/>
        </w:rPr>
        <w:t xml:space="preserve"> nepakankamumą) </w:t>
      </w:r>
      <w:r w:rsidR="00036DEC">
        <w:rPr>
          <w:rFonts w:eastAsia="Calibri"/>
          <w:sz w:val="22"/>
          <w:szCs w:val="22"/>
        </w:rPr>
        <w:t xml:space="preserve">epizodai buvo užregistruoti </w:t>
      </w:r>
      <w:r w:rsidRPr="004F572A">
        <w:rPr>
          <w:rFonts w:eastAsia="Calibri"/>
          <w:sz w:val="22"/>
          <w:szCs w:val="22"/>
        </w:rPr>
        <w:t>0,6</w:t>
      </w:r>
      <w:r w:rsidR="005173F2" w:rsidRPr="004F572A">
        <w:rPr>
          <w:rFonts w:eastAsia="Calibri"/>
          <w:sz w:val="22"/>
          <w:szCs w:val="22"/>
        </w:rPr>
        <w:t> </w:t>
      </w:r>
      <w:r w:rsidRPr="004F572A">
        <w:rPr>
          <w:rFonts w:eastAsia="Calibri"/>
          <w:sz w:val="22"/>
          <w:szCs w:val="22"/>
        </w:rPr>
        <w:t>%</w:t>
      </w:r>
      <w:r w:rsidR="005173F2" w:rsidRPr="004F572A">
        <w:rPr>
          <w:rFonts w:eastAsia="Calibri"/>
          <w:sz w:val="22"/>
          <w:szCs w:val="22"/>
        </w:rPr>
        <w:t xml:space="preserve"> </w:t>
      </w:r>
      <w:r w:rsidR="00E715C2" w:rsidRPr="004F572A">
        <w:rPr>
          <w:rFonts w:eastAsia="Calibri"/>
          <w:sz w:val="22"/>
          <w:szCs w:val="22"/>
        </w:rPr>
        <w:t>(</w:t>
      </w:r>
      <w:r w:rsidR="00036DEC" w:rsidRPr="004F572A">
        <w:rPr>
          <w:rFonts w:eastAsia="Calibri"/>
          <w:sz w:val="22"/>
          <w:szCs w:val="22"/>
        </w:rPr>
        <w:t>≥ 3</w:t>
      </w:r>
      <w:r w:rsidR="00D53FC3">
        <w:rPr>
          <w:rFonts w:eastAsia="Calibri"/>
          <w:sz w:val="22"/>
          <w:szCs w:val="22"/>
        </w:rPr>
        <w:noBreakHyphen/>
      </w:r>
      <w:r w:rsidR="00036DEC" w:rsidRPr="004F572A">
        <w:rPr>
          <w:rFonts w:eastAsia="Calibri"/>
          <w:sz w:val="22"/>
          <w:szCs w:val="22"/>
        </w:rPr>
        <w:t xml:space="preserve">ojo laipsnio </w:t>
      </w:r>
      <w:r w:rsidR="00036DEC">
        <w:rPr>
          <w:rFonts w:eastAsia="Calibri"/>
          <w:sz w:val="22"/>
          <w:szCs w:val="22"/>
        </w:rPr>
        <w:t xml:space="preserve">reakcijos pasireiškė </w:t>
      </w:r>
      <w:r w:rsidR="00E715C2" w:rsidRPr="004F572A">
        <w:rPr>
          <w:rFonts w:eastAsia="Calibri"/>
          <w:sz w:val="22"/>
          <w:szCs w:val="22"/>
        </w:rPr>
        <w:t xml:space="preserve">0,4 %) </w:t>
      </w:r>
      <w:proofErr w:type="spellStart"/>
      <w:r w:rsidR="00E715C2" w:rsidRPr="004F572A">
        <w:rPr>
          <w:rFonts w:eastAsia="Calibri"/>
          <w:sz w:val="22"/>
          <w:szCs w:val="22"/>
        </w:rPr>
        <w:t>lenvatinibu</w:t>
      </w:r>
      <w:proofErr w:type="spellEnd"/>
      <w:r w:rsidR="00E715C2" w:rsidRPr="004F572A">
        <w:rPr>
          <w:rFonts w:eastAsia="Calibri"/>
          <w:sz w:val="22"/>
          <w:szCs w:val="22"/>
        </w:rPr>
        <w:t xml:space="preserve"> gydyt</w:t>
      </w:r>
      <w:r w:rsidR="00036DEC">
        <w:rPr>
          <w:rFonts w:eastAsia="Calibri"/>
          <w:sz w:val="22"/>
          <w:szCs w:val="22"/>
        </w:rPr>
        <w:t>ų</w:t>
      </w:r>
      <w:r w:rsidR="00E715C2" w:rsidRPr="004F572A">
        <w:rPr>
          <w:rFonts w:eastAsia="Calibri"/>
          <w:sz w:val="22"/>
          <w:szCs w:val="22"/>
        </w:rPr>
        <w:t xml:space="preserve"> pacientų. </w:t>
      </w:r>
    </w:p>
    <w:p w14:paraId="6248BCD0" w14:textId="77777777" w:rsidR="00E715C2" w:rsidRPr="004F572A" w:rsidRDefault="00E715C2" w:rsidP="00080C68">
      <w:pPr>
        <w:widowControl w:val="0"/>
        <w:tabs>
          <w:tab w:val="clear" w:pos="567"/>
        </w:tabs>
        <w:rPr>
          <w:rFonts w:eastAsia="Calibri"/>
          <w:i/>
          <w:iCs/>
          <w:sz w:val="22"/>
          <w:szCs w:val="22"/>
        </w:rPr>
      </w:pPr>
    </w:p>
    <w:p w14:paraId="45B8757F" w14:textId="427D76F0" w:rsidR="00080C68" w:rsidRPr="004F572A" w:rsidRDefault="00080C68" w:rsidP="00080C68">
      <w:pPr>
        <w:widowControl w:val="0"/>
        <w:tabs>
          <w:tab w:val="clear" w:pos="567"/>
        </w:tabs>
        <w:rPr>
          <w:rFonts w:eastAsia="Calibri"/>
          <w:i/>
          <w:iCs/>
          <w:sz w:val="22"/>
          <w:szCs w:val="22"/>
        </w:rPr>
      </w:pPr>
      <w:r w:rsidRPr="004F572A">
        <w:rPr>
          <w:rFonts w:eastAsia="Calibri"/>
          <w:i/>
          <w:iCs/>
          <w:sz w:val="22"/>
          <w:szCs w:val="22"/>
        </w:rPr>
        <w:t>EK</w:t>
      </w:r>
    </w:p>
    <w:p w14:paraId="25F34041" w14:textId="77777777" w:rsidR="00E715C2" w:rsidRPr="004F572A" w:rsidRDefault="00E715C2" w:rsidP="00080C68">
      <w:pPr>
        <w:widowControl w:val="0"/>
        <w:tabs>
          <w:tab w:val="clear" w:pos="567"/>
        </w:tabs>
        <w:rPr>
          <w:rFonts w:eastAsia="Calibri"/>
          <w:sz w:val="22"/>
          <w:szCs w:val="22"/>
        </w:rPr>
      </w:pPr>
    </w:p>
    <w:p w14:paraId="508064C6" w14:textId="49327204" w:rsidR="00080C68" w:rsidRPr="004F572A" w:rsidRDefault="00080C68" w:rsidP="00080C68">
      <w:pPr>
        <w:widowControl w:val="0"/>
        <w:tabs>
          <w:tab w:val="clear" w:pos="567"/>
        </w:tabs>
        <w:rPr>
          <w:rFonts w:eastAsia="Calibri"/>
          <w:sz w:val="22"/>
          <w:szCs w:val="22"/>
        </w:rPr>
      </w:pPr>
      <w:r w:rsidRPr="004F572A">
        <w:rPr>
          <w:rFonts w:eastAsia="Calibri"/>
          <w:sz w:val="22"/>
          <w:szCs w:val="22"/>
        </w:rPr>
        <w:t>3</w:t>
      </w:r>
      <w:r w:rsidR="00D53FC3">
        <w:rPr>
          <w:rFonts w:eastAsia="Calibri"/>
          <w:sz w:val="22"/>
          <w:szCs w:val="22"/>
        </w:rPr>
        <w:t> </w:t>
      </w:r>
      <w:r w:rsidRPr="004F572A">
        <w:rPr>
          <w:rFonts w:eastAsia="Calibri"/>
          <w:sz w:val="22"/>
          <w:szCs w:val="22"/>
        </w:rPr>
        <w:t>fazės 309 tyrim</w:t>
      </w:r>
      <w:r w:rsidR="00036DEC">
        <w:rPr>
          <w:rFonts w:eastAsia="Calibri"/>
          <w:sz w:val="22"/>
          <w:szCs w:val="22"/>
        </w:rPr>
        <w:t>e</w:t>
      </w:r>
      <w:r w:rsidRPr="004F572A">
        <w:rPr>
          <w:rFonts w:eastAsia="Calibri"/>
          <w:sz w:val="22"/>
          <w:szCs w:val="22"/>
        </w:rPr>
        <w:t xml:space="preserve"> (žr. 5.1 skyrių) </w:t>
      </w:r>
      <w:r w:rsidR="00E715C2" w:rsidRPr="004F572A">
        <w:rPr>
          <w:rFonts w:eastAsia="Calibri"/>
          <w:sz w:val="22"/>
          <w:szCs w:val="22"/>
        </w:rPr>
        <w:t xml:space="preserve">metu </w:t>
      </w:r>
      <w:r w:rsidRPr="004F572A">
        <w:rPr>
          <w:rFonts w:eastAsia="Calibri"/>
          <w:sz w:val="22"/>
          <w:szCs w:val="22"/>
        </w:rPr>
        <w:t>širdies sutrikimas pasireiškė 1,0</w:t>
      </w:r>
      <w:r w:rsidR="00E715C2" w:rsidRPr="004F572A">
        <w:rPr>
          <w:rFonts w:eastAsia="Calibri"/>
          <w:sz w:val="22"/>
          <w:szCs w:val="22"/>
        </w:rPr>
        <w:t> </w:t>
      </w:r>
      <w:r w:rsidRPr="004F572A">
        <w:rPr>
          <w:rFonts w:eastAsia="Calibri"/>
          <w:sz w:val="22"/>
          <w:szCs w:val="22"/>
        </w:rPr>
        <w:t xml:space="preserve">% </w:t>
      </w:r>
      <w:proofErr w:type="spellStart"/>
      <w:r w:rsidRPr="004F572A">
        <w:rPr>
          <w:rFonts w:eastAsia="Calibri"/>
          <w:sz w:val="22"/>
          <w:szCs w:val="22"/>
        </w:rPr>
        <w:t>lenvatinibo</w:t>
      </w:r>
      <w:proofErr w:type="spellEnd"/>
      <w:r w:rsidRPr="004F572A">
        <w:rPr>
          <w:rFonts w:eastAsia="Calibri"/>
          <w:sz w:val="22"/>
          <w:szCs w:val="22"/>
        </w:rPr>
        <w:t xml:space="preserve"> ir </w:t>
      </w:r>
      <w:proofErr w:type="spellStart"/>
      <w:r w:rsidRPr="004F572A">
        <w:rPr>
          <w:rFonts w:eastAsia="Calibri"/>
          <w:sz w:val="22"/>
          <w:szCs w:val="22"/>
        </w:rPr>
        <w:t>pembrolizumabo</w:t>
      </w:r>
      <w:proofErr w:type="spellEnd"/>
      <w:r w:rsidRPr="004F572A">
        <w:rPr>
          <w:rFonts w:eastAsia="Calibri"/>
          <w:sz w:val="22"/>
          <w:szCs w:val="22"/>
        </w:rPr>
        <w:t xml:space="preserve"> </w:t>
      </w:r>
      <w:r w:rsidR="00E715C2" w:rsidRPr="004F572A">
        <w:rPr>
          <w:rFonts w:eastAsia="Calibri"/>
          <w:sz w:val="22"/>
          <w:szCs w:val="22"/>
        </w:rPr>
        <w:t xml:space="preserve">deriniu </w:t>
      </w:r>
      <w:r w:rsidRPr="004F572A">
        <w:rPr>
          <w:rFonts w:eastAsia="Calibri"/>
          <w:sz w:val="22"/>
          <w:szCs w:val="22"/>
        </w:rPr>
        <w:t>gydytų pacientų</w:t>
      </w:r>
      <w:r w:rsidR="00036DEC">
        <w:rPr>
          <w:rFonts w:eastAsia="Calibri"/>
          <w:sz w:val="22"/>
          <w:szCs w:val="22"/>
        </w:rPr>
        <w:t>, o</w:t>
      </w:r>
      <w:r w:rsidRPr="004F572A">
        <w:rPr>
          <w:rFonts w:eastAsia="Calibri"/>
          <w:sz w:val="22"/>
          <w:szCs w:val="22"/>
        </w:rPr>
        <w:t xml:space="preserve"> ≥</w:t>
      </w:r>
      <w:r w:rsidR="00E715C2" w:rsidRPr="004F572A">
        <w:rPr>
          <w:rFonts w:eastAsia="Calibri"/>
          <w:sz w:val="22"/>
          <w:szCs w:val="22"/>
        </w:rPr>
        <w:t> </w:t>
      </w:r>
      <w:r w:rsidRPr="004F572A">
        <w:rPr>
          <w:rFonts w:eastAsia="Calibri"/>
          <w:sz w:val="22"/>
          <w:szCs w:val="22"/>
        </w:rPr>
        <w:t>3</w:t>
      </w:r>
      <w:r w:rsidR="00D53FC3">
        <w:rPr>
          <w:rFonts w:eastAsia="Calibri"/>
          <w:sz w:val="22"/>
          <w:szCs w:val="22"/>
        </w:rPr>
        <w:t> </w:t>
      </w:r>
      <w:r w:rsidRPr="004F572A">
        <w:rPr>
          <w:rFonts w:eastAsia="Calibri"/>
          <w:sz w:val="22"/>
          <w:szCs w:val="22"/>
        </w:rPr>
        <w:t>laipsnio reakcijos pasireiškė 0,5</w:t>
      </w:r>
      <w:r w:rsidR="00036DEC">
        <w:rPr>
          <w:rFonts w:eastAsia="Calibri"/>
          <w:sz w:val="22"/>
          <w:szCs w:val="22"/>
        </w:rPr>
        <w:t> </w:t>
      </w:r>
      <w:r w:rsidRPr="004F572A">
        <w:rPr>
          <w:rFonts w:eastAsia="Calibri"/>
          <w:sz w:val="22"/>
          <w:szCs w:val="22"/>
        </w:rPr>
        <w:t>% pacientų. Vidutinis laikas iki pradžios buvo 112,0</w:t>
      </w:r>
      <w:r w:rsidR="00D53FC3">
        <w:rPr>
          <w:rFonts w:eastAsia="Calibri"/>
          <w:sz w:val="22"/>
          <w:szCs w:val="22"/>
        </w:rPr>
        <w:t> </w:t>
      </w:r>
      <w:r w:rsidRPr="004F572A">
        <w:rPr>
          <w:rFonts w:eastAsia="Calibri"/>
          <w:sz w:val="22"/>
          <w:szCs w:val="22"/>
        </w:rPr>
        <w:t>dien</w:t>
      </w:r>
      <w:r w:rsidR="00E715C2" w:rsidRPr="004F572A">
        <w:rPr>
          <w:rFonts w:eastAsia="Calibri"/>
          <w:sz w:val="22"/>
          <w:szCs w:val="22"/>
        </w:rPr>
        <w:t>ų</w:t>
      </w:r>
      <w:r w:rsidRPr="004F572A">
        <w:rPr>
          <w:rFonts w:eastAsia="Calibri"/>
          <w:sz w:val="22"/>
          <w:szCs w:val="22"/>
        </w:rPr>
        <w:t>. 0,2</w:t>
      </w:r>
      <w:r w:rsidR="00E715C2" w:rsidRPr="004F572A">
        <w:rPr>
          <w:rFonts w:eastAsia="Calibri"/>
          <w:sz w:val="22"/>
          <w:szCs w:val="22"/>
        </w:rPr>
        <w:t> </w:t>
      </w:r>
      <w:r w:rsidRPr="004F572A">
        <w:rPr>
          <w:rFonts w:eastAsia="Calibri"/>
          <w:sz w:val="22"/>
          <w:szCs w:val="22"/>
        </w:rPr>
        <w:t xml:space="preserve">% pacientų sumažino dozę ir nutraukė </w:t>
      </w:r>
      <w:proofErr w:type="spellStart"/>
      <w:r w:rsidRPr="004F572A">
        <w:rPr>
          <w:rFonts w:eastAsia="Calibri"/>
          <w:sz w:val="22"/>
          <w:szCs w:val="22"/>
        </w:rPr>
        <w:t>lenvatinibo</w:t>
      </w:r>
      <w:proofErr w:type="spellEnd"/>
      <w:r w:rsidRPr="004F572A">
        <w:rPr>
          <w:rFonts w:eastAsia="Calibri"/>
          <w:sz w:val="22"/>
          <w:szCs w:val="22"/>
        </w:rPr>
        <w:t xml:space="preserve"> vartojimą.</w:t>
      </w:r>
    </w:p>
    <w:p w14:paraId="4CCF7D8F" w14:textId="77777777" w:rsidR="00E715C2" w:rsidRPr="004F572A" w:rsidRDefault="00E715C2" w:rsidP="00080C68">
      <w:pPr>
        <w:widowControl w:val="0"/>
        <w:tabs>
          <w:tab w:val="clear" w:pos="567"/>
        </w:tabs>
        <w:rPr>
          <w:rFonts w:eastAsia="Calibri"/>
          <w:i/>
          <w:iCs/>
          <w:sz w:val="22"/>
          <w:szCs w:val="22"/>
        </w:rPr>
      </w:pPr>
    </w:p>
    <w:p w14:paraId="68A6DF63" w14:textId="264F5729" w:rsidR="00080C68" w:rsidRPr="004F572A" w:rsidRDefault="00080C68" w:rsidP="00080C68">
      <w:pPr>
        <w:widowControl w:val="0"/>
        <w:tabs>
          <w:tab w:val="clear" w:pos="567"/>
        </w:tabs>
        <w:rPr>
          <w:rFonts w:eastAsia="Calibri"/>
          <w:i/>
          <w:iCs/>
          <w:sz w:val="22"/>
          <w:szCs w:val="22"/>
          <w:u w:val="single"/>
        </w:rPr>
      </w:pPr>
      <w:r w:rsidRPr="004F572A">
        <w:rPr>
          <w:rFonts w:eastAsia="Calibri"/>
          <w:i/>
          <w:iCs/>
          <w:sz w:val="22"/>
          <w:szCs w:val="22"/>
          <w:u w:val="single"/>
        </w:rPr>
        <w:t xml:space="preserve">Grįžtamosios užpakalinės </w:t>
      </w:r>
      <w:proofErr w:type="spellStart"/>
      <w:r w:rsidRPr="004F572A">
        <w:rPr>
          <w:rFonts w:eastAsia="Calibri"/>
          <w:i/>
          <w:iCs/>
          <w:sz w:val="22"/>
          <w:szCs w:val="22"/>
          <w:u w:val="single"/>
        </w:rPr>
        <w:t>encefalopatijos</w:t>
      </w:r>
      <w:proofErr w:type="spellEnd"/>
      <w:r w:rsidRPr="004F572A">
        <w:rPr>
          <w:rFonts w:eastAsia="Calibri"/>
          <w:i/>
          <w:iCs/>
          <w:sz w:val="22"/>
          <w:szCs w:val="22"/>
          <w:u w:val="single"/>
        </w:rPr>
        <w:t xml:space="preserve"> sindromas (GUES) / grįžtamosios užpakalinės </w:t>
      </w:r>
      <w:proofErr w:type="spellStart"/>
      <w:r w:rsidRPr="004F572A">
        <w:rPr>
          <w:rFonts w:eastAsia="Calibri"/>
          <w:i/>
          <w:iCs/>
          <w:sz w:val="22"/>
          <w:szCs w:val="22"/>
          <w:u w:val="single"/>
        </w:rPr>
        <w:t>leukoencefalopatijos</w:t>
      </w:r>
      <w:proofErr w:type="spellEnd"/>
      <w:r w:rsidRPr="004F572A">
        <w:rPr>
          <w:rFonts w:eastAsia="Calibri"/>
          <w:i/>
          <w:iCs/>
          <w:sz w:val="22"/>
          <w:szCs w:val="22"/>
          <w:u w:val="single"/>
        </w:rPr>
        <w:t xml:space="preserve"> sindromas (GULS) (žr. 4.4 skyrių)</w:t>
      </w:r>
    </w:p>
    <w:p w14:paraId="729C76A5" w14:textId="77777777" w:rsidR="00E715C2" w:rsidRPr="004F572A" w:rsidRDefault="00E715C2" w:rsidP="00080C68">
      <w:pPr>
        <w:widowControl w:val="0"/>
        <w:tabs>
          <w:tab w:val="clear" w:pos="567"/>
        </w:tabs>
        <w:rPr>
          <w:rFonts w:eastAsia="Calibri"/>
          <w:i/>
          <w:iCs/>
          <w:sz w:val="22"/>
          <w:szCs w:val="22"/>
        </w:rPr>
      </w:pPr>
    </w:p>
    <w:p w14:paraId="64D4C289" w14:textId="53655C8D" w:rsidR="00080C68" w:rsidRPr="004F572A" w:rsidRDefault="00080C68" w:rsidP="00080C68">
      <w:pPr>
        <w:widowControl w:val="0"/>
        <w:tabs>
          <w:tab w:val="clear" w:pos="567"/>
        </w:tabs>
        <w:rPr>
          <w:rFonts w:eastAsia="Calibri"/>
          <w:i/>
          <w:iCs/>
          <w:sz w:val="22"/>
          <w:szCs w:val="22"/>
        </w:rPr>
      </w:pPr>
      <w:r w:rsidRPr="004F572A">
        <w:rPr>
          <w:rFonts w:eastAsia="Calibri"/>
          <w:i/>
          <w:iCs/>
          <w:sz w:val="22"/>
          <w:szCs w:val="22"/>
        </w:rPr>
        <w:t>DSK</w:t>
      </w:r>
    </w:p>
    <w:p w14:paraId="18DE51D9" w14:textId="77777777" w:rsidR="00E715C2" w:rsidRPr="004F572A" w:rsidRDefault="00E715C2" w:rsidP="00080C68">
      <w:pPr>
        <w:widowControl w:val="0"/>
        <w:tabs>
          <w:tab w:val="clear" w:pos="567"/>
        </w:tabs>
        <w:rPr>
          <w:rFonts w:eastAsia="Calibri"/>
          <w:sz w:val="22"/>
          <w:szCs w:val="22"/>
        </w:rPr>
      </w:pPr>
    </w:p>
    <w:p w14:paraId="5AE733BD" w14:textId="31F22202" w:rsidR="00080C68" w:rsidRPr="004F572A" w:rsidRDefault="00080C68" w:rsidP="00080C68">
      <w:pPr>
        <w:widowControl w:val="0"/>
        <w:tabs>
          <w:tab w:val="clear" w:pos="567"/>
        </w:tabs>
        <w:rPr>
          <w:rFonts w:eastAsia="Calibri"/>
          <w:sz w:val="22"/>
          <w:szCs w:val="22"/>
        </w:rPr>
      </w:pPr>
      <w:r w:rsidRPr="004F572A">
        <w:rPr>
          <w:rFonts w:eastAsia="Calibri"/>
          <w:sz w:val="22"/>
          <w:szCs w:val="22"/>
        </w:rPr>
        <w:t>Pagrindinio 3 fazės tyrimo SELECT</w:t>
      </w:r>
      <w:r w:rsidR="00036DEC">
        <w:rPr>
          <w:rFonts w:eastAsia="Calibri"/>
          <w:sz w:val="22"/>
          <w:szCs w:val="22"/>
        </w:rPr>
        <w:t xml:space="preserve"> metu </w:t>
      </w:r>
      <w:r w:rsidR="00E715C2" w:rsidRPr="004F572A">
        <w:rPr>
          <w:rFonts w:eastAsia="Calibri"/>
          <w:sz w:val="22"/>
          <w:szCs w:val="22"/>
        </w:rPr>
        <w:t>(žr. 5.1 skyrių)</w:t>
      </w:r>
      <w:r w:rsidRPr="004F572A">
        <w:rPr>
          <w:rFonts w:eastAsia="Calibri"/>
          <w:sz w:val="22"/>
          <w:szCs w:val="22"/>
        </w:rPr>
        <w:t xml:space="preserve"> </w:t>
      </w:r>
      <w:r w:rsidR="00E715C2" w:rsidRPr="004F572A">
        <w:rPr>
          <w:rFonts w:eastAsia="Calibri"/>
          <w:sz w:val="22"/>
          <w:szCs w:val="22"/>
        </w:rPr>
        <w:t>buvo</w:t>
      </w:r>
      <w:r w:rsidRPr="004F572A">
        <w:rPr>
          <w:rFonts w:eastAsia="Calibri"/>
          <w:sz w:val="22"/>
          <w:szCs w:val="22"/>
        </w:rPr>
        <w:t xml:space="preserve"> 1 GUES (2</w:t>
      </w:r>
      <w:r w:rsidR="00D53FC3">
        <w:rPr>
          <w:rFonts w:eastAsia="Calibri"/>
          <w:sz w:val="22"/>
          <w:szCs w:val="22"/>
        </w:rPr>
        <w:t> </w:t>
      </w:r>
      <w:r w:rsidRPr="004F572A">
        <w:rPr>
          <w:rFonts w:eastAsia="Calibri"/>
          <w:sz w:val="22"/>
          <w:szCs w:val="22"/>
        </w:rPr>
        <w:t xml:space="preserve">laipsnio) reiškinys </w:t>
      </w:r>
      <w:proofErr w:type="spellStart"/>
      <w:r w:rsidRPr="004F572A">
        <w:rPr>
          <w:rFonts w:eastAsia="Calibri"/>
          <w:sz w:val="22"/>
          <w:szCs w:val="22"/>
        </w:rPr>
        <w:t>lenvatinibu</w:t>
      </w:r>
      <w:proofErr w:type="spellEnd"/>
      <w:r w:rsidRPr="004F572A">
        <w:rPr>
          <w:rFonts w:eastAsia="Calibri"/>
          <w:sz w:val="22"/>
          <w:szCs w:val="22"/>
        </w:rPr>
        <w:t xml:space="preserve"> gydytoje grupėje ir nė vieno reiškinio placebo grupėje.</w:t>
      </w:r>
    </w:p>
    <w:p w14:paraId="373D53F6" w14:textId="77777777" w:rsidR="00080C68" w:rsidRPr="004F572A" w:rsidRDefault="00080C68" w:rsidP="000928CA">
      <w:pPr>
        <w:widowControl w:val="0"/>
        <w:tabs>
          <w:tab w:val="clear" w:pos="567"/>
        </w:tabs>
        <w:rPr>
          <w:rFonts w:eastAsia="Calibri"/>
          <w:sz w:val="22"/>
          <w:szCs w:val="22"/>
        </w:rPr>
      </w:pPr>
    </w:p>
    <w:p w14:paraId="52ED32C5" w14:textId="77777777" w:rsidR="00E715C2" w:rsidRPr="004F572A" w:rsidRDefault="00E715C2" w:rsidP="00E715C2">
      <w:pPr>
        <w:widowControl w:val="0"/>
        <w:tabs>
          <w:tab w:val="clear" w:pos="567"/>
        </w:tabs>
        <w:rPr>
          <w:rFonts w:eastAsia="Calibri"/>
          <w:i/>
          <w:iCs/>
          <w:sz w:val="22"/>
          <w:szCs w:val="22"/>
        </w:rPr>
      </w:pPr>
      <w:r w:rsidRPr="004F572A">
        <w:rPr>
          <w:rFonts w:eastAsia="Calibri"/>
          <w:i/>
          <w:iCs/>
          <w:sz w:val="22"/>
          <w:szCs w:val="22"/>
        </w:rPr>
        <w:t>HCK</w:t>
      </w:r>
    </w:p>
    <w:p w14:paraId="754F6632" w14:textId="77777777" w:rsidR="00E715C2" w:rsidRPr="004F572A" w:rsidRDefault="00E715C2" w:rsidP="00E715C2">
      <w:pPr>
        <w:widowControl w:val="0"/>
        <w:tabs>
          <w:tab w:val="clear" w:pos="567"/>
        </w:tabs>
        <w:rPr>
          <w:rFonts w:eastAsia="Calibri"/>
          <w:sz w:val="22"/>
          <w:szCs w:val="22"/>
        </w:rPr>
      </w:pPr>
    </w:p>
    <w:p w14:paraId="70C19EC2" w14:textId="1FE1144F" w:rsidR="00E715C2" w:rsidRPr="004F572A" w:rsidRDefault="00E715C2" w:rsidP="00E715C2">
      <w:pPr>
        <w:widowControl w:val="0"/>
        <w:tabs>
          <w:tab w:val="clear" w:pos="567"/>
        </w:tabs>
        <w:rPr>
          <w:rFonts w:eastAsia="Calibri"/>
          <w:sz w:val="22"/>
          <w:szCs w:val="22"/>
        </w:rPr>
      </w:pPr>
      <w:r w:rsidRPr="004F572A">
        <w:rPr>
          <w:rFonts w:eastAsia="Calibri"/>
          <w:sz w:val="22"/>
          <w:szCs w:val="22"/>
        </w:rPr>
        <w:t>3</w:t>
      </w:r>
      <w:r w:rsidR="00D53FC3">
        <w:rPr>
          <w:rFonts w:eastAsia="Calibri"/>
          <w:sz w:val="22"/>
          <w:szCs w:val="22"/>
        </w:rPr>
        <w:t> </w:t>
      </w:r>
      <w:r w:rsidRPr="004F572A">
        <w:rPr>
          <w:rFonts w:eastAsia="Calibri"/>
          <w:sz w:val="22"/>
          <w:szCs w:val="22"/>
        </w:rPr>
        <w:t>fazės REFLECT tyrim</w:t>
      </w:r>
      <w:r w:rsidR="00036DEC">
        <w:rPr>
          <w:rFonts w:eastAsia="Calibri"/>
          <w:sz w:val="22"/>
          <w:szCs w:val="22"/>
        </w:rPr>
        <w:t>e</w:t>
      </w:r>
      <w:r w:rsidRPr="004F572A">
        <w:rPr>
          <w:rFonts w:eastAsia="Calibri"/>
          <w:sz w:val="22"/>
          <w:szCs w:val="22"/>
        </w:rPr>
        <w:t xml:space="preserve"> (žr. 5.1 skyrių) </w:t>
      </w:r>
      <w:r w:rsidR="00036DEC" w:rsidRPr="00036DEC">
        <w:rPr>
          <w:rFonts w:eastAsia="Calibri"/>
          <w:sz w:val="22"/>
          <w:szCs w:val="22"/>
        </w:rPr>
        <w:t xml:space="preserve">tarp </w:t>
      </w:r>
      <w:proofErr w:type="spellStart"/>
      <w:r w:rsidR="00036DEC" w:rsidRPr="00036DEC">
        <w:rPr>
          <w:rFonts w:eastAsia="Calibri"/>
          <w:sz w:val="22"/>
          <w:szCs w:val="22"/>
        </w:rPr>
        <w:t>lenvatinibu</w:t>
      </w:r>
      <w:proofErr w:type="spellEnd"/>
      <w:r w:rsidR="00036DEC" w:rsidRPr="00036DEC">
        <w:rPr>
          <w:rFonts w:eastAsia="Calibri"/>
          <w:sz w:val="22"/>
          <w:szCs w:val="22"/>
        </w:rPr>
        <w:t xml:space="preserve"> gydytų pacientų užregistruotas vienas</w:t>
      </w:r>
      <w:r w:rsidR="00036DEC" w:rsidRPr="00036DEC" w:rsidDel="00036DEC">
        <w:rPr>
          <w:rFonts w:eastAsia="Calibri"/>
          <w:sz w:val="22"/>
          <w:szCs w:val="22"/>
        </w:rPr>
        <w:t xml:space="preserve"> </w:t>
      </w:r>
      <w:r w:rsidR="00E33DEF" w:rsidRPr="004F572A">
        <w:rPr>
          <w:rFonts w:eastAsia="Calibri"/>
          <w:sz w:val="22"/>
          <w:szCs w:val="22"/>
        </w:rPr>
        <w:t>(2</w:t>
      </w:r>
      <w:r w:rsidR="00D53FC3">
        <w:rPr>
          <w:rFonts w:eastAsia="Calibri"/>
          <w:sz w:val="22"/>
          <w:szCs w:val="22"/>
        </w:rPr>
        <w:noBreakHyphen/>
      </w:r>
      <w:r w:rsidR="00036DEC">
        <w:rPr>
          <w:rFonts w:eastAsia="Calibri"/>
          <w:sz w:val="22"/>
          <w:szCs w:val="22"/>
        </w:rPr>
        <w:t>ojo</w:t>
      </w:r>
      <w:r w:rsidR="00E33DEF" w:rsidRPr="004F572A">
        <w:rPr>
          <w:rFonts w:eastAsia="Calibri"/>
          <w:sz w:val="22"/>
          <w:szCs w:val="22"/>
        </w:rPr>
        <w:t xml:space="preserve"> laipsnio) </w:t>
      </w:r>
      <w:r w:rsidR="00036DEC">
        <w:rPr>
          <w:rFonts w:eastAsia="Calibri"/>
          <w:sz w:val="22"/>
          <w:szCs w:val="22"/>
        </w:rPr>
        <w:t>GUES epizodas</w:t>
      </w:r>
      <w:r w:rsidRPr="004F572A">
        <w:rPr>
          <w:rFonts w:eastAsia="Calibri"/>
          <w:sz w:val="22"/>
          <w:szCs w:val="22"/>
        </w:rPr>
        <w:t>.</w:t>
      </w:r>
    </w:p>
    <w:p w14:paraId="6903D0B4" w14:textId="77777777" w:rsidR="00E33DEF" w:rsidRPr="004F572A" w:rsidRDefault="00E33DEF" w:rsidP="00E715C2">
      <w:pPr>
        <w:widowControl w:val="0"/>
        <w:tabs>
          <w:tab w:val="clear" w:pos="567"/>
        </w:tabs>
        <w:rPr>
          <w:rFonts w:eastAsia="Calibri"/>
          <w:sz w:val="22"/>
          <w:szCs w:val="22"/>
        </w:rPr>
      </w:pPr>
    </w:p>
    <w:p w14:paraId="4EF46798" w14:textId="36515E07" w:rsidR="00E715C2" w:rsidRPr="004F572A" w:rsidRDefault="005A153E" w:rsidP="00E715C2">
      <w:pPr>
        <w:widowControl w:val="0"/>
        <w:tabs>
          <w:tab w:val="clear" w:pos="567"/>
        </w:tabs>
        <w:rPr>
          <w:rFonts w:eastAsia="Calibri"/>
          <w:sz w:val="22"/>
          <w:szCs w:val="22"/>
        </w:rPr>
      </w:pPr>
      <w:r w:rsidRPr="005A153E">
        <w:rPr>
          <w:rFonts w:eastAsia="Calibri"/>
          <w:sz w:val="22"/>
          <w:szCs w:val="22"/>
        </w:rPr>
        <w:t>5 iš 1</w:t>
      </w:r>
      <w:r w:rsidR="00D53FC3">
        <w:rPr>
          <w:rFonts w:eastAsia="Calibri"/>
          <w:sz w:val="22"/>
          <w:szCs w:val="22"/>
        </w:rPr>
        <w:t> </w:t>
      </w:r>
      <w:r w:rsidRPr="005A153E">
        <w:rPr>
          <w:rFonts w:eastAsia="Calibri"/>
          <w:sz w:val="22"/>
          <w:szCs w:val="22"/>
        </w:rPr>
        <w:t xml:space="preserve">823 pacientų (0,3 %), klinikiniuose tyrimuose gydytų tik </w:t>
      </w:r>
      <w:proofErr w:type="spellStart"/>
      <w:r w:rsidRPr="005A153E">
        <w:rPr>
          <w:rFonts w:eastAsia="Calibri"/>
          <w:sz w:val="22"/>
          <w:szCs w:val="22"/>
        </w:rPr>
        <w:t>lenvatinibu</w:t>
      </w:r>
      <w:proofErr w:type="spellEnd"/>
      <w:r w:rsidRPr="005A153E">
        <w:rPr>
          <w:rFonts w:eastAsia="Calibri"/>
          <w:sz w:val="22"/>
          <w:szCs w:val="22"/>
        </w:rPr>
        <w:t>, nustatytas GUES (0,2</w:t>
      </w:r>
      <w:r w:rsidR="00D53FC3">
        <w:rPr>
          <w:rFonts w:eastAsia="Calibri"/>
          <w:sz w:val="22"/>
          <w:szCs w:val="22"/>
        </w:rPr>
        <w:t> </w:t>
      </w:r>
      <w:r w:rsidRPr="005A153E">
        <w:rPr>
          <w:rFonts w:eastAsia="Calibri"/>
          <w:sz w:val="22"/>
          <w:szCs w:val="22"/>
        </w:rPr>
        <w:t>% buvo 3 ar 4</w:t>
      </w:r>
      <w:r w:rsidR="00D53FC3">
        <w:rPr>
          <w:rFonts w:eastAsia="Calibri"/>
          <w:sz w:val="22"/>
          <w:szCs w:val="22"/>
        </w:rPr>
        <w:t> </w:t>
      </w:r>
      <w:r w:rsidRPr="005A153E">
        <w:rPr>
          <w:rFonts w:eastAsia="Calibri"/>
          <w:sz w:val="22"/>
          <w:szCs w:val="22"/>
        </w:rPr>
        <w:t>laipsnio), kuris visais atvejais praėjo užbaigus gydymą ir (arba) laikinai sustabdžius arba visiškai nutraukus vartojimą</w:t>
      </w:r>
      <w:r>
        <w:rPr>
          <w:rFonts w:eastAsia="Calibri"/>
          <w:sz w:val="22"/>
          <w:szCs w:val="22"/>
        </w:rPr>
        <w:t>.</w:t>
      </w:r>
    </w:p>
    <w:p w14:paraId="1F208969" w14:textId="77777777" w:rsidR="00E33DEF" w:rsidRPr="004F572A" w:rsidRDefault="00E33DEF" w:rsidP="00E715C2">
      <w:pPr>
        <w:widowControl w:val="0"/>
        <w:tabs>
          <w:tab w:val="clear" w:pos="567"/>
        </w:tabs>
        <w:rPr>
          <w:rFonts w:eastAsia="Calibri"/>
          <w:i/>
          <w:iCs/>
          <w:sz w:val="22"/>
          <w:szCs w:val="22"/>
        </w:rPr>
      </w:pPr>
    </w:p>
    <w:p w14:paraId="11371A72" w14:textId="61F56B41" w:rsidR="00E715C2" w:rsidRPr="004F572A" w:rsidRDefault="00E715C2" w:rsidP="00E715C2">
      <w:pPr>
        <w:widowControl w:val="0"/>
        <w:tabs>
          <w:tab w:val="clear" w:pos="567"/>
        </w:tabs>
        <w:rPr>
          <w:rFonts w:eastAsia="Calibri"/>
          <w:i/>
          <w:iCs/>
          <w:sz w:val="22"/>
          <w:szCs w:val="22"/>
        </w:rPr>
      </w:pPr>
      <w:r w:rsidRPr="004F572A">
        <w:rPr>
          <w:rFonts w:eastAsia="Calibri"/>
          <w:i/>
          <w:iCs/>
          <w:sz w:val="22"/>
          <w:szCs w:val="22"/>
        </w:rPr>
        <w:t>EK</w:t>
      </w:r>
    </w:p>
    <w:p w14:paraId="5DE7D84A" w14:textId="77777777" w:rsidR="00E33DEF" w:rsidRPr="004F572A" w:rsidRDefault="00E33DEF" w:rsidP="00E715C2">
      <w:pPr>
        <w:widowControl w:val="0"/>
        <w:tabs>
          <w:tab w:val="clear" w:pos="567"/>
        </w:tabs>
        <w:rPr>
          <w:rFonts w:eastAsia="Calibri"/>
          <w:sz w:val="22"/>
          <w:szCs w:val="22"/>
        </w:rPr>
      </w:pPr>
    </w:p>
    <w:p w14:paraId="09FE544B" w14:textId="55E09E8F" w:rsidR="00E715C2" w:rsidRPr="004F572A" w:rsidRDefault="00E715C2" w:rsidP="00E715C2">
      <w:pPr>
        <w:widowControl w:val="0"/>
        <w:tabs>
          <w:tab w:val="clear" w:pos="567"/>
        </w:tabs>
        <w:rPr>
          <w:rFonts w:eastAsia="Calibri"/>
          <w:sz w:val="22"/>
          <w:szCs w:val="22"/>
        </w:rPr>
      </w:pPr>
      <w:r w:rsidRPr="004F572A">
        <w:rPr>
          <w:rFonts w:eastAsia="Calibri"/>
          <w:sz w:val="22"/>
          <w:szCs w:val="22"/>
        </w:rPr>
        <w:t>3</w:t>
      </w:r>
      <w:r w:rsidR="00D53FC3">
        <w:rPr>
          <w:rFonts w:eastAsia="Calibri"/>
          <w:sz w:val="22"/>
          <w:szCs w:val="22"/>
        </w:rPr>
        <w:t> </w:t>
      </w:r>
      <w:r w:rsidRPr="004F572A">
        <w:rPr>
          <w:rFonts w:eastAsia="Calibri"/>
          <w:sz w:val="22"/>
          <w:szCs w:val="22"/>
        </w:rPr>
        <w:t>fazės 309 tyrim</w:t>
      </w:r>
      <w:r w:rsidR="005A153E">
        <w:rPr>
          <w:rFonts w:eastAsia="Calibri"/>
          <w:sz w:val="22"/>
          <w:szCs w:val="22"/>
        </w:rPr>
        <w:t>e</w:t>
      </w:r>
      <w:r w:rsidRPr="004F572A">
        <w:rPr>
          <w:rFonts w:eastAsia="Calibri"/>
          <w:sz w:val="22"/>
          <w:szCs w:val="22"/>
        </w:rPr>
        <w:t xml:space="preserve"> (žr. 5.1 skyrių)</w:t>
      </w:r>
      <w:r w:rsidR="00E33DEF" w:rsidRPr="004F572A">
        <w:rPr>
          <w:rFonts w:eastAsia="Calibri"/>
          <w:sz w:val="22"/>
          <w:szCs w:val="22"/>
        </w:rPr>
        <w:t xml:space="preserve"> </w:t>
      </w:r>
      <w:proofErr w:type="spellStart"/>
      <w:r w:rsidRPr="004F572A">
        <w:rPr>
          <w:rFonts w:eastAsia="Calibri"/>
          <w:sz w:val="22"/>
          <w:szCs w:val="22"/>
        </w:rPr>
        <w:t>lenvatinib</w:t>
      </w:r>
      <w:r w:rsidR="00E33DEF" w:rsidRPr="004F572A">
        <w:rPr>
          <w:rFonts w:eastAsia="Calibri"/>
          <w:sz w:val="22"/>
          <w:szCs w:val="22"/>
        </w:rPr>
        <w:t>o</w:t>
      </w:r>
      <w:proofErr w:type="spellEnd"/>
      <w:r w:rsidRPr="004F572A">
        <w:rPr>
          <w:rFonts w:eastAsia="Calibri"/>
          <w:sz w:val="22"/>
          <w:szCs w:val="22"/>
        </w:rPr>
        <w:t xml:space="preserve"> ir </w:t>
      </w:r>
      <w:proofErr w:type="spellStart"/>
      <w:r w:rsidRPr="004F572A">
        <w:rPr>
          <w:rFonts w:eastAsia="Calibri"/>
          <w:sz w:val="22"/>
          <w:szCs w:val="22"/>
        </w:rPr>
        <w:t>pembrolizumab</w:t>
      </w:r>
      <w:r w:rsidR="00E33DEF" w:rsidRPr="004F572A">
        <w:rPr>
          <w:rFonts w:eastAsia="Calibri"/>
          <w:sz w:val="22"/>
          <w:szCs w:val="22"/>
        </w:rPr>
        <w:t>o</w:t>
      </w:r>
      <w:proofErr w:type="spellEnd"/>
      <w:r w:rsidR="00E33DEF" w:rsidRPr="004F572A">
        <w:rPr>
          <w:rFonts w:eastAsia="Calibri"/>
          <w:sz w:val="22"/>
          <w:szCs w:val="22"/>
        </w:rPr>
        <w:t xml:space="preserve"> deriniu</w:t>
      </w:r>
      <w:r w:rsidRPr="004F572A">
        <w:rPr>
          <w:rFonts w:eastAsia="Calibri"/>
          <w:sz w:val="22"/>
          <w:szCs w:val="22"/>
        </w:rPr>
        <w:t xml:space="preserve"> gydomoje grupėje buvo vienas PRES (1</w:t>
      </w:r>
      <w:r w:rsidR="00D53FC3">
        <w:rPr>
          <w:rFonts w:eastAsia="Calibri"/>
          <w:sz w:val="22"/>
          <w:szCs w:val="22"/>
        </w:rPr>
        <w:t> </w:t>
      </w:r>
      <w:r w:rsidRPr="004F572A">
        <w:rPr>
          <w:rFonts w:eastAsia="Calibri"/>
          <w:sz w:val="22"/>
          <w:szCs w:val="22"/>
        </w:rPr>
        <w:t xml:space="preserve">laipsnis) reiškinys, kurio gydymas </w:t>
      </w:r>
      <w:proofErr w:type="spellStart"/>
      <w:r w:rsidRPr="004F572A">
        <w:rPr>
          <w:rFonts w:eastAsia="Calibri"/>
          <w:sz w:val="22"/>
          <w:szCs w:val="22"/>
        </w:rPr>
        <w:t>lenvatinibu</w:t>
      </w:r>
      <w:proofErr w:type="spellEnd"/>
      <w:r w:rsidRPr="004F572A">
        <w:rPr>
          <w:rFonts w:eastAsia="Calibri"/>
          <w:sz w:val="22"/>
          <w:szCs w:val="22"/>
        </w:rPr>
        <w:t xml:space="preserve"> buvo nutrauktas.</w:t>
      </w:r>
    </w:p>
    <w:p w14:paraId="74E41814" w14:textId="77777777" w:rsidR="00E33DEF" w:rsidRPr="004F572A" w:rsidRDefault="00E33DEF" w:rsidP="00E715C2">
      <w:pPr>
        <w:widowControl w:val="0"/>
        <w:tabs>
          <w:tab w:val="clear" w:pos="567"/>
        </w:tabs>
        <w:rPr>
          <w:rFonts w:eastAsia="Calibri"/>
          <w:i/>
          <w:iCs/>
          <w:sz w:val="22"/>
          <w:szCs w:val="22"/>
        </w:rPr>
      </w:pPr>
    </w:p>
    <w:p w14:paraId="2DE45D7D" w14:textId="77777777" w:rsidR="00D527E8" w:rsidRPr="004F572A" w:rsidRDefault="00E715C2" w:rsidP="00E715C2">
      <w:pPr>
        <w:widowControl w:val="0"/>
        <w:tabs>
          <w:tab w:val="clear" w:pos="567"/>
        </w:tabs>
        <w:rPr>
          <w:rFonts w:eastAsia="Calibri"/>
          <w:i/>
          <w:iCs/>
          <w:sz w:val="22"/>
          <w:szCs w:val="22"/>
          <w:u w:val="single"/>
        </w:rPr>
      </w:pPr>
      <w:r w:rsidRPr="004F572A">
        <w:rPr>
          <w:rFonts w:eastAsia="Calibri"/>
          <w:i/>
          <w:iCs/>
          <w:sz w:val="22"/>
          <w:szCs w:val="22"/>
          <w:u w:val="single"/>
        </w:rPr>
        <w:t xml:space="preserve">Toksinis poveikis kepenims (žr. 4.4 skyrių) </w:t>
      </w:r>
    </w:p>
    <w:p w14:paraId="2598BD7B" w14:textId="77777777" w:rsidR="00D527E8" w:rsidRPr="004F572A" w:rsidRDefault="00D527E8" w:rsidP="00E715C2">
      <w:pPr>
        <w:widowControl w:val="0"/>
        <w:tabs>
          <w:tab w:val="clear" w:pos="567"/>
        </w:tabs>
        <w:rPr>
          <w:rFonts w:eastAsia="Calibri"/>
          <w:i/>
          <w:iCs/>
          <w:sz w:val="22"/>
          <w:szCs w:val="22"/>
          <w:u w:val="single"/>
        </w:rPr>
      </w:pPr>
    </w:p>
    <w:p w14:paraId="6C968D22" w14:textId="2CE34347" w:rsidR="00080C68" w:rsidRPr="004F572A" w:rsidRDefault="00E715C2" w:rsidP="00E715C2">
      <w:pPr>
        <w:widowControl w:val="0"/>
        <w:tabs>
          <w:tab w:val="clear" w:pos="567"/>
        </w:tabs>
        <w:rPr>
          <w:rFonts w:eastAsia="Calibri"/>
          <w:sz w:val="22"/>
          <w:szCs w:val="22"/>
        </w:rPr>
      </w:pPr>
      <w:r w:rsidRPr="004F572A">
        <w:rPr>
          <w:rFonts w:eastAsia="Calibri"/>
          <w:i/>
          <w:iCs/>
          <w:sz w:val="22"/>
          <w:szCs w:val="22"/>
        </w:rPr>
        <w:t>DSK</w:t>
      </w:r>
    </w:p>
    <w:p w14:paraId="3BF441F0" w14:textId="77777777" w:rsidR="00080C68" w:rsidRPr="004F572A" w:rsidRDefault="00080C68" w:rsidP="000928CA">
      <w:pPr>
        <w:widowControl w:val="0"/>
        <w:tabs>
          <w:tab w:val="clear" w:pos="567"/>
        </w:tabs>
        <w:rPr>
          <w:rFonts w:eastAsia="Calibri"/>
          <w:sz w:val="22"/>
          <w:szCs w:val="22"/>
        </w:rPr>
      </w:pPr>
    </w:p>
    <w:p w14:paraId="06430DBC" w14:textId="11748C68" w:rsidR="00D527E8" w:rsidRPr="004F572A" w:rsidRDefault="00D527E8" w:rsidP="00D527E8">
      <w:pPr>
        <w:widowControl w:val="0"/>
        <w:tabs>
          <w:tab w:val="clear" w:pos="567"/>
        </w:tabs>
        <w:rPr>
          <w:rFonts w:eastAsia="Calibri"/>
          <w:sz w:val="22"/>
          <w:szCs w:val="22"/>
        </w:rPr>
      </w:pPr>
      <w:r w:rsidRPr="004F572A">
        <w:rPr>
          <w:rFonts w:eastAsia="Calibri"/>
          <w:sz w:val="22"/>
          <w:szCs w:val="22"/>
        </w:rPr>
        <w:t>Pagrindinio 3</w:t>
      </w:r>
      <w:r w:rsidR="00D53FC3">
        <w:rPr>
          <w:rFonts w:eastAsia="Calibri"/>
          <w:sz w:val="22"/>
          <w:szCs w:val="22"/>
        </w:rPr>
        <w:t> </w:t>
      </w:r>
      <w:r w:rsidRPr="004F572A">
        <w:rPr>
          <w:rFonts w:eastAsia="Calibri"/>
          <w:sz w:val="22"/>
          <w:szCs w:val="22"/>
        </w:rPr>
        <w:t xml:space="preserve">fazės tyrimo SELECT </w:t>
      </w:r>
      <w:r w:rsidR="005A153E">
        <w:rPr>
          <w:rFonts w:eastAsia="Calibri"/>
          <w:sz w:val="22"/>
          <w:szCs w:val="22"/>
        </w:rPr>
        <w:t xml:space="preserve">metu </w:t>
      </w:r>
      <w:r w:rsidRPr="004F572A">
        <w:rPr>
          <w:rFonts w:eastAsia="Calibri"/>
          <w:sz w:val="22"/>
          <w:szCs w:val="22"/>
        </w:rPr>
        <w:t xml:space="preserve">(žr. 5.1 skyrių) </w:t>
      </w:r>
      <w:r w:rsidR="005A153E" w:rsidRPr="005A153E">
        <w:rPr>
          <w:rFonts w:eastAsia="Calibri"/>
          <w:sz w:val="22"/>
          <w:szCs w:val="22"/>
        </w:rPr>
        <w:t>dažniausiai nustatytos</w:t>
      </w:r>
      <w:r w:rsidR="005A153E" w:rsidRPr="005A153E" w:rsidDel="005A153E">
        <w:rPr>
          <w:rFonts w:eastAsia="Calibri"/>
          <w:sz w:val="22"/>
          <w:szCs w:val="22"/>
        </w:rPr>
        <w:t xml:space="preserve"> </w:t>
      </w:r>
      <w:r w:rsidRPr="004F572A">
        <w:rPr>
          <w:rFonts w:eastAsia="Calibri"/>
          <w:sz w:val="22"/>
          <w:szCs w:val="22"/>
        </w:rPr>
        <w:t xml:space="preserve">su kepenimis susijusios nepageidaujamos reakcijos buvo </w:t>
      </w:r>
      <w:proofErr w:type="spellStart"/>
      <w:r w:rsidRPr="004F572A">
        <w:rPr>
          <w:rFonts w:eastAsia="Calibri"/>
          <w:sz w:val="22"/>
          <w:szCs w:val="22"/>
        </w:rPr>
        <w:t>hipoalbuminemija</w:t>
      </w:r>
      <w:proofErr w:type="spellEnd"/>
      <w:r w:rsidRPr="004F572A">
        <w:rPr>
          <w:rFonts w:eastAsia="Calibri"/>
          <w:sz w:val="22"/>
          <w:szCs w:val="22"/>
        </w:rPr>
        <w:t xml:space="preserve"> (9,6 % </w:t>
      </w:r>
      <w:proofErr w:type="spellStart"/>
      <w:r w:rsidRPr="004F572A">
        <w:rPr>
          <w:rFonts w:eastAsia="Calibri"/>
          <w:sz w:val="22"/>
          <w:szCs w:val="22"/>
        </w:rPr>
        <w:t>lenvatinibo</w:t>
      </w:r>
      <w:proofErr w:type="spellEnd"/>
      <w:r w:rsidR="005A153E">
        <w:rPr>
          <w:rFonts w:eastAsia="Calibri"/>
          <w:sz w:val="22"/>
          <w:szCs w:val="22"/>
        </w:rPr>
        <w:t xml:space="preserve"> ir </w:t>
      </w:r>
      <w:r w:rsidRPr="004F572A">
        <w:rPr>
          <w:rFonts w:eastAsia="Calibri"/>
          <w:sz w:val="22"/>
          <w:szCs w:val="22"/>
        </w:rPr>
        <w:t>1,5 % placebo</w:t>
      </w:r>
      <w:r w:rsidR="005A153E">
        <w:rPr>
          <w:rFonts w:eastAsia="Calibri"/>
          <w:sz w:val="22"/>
          <w:szCs w:val="22"/>
        </w:rPr>
        <w:t xml:space="preserve"> grupėje</w:t>
      </w:r>
      <w:r w:rsidRPr="004F572A">
        <w:rPr>
          <w:rFonts w:eastAsia="Calibri"/>
          <w:sz w:val="22"/>
          <w:szCs w:val="22"/>
        </w:rPr>
        <w:t xml:space="preserve">) bei padidėjęs kepenų fermentų </w:t>
      </w:r>
      <w:r w:rsidR="005A153E">
        <w:rPr>
          <w:rFonts w:eastAsia="Calibri"/>
          <w:sz w:val="22"/>
          <w:szCs w:val="22"/>
        </w:rPr>
        <w:t>kiekis</w:t>
      </w:r>
      <w:r w:rsidRPr="004F572A">
        <w:rPr>
          <w:rFonts w:eastAsia="Calibri"/>
          <w:sz w:val="22"/>
          <w:szCs w:val="22"/>
        </w:rPr>
        <w:t xml:space="preserve">, įskaitant padidėjusį alaninaminotransferazės (7,7 % </w:t>
      </w:r>
      <w:proofErr w:type="spellStart"/>
      <w:r w:rsidRPr="004F572A">
        <w:rPr>
          <w:rFonts w:eastAsia="Calibri"/>
          <w:sz w:val="22"/>
          <w:szCs w:val="22"/>
        </w:rPr>
        <w:t>lenvatinibo</w:t>
      </w:r>
      <w:proofErr w:type="spellEnd"/>
      <w:r w:rsidR="005A153E">
        <w:rPr>
          <w:rFonts w:eastAsia="Calibri"/>
          <w:sz w:val="22"/>
          <w:szCs w:val="22"/>
        </w:rPr>
        <w:t xml:space="preserve"> ir</w:t>
      </w:r>
      <w:r w:rsidRPr="004F572A">
        <w:rPr>
          <w:rFonts w:eastAsia="Calibri"/>
          <w:sz w:val="22"/>
          <w:szCs w:val="22"/>
        </w:rPr>
        <w:t xml:space="preserve"> 0 placebo</w:t>
      </w:r>
      <w:r w:rsidR="005A153E">
        <w:rPr>
          <w:rFonts w:eastAsia="Calibri"/>
          <w:sz w:val="22"/>
          <w:szCs w:val="22"/>
        </w:rPr>
        <w:t xml:space="preserve"> grupėje</w:t>
      </w:r>
      <w:r w:rsidRPr="004F572A">
        <w:rPr>
          <w:rFonts w:eastAsia="Calibri"/>
          <w:sz w:val="22"/>
          <w:szCs w:val="22"/>
        </w:rPr>
        <w:t xml:space="preserve">), aspartataminotransferazės (6,9 % </w:t>
      </w:r>
      <w:proofErr w:type="spellStart"/>
      <w:r w:rsidRPr="004F572A">
        <w:rPr>
          <w:rFonts w:eastAsia="Calibri"/>
          <w:sz w:val="22"/>
          <w:szCs w:val="22"/>
        </w:rPr>
        <w:t>lenvatinibo</w:t>
      </w:r>
      <w:proofErr w:type="spellEnd"/>
      <w:r w:rsidR="005A153E">
        <w:rPr>
          <w:rFonts w:eastAsia="Calibri"/>
          <w:sz w:val="22"/>
          <w:szCs w:val="22"/>
        </w:rPr>
        <w:t xml:space="preserve"> ir </w:t>
      </w:r>
      <w:r w:rsidRPr="004F572A">
        <w:rPr>
          <w:rFonts w:eastAsia="Calibri"/>
          <w:sz w:val="22"/>
          <w:szCs w:val="22"/>
        </w:rPr>
        <w:t>1,5 % placebo</w:t>
      </w:r>
      <w:r w:rsidR="005A153E">
        <w:rPr>
          <w:rFonts w:eastAsia="Calibri"/>
          <w:sz w:val="22"/>
          <w:szCs w:val="22"/>
        </w:rPr>
        <w:t xml:space="preserve"> grupėje</w:t>
      </w:r>
      <w:r w:rsidRPr="004F572A">
        <w:rPr>
          <w:rFonts w:eastAsia="Calibri"/>
          <w:sz w:val="22"/>
          <w:szCs w:val="22"/>
        </w:rPr>
        <w:t xml:space="preserve">) </w:t>
      </w:r>
      <w:r w:rsidR="005A153E">
        <w:rPr>
          <w:rFonts w:eastAsia="Calibri"/>
          <w:sz w:val="22"/>
          <w:szCs w:val="22"/>
        </w:rPr>
        <w:t xml:space="preserve">aktyvumą </w:t>
      </w:r>
      <w:r w:rsidRPr="004F572A">
        <w:rPr>
          <w:rFonts w:eastAsia="Calibri"/>
          <w:sz w:val="22"/>
          <w:szCs w:val="22"/>
        </w:rPr>
        <w:t xml:space="preserve">ir </w:t>
      </w:r>
      <w:proofErr w:type="spellStart"/>
      <w:r w:rsidRPr="004F572A">
        <w:rPr>
          <w:rFonts w:eastAsia="Calibri"/>
          <w:sz w:val="22"/>
          <w:szCs w:val="22"/>
        </w:rPr>
        <w:t>bilirubino</w:t>
      </w:r>
      <w:proofErr w:type="spellEnd"/>
      <w:r w:rsidRPr="004F572A">
        <w:rPr>
          <w:rFonts w:eastAsia="Calibri"/>
          <w:sz w:val="22"/>
          <w:szCs w:val="22"/>
        </w:rPr>
        <w:t xml:space="preserve"> kiekį kraujyje (1,9 % </w:t>
      </w:r>
      <w:proofErr w:type="spellStart"/>
      <w:r w:rsidRPr="004F572A">
        <w:rPr>
          <w:rFonts w:eastAsia="Calibri"/>
          <w:sz w:val="22"/>
          <w:szCs w:val="22"/>
        </w:rPr>
        <w:t>lenvatinibo</w:t>
      </w:r>
      <w:proofErr w:type="spellEnd"/>
      <w:r w:rsidR="005A153E">
        <w:rPr>
          <w:rFonts w:eastAsia="Calibri"/>
          <w:sz w:val="22"/>
          <w:szCs w:val="22"/>
        </w:rPr>
        <w:t xml:space="preserve"> ir </w:t>
      </w:r>
      <w:r w:rsidRPr="004F572A">
        <w:rPr>
          <w:rFonts w:eastAsia="Calibri"/>
          <w:sz w:val="22"/>
          <w:szCs w:val="22"/>
        </w:rPr>
        <w:t>0 placebo</w:t>
      </w:r>
      <w:r w:rsidR="005A153E">
        <w:rPr>
          <w:rFonts w:eastAsia="Calibri"/>
          <w:sz w:val="22"/>
          <w:szCs w:val="22"/>
        </w:rPr>
        <w:t xml:space="preserve"> grupėje</w:t>
      </w:r>
      <w:r w:rsidRPr="004F572A">
        <w:rPr>
          <w:rFonts w:eastAsia="Calibri"/>
          <w:sz w:val="22"/>
          <w:szCs w:val="22"/>
        </w:rPr>
        <w:t xml:space="preserve">). Laiko iki kepenų reakcijų pasireiškimo mediana </w:t>
      </w:r>
      <w:proofErr w:type="spellStart"/>
      <w:r w:rsidRPr="004F572A">
        <w:rPr>
          <w:rFonts w:eastAsia="Calibri"/>
          <w:sz w:val="22"/>
          <w:szCs w:val="22"/>
        </w:rPr>
        <w:t>lenvatinibu</w:t>
      </w:r>
      <w:proofErr w:type="spellEnd"/>
      <w:r w:rsidRPr="004F572A">
        <w:rPr>
          <w:rFonts w:eastAsia="Calibri"/>
          <w:sz w:val="22"/>
          <w:szCs w:val="22"/>
        </w:rPr>
        <w:t xml:space="preserve"> gydytiems pacientams buvo 12,1</w:t>
      </w:r>
      <w:r w:rsidR="00D53FC3">
        <w:rPr>
          <w:rFonts w:eastAsia="Calibri"/>
          <w:sz w:val="22"/>
          <w:szCs w:val="22"/>
        </w:rPr>
        <w:t> </w:t>
      </w:r>
      <w:r w:rsidRPr="004F572A">
        <w:rPr>
          <w:rFonts w:eastAsia="Calibri"/>
          <w:sz w:val="22"/>
          <w:szCs w:val="22"/>
        </w:rPr>
        <w:t>savaitės. 3</w:t>
      </w:r>
      <w:r w:rsidR="00D53FC3">
        <w:rPr>
          <w:rFonts w:eastAsia="Calibri"/>
          <w:sz w:val="22"/>
          <w:szCs w:val="22"/>
        </w:rPr>
        <w:noBreakHyphen/>
      </w:r>
      <w:r w:rsidRPr="004F572A">
        <w:rPr>
          <w:rFonts w:eastAsia="Calibri"/>
          <w:sz w:val="22"/>
          <w:szCs w:val="22"/>
        </w:rPr>
        <w:t>iojo ar didesnio laipsnio su kepenimis susijusios reakcijos (įskaitant vieną 5</w:t>
      </w:r>
      <w:r w:rsidR="00D53FC3">
        <w:rPr>
          <w:rFonts w:eastAsia="Calibri"/>
          <w:sz w:val="22"/>
          <w:szCs w:val="22"/>
        </w:rPr>
        <w:noBreakHyphen/>
      </w:r>
      <w:r w:rsidRPr="004F572A">
        <w:rPr>
          <w:rFonts w:eastAsia="Calibri"/>
          <w:sz w:val="22"/>
          <w:szCs w:val="22"/>
        </w:rPr>
        <w:t xml:space="preserve">ojo laipsnio kepenų nepakankamumą) pasireiškė 5,4 % </w:t>
      </w:r>
      <w:proofErr w:type="spellStart"/>
      <w:r w:rsidRPr="004F572A">
        <w:rPr>
          <w:rFonts w:eastAsia="Calibri"/>
          <w:sz w:val="22"/>
          <w:szCs w:val="22"/>
        </w:rPr>
        <w:t>lenvatinibu</w:t>
      </w:r>
      <w:proofErr w:type="spellEnd"/>
      <w:r w:rsidRPr="004F572A">
        <w:rPr>
          <w:rFonts w:eastAsia="Calibri"/>
          <w:sz w:val="22"/>
          <w:szCs w:val="22"/>
        </w:rPr>
        <w:t xml:space="preserve"> gydytų pacientų ir 0,8 % placeb</w:t>
      </w:r>
      <w:r w:rsidR="005A153E">
        <w:rPr>
          <w:rFonts w:eastAsia="Calibri"/>
          <w:sz w:val="22"/>
          <w:szCs w:val="22"/>
        </w:rPr>
        <w:t>o</w:t>
      </w:r>
      <w:r w:rsidRPr="004F572A">
        <w:rPr>
          <w:rFonts w:eastAsia="Calibri"/>
          <w:sz w:val="22"/>
          <w:szCs w:val="22"/>
        </w:rPr>
        <w:t xml:space="preserve"> vartojusių pacientų. Dėl su kepenimis susijusių reakcijų reikėjo laikinai </w:t>
      </w:r>
      <w:r w:rsidR="005A153E">
        <w:rPr>
          <w:rFonts w:eastAsia="Calibri"/>
          <w:sz w:val="22"/>
          <w:szCs w:val="22"/>
        </w:rPr>
        <w:t>sustabdyti vaistinio preparato</w:t>
      </w:r>
      <w:r w:rsidRPr="004F572A">
        <w:rPr>
          <w:rFonts w:eastAsia="Calibri"/>
          <w:sz w:val="22"/>
          <w:szCs w:val="22"/>
        </w:rPr>
        <w:t xml:space="preserve"> vartojimą</w:t>
      </w:r>
      <w:r w:rsidR="00CD2B3F" w:rsidRPr="004F572A">
        <w:rPr>
          <w:rFonts w:eastAsia="Calibri"/>
          <w:sz w:val="22"/>
          <w:szCs w:val="22"/>
        </w:rPr>
        <w:t xml:space="preserve"> ir</w:t>
      </w:r>
      <w:r w:rsidRPr="004F572A">
        <w:rPr>
          <w:rFonts w:eastAsia="Calibri"/>
          <w:sz w:val="22"/>
          <w:szCs w:val="22"/>
        </w:rPr>
        <w:t xml:space="preserve"> sumažinti </w:t>
      </w:r>
      <w:r w:rsidR="005A153E">
        <w:rPr>
          <w:rFonts w:eastAsia="Calibri"/>
          <w:sz w:val="22"/>
          <w:szCs w:val="22"/>
        </w:rPr>
        <w:t xml:space="preserve">dozę </w:t>
      </w:r>
      <w:r w:rsidRPr="004F572A">
        <w:rPr>
          <w:rFonts w:eastAsia="Calibri"/>
          <w:sz w:val="22"/>
          <w:szCs w:val="22"/>
        </w:rPr>
        <w:t>atitinkamai 4,6</w:t>
      </w:r>
      <w:r w:rsidR="00CD2B3F" w:rsidRPr="004F572A">
        <w:rPr>
          <w:rFonts w:eastAsia="Calibri"/>
          <w:sz w:val="22"/>
          <w:szCs w:val="22"/>
        </w:rPr>
        <w:t> </w:t>
      </w:r>
      <w:r w:rsidRPr="004F572A">
        <w:rPr>
          <w:rFonts w:eastAsia="Calibri"/>
          <w:sz w:val="22"/>
          <w:szCs w:val="22"/>
        </w:rPr>
        <w:t>% ir 2,7</w:t>
      </w:r>
      <w:r w:rsidR="00CD2B3F" w:rsidRPr="004F572A">
        <w:rPr>
          <w:rFonts w:eastAsia="Calibri"/>
          <w:sz w:val="22"/>
          <w:szCs w:val="22"/>
        </w:rPr>
        <w:t> </w:t>
      </w:r>
      <w:r w:rsidRPr="004F572A">
        <w:rPr>
          <w:rFonts w:eastAsia="Calibri"/>
          <w:sz w:val="22"/>
          <w:szCs w:val="22"/>
        </w:rPr>
        <w:t>% pacientų, visiškai nutraukti vaistinio preparato vartojimą reikėjo 0,4</w:t>
      </w:r>
      <w:r w:rsidR="00CD2B3F" w:rsidRPr="004F572A">
        <w:rPr>
          <w:rFonts w:eastAsia="Calibri"/>
          <w:sz w:val="22"/>
          <w:szCs w:val="22"/>
        </w:rPr>
        <w:t> </w:t>
      </w:r>
      <w:r w:rsidRPr="004F572A">
        <w:rPr>
          <w:rFonts w:eastAsia="Calibri"/>
          <w:sz w:val="22"/>
          <w:szCs w:val="22"/>
        </w:rPr>
        <w:t>% pacientų.</w:t>
      </w:r>
    </w:p>
    <w:p w14:paraId="55728883" w14:textId="09DCE65E" w:rsidR="00D527E8" w:rsidRPr="004F572A" w:rsidRDefault="005A153E" w:rsidP="00D527E8">
      <w:pPr>
        <w:widowControl w:val="0"/>
        <w:tabs>
          <w:tab w:val="clear" w:pos="567"/>
        </w:tabs>
        <w:rPr>
          <w:rFonts w:eastAsia="Calibri"/>
          <w:sz w:val="22"/>
          <w:szCs w:val="22"/>
        </w:rPr>
      </w:pPr>
      <w:r>
        <w:rPr>
          <w:rFonts w:eastAsia="Calibri"/>
          <w:sz w:val="22"/>
          <w:szCs w:val="22"/>
        </w:rPr>
        <w:t>Tarp</w:t>
      </w:r>
      <w:r w:rsidR="00CD2B3F" w:rsidRPr="004F572A">
        <w:rPr>
          <w:rFonts w:eastAsia="Calibri"/>
          <w:sz w:val="22"/>
          <w:szCs w:val="22"/>
        </w:rPr>
        <w:t xml:space="preserve"> </w:t>
      </w:r>
      <w:r>
        <w:rPr>
          <w:rFonts w:eastAsia="Calibri"/>
          <w:sz w:val="22"/>
          <w:szCs w:val="22"/>
        </w:rPr>
        <w:t>1 </w:t>
      </w:r>
      <w:r w:rsidR="00CD2B3F" w:rsidRPr="004F572A">
        <w:rPr>
          <w:rFonts w:eastAsia="Calibri"/>
          <w:sz w:val="22"/>
          <w:szCs w:val="22"/>
        </w:rPr>
        <w:t>1</w:t>
      </w:r>
      <w:r w:rsidR="00D527E8" w:rsidRPr="004F572A">
        <w:rPr>
          <w:rFonts w:eastAsia="Calibri"/>
          <w:sz w:val="22"/>
          <w:szCs w:val="22"/>
        </w:rPr>
        <w:t xml:space="preserve">66 </w:t>
      </w:r>
      <w:proofErr w:type="spellStart"/>
      <w:r w:rsidR="00D527E8" w:rsidRPr="004F572A">
        <w:rPr>
          <w:rFonts w:eastAsia="Calibri"/>
          <w:sz w:val="22"/>
          <w:szCs w:val="22"/>
        </w:rPr>
        <w:t>lenvatinibu</w:t>
      </w:r>
      <w:proofErr w:type="spellEnd"/>
      <w:r w:rsidR="00D527E8" w:rsidRPr="004F572A">
        <w:rPr>
          <w:rFonts w:eastAsia="Calibri"/>
          <w:sz w:val="22"/>
          <w:szCs w:val="22"/>
        </w:rPr>
        <w:t xml:space="preserve"> gydytų pacientų </w:t>
      </w:r>
      <w:r>
        <w:rPr>
          <w:rFonts w:eastAsia="Calibri"/>
          <w:sz w:val="22"/>
          <w:szCs w:val="22"/>
        </w:rPr>
        <w:t>nustatyti</w:t>
      </w:r>
      <w:r w:rsidRPr="004F572A">
        <w:rPr>
          <w:rFonts w:eastAsia="Calibri"/>
          <w:sz w:val="22"/>
          <w:szCs w:val="22"/>
        </w:rPr>
        <w:t xml:space="preserve"> </w:t>
      </w:r>
      <w:r w:rsidR="00D527E8" w:rsidRPr="004F572A">
        <w:rPr>
          <w:rFonts w:eastAsia="Calibri"/>
          <w:sz w:val="22"/>
          <w:szCs w:val="22"/>
        </w:rPr>
        <w:t>3 kepenų nepakankamumo atvejai (0,3</w:t>
      </w:r>
      <w:r w:rsidR="00CD2B3F" w:rsidRPr="004F572A">
        <w:rPr>
          <w:rFonts w:eastAsia="Calibri"/>
          <w:sz w:val="22"/>
          <w:szCs w:val="22"/>
        </w:rPr>
        <w:t> </w:t>
      </w:r>
      <w:r w:rsidR="00D527E8" w:rsidRPr="004F572A">
        <w:rPr>
          <w:rFonts w:eastAsia="Calibri"/>
          <w:sz w:val="22"/>
          <w:szCs w:val="22"/>
        </w:rPr>
        <w:t xml:space="preserve">%), visi jie baigėsi mirtimi. Vienas atvejis </w:t>
      </w:r>
      <w:r>
        <w:rPr>
          <w:rFonts w:eastAsia="Calibri"/>
          <w:sz w:val="22"/>
          <w:szCs w:val="22"/>
        </w:rPr>
        <w:t>nustatytas</w:t>
      </w:r>
      <w:r w:rsidR="00D527E8" w:rsidRPr="004F572A">
        <w:rPr>
          <w:rFonts w:eastAsia="Calibri"/>
          <w:sz w:val="22"/>
          <w:szCs w:val="22"/>
        </w:rPr>
        <w:t xml:space="preserve"> pacientui, kuriam nebuvo metastazių kepenyse. Taip pat </w:t>
      </w:r>
      <w:r>
        <w:rPr>
          <w:rFonts w:eastAsia="Calibri"/>
          <w:sz w:val="22"/>
          <w:szCs w:val="22"/>
        </w:rPr>
        <w:t>nustatytas</w:t>
      </w:r>
      <w:r w:rsidR="00D527E8" w:rsidRPr="004F572A">
        <w:rPr>
          <w:rFonts w:eastAsia="Calibri"/>
          <w:sz w:val="22"/>
          <w:szCs w:val="22"/>
        </w:rPr>
        <w:t xml:space="preserve"> vienas ūminio hepatito atvejis pacientui, kuriam nebuvo metastazių kepenyse.</w:t>
      </w:r>
    </w:p>
    <w:p w14:paraId="6E14C418" w14:textId="77777777" w:rsidR="00CD2B3F" w:rsidRPr="004F572A" w:rsidRDefault="00CD2B3F" w:rsidP="00D527E8">
      <w:pPr>
        <w:widowControl w:val="0"/>
        <w:tabs>
          <w:tab w:val="clear" w:pos="567"/>
        </w:tabs>
        <w:rPr>
          <w:rFonts w:eastAsia="Calibri"/>
          <w:i/>
          <w:iCs/>
          <w:sz w:val="22"/>
          <w:szCs w:val="22"/>
        </w:rPr>
      </w:pPr>
    </w:p>
    <w:p w14:paraId="25EBF1AB" w14:textId="2DDC0E13" w:rsidR="00D527E8" w:rsidRPr="004F572A" w:rsidRDefault="00D527E8" w:rsidP="00D527E8">
      <w:pPr>
        <w:widowControl w:val="0"/>
        <w:tabs>
          <w:tab w:val="clear" w:pos="567"/>
        </w:tabs>
        <w:rPr>
          <w:rFonts w:eastAsia="Calibri"/>
          <w:i/>
          <w:iCs/>
          <w:sz w:val="22"/>
          <w:szCs w:val="22"/>
        </w:rPr>
      </w:pPr>
      <w:r w:rsidRPr="004F572A">
        <w:rPr>
          <w:rFonts w:eastAsia="Calibri"/>
          <w:i/>
          <w:iCs/>
          <w:sz w:val="22"/>
          <w:szCs w:val="22"/>
        </w:rPr>
        <w:t>HCK</w:t>
      </w:r>
    </w:p>
    <w:p w14:paraId="630ECAD5" w14:textId="77777777" w:rsidR="00CD2B3F" w:rsidRPr="004F572A" w:rsidRDefault="00CD2B3F" w:rsidP="00D527E8">
      <w:pPr>
        <w:widowControl w:val="0"/>
        <w:tabs>
          <w:tab w:val="clear" w:pos="567"/>
        </w:tabs>
        <w:rPr>
          <w:rFonts w:eastAsia="Calibri"/>
          <w:i/>
          <w:iCs/>
          <w:sz w:val="22"/>
          <w:szCs w:val="22"/>
        </w:rPr>
      </w:pPr>
    </w:p>
    <w:p w14:paraId="67A2EC0F" w14:textId="40E18681" w:rsidR="00D527E8" w:rsidRPr="004F572A" w:rsidRDefault="00D527E8" w:rsidP="00D527E8">
      <w:pPr>
        <w:widowControl w:val="0"/>
        <w:tabs>
          <w:tab w:val="clear" w:pos="567"/>
        </w:tabs>
        <w:rPr>
          <w:rFonts w:eastAsia="Calibri"/>
          <w:sz w:val="22"/>
          <w:szCs w:val="22"/>
        </w:rPr>
      </w:pPr>
      <w:r w:rsidRPr="004F572A">
        <w:rPr>
          <w:rFonts w:eastAsia="Calibri"/>
          <w:sz w:val="22"/>
          <w:szCs w:val="22"/>
        </w:rPr>
        <w:t>3</w:t>
      </w:r>
      <w:r w:rsidR="00D53FC3">
        <w:rPr>
          <w:rFonts w:eastAsia="Calibri"/>
          <w:sz w:val="22"/>
          <w:szCs w:val="22"/>
        </w:rPr>
        <w:t> </w:t>
      </w:r>
      <w:r w:rsidRPr="004F572A">
        <w:rPr>
          <w:rFonts w:eastAsia="Calibri"/>
          <w:sz w:val="22"/>
          <w:szCs w:val="22"/>
        </w:rPr>
        <w:t>fazės REFLECT tyrim</w:t>
      </w:r>
      <w:r w:rsidR="005A153E">
        <w:rPr>
          <w:rFonts w:eastAsia="Calibri"/>
          <w:sz w:val="22"/>
          <w:szCs w:val="22"/>
        </w:rPr>
        <w:t>e</w:t>
      </w:r>
      <w:r w:rsidRPr="004F572A">
        <w:rPr>
          <w:rFonts w:eastAsia="Calibri"/>
          <w:sz w:val="22"/>
          <w:szCs w:val="22"/>
        </w:rPr>
        <w:t xml:space="preserve"> (žr. 5.1 skyrių) </w:t>
      </w:r>
      <w:r w:rsidR="005A153E" w:rsidRPr="005A153E">
        <w:rPr>
          <w:rFonts w:eastAsia="Calibri"/>
          <w:sz w:val="22"/>
          <w:szCs w:val="22"/>
        </w:rPr>
        <w:t>dažniausiai užregistruotos</w:t>
      </w:r>
      <w:r w:rsidR="005A153E" w:rsidRPr="005A153E" w:rsidDel="005A153E">
        <w:rPr>
          <w:rFonts w:eastAsia="Calibri"/>
          <w:sz w:val="22"/>
          <w:szCs w:val="22"/>
        </w:rPr>
        <w:t xml:space="preserve"> </w:t>
      </w:r>
      <w:bookmarkStart w:id="8" w:name="_Hlk196148426"/>
      <w:r w:rsidRPr="004F572A">
        <w:rPr>
          <w:rFonts w:eastAsia="Calibri"/>
          <w:sz w:val="22"/>
          <w:szCs w:val="22"/>
        </w:rPr>
        <w:t xml:space="preserve">nepageidaujamos </w:t>
      </w:r>
      <w:proofErr w:type="spellStart"/>
      <w:r w:rsidRPr="004F572A">
        <w:rPr>
          <w:rFonts w:eastAsia="Calibri"/>
          <w:sz w:val="22"/>
          <w:szCs w:val="22"/>
        </w:rPr>
        <w:t>hepatotoksinės</w:t>
      </w:r>
      <w:proofErr w:type="spellEnd"/>
      <w:r w:rsidRPr="004F572A">
        <w:rPr>
          <w:rFonts w:eastAsia="Calibri"/>
          <w:sz w:val="22"/>
          <w:szCs w:val="22"/>
        </w:rPr>
        <w:t xml:space="preserve"> reakcijos </w:t>
      </w:r>
      <w:bookmarkEnd w:id="8"/>
      <w:r w:rsidRPr="004F572A">
        <w:rPr>
          <w:rFonts w:eastAsia="Calibri"/>
          <w:sz w:val="22"/>
          <w:szCs w:val="22"/>
        </w:rPr>
        <w:t xml:space="preserve">buvo padidėjęs </w:t>
      </w:r>
      <w:proofErr w:type="spellStart"/>
      <w:r w:rsidRPr="004F572A">
        <w:rPr>
          <w:rFonts w:eastAsia="Calibri"/>
          <w:sz w:val="22"/>
          <w:szCs w:val="22"/>
        </w:rPr>
        <w:t>bilirubino</w:t>
      </w:r>
      <w:proofErr w:type="spellEnd"/>
      <w:r w:rsidRPr="004F572A">
        <w:rPr>
          <w:rFonts w:eastAsia="Calibri"/>
          <w:sz w:val="22"/>
          <w:szCs w:val="22"/>
        </w:rPr>
        <w:t xml:space="preserve"> kiekis kraujyje (14,9</w:t>
      </w:r>
      <w:r w:rsidR="00CD2B3F" w:rsidRPr="004F572A">
        <w:rPr>
          <w:rFonts w:eastAsia="Calibri"/>
          <w:sz w:val="22"/>
          <w:szCs w:val="22"/>
        </w:rPr>
        <w:t> </w:t>
      </w:r>
      <w:r w:rsidRPr="004F572A">
        <w:rPr>
          <w:rFonts w:eastAsia="Calibri"/>
          <w:sz w:val="22"/>
          <w:szCs w:val="22"/>
        </w:rPr>
        <w:t>%), padidėjęs aspartataminotransferazės aktyvumas (13,7</w:t>
      </w:r>
      <w:r w:rsidR="00CD2B3F" w:rsidRPr="004F572A">
        <w:rPr>
          <w:rFonts w:eastAsia="Calibri"/>
          <w:sz w:val="22"/>
          <w:szCs w:val="22"/>
        </w:rPr>
        <w:t> </w:t>
      </w:r>
      <w:r w:rsidRPr="004F572A">
        <w:rPr>
          <w:rFonts w:eastAsia="Calibri"/>
          <w:sz w:val="22"/>
          <w:szCs w:val="22"/>
        </w:rPr>
        <w:t>%), padidėjęs alaninaminotransferazės aktyvumas (11,1</w:t>
      </w:r>
      <w:r w:rsidR="00CD2B3F" w:rsidRPr="004F572A">
        <w:rPr>
          <w:rFonts w:eastAsia="Calibri"/>
          <w:sz w:val="22"/>
          <w:szCs w:val="22"/>
        </w:rPr>
        <w:t> </w:t>
      </w:r>
      <w:r w:rsidRPr="004F572A">
        <w:rPr>
          <w:rFonts w:eastAsia="Calibri"/>
          <w:sz w:val="22"/>
          <w:szCs w:val="22"/>
        </w:rPr>
        <w:t xml:space="preserve">%), </w:t>
      </w:r>
      <w:proofErr w:type="spellStart"/>
      <w:r w:rsidRPr="004F572A">
        <w:rPr>
          <w:rFonts w:eastAsia="Calibri"/>
          <w:sz w:val="22"/>
          <w:szCs w:val="22"/>
        </w:rPr>
        <w:t>hipoalbuminemija</w:t>
      </w:r>
      <w:proofErr w:type="spellEnd"/>
      <w:r w:rsidRPr="004F572A">
        <w:rPr>
          <w:rFonts w:eastAsia="Calibri"/>
          <w:sz w:val="22"/>
          <w:szCs w:val="22"/>
        </w:rPr>
        <w:t xml:space="preserve"> (9,2</w:t>
      </w:r>
      <w:r w:rsidR="00CD2B3F" w:rsidRPr="004F572A">
        <w:rPr>
          <w:rFonts w:eastAsia="Calibri"/>
          <w:sz w:val="22"/>
          <w:szCs w:val="22"/>
        </w:rPr>
        <w:t> </w:t>
      </w:r>
      <w:r w:rsidRPr="004F572A">
        <w:rPr>
          <w:rFonts w:eastAsia="Calibri"/>
          <w:sz w:val="22"/>
          <w:szCs w:val="22"/>
        </w:rPr>
        <w:t xml:space="preserve">%), </w:t>
      </w:r>
      <w:proofErr w:type="spellStart"/>
      <w:r w:rsidRPr="004F572A">
        <w:rPr>
          <w:rFonts w:eastAsia="Calibri"/>
          <w:sz w:val="22"/>
          <w:szCs w:val="22"/>
        </w:rPr>
        <w:t>hepatinė</w:t>
      </w:r>
      <w:proofErr w:type="spellEnd"/>
      <w:r w:rsidRPr="004F572A">
        <w:rPr>
          <w:rFonts w:eastAsia="Calibri"/>
          <w:sz w:val="22"/>
          <w:szCs w:val="22"/>
        </w:rPr>
        <w:t xml:space="preserve"> </w:t>
      </w:r>
      <w:proofErr w:type="spellStart"/>
      <w:r w:rsidRPr="004F572A">
        <w:rPr>
          <w:rFonts w:eastAsia="Calibri"/>
          <w:sz w:val="22"/>
          <w:szCs w:val="22"/>
        </w:rPr>
        <w:t>encefalopatija</w:t>
      </w:r>
      <w:proofErr w:type="spellEnd"/>
      <w:r w:rsidRPr="004F572A">
        <w:rPr>
          <w:rFonts w:eastAsia="Calibri"/>
          <w:sz w:val="22"/>
          <w:szCs w:val="22"/>
        </w:rPr>
        <w:t xml:space="preserve"> (8,0</w:t>
      </w:r>
      <w:r w:rsidR="00CD2B3F" w:rsidRPr="004F572A">
        <w:rPr>
          <w:rFonts w:eastAsia="Calibri"/>
          <w:sz w:val="22"/>
          <w:szCs w:val="22"/>
        </w:rPr>
        <w:t> </w:t>
      </w:r>
      <w:r w:rsidRPr="004F572A">
        <w:rPr>
          <w:rFonts w:eastAsia="Calibri"/>
          <w:sz w:val="22"/>
          <w:szCs w:val="22"/>
        </w:rPr>
        <w:t>%), padidėjęs gama</w:t>
      </w:r>
      <w:r w:rsidR="005A153E">
        <w:rPr>
          <w:rFonts w:eastAsia="Calibri"/>
          <w:sz w:val="22"/>
          <w:szCs w:val="22"/>
        </w:rPr>
        <w:t>-</w:t>
      </w:r>
      <w:proofErr w:type="spellStart"/>
      <w:r w:rsidRPr="004F572A">
        <w:rPr>
          <w:rFonts w:eastAsia="Calibri"/>
          <w:sz w:val="22"/>
          <w:szCs w:val="22"/>
        </w:rPr>
        <w:t>gliutamiltransferazės</w:t>
      </w:r>
      <w:proofErr w:type="spellEnd"/>
      <w:r w:rsidRPr="004F572A">
        <w:rPr>
          <w:rFonts w:eastAsia="Calibri"/>
          <w:sz w:val="22"/>
          <w:szCs w:val="22"/>
        </w:rPr>
        <w:t xml:space="preserve"> aktyvumas (7,8</w:t>
      </w:r>
      <w:r w:rsidR="00CD2B3F" w:rsidRPr="004F572A">
        <w:rPr>
          <w:rFonts w:eastAsia="Calibri"/>
          <w:sz w:val="22"/>
          <w:szCs w:val="22"/>
        </w:rPr>
        <w:t> </w:t>
      </w:r>
      <w:r w:rsidRPr="004F572A">
        <w:rPr>
          <w:rFonts w:eastAsia="Calibri"/>
          <w:sz w:val="22"/>
          <w:szCs w:val="22"/>
        </w:rPr>
        <w:t>%) ir padidėjęs šarminės fosfatazės aktyvumas kraujyje (6</w:t>
      </w:r>
      <w:r w:rsidR="00E56714">
        <w:rPr>
          <w:rFonts w:eastAsia="Calibri"/>
          <w:sz w:val="22"/>
          <w:szCs w:val="22"/>
        </w:rPr>
        <w:t>,7</w:t>
      </w:r>
      <w:r w:rsidR="00CD2B3F" w:rsidRPr="004F572A">
        <w:rPr>
          <w:rFonts w:eastAsia="Calibri"/>
          <w:sz w:val="22"/>
          <w:szCs w:val="22"/>
        </w:rPr>
        <w:t> </w:t>
      </w:r>
      <w:r w:rsidRPr="004F572A">
        <w:rPr>
          <w:rFonts w:eastAsia="Calibri"/>
          <w:sz w:val="22"/>
          <w:szCs w:val="22"/>
        </w:rPr>
        <w:t xml:space="preserve">%). Laiko iki </w:t>
      </w:r>
      <w:r w:rsidR="00CD2B3F" w:rsidRPr="004F572A">
        <w:rPr>
          <w:rFonts w:eastAsia="Calibri"/>
          <w:sz w:val="22"/>
          <w:szCs w:val="22"/>
        </w:rPr>
        <w:t>nepageidaujam</w:t>
      </w:r>
      <w:r w:rsidR="005A153E">
        <w:rPr>
          <w:rFonts w:eastAsia="Calibri"/>
          <w:sz w:val="22"/>
          <w:szCs w:val="22"/>
        </w:rPr>
        <w:t>o toksinio poveikio kepenims</w:t>
      </w:r>
      <w:r w:rsidR="00CD2B3F" w:rsidRPr="004F572A">
        <w:rPr>
          <w:rFonts w:eastAsia="Calibri"/>
          <w:sz w:val="22"/>
          <w:szCs w:val="22"/>
        </w:rPr>
        <w:t xml:space="preserve"> </w:t>
      </w:r>
      <w:r w:rsidRPr="004F572A">
        <w:rPr>
          <w:rFonts w:eastAsia="Calibri"/>
          <w:sz w:val="22"/>
          <w:szCs w:val="22"/>
        </w:rPr>
        <w:t>pasireiškimo mediana buvo 6,4</w:t>
      </w:r>
      <w:r w:rsidR="00D53FC3">
        <w:rPr>
          <w:rFonts w:eastAsia="Calibri"/>
          <w:sz w:val="22"/>
          <w:szCs w:val="22"/>
        </w:rPr>
        <w:t> </w:t>
      </w:r>
      <w:r w:rsidRPr="004F572A">
        <w:rPr>
          <w:rFonts w:eastAsia="Calibri"/>
          <w:sz w:val="22"/>
          <w:szCs w:val="22"/>
        </w:rPr>
        <w:t>savaitės. Sunkesnės kaip ≥</w:t>
      </w:r>
      <w:r w:rsidR="00D53FC3">
        <w:rPr>
          <w:rFonts w:eastAsia="Calibri"/>
          <w:sz w:val="22"/>
          <w:szCs w:val="22"/>
        </w:rPr>
        <w:t> </w:t>
      </w:r>
      <w:r w:rsidRPr="004F572A">
        <w:rPr>
          <w:rFonts w:eastAsia="Calibri"/>
          <w:sz w:val="22"/>
          <w:szCs w:val="22"/>
        </w:rPr>
        <w:t>3</w:t>
      </w:r>
      <w:r w:rsidR="00D53FC3">
        <w:rPr>
          <w:rFonts w:eastAsia="Calibri"/>
          <w:sz w:val="22"/>
          <w:szCs w:val="22"/>
        </w:rPr>
        <w:noBreakHyphen/>
      </w:r>
      <w:r w:rsidRPr="004F572A">
        <w:rPr>
          <w:rFonts w:eastAsia="Calibri"/>
          <w:sz w:val="22"/>
          <w:szCs w:val="22"/>
        </w:rPr>
        <w:t xml:space="preserve">ojo laipsnio </w:t>
      </w:r>
      <w:r w:rsidR="005A153E">
        <w:rPr>
          <w:rFonts w:eastAsia="Calibri"/>
          <w:sz w:val="22"/>
          <w:szCs w:val="22"/>
        </w:rPr>
        <w:t>toksinio poveikio kepenims</w:t>
      </w:r>
      <w:r w:rsidR="00CD2B3F" w:rsidRPr="004F572A">
        <w:rPr>
          <w:rFonts w:eastAsia="Calibri"/>
          <w:sz w:val="22"/>
          <w:szCs w:val="22"/>
        </w:rPr>
        <w:t xml:space="preserve"> reakcijos</w:t>
      </w:r>
      <w:r w:rsidRPr="004F572A">
        <w:rPr>
          <w:rFonts w:eastAsia="Calibri"/>
          <w:sz w:val="22"/>
          <w:szCs w:val="22"/>
        </w:rPr>
        <w:t xml:space="preserve"> pasireiškė 26,1</w:t>
      </w:r>
      <w:r w:rsidR="00CD2B3F" w:rsidRPr="004F572A">
        <w:rPr>
          <w:rFonts w:eastAsia="Calibri"/>
          <w:sz w:val="22"/>
          <w:szCs w:val="22"/>
        </w:rPr>
        <w:t> </w:t>
      </w:r>
      <w:r w:rsidRPr="004F572A">
        <w:rPr>
          <w:rFonts w:eastAsia="Calibri"/>
          <w:sz w:val="22"/>
          <w:szCs w:val="22"/>
        </w:rPr>
        <w:t xml:space="preserve">% </w:t>
      </w:r>
      <w:proofErr w:type="spellStart"/>
      <w:r w:rsidRPr="004F572A">
        <w:rPr>
          <w:rFonts w:eastAsia="Calibri"/>
          <w:sz w:val="22"/>
          <w:szCs w:val="22"/>
        </w:rPr>
        <w:t>lenvatinibu</w:t>
      </w:r>
      <w:proofErr w:type="spellEnd"/>
      <w:r w:rsidRPr="004F572A">
        <w:rPr>
          <w:rFonts w:eastAsia="Calibri"/>
          <w:sz w:val="22"/>
          <w:szCs w:val="22"/>
        </w:rPr>
        <w:t xml:space="preserve"> gydytų pacientų. Kepenų nepakankamumas </w:t>
      </w:r>
      <w:r w:rsidRPr="004F572A">
        <w:rPr>
          <w:rFonts w:eastAsia="Calibri"/>
          <w:sz w:val="22"/>
          <w:szCs w:val="22"/>
        </w:rPr>
        <w:lastRenderedPageBreak/>
        <w:t>(visais atvejais sunkesnis kaip ≥</w:t>
      </w:r>
      <w:r w:rsidR="00D53FC3">
        <w:rPr>
          <w:rFonts w:eastAsia="Calibri"/>
          <w:sz w:val="22"/>
          <w:szCs w:val="22"/>
        </w:rPr>
        <w:t> </w:t>
      </w:r>
      <w:r w:rsidRPr="004F572A">
        <w:rPr>
          <w:rFonts w:eastAsia="Calibri"/>
          <w:sz w:val="22"/>
          <w:szCs w:val="22"/>
        </w:rPr>
        <w:t>3</w:t>
      </w:r>
      <w:r w:rsidR="00D53FC3">
        <w:rPr>
          <w:rFonts w:eastAsia="Calibri"/>
          <w:sz w:val="22"/>
          <w:szCs w:val="22"/>
        </w:rPr>
        <w:noBreakHyphen/>
      </w:r>
      <w:r w:rsidRPr="004F572A">
        <w:rPr>
          <w:rFonts w:eastAsia="Calibri"/>
          <w:sz w:val="22"/>
          <w:szCs w:val="22"/>
        </w:rPr>
        <w:t>ojo laipsnio, įskaitant 12 mirtinų atvejų) pasir</w:t>
      </w:r>
      <w:r w:rsidR="00CD2B3F" w:rsidRPr="004F572A">
        <w:rPr>
          <w:rFonts w:eastAsia="Calibri"/>
          <w:sz w:val="22"/>
          <w:szCs w:val="22"/>
        </w:rPr>
        <w:t>eiškė</w:t>
      </w:r>
      <w:r w:rsidRPr="004F572A">
        <w:rPr>
          <w:rFonts w:eastAsia="Calibri"/>
          <w:sz w:val="22"/>
          <w:szCs w:val="22"/>
        </w:rPr>
        <w:t xml:space="preserve"> 3,6</w:t>
      </w:r>
      <w:r w:rsidR="00CD2B3F" w:rsidRPr="004F572A">
        <w:rPr>
          <w:rFonts w:eastAsia="Calibri"/>
          <w:sz w:val="22"/>
          <w:szCs w:val="22"/>
        </w:rPr>
        <w:t> </w:t>
      </w:r>
      <w:r w:rsidRPr="004F572A">
        <w:rPr>
          <w:rFonts w:eastAsia="Calibri"/>
          <w:sz w:val="22"/>
          <w:szCs w:val="22"/>
        </w:rPr>
        <w:t xml:space="preserve">% pacientų. </w:t>
      </w:r>
      <w:proofErr w:type="spellStart"/>
      <w:r w:rsidRPr="004F572A">
        <w:rPr>
          <w:rFonts w:eastAsia="Calibri"/>
          <w:sz w:val="22"/>
          <w:szCs w:val="22"/>
        </w:rPr>
        <w:t>Hepatinė</w:t>
      </w:r>
      <w:proofErr w:type="spellEnd"/>
      <w:r w:rsidRPr="004F572A">
        <w:rPr>
          <w:rFonts w:eastAsia="Calibri"/>
          <w:sz w:val="22"/>
          <w:szCs w:val="22"/>
        </w:rPr>
        <w:t xml:space="preserve"> </w:t>
      </w:r>
      <w:proofErr w:type="spellStart"/>
      <w:r w:rsidRPr="004F572A">
        <w:rPr>
          <w:rFonts w:eastAsia="Calibri"/>
          <w:sz w:val="22"/>
          <w:szCs w:val="22"/>
        </w:rPr>
        <w:t>encefalopatija</w:t>
      </w:r>
      <w:proofErr w:type="spellEnd"/>
      <w:r w:rsidRPr="004F572A">
        <w:rPr>
          <w:rFonts w:eastAsia="Calibri"/>
          <w:sz w:val="22"/>
          <w:szCs w:val="22"/>
        </w:rPr>
        <w:t xml:space="preserve"> (įskaitant 4 mirtinus atvejus) pasireiškė 8,4</w:t>
      </w:r>
      <w:r w:rsidR="00CD2B3F" w:rsidRPr="004F572A">
        <w:rPr>
          <w:rFonts w:eastAsia="Calibri"/>
          <w:sz w:val="22"/>
          <w:szCs w:val="22"/>
        </w:rPr>
        <w:t> </w:t>
      </w:r>
      <w:r w:rsidRPr="004F572A">
        <w:rPr>
          <w:rFonts w:eastAsia="Calibri"/>
          <w:sz w:val="22"/>
          <w:szCs w:val="22"/>
        </w:rPr>
        <w:t>% (5,5</w:t>
      </w:r>
      <w:r w:rsidR="00CD2B3F" w:rsidRPr="004F572A">
        <w:rPr>
          <w:rFonts w:eastAsia="Calibri"/>
          <w:sz w:val="22"/>
          <w:szCs w:val="22"/>
        </w:rPr>
        <w:t> </w:t>
      </w:r>
      <w:r w:rsidRPr="004F572A">
        <w:rPr>
          <w:rFonts w:eastAsia="Calibri"/>
          <w:sz w:val="22"/>
          <w:szCs w:val="22"/>
        </w:rPr>
        <w:t>% atvejų buvo sunkesni kaip ≥</w:t>
      </w:r>
      <w:r w:rsidR="00D53FC3">
        <w:rPr>
          <w:rFonts w:eastAsia="Calibri"/>
          <w:sz w:val="22"/>
          <w:szCs w:val="22"/>
        </w:rPr>
        <w:t> </w:t>
      </w:r>
      <w:r w:rsidRPr="004F572A">
        <w:rPr>
          <w:rFonts w:eastAsia="Calibri"/>
          <w:sz w:val="22"/>
          <w:szCs w:val="22"/>
        </w:rPr>
        <w:t>3</w:t>
      </w:r>
      <w:r w:rsidR="00D53FC3">
        <w:rPr>
          <w:rFonts w:eastAsia="Calibri"/>
          <w:sz w:val="22"/>
          <w:szCs w:val="22"/>
        </w:rPr>
        <w:noBreakHyphen/>
      </w:r>
      <w:r w:rsidRPr="004F572A">
        <w:rPr>
          <w:rFonts w:eastAsia="Calibri"/>
          <w:sz w:val="22"/>
          <w:szCs w:val="22"/>
        </w:rPr>
        <w:t xml:space="preserve">ojo laipsnio). Dėl toksinio poveikio kepenims </w:t>
      </w:r>
      <w:proofErr w:type="spellStart"/>
      <w:r w:rsidRPr="004F572A">
        <w:rPr>
          <w:rFonts w:eastAsia="Calibri"/>
          <w:sz w:val="22"/>
          <w:szCs w:val="22"/>
        </w:rPr>
        <w:t>lenvatinibu</w:t>
      </w:r>
      <w:proofErr w:type="spellEnd"/>
      <w:r w:rsidRPr="004F572A">
        <w:rPr>
          <w:rFonts w:eastAsia="Calibri"/>
          <w:sz w:val="22"/>
          <w:szCs w:val="22"/>
        </w:rPr>
        <w:t xml:space="preserve"> gydytų pacientų grupėje </w:t>
      </w:r>
      <w:r w:rsidR="00D30BB9" w:rsidRPr="004F572A">
        <w:rPr>
          <w:rFonts w:eastAsia="Calibri"/>
          <w:sz w:val="22"/>
          <w:szCs w:val="22"/>
        </w:rPr>
        <w:t>buvo</w:t>
      </w:r>
      <w:r w:rsidR="005A153E">
        <w:rPr>
          <w:rFonts w:eastAsia="Calibri"/>
          <w:sz w:val="22"/>
          <w:szCs w:val="22"/>
        </w:rPr>
        <w:t xml:space="preserve"> užregistruota</w:t>
      </w:r>
      <w:r w:rsidRPr="004F572A">
        <w:rPr>
          <w:rFonts w:eastAsia="Calibri"/>
          <w:sz w:val="22"/>
          <w:szCs w:val="22"/>
        </w:rPr>
        <w:t xml:space="preserve"> 17 (3,6</w:t>
      </w:r>
      <w:r w:rsidR="00D30BB9" w:rsidRPr="004F572A">
        <w:rPr>
          <w:rFonts w:eastAsia="Calibri"/>
          <w:sz w:val="22"/>
          <w:szCs w:val="22"/>
        </w:rPr>
        <w:t> </w:t>
      </w:r>
      <w:r w:rsidRPr="004F572A">
        <w:rPr>
          <w:rFonts w:eastAsia="Calibri"/>
          <w:sz w:val="22"/>
          <w:szCs w:val="22"/>
        </w:rPr>
        <w:t>%) mir</w:t>
      </w:r>
      <w:r w:rsidR="00D30BB9" w:rsidRPr="004F572A">
        <w:rPr>
          <w:rFonts w:eastAsia="Calibri"/>
          <w:sz w:val="22"/>
          <w:szCs w:val="22"/>
        </w:rPr>
        <w:t>ties</w:t>
      </w:r>
      <w:r w:rsidRPr="004F572A">
        <w:rPr>
          <w:rFonts w:eastAsia="Calibri"/>
          <w:sz w:val="22"/>
          <w:szCs w:val="22"/>
        </w:rPr>
        <w:t xml:space="preserve"> atvejų</w:t>
      </w:r>
      <w:r w:rsidR="005A153E">
        <w:rPr>
          <w:rFonts w:eastAsia="Calibri"/>
          <w:sz w:val="22"/>
          <w:szCs w:val="22"/>
        </w:rPr>
        <w:t xml:space="preserve">, </w:t>
      </w:r>
      <w:proofErr w:type="spellStart"/>
      <w:r w:rsidR="005A153E" w:rsidRPr="005A153E">
        <w:rPr>
          <w:rFonts w:eastAsia="Calibri"/>
          <w:sz w:val="22"/>
          <w:szCs w:val="22"/>
        </w:rPr>
        <w:t>sorefanibo</w:t>
      </w:r>
      <w:proofErr w:type="spellEnd"/>
      <w:r w:rsidR="005A153E" w:rsidRPr="005A153E">
        <w:rPr>
          <w:rFonts w:eastAsia="Calibri"/>
          <w:sz w:val="22"/>
          <w:szCs w:val="22"/>
        </w:rPr>
        <w:t xml:space="preserve"> vartojusių pacientų grupėje</w:t>
      </w:r>
      <w:r w:rsidR="005A153E">
        <w:rPr>
          <w:rFonts w:eastAsia="Calibri"/>
          <w:sz w:val="22"/>
          <w:szCs w:val="22"/>
        </w:rPr>
        <w:t xml:space="preserve"> –</w:t>
      </w:r>
      <w:r w:rsidR="00D30BB9" w:rsidRPr="004F572A">
        <w:rPr>
          <w:rFonts w:eastAsia="Calibri"/>
          <w:sz w:val="22"/>
          <w:szCs w:val="22"/>
        </w:rPr>
        <w:t xml:space="preserve"> 4 (0,8 %) mirties atvejai</w:t>
      </w:r>
      <w:r w:rsidRPr="004F572A">
        <w:rPr>
          <w:rFonts w:eastAsia="Calibri"/>
          <w:sz w:val="22"/>
          <w:szCs w:val="22"/>
        </w:rPr>
        <w:t xml:space="preserve">. Dėl </w:t>
      </w:r>
      <w:r w:rsidR="00D30BB9" w:rsidRPr="004F572A">
        <w:rPr>
          <w:rFonts w:eastAsia="Calibri"/>
          <w:sz w:val="22"/>
          <w:szCs w:val="22"/>
        </w:rPr>
        <w:t>nepageidaujam</w:t>
      </w:r>
      <w:r w:rsidR="005A153E">
        <w:rPr>
          <w:rFonts w:eastAsia="Calibri"/>
          <w:sz w:val="22"/>
          <w:szCs w:val="22"/>
        </w:rPr>
        <w:t>o toksinio poveikio kepenims gydymą sustabdyti ar dozę koreguoti reikėjo</w:t>
      </w:r>
      <w:r w:rsidR="00D30BB9" w:rsidRPr="004F572A">
        <w:rPr>
          <w:rFonts w:eastAsia="Calibri"/>
          <w:sz w:val="22"/>
          <w:szCs w:val="22"/>
        </w:rPr>
        <w:t xml:space="preserve"> atitinkamai </w:t>
      </w:r>
      <w:r w:rsidRPr="004F572A">
        <w:rPr>
          <w:rFonts w:eastAsia="Calibri"/>
          <w:sz w:val="22"/>
          <w:szCs w:val="22"/>
        </w:rPr>
        <w:t>12,2</w:t>
      </w:r>
      <w:r w:rsidR="00D30BB9" w:rsidRPr="004F572A">
        <w:rPr>
          <w:rFonts w:eastAsia="Calibri"/>
          <w:sz w:val="22"/>
          <w:szCs w:val="22"/>
        </w:rPr>
        <w:t> </w:t>
      </w:r>
      <w:r w:rsidRPr="004F572A">
        <w:rPr>
          <w:rFonts w:eastAsia="Calibri"/>
          <w:sz w:val="22"/>
          <w:szCs w:val="22"/>
        </w:rPr>
        <w:t>% ir 7,4</w:t>
      </w:r>
      <w:r w:rsidR="00D30BB9" w:rsidRPr="004F572A">
        <w:rPr>
          <w:rFonts w:eastAsia="Calibri"/>
          <w:sz w:val="22"/>
          <w:szCs w:val="22"/>
        </w:rPr>
        <w:t> </w:t>
      </w:r>
      <w:r w:rsidRPr="004F572A">
        <w:rPr>
          <w:rFonts w:eastAsia="Calibri"/>
          <w:sz w:val="22"/>
          <w:szCs w:val="22"/>
        </w:rPr>
        <w:t xml:space="preserve">% </w:t>
      </w:r>
      <w:proofErr w:type="spellStart"/>
      <w:r w:rsidRPr="004F572A">
        <w:rPr>
          <w:rFonts w:eastAsia="Calibri"/>
          <w:sz w:val="22"/>
          <w:szCs w:val="22"/>
        </w:rPr>
        <w:t>lenvatinibu</w:t>
      </w:r>
      <w:proofErr w:type="spellEnd"/>
      <w:r w:rsidRPr="004F572A">
        <w:rPr>
          <w:rFonts w:eastAsia="Calibri"/>
          <w:sz w:val="22"/>
          <w:szCs w:val="22"/>
        </w:rPr>
        <w:t xml:space="preserve"> gydytų pacientų</w:t>
      </w:r>
      <w:r w:rsidR="005A153E">
        <w:rPr>
          <w:rFonts w:eastAsia="Calibri"/>
          <w:sz w:val="22"/>
          <w:szCs w:val="22"/>
        </w:rPr>
        <w:t>, o</w:t>
      </w:r>
      <w:r w:rsidR="00D30BB9" w:rsidRPr="004F572A">
        <w:rPr>
          <w:rFonts w:eastAsia="Calibri"/>
          <w:sz w:val="22"/>
          <w:szCs w:val="22"/>
        </w:rPr>
        <w:t xml:space="preserve"> gydymą </w:t>
      </w:r>
      <w:r w:rsidR="005A153E">
        <w:rPr>
          <w:rFonts w:eastAsia="Calibri"/>
          <w:sz w:val="22"/>
          <w:szCs w:val="22"/>
        </w:rPr>
        <w:t xml:space="preserve">visam laikui </w:t>
      </w:r>
      <w:r w:rsidR="00D30BB9" w:rsidRPr="004F572A">
        <w:rPr>
          <w:rFonts w:eastAsia="Calibri"/>
          <w:sz w:val="22"/>
          <w:szCs w:val="22"/>
        </w:rPr>
        <w:t>nutraukti</w:t>
      </w:r>
      <w:r w:rsidR="005A153E">
        <w:rPr>
          <w:rFonts w:eastAsia="Calibri"/>
          <w:sz w:val="22"/>
          <w:szCs w:val="22"/>
        </w:rPr>
        <w:t xml:space="preserve"> –</w:t>
      </w:r>
      <w:r w:rsidRPr="004F572A">
        <w:rPr>
          <w:rFonts w:eastAsia="Calibri"/>
          <w:sz w:val="22"/>
          <w:szCs w:val="22"/>
        </w:rPr>
        <w:t xml:space="preserve"> 5,5</w:t>
      </w:r>
      <w:r w:rsidR="00D30BB9" w:rsidRPr="004F572A">
        <w:rPr>
          <w:rFonts w:eastAsia="Calibri"/>
          <w:sz w:val="22"/>
          <w:szCs w:val="22"/>
        </w:rPr>
        <w:t> </w:t>
      </w:r>
      <w:r w:rsidRPr="004F572A">
        <w:rPr>
          <w:rFonts w:eastAsia="Calibri"/>
          <w:sz w:val="22"/>
          <w:szCs w:val="22"/>
        </w:rPr>
        <w:t>% pacientų.</w:t>
      </w:r>
    </w:p>
    <w:p w14:paraId="63025C0A" w14:textId="77777777" w:rsidR="00104C74" w:rsidRPr="004F572A" w:rsidRDefault="00104C74" w:rsidP="00D527E8">
      <w:pPr>
        <w:widowControl w:val="0"/>
        <w:tabs>
          <w:tab w:val="clear" w:pos="567"/>
        </w:tabs>
        <w:rPr>
          <w:rFonts w:eastAsia="Calibri"/>
          <w:sz w:val="22"/>
          <w:szCs w:val="22"/>
        </w:rPr>
      </w:pPr>
    </w:p>
    <w:p w14:paraId="1DCDD429" w14:textId="135FC107" w:rsidR="00080C68" w:rsidRPr="004F572A" w:rsidRDefault="00C11F88" w:rsidP="00D527E8">
      <w:pPr>
        <w:widowControl w:val="0"/>
        <w:tabs>
          <w:tab w:val="clear" w:pos="567"/>
        </w:tabs>
        <w:rPr>
          <w:rFonts w:eastAsia="Calibri"/>
          <w:sz w:val="22"/>
          <w:szCs w:val="22"/>
        </w:rPr>
      </w:pPr>
      <w:r w:rsidRPr="00C11F88">
        <w:rPr>
          <w:rFonts w:eastAsia="Calibri"/>
          <w:sz w:val="22"/>
          <w:szCs w:val="22"/>
        </w:rPr>
        <w:t xml:space="preserve">Klinikiniuose tyrimuose, kuriuose vien tik </w:t>
      </w:r>
      <w:proofErr w:type="spellStart"/>
      <w:r w:rsidRPr="00C11F88">
        <w:rPr>
          <w:rFonts w:eastAsia="Calibri"/>
          <w:sz w:val="22"/>
          <w:szCs w:val="22"/>
        </w:rPr>
        <w:t>lenvatinib</w:t>
      </w:r>
      <w:r>
        <w:rPr>
          <w:rFonts w:eastAsia="Calibri"/>
          <w:sz w:val="22"/>
          <w:szCs w:val="22"/>
        </w:rPr>
        <w:t>o</w:t>
      </w:r>
      <w:proofErr w:type="spellEnd"/>
      <w:r w:rsidRPr="00C11F88">
        <w:rPr>
          <w:rFonts w:eastAsia="Calibri"/>
          <w:sz w:val="22"/>
          <w:szCs w:val="22"/>
        </w:rPr>
        <w:t xml:space="preserve"> kitoms indikacijoms (išskyrus HCK) vartojo 1</w:t>
      </w:r>
      <w:r>
        <w:rPr>
          <w:rFonts w:eastAsia="Calibri"/>
          <w:sz w:val="22"/>
          <w:szCs w:val="22"/>
        </w:rPr>
        <w:t> </w:t>
      </w:r>
      <w:r w:rsidRPr="00C11F88">
        <w:rPr>
          <w:rFonts w:eastAsia="Calibri"/>
          <w:sz w:val="22"/>
          <w:szCs w:val="22"/>
        </w:rPr>
        <w:t>327 pacientai, pranešta apie kepenų nepakankamumą (įskaitant mirtinus atvejus) 4</w:t>
      </w:r>
      <w:r w:rsidR="00D53FC3">
        <w:rPr>
          <w:rFonts w:eastAsia="Calibri"/>
          <w:sz w:val="22"/>
          <w:szCs w:val="22"/>
        </w:rPr>
        <w:t> </w:t>
      </w:r>
      <w:r w:rsidRPr="00C11F88">
        <w:rPr>
          <w:rFonts w:eastAsia="Calibri"/>
          <w:sz w:val="22"/>
          <w:szCs w:val="22"/>
        </w:rPr>
        <w:t>pacientams (0,3</w:t>
      </w:r>
      <w:r>
        <w:rPr>
          <w:rFonts w:eastAsia="Calibri"/>
          <w:sz w:val="22"/>
          <w:szCs w:val="22"/>
        </w:rPr>
        <w:t> </w:t>
      </w:r>
      <w:r w:rsidRPr="00C11F88">
        <w:rPr>
          <w:rFonts w:eastAsia="Calibri"/>
          <w:sz w:val="22"/>
          <w:szCs w:val="22"/>
        </w:rPr>
        <w:t>%), kepenų pažeidimas – 2</w:t>
      </w:r>
      <w:r w:rsidR="00D53FC3">
        <w:rPr>
          <w:rFonts w:eastAsia="Calibri"/>
          <w:sz w:val="22"/>
          <w:szCs w:val="22"/>
        </w:rPr>
        <w:t> </w:t>
      </w:r>
      <w:r w:rsidRPr="00C11F88">
        <w:rPr>
          <w:rFonts w:eastAsia="Calibri"/>
          <w:sz w:val="22"/>
          <w:szCs w:val="22"/>
        </w:rPr>
        <w:t>pacientams (0,2</w:t>
      </w:r>
      <w:r w:rsidR="00D53FC3">
        <w:rPr>
          <w:rFonts w:eastAsia="Calibri"/>
          <w:sz w:val="22"/>
          <w:szCs w:val="22"/>
        </w:rPr>
        <w:t> </w:t>
      </w:r>
      <w:r w:rsidRPr="00C11F88">
        <w:rPr>
          <w:rFonts w:eastAsia="Calibri"/>
          <w:sz w:val="22"/>
          <w:szCs w:val="22"/>
        </w:rPr>
        <w:t>%), ūminis hepatitas – 2</w:t>
      </w:r>
      <w:r w:rsidR="00D53FC3">
        <w:rPr>
          <w:rFonts w:eastAsia="Calibri"/>
          <w:sz w:val="22"/>
          <w:szCs w:val="22"/>
        </w:rPr>
        <w:t> </w:t>
      </w:r>
      <w:r w:rsidRPr="00C11F88">
        <w:rPr>
          <w:rFonts w:eastAsia="Calibri"/>
          <w:sz w:val="22"/>
          <w:szCs w:val="22"/>
        </w:rPr>
        <w:t>pacientams (0,2</w:t>
      </w:r>
      <w:r w:rsidR="00D53FC3">
        <w:rPr>
          <w:rFonts w:eastAsia="Calibri"/>
          <w:sz w:val="22"/>
          <w:szCs w:val="22"/>
        </w:rPr>
        <w:t> </w:t>
      </w:r>
      <w:r w:rsidRPr="00C11F88">
        <w:rPr>
          <w:rFonts w:eastAsia="Calibri"/>
          <w:sz w:val="22"/>
          <w:szCs w:val="22"/>
        </w:rPr>
        <w:t xml:space="preserve">%), o </w:t>
      </w:r>
      <w:proofErr w:type="spellStart"/>
      <w:r w:rsidRPr="00C11F88">
        <w:rPr>
          <w:rFonts w:eastAsia="Calibri"/>
          <w:sz w:val="22"/>
          <w:szCs w:val="22"/>
        </w:rPr>
        <w:t>hepatoceliulinis</w:t>
      </w:r>
      <w:proofErr w:type="spellEnd"/>
      <w:r w:rsidRPr="00C11F88">
        <w:rPr>
          <w:rFonts w:eastAsia="Calibri"/>
          <w:sz w:val="22"/>
          <w:szCs w:val="22"/>
        </w:rPr>
        <w:t xml:space="preserve"> pažeidimas – 1</w:t>
      </w:r>
      <w:r w:rsidR="00D53FC3">
        <w:rPr>
          <w:rFonts w:eastAsia="Calibri"/>
          <w:sz w:val="22"/>
          <w:szCs w:val="22"/>
        </w:rPr>
        <w:t> </w:t>
      </w:r>
      <w:r w:rsidRPr="00C11F88">
        <w:rPr>
          <w:rFonts w:eastAsia="Calibri"/>
          <w:sz w:val="22"/>
          <w:szCs w:val="22"/>
        </w:rPr>
        <w:t>pacientui (0,1</w:t>
      </w:r>
      <w:r w:rsidR="00D53FC3">
        <w:rPr>
          <w:rFonts w:eastAsia="Calibri"/>
          <w:sz w:val="22"/>
          <w:szCs w:val="22"/>
        </w:rPr>
        <w:t> </w:t>
      </w:r>
      <w:r w:rsidRPr="00C11F88">
        <w:rPr>
          <w:rFonts w:eastAsia="Calibri"/>
          <w:sz w:val="22"/>
          <w:szCs w:val="22"/>
        </w:rPr>
        <w:t xml:space="preserve">%). </w:t>
      </w:r>
    </w:p>
    <w:p w14:paraId="482277A7" w14:textId="77777777" w:rsidR="00080C68" w:rsidRPr="004F572A" w:rsidRDefault="00080C68" w:rsidP="000928CA">
      <w:pPr>
        <w:widowControl w:val="0"/>
        <w:tabs>
          <w:tab w:val="clear" w:pos="567"/>
        </w:tabs>
        <w:rPr>
          <w:rFonts w:eastAsia="Calibri"/>
          <w:sz w:val="22"/>
          <w:szCs w:val="22"/>
        </w:rPr>
      </w:pPr>
    </w:p>
    <w:p w14:paraId="2DA9BAB4" w14:textId="77777777" w:rsidR="00104C74" w:rsidRPr="004F572A" w:rsidRDefault="00104C74" w:rsidP="00104C74">
      <w:pPr>
        <w:widowControl w:val="0"/>
        <w:tabs>
          <w:tab w:val="clear" w:pos="567"/>
        </w:tabs>
        <w:rPr>
          <w:rFonts w:eastAsia="Calibri"/>
          <w:i/>
          <w:iCs/>
          <w:sz w:val="22"/>
          <w:szCs w:val="22"/>
        </w:rPr>
      </w:pPr>
      <w:r w:rsidRPr="004F572A">
        <w:rPr>
          <w:rFonts w:eastAsia="Calibri"/>
          <w:i/>
          <w:iCs/>
          <w:sz w:val="22"/>
          <w:szCs w:val="22"/>
        </w:rPr>
        <w:t>EK</w:t>
      </w:r>
    </w:p>
    <w:p w14:paraId="716A6B20" w14:textId="77777777" w:rsidR="00104C74" w:rsidRPr="004F572A" w:rsidRDefault="00104C74" w:rsidP="00104C74">
      <w:pPr>
        <w:widowControl w:val="0"/>
        <w:tabs>
          <w:tab w:val="clear" w:pos="567"/>
        </w:tabs>
        <w:rPr>
          <w:rFonts w:eastAsia="Calibri"/>
          <w:sz w:val="22"/>
          <w:szCs w:val="22"/>
        </w:rPr>
      </w:pPr>
    </w:p>
    <w:p w14:paraId="636C4D40" w14:textId="6B9BFD43" w:rsidR="00104C74" w:rsidRPr="004F572A" w:rsidRDefault="00104C74" w:rsidP="00104C74">
      <w:pPr>
        <w:widowControl w:val="0"/>
        <w:tabs>
          <w:tab w:val="clear" w:pos="567"/>
        </w:tabs>
        <w:rPr>
          <w:rFonts w:eastAsia="Calibri"/>
          <w:sz w:val="22"/>
          <w:szCs w:val="22"/>
        </w:rPr>
      </w:pPr>
      <w:r w:rsidRPr="004F572A">
        <w:rPr>
          <w:rFonts w:eastAsia="Calibri"/>
          <w:sz w:val="22"/>
          <w:szCs w:val="22"/>
        </w:rPr>
        <w:t>3</w:t>
      </w:r>
      <w:r w:rsidR="00D53FC3">
        <w:rPr>
          <w:rFonts w:eastAsia="Calibri"/>
          <w:sz w:val="22"/>
          <w:szCs w:val="22"/>
        </w:rPr>
        <w:t> </w:t>
      </w:r>
      <w:r w:rsidRPr="004F572A">
        <w:rPr>
          <w:rFonts w:eastAsia="Calibri"/>
          <w:sz w:val="22"/>
          <w:szCs w:val="22"/>
        </w:rPr>
        <w:t>fazės 309 tyrim</w:t>
      </w:r>
      <w:r w:rsidR="00C11F88">
        <w:rPr>
          <w:rFonts w:eastAsia="Calibri"/>
          <w:sz w:val="22"/>
          <w:szCs w:val="22"/>
        </w:rPr>
        <w:t>e</w:t>
      </w:r>
      <w:r w:rsidRPr="004F572A">
        <w:rPr>
          <w:rFonts w:eastAsia="Calibri"/>
          <w:sz w:val="22"/>
          <w:szCs w:val="22"/>
        </w:rPr>
        <w:t xml:space="preserve"> (žr. 5.1 skyrių) toksinis poveikis kepenims pasireiškė 33,7 % </w:t>
      </w:r>
      <w:proofErr w:type="spellStart"/>
      <w:r w:rsidRPr="004F572A">
        <w:rPr>
          <w:rFonts w:eastAsia="Calibri"/>
          <w:sz w:val="22"/>
          <w:szCs w:val="22"/>
        </w:rPr>
        <w:t>lenvatinibo</w:t>
      </w:r>
      <w:proofErr w:type="spellEnd"/>
      <w:r w:rsidRPr="004F572A">
        <w:rPr>
          <w:rFonts w:eastAsia="Calibri"/>
          <w:sz w:val="22"/>
          <w:szCs w:val="22"/>
        </w:rPr>
        <w:t xml:space="preserve"> ir </w:t>
      </w:r>
      <w:proofErr w:type="spellStart"/>
      <w:r w:rsidRPr="004F572A">
        <w:rPr>
          <w:rFonts w:eastAsia="Calibri"/>
          <w:sz w:val="22"/>
          <w:szCs w:val="22"/>
        </w:rPr>
        <w:t>pembrolizumabo</w:t>
      </w:r>
      <w:proofErr w:type="spellEnd"/>
      <w:r w:rsidRPr="004F572A">
        <w:rPr>
          <w:rFonts w:eastAsia="Calibri"/>
          <w:sz w:val="22"/>
          <w:szCs w:val="22"/>
        </w:rPr>
        <w:t xml:space="preserve"> deriniu gydytų pacientų</w:t>
      </w:r>
      <w:r w:rsidR="00C11F88">
        <w:rPr>
          <w:rFonts w:eastAsia="Calibri"/>
          <w:sz w:val="22"/>
          <w:szCs w:val="22"/>
        </w:rPr>
        <w:t>, o</w:t>
      </w:r>
      <w:r w:rsidRPr="004F572A">
        <w:rPr>
          <w:rFonts w:eastAsia="Calibri"/>
          <w:sz w:val="22"/>
          <w:szCs w:val="22"/>
        </w:rPr>
        <w:t xml:space="preserve"> ≥ 3</w:t>
      </w:r>
      <w:r w:rsidR="00D53FC3">
        <w:rPr>
          <w:rFonts w:eastAsia="Calibri"/>
          <w:sz w:val="22"/>
          <w:szCs w:val="22"/>
        </w:rPr>
        <w:t> </w:t>
      </w:r>
      <w:r w:rsidRPr="004F572A">
        <w:rPr>
          <w:rFonts w:eastAsia="Calibri"/>
          <w:sz w:val="22"/>
          <w:szCs w:val="22"/>
        </w:rPr>
        <w:t>laipsnio reakcijos pasireiškė 12,1 % pacientų. Vidutinis laikas iki pradžios buvo 56,0</w:t>
      </w:r>
      <w:r w:rsidR="00D53FC3">
        <w:rPr>
          <w:rFonts w:eastAsia="Calibri"/>
          <w:sz w:val="22"/>
          <w:szCs w:val="22"/>
        </w:rPr>
        <w:t> </w:t>
      </w:r>
      <w:r w:rsidRPr="004F572A">
        <w:rPr>
          <w:rFonts w:eastAsia="Calibri"/>
          <w:sz w:val="22"/>
          <w:szCs w:val="22"/>
        </w:rPr>
        <w:t xml:space="preserve">dienos. </w:t>
      </w:r>
      <w:proofErr w:type="spellStart"/>
      <w:r w:rsidR="00C11F88" w:rsidRPr="00C11F88">
        <w:rPr>
          <w:rFonts w:eastAsia="Calibri"/>
          <w:sz w:val="22"/>
          <w:szCs w:val="22"/>
        </w:rPr>
        <w:t>Lenvatinibo</w:t>
      </w:r>
      <w:proofErr w:type="spellEnd"/>
      <w:r w:rsidR="00C11F88" w:rsidRPr="00C11F88">
        <w:rPr>
          <w:rFonts w:eastAsia="Calibri"/>
          <w:sz w:val="22"/>
          <w:szCs w:val="22"/>
        </w:rPr>
        <w:t xml:space="preserve"> vartojimą </w:t>
      </w:r>
      <w:r w:rsidR="00C11F88">
        <w:rPr>
          <w:rFonts w:eastAsia="Calibri"/>
          <w:sz w:val="22"/>
          <w:szCs w:val="22"/>
        </w:rPr>
        <w:t>laikinai sustabdė</w:t>
      </w:r>
      <w:r w:rsidR="00551A11" w:rsidRPr="004F572A">
        <w:rPr>
          <w:rFonts w:eastAsia="Calibri"/>
          <w:sz w:val="22"/>
          <w:szCs w:val="22"/>
        </w:rPr>
        <w:t>, sumažino ir nutraukė</w:t>
      </w:r>
      <w:r w:rsidRPr="004F572A">
        <w:rPr>
          <w:rFonts w:eastAsia="Calibri"/>
          <w:sz w:val="22"/>
          <w:szCs w:val="22"/>
        </w:rPr>
        <w:t xml:space="preserve"> atitinkamai 5,2</w:t>
      </w:r>
      <w:r w:rsidR="00551A11" w:rsidRPr="004F572A">
        <w:rPr>
          <w:rFonts w:eastAsia="Calibri"/>
          <w:sz w:val="22"/>
          <w:szCs w:val="22"/>
        </w:rPr>
        <w:t> </w:t>
      </w:r>
      <w:r w:rsidRPr="004F572A">
        <w:rPr>
          <w:rFonts w:eastAsia="Calibri"/>
          <w:sz w:val="22"/>
          <w:szCs w:val="22"/>
        </w:rPr>
        <w:t>%, 3,0</w:t>
      </w:r>
      <w:r w:rsidR="00551A11" w:rsidRPr="004F572A">
        <w:rPr>
          <w:rFonts w:eastAsia="Calibri"/>
          <w:sz w:val="22"/>
          <w:szCs w:val="22"/>
        </w:rPr>
        <w:t> </w:t>
      </w:r>
      <w:r w:rsidRPr="004F572A">
        <w:rPr>
          <w:rFonts w:eastAsia="Calibri"/>
          <w:sz w:val="22"/>
          <w:szCs w:val="22"/>
        </w:rPr>
        <w:t>% ir 1,2</w:t>
      </w:r>
      <w:r w:rsidR="00551A11" w:rsidRPr="004F572A">
        <w:rPr>
          <w:rFonts w:eastAsia="Calibri"/>
          <w:sz w:val="22"/>
          <w:szCs w:val="22"/>
        </w:rPr>
        <w:t> </w:t>
      </w:r>
      <w:r w:rsidRPr="004F572A">
        <w:rPr>
          <w:rFonts w:eastAsia="Calibri"/>
          <w:sz w:val="22"/>
          <w:szCs w:val="22"/>
        </w:rPr>
        <w:t>% pacientų.</w:t>
      </w:r>
    </w:p>
    <w:p w14:paraId="2439C8F7" w14:textId="77777777" w:rsidR="00551A11" w:rsidRPr="004F572A" w:rsidRDefault="00551A11" w:rsidP="00104C74">
      <w:pPr>
        <w:widowControl w:val="0"/>
        <w:tabs>
          <w:tab w:val="clear" w:pos="567"/>
        </w:tabs>
        <w:rPr>
          <w:rFonts w:eastAsia="Calibri"/>
          <w:i/>
          <w:iCs/>
          <w:sz w:val="22"/>
          <w:szCs w:val="22"/>
        </w:rPr>
      </w:pPr>
    </w:p>
    <w:p w14:paraId="01B3540F" w14:textId="77777777" w:rsidR="00551A11" w:rsidRPr="004F572A" w:rsidRDefault="00104C74" w:rsidP="00104C74">
      <w:pPr>
        <w:widowControl w:val="0"/>
        <w:tabs>
          <w:tab w:val="clear" w:pos="567"/>
        </w:tabs>
        <w:rPr>
          <w:rFonts w:eastAsia="Calibri"/>
          <w:i/>
          <w:iCs/>
          <w:sz w:val="22"/>
          <w:szCs w:val="22"/>
          <w:u w:val="single"/>
        </w:rPr>
      </w:pPr>
      <w:r w:rsidRPr="004F572A">
        <w:rPr>
          <w:rFonts w:eastAsia="Calibri"/>
          <w:i/>
          <w:iCs/>
          <w:sz w:val="22"/>
          <w:szCs w:val="22"/>
          <w:u w:val="single"/>
        </w:rPr>
        <w:t xml:space="preserve">Arterinė tromboembolija (žr. 4.4 skyrių) </w:t>
      </w:r>
    </w:p>
    <w:p w14:paraId="0C9DA7D2" w14:textId="77777777" w:rsidR="00551A11" w:rsidRPr="004F572A" w:rsidRDefault="00551A11" w:rsidP="00104C74">
      <w:pPr>
        <w:widowControl w:val="0"/>
        <w:tabs>
          <w:tab w:val="clear" w:pos="567"/>
        </w:tabs>
        <w:rPr>
          <w:rFonts w:eastAsia="Calibri"/>
          <w:i/>
          <w:iCs/>
          <w:sz w:val="22"/>
          <w:szCs w:val="22"/>
        </w:rPr>
      </w:pPr>
    </w:p>
    <w:p w14:paraId="4CDC837D" w14:textId="57AC6B4F" w:rsidR="00104C74" w:rsidRPr="004F572A" w:rsidRDefault="00104C74" w:rsidP="00104C74">
      <w:pPr>
        <w:widowControl w:val="0"/>
        <w:tabs>
          <w:tab w:val="clear" w:pos="567"/>
        </w:tabs>
        <w:rPr>
          <w:rFonts w:eastAsia="Calibri"/>
          <w:i/>
          <w:iCs/>
          <w:sz w:val="22"/>
          <w:szCs w:val="22"/>
        </w:rPr>
      </w:pPr>
      <w:r w:rsidRPr="004F572A">
        <w:rPr>
          <w:rFonts w:eastAsia="Calibri"/>
          <w:i/>
          <w:iCs/>
          <w:sz w:val="22"/>
          <w:szCs w:val="22"/>
        </w:rPr>
        <w:t>DSK</w:t>
      </w:r>
    </w:p>
    <w:p w14:paraId="6F099F18" w14:textId="77777777" w:rsidR="00551A11" w:rsidRPr="004F572A" w:rsidRDefault="00551A11" w:rsidP="00104C74">
      <w:pPr>
        <w:widowControl w:val="0"/>
        <w:tabs>
          <w:tab w:val="clear" w:pos="567"/>
        </w:tabs>
        <w:rPr>
          <w:rFonts w:eastAsia="Calibri"/>
          <w:sz w:val="22"/>
          <w:szCs w:val="22"/>
        </w:rPr>
      </w:pPr>
    </w:p>
    <w:p w14:paraId="42AD3A30" w14:textId="04E168D4" w:rsidR="00104C74" w:rsidRPr="004F572A" w:rsidRDefault="00104C74" w:rsidP="00104C74">
      <w:pPr>
        <w:widowControl w:val="0"/>
        <w:tabs>
          <w:tab w:val="clear" w:pos="567"/>
        </w:tabs>
        <w:rPr>
          <w:rFonts w:eastAsia="Calibri"/>
          <w:sz w:val="22"/>
          <w:szCs w:val="22"/>
        </w:rPr>
      </w:pPr>
      <w:r w:rsidRPr="004F572A">
        <w:rPr>
          <w:rFonts w:eastAsia="Calibri"/>
          <w:sz w:val="22"/>
          <w:szCs w:val="22"/>
        </w:rPr>
        <w:t>Pagrindinio 3</w:t>
      </w:r>
      <w:r w:rsidR="00D53FC3">
        <w:rPr>
          <w:rFonts w:eastAsia="Calibri"/>
          <w:sz w:val="22"/>
          <w:szCs w:val="22"/>
        </w:rPr>
        <w:t> </w:t>
      </w:r>
      <w:r w:rsidRPr="004F572A">
        <w:rPr>
          <w:rFonts w:eastAsia="Calibri"/>
          <w:sz w:val="22"/>
          <w:szCs w:val="22"/>
        </w:rPr>
        <w:t xml:space="preserve">fazės tyrimo SELECT </w:t>
      </w:r>
      <w:r w:rsidR="00C11F88">
        <w:rPr>
          <w:rFonts w:eastAsia="Calibri"/>
          <w:sz w:val="22"/>
          <w:szCs w:val="22"/>
        </w:rPr>
        <w:t xml:space="preserve">metu </w:t>
      </w:r>
      <w:r w:rsidRPr="004F572A">
        <w:rPr>
          <w:rFonts w:eastAsia="Calibri"/>
          <w:sz w:val="22"/>
          <w:szCs w:val="22"/>
        </w:rPr>
        <w:t>(žr. 5.1 skyrių) arterinės tromboembolijos reiškini</w:t>
      </w:r>
      <w:r w:rsidR="00C11F88">
        <w:rPr>
          <w:rFonts w:eastAsia="Calibri"/>
          <w:sz w:val="22"/>
          <w:szCs w:val="22"/>
        </w:rPr>
        <w:t>ai nustatyti</w:t>
      </w:r>
      <w:r w:rsidRPr="004F572A">
        <w:rPr>
          <w:rFonts w:eastAsia="Calibri"/>
          <w:sz w:val="22"/>
          <w:szCs w:val="22"/>
        </w:rPr>
        <w:t xml:space="preserve"> 5,4</w:t>
      </w:r>
      <w:r w:rsidR="003A40FA" w:rsidRPr="004F572A">
        <w:rPr>
          <w:rFonts w:eastAsia="Calibri"/>
          <w:sz w:val="22"/>
          <w:szCs w:val="22"/>
        </w:rPr>
        <w:t> </w:t>
      </w:r>
      <w:r w:rsidRPr="004F572A">
        <w:rPr>
          <w:rFonts w:eastAsia="Calibri"/>
          <w:sz w:val="22"/>
          <w:szCs w:val="22"/>
        </w:rPr>
        <w:t xml:space="preserve">% </w:t>
      </w:r>
      <w:proofErr w:type="spellStart"/>
      <w:r w:rsidRPr="004F572A">
        <w:rPr>
          <w:rFonts w:eastAsia="Calibri"/>
          <w:sz w:val="22"/>
          <w:szCs w:val="22"/>
        </w:rPr>
        <w:t>lenvatinibu</w:t>
      </w:r>
      <w:proofErr w:type="spellEnd"/>
      <w:r w:rsidRPr="004F572A">
        <w:rPr>
          <w:rFonts w:eastAsia="Calibri"/>
          <w:sz w:val="22"/>
          <w:szCs w:val="22"/>
        </w:rPr>
        <w:t xml:space="preserve"> gydytų pacientų ir 2,3</w:t>
      </w:r>
      <w:r w:rsidR="003A40FA" w:rsidRPr="004F572A">
        <w:rPr>
          <w:rFonts w:eastAsia="Calibri"/>
          <w:sz w:val="22"/>
          <w:szCs w:val="22"/>
        </w:rPr>
        <w:t> </w:t>
      </w:r>
      <w:r w:rsidRPr="004F572A">
        <w:rPr>
          <w:rFonts w:eastAsia="Calibri"/>
          <w:sz w:val="22"/>
          <w:szCs w:val="22"/>
        </w:rPr>
        <w:t>% placebo grupės pacientų.</w:t>
      </w:r>
    </w:p>
    <w:p w14:paraId="124BC112" w14:textId="77777777" w:rsidR="003A40FA" w:rsidRPr="004F572A" w:rsidRDefault="003A40FA" w:rsidP="00104C74">
      <w:pPr>
        <w:widowControl w:val="0"/>
        <w:tabs>
          <w:tab w:val="clear" w:pos="567"/>
        </w:tabs>
        <w:rPr>
          <w:rFonts w:eastAsia="Calibri"/>
          <w:i/>
          <w:iCs/>
          <w:sz w:val="22"/>
          <w:szCs w:val="22"/>
        </w:rPr>
      </w:pPr>
    </w:p>
    <w:p w14:paraId="0A9E0CDF" w14:textId="2CD569E2" w:rsidR="00104C74" w:rsidRPr="004F572A" w:rsidRDefault="00104C74" w:rsidP="00104C74">
      <w:pPr>
        <w:widowControl w:val="0"/>
        <w:tabs>
          <w:tab w:val="clear" w:pos="567"/>
        </w:tabs>
        <w:rPr>
          <w:rFonts w:eastAsia="Calibri"/>
          <w:i/>
          <w:iCs/>
          <w:sz w:val="22"/>
          <w:szCs w:val="22"/>
        </w:rPr>
      </w:pPr>
      <w:r w:rsidRPr="004F572A">
        <w:rPr>
          <w:rFonts w:eastAsia="Calibri"/>
          <w:i/>
          <w:iCs/>
          <w:sz w:val="22"/>
          <w:szCs w:val="22"/>
        </w:rPr>
        <w:t>HCK</w:t>
      </w:r>
    </w:p>
    <w:p w14:paraId="01D19B2D" w14:textId="1B7E8F5D" w:rsidR="003A40FA" w:rsidRPr="004F572A" w:rsidRDefault="00104C74" w:rsidP="00104C74">
      <w:pPr>
        <w:widowControl w:val="0"/>
        <w:tabs>
          <w:tab w:val="clear" w:pos="567"/>
        </w:tabs>
        <w:rPr>
          <w:rFonts w:eastAsia="Calibri"/>
          <w:sz w:val="22"/>
          <w:szCs w:val="22"/>
        </w:rPr>
      </w:pPr>
      <w:r w:rsidRPr="004F572A">
        <w:rPr>
          <w:rFonts w:eastAsia="Calibri"/>
          <w:sz w:val="22"/>
          <w:szCs w:val="22"/>
        </w:rPr>
        <w:t>3</w:t>
      </w:r>
      <w:r w:rsidR="00D53FC3">
        <w:rPr>
          <w:rFonts w:eastAsia="Calibri"/>
          <w:sz w:val="22"/>
          <w:szCs w:val="22"/>
        </w:rPr>
        <w:t> </w:t>
      </w:r>
      <w:r w:rsidRPr="004F572A">
        <w:rPr>
          <w:rFonts w:eastAsia="Calibri"/>
          <w:sz w:val="22"/>
          <w:szCs w:val="22"/>
        </w:rPr>
        <w:t>fazės REFLECT tyrim</w:t>
      </w:r>
      <w:r w:rsidR="00C11F88">
        <w:rPr>
          <w:rFonts w:eastAsia="Calibri"/>
          <w:sz w:val="22"/>
          <w:szCs w:val="22"/>
        </w:rPr>
        <w:t>e</w:t>
      </w:r>
      <w:r w:rsidRPr="004F572A">
        <w:rPr>
          <w:rFonts w:eastAsia="Calibri"/>
          <w:sz w:val="22"/>
          <w:szCs w:val="22"/>
        </w:rPr>
        <w:t xml:space="preserve"> (žr. 5.1 skyrių) arterijų tromboembolijos </w:t>
      </w:r>
      <w:r w:rsidR="00C11F88">
        <w:rPr>
          <w:rFonts w:eastAsia="Calibri"/>
          <w:sz w:val="22"/>
          <w:szCs w:val="22"/>
        </w:rPr>
        <w:t>epizodai buvo užregistruoti</w:t>
      </w:r>
      <w:r w:rsidRPr="004F572A">
        <w:rPr>
          <w:rFonts w:eastAsia="Calibri"/>
          <w:sz w:val="22"/>
          <w:szCs w:val="22"/>
        </w:rPr>
        <w:t xml:space="preserve"> 2,3</w:t>
      </w:r>
      <w:r w:rsidR="003A40FA" w:rsidRPr="004F572A">
        <w:rPr>
          <w:rFonts w:eastAsia="Calibri"/>
          <w:sz w:val="22"/>
          <w:szCs w:val="22"/>
        </w:rPr>
        <w:t> </w:t>
      </w:r>
      <w:r w:rsidRPr="004F572A">
        <w:rPr>
          <w:rFonts w:eastAsia="Calibri"/>
          <w:sz w:val="22"/>
          <w:szCs w:val="22"/>
        </w:rPr>
        <w:t xml:space="preserve">% </w:t>
      </w:r>
      <w:proofErr w:type="spellStart"/>
      <w:r w:rsidRPr="004F572A">
        <w:rPr>
          <w:rFonts w:eastAsia="Calibri"/>
          <w:sz w:val="22"/>
          <w:szCs w:val="22"/>
        </w:rPr>
        <w:t>lenvatinibu</w:t>
      </w:r>
      <w:proofErr w:type="spellEnd"/>
      <w:r w:rsidRPr="004F572A">
        <w:rPr>
          <w:rFonts w:eastAsia="Calibri"/>
          <w:sz w:val="22"/>
          <w:szCs w:val="22"/>
        </w:rPr>
        <w:t xml:space="preserve"> gydytų pacientų.</w:t>
      </w:r>
    </w:p>
    <w:p w14:paraId="248BA145" w14:textId="77777777" w:rsidR="003A40FA" w:rsidRPr="004F572A" w:rsidRDefault="003A40FA" w:rsidP="00104C74">
      <w:pPr>
        <w:widowControl w:val="0"/>
        <w:tabs>
          <w:tab w:val="clear" w:pos="567"/>
        </w:tabs>
        <w:rPr>
          <w:rFonts w:eastAsia="Calibri"/>
          <w:sz w:val="22"/>
          <w:szCs w:val="22"/>
        </w:rPr>
      </w:pPr>
    </w:p>
    <w:p w14:paraId="4C535E90" w14:textId="7753AF17" w:rsidR="00104C74" w:rsidRPr="004F572A" w:rsidRDefault="00104C74" w:rsidP="00104C74">
      <w:pPr>
        <w:widowControl w:val="0"/>
        <w:tabs>
          <w:tab w:val="clear" w:pos="567"/>
        </w:tabs>
        <w:rPr>
          <w:rFonts w:eastAsia="Calibri"/>
          <w:sz w:val="22"/>
          <w:szCs w:val="22"/>
        </w:rPr>
      </w:pPr>
      <w:r w:rsidRPr="004F572A">
        <w:rPr>
          <w:rFonts w:eastAsia="Calibri"/>
          <w:sz w:val="22"/>
          <w:szCs w:val="22"/>
        </w:rPr>
        <w:t>Klinikini</w:t>
      </w:r>
      <w:r w:rsidR="00C11F88">
        <w:rPr>
          <w:rFonts w:eastAsia="Calibri"/>
          <w:sz w:val="22"/>
          <w:szCs w:val="22"/>
        </w:rPr>
        <w:t>uose</w:t>
      </w:r>
      <w:r w:rsidRPr="004F572A">
        <w:rPr>
          <w:rFonts w:eastAsia="Calibri"/>
          <w:sz w:val="22"/>
          <w:szCs w:val="22"/>
        </w:rPr>
        <w:t xml:space="preserve"> tyrim</w:t>
      </w:r>
      <w:r w:rsidR="00C11F88">
        <w:rPr>
          <w:rFonts w:eastAsia="Calibri"/>
          <w:sz w:val="22"/>
          <w:szCs w:val="22"/>
        </w:rPr>
        <w:t>uose</w:t>
      </w:r>
      <w:r w:rsidRPr="004F572A">
        <w:rPr>
          <w:rFonts w:eastAsia="Calibri"/>
          <w:sz w:val="22"/>
          <w:szCs w:val="22"/>
        </w:rPr>
        <w:t xml:space="preserve"> </w:t>
      </w:r>
      <w:r w:rsidR="00C11F88" w:rsidRPr="004F572A">
        <w:rPr>
          <w:rFonts w:eastAsia="Calibri"/>
          <w:sz w:val="22"/>
          <w:szCs w:val="22"/>
        </w:rPr>
        <w:t xml:space="preserve">10 (0,5 %) </w:t>
      </w:r>
      <w:r w:rsidRPr="004F572A">
        <w:rPr>
          <w:rFonts w:eastAsia="Calibri"/>
          <w:sz w:val="22"/>
          <w:szCs w:val="22"/>
        </w:rPr>
        <w:t>iš 1</w:t>
      </w:r>
      <w:r w:rsidR="00D53FC3">
        <w:rPr>
          <w:rFonts w:eastAsia="Calibri"/>
          <w:sz w:val="22"/>
          <w:szCs w:val="22"/>
        </w:rPr>
        <w:t> </w:t>
      </w:r>
      <w:r w:rsidRPr="004F572A">
        <w:rPr>
          <w:rFonts w:eastAsia="Calibri"/>
          <w:sz w:val="22"/>
          <w:szCs w:val="22"/>
        </w:rPr>
        <w:t>823 tik</w:t>
      </w:r>
      <w:r w:rsidR="00D63E87">
        <w:rPr>
          <w:rFonts w:eastAsia="Calibri"/>
          <w:sz w:val="22"/>
          <w:szCs w:val="22"/>
        </w:rPr>
        <w:t xml:space="preserve"> </w:t>
      </w:r>
      <w:proofErr w:type="spellStart"/>
      <w:r w:rsidRPr="004F572A">
        <w:rPr>
          <w:rFonts w:eastAsia="Calibri"/>
          <w:sz w:val="22"/>
          <w:szCs w:val="22"/>
        </w:rPr>
        <w:t>lenvatinibu</w:t>
      </w:r>
      <w:proofErr w:type="spellEnd"/>
      <w:r w:rsidRPr="004F572A">
        <w:rPr>
          <w:rFonts w:eastAsia="Calibri"/>
          <w:sz w:val="22"/>
          <w:szCs w:val="22"/>
        </w:rPr>
        <w:t xml:space="preserve"> gydytų pacientų nustatyta arterinė tromboembolija (5 miokardo infarkto atvejai ir 5 smegenų kraujagyslių sutrikimo atvejai)</w:t>
      </w:r>
      <w:r w:rsidR="00C11F88">
        <w:rPr>
          <w:rFonts w:eastAsia="Calibri"/>
          <w:sz w:val="22"/>
          <w:szCs w:val="22"/>
        </w:rPr>
        <w:t>, kuri baigėsi mirtimi</w:t>
      </w:r>
      <w:r w:rsidRPr="004F572A">
        <w:rPr>
          <w:rFonts w:eastAsia="Calibri"/>
          <w:sz w:val="22"/>
          <w:szCs w:val="22"/>
        </w:rPr>
        <w:t>.</w:t>
      </w:r>
    </w:p>
    <w:p w14:paraId="05E684E1" w14:textId="77777777" w:rsidR="003A40FA" w:rsidRPr="004F572A" w:rsidRDefault="003A40FA" w:rsidP="00104C74">
      <w:pPr>
        <w:widowControl w:val="0"/>
        <w:tabs>
          <w:tab w:val="clear" w:pos="567"/>
        </w:tabs>
        <w:rPr>
          <w:rFonts w:eastAsia="Calibri"/>
          <w:i/>
          <w:iCs/>
          <w:sz w:val="22"/>
          <w:szCs w:val="22"/>
        </w:rPr>
      </w:pPr>
    </w:p>
    <w:p w14:paraId="355FA9BB" w14:textId="7F05359B" w:rsidR="00104C74" w:rsidRPr="004F572A" w:rsidRDefault="00104C74" w:rsidP="00104C74">
      <w:pPr>
        <w:widowControl w:val="0"/>
        <w:tabs>
          <w:tab w:val="clear" w:pos="567"/>
        </w:tabs>
        <w:rPr>
          <w:rFonts w:eastAsia="Calibri"/>
          <w:i/>
          <w:iCs/>
          <w:sz w:val="22"/>
          <w:szCs w:val="22"/>
        </w:rPr>
      </w:pPr>
      <w:r w:rsidRPr="004F572A">
        <w:rPr>
          <w:rFonts w:eastAsia="Calibri"/>
          <w:i/>
          <w:iCs/>
          <w:sz w:val="22"/>
          <w:szCs w:val="22"/>
        </w:rPr>
        <w:t>EK</w:t>
      </w:r>
    </w:p>
    <w:p w14:paraId="2F19F210" w14:textId="77777777" w:rsidR="003A40FA" w:rsidRPr="004F572A" w:rsidRDefault="003A40FA" w:rsidP="00104C74">
      <w:pPr>
        <w:widowControl w:val="0"/>
        <w:tabs>
          <w:tab w:val="clear" w:pos="567"/>
        </w:tabs>
        <w:rPr>
          <w:rFonts w:eastAsia="Calibri"/>
          <w:sz w:val="22"/>
          <w:szCs w:val="22"/>
        </w:rPr>
      </w:pPr>
    </w:p>
    <w:p w14:paraId="31FF4898" w14:textId="008B59C0" w:rsidR="00104C74" w:rsidRPr="004F572A" w:rsidRDefault="00104C74" w:rsidP="00104C74">
      <w:pPr>
        <w:widowControl w:val="0"/>
        <w:tabs>
          <w:tab w:val="clear" w:pos="567"/>
        </w:tabs>
        <w:rPr>
          <w:rFonts w:eastAsia="Calibri"/>
          <w:sz w:val="22"/>
          <w:szCs w:val="22"/>
        </w:rPr>
      </w:pPr>
      <w:r w:rsidRPr="004F572A">
        <w:rPr>
          <w:rFonts w:eastAsia="Calibri"/>
          <w:sz w:val="22"/>
          <w:szCs w:val="22"/>
        </w:rPr>
        <w:t>3</w:t>
      </w:r>
      <w:r w:rsidR="00D53FC3">
        <w:rPr>
          <w:rFonts w:eastAsia="Calibri"/>
          <w:sz w:val="22"/>
          <w:szCs w:val="22"/>
        </w:rPr>
        <w:t> </w:t>
      </w:r>
      <w:r w:rsidRPr="004F572A">
        <w:rPr>
          <w:rFonts w:eastAsia="Calibri"/>
          <w:sz w:val="22"/>
          <w:szCs w:val="22"/>
        </w:rPr>
        <w:t>fazės 309 tyrim</w:t>
      </w:r>
      <w:r w:rsidR="00C11F88">
        <w:rPr>
          <w:rFonts w:eastAsia="Calibri"/>
          <w:sz w:val="22"/>
          <w:szCs w:val="22"/>
        </w:rPr>
        <w:t>e</w:t>
      </w:r>
      <w:r w:rsidRPr="004F572A">
        <w:rPr>
          <w:rFonts w:eastAsia="Calibri"/>
          <w:sz w:val="22"/>
          <w:szCs w:val="22"/>
        </w:rPr>
        <w:t xml:space="preserve"> (žr. 5.1 skyrių) </w:t>
      </w:r>
      <w:r w:rsidR="00E800CE" w:rsidRPr="004F572A">
        <w:rPr>
          <w:rFonts w:eastAsia="Calibri"/>
          <w:sz w:val="22"/>
          <w:szCs w:val="22"/>
        </w:rPr>
        <w:t xml:space="preserve">metu </w:t>
      </w:r>
      <w:r w:rsidRPr="004F572A">
        <w:rPr>
          <w:rFonts w:eastAsia="Calibri"/>
          <w:sz w:val="22"/>
          <w:szCs w:val="22"/>
        </w:rPr>
        <w:t>buvo pranešta apie arterijų tromboemboliją 3,7</w:t>
      </w:r>
      <w:r w:rsidR="00E800CE" w:rsidRPr="004F572A">
        <w:rPr>
          <w:rFonts w:eastAsia="Calibri"/>
          <w:sz w:val="22"/>
          <w:szCs w:val="22"/>
        </w:rPr>
        <w:t> </w:t>
      </w:r>
      <w:r w:rsidRPr="004F572A">
        <w:rPr>
          <w:rFonts w:eastAsia="Calibri"/>
          <w:sz w:val="22"/>
          <w:szCs w:val="22"/>
        </w:rPr>
        <w:t xml:space="preserve">% </w:t>
      </w:r>
      <w:proofErr w:type="spellStart"/>
      <w:r w:rsidRPr="004F572A">
        <w:rPr>
          <w:rFonts w:eastAsia="Calibri"/>
          <w:sz w:val="22"/>
          <w:szCs w:val="22"/>
        </w:rPr>
        <w:t>lenvatinibo</w:t>
      </w:r>
      <w:proofErr w:type="spellEnd"/>
      <w:r w:rsidRPr="004F572A">
        <w:rPr>
          <w:rFonts w:eastAsia="Calibri"/>
          <w:sz w:val="22"/>
          <w:szCs w:val="22"/>
        </w:rPr>
        <w:t xml:space="preserve"> ir </w:t>
      </w:r>
      <w:proofErr w:type="spellStart"/>
      <w:r w:rsidRPr="004F572A">
        <w:rPr>
          <w:rFonts w:eastAsia="Calibri"/>
          <w:sz w:val="22"/>
          <w:szCs w:val="22"/>
        </w:rPr>
        <w:t>pembrolizumabo</w:t>
      </w:r>
      <w:proofErr w:type="spellEnd"/>
      <w:r w:rsidRPr="004F572A">
        <w:rPr>
          <w:rFonts w:eastAsia="Calibri"/>
          <w:sz w:val="22"/>
          <w:szCs w:val="22"/>
        </w:rPr>
        <w:t xml:space="preserve"> </w:t>
      </w:r>
      <w:r w:rsidR="00E800CE" w:rsidRPr="004F572A">
        <w:rPr>
          <w:rFonts w:eastAsia="Calibri"/>
          <w:sz w:val="22"/>
          <w:szCs w:val="22"/>
        </w:rPr>
        <w:t xml:space="preserve">deriniu </w:t>
      </w:r>
      <w:r w:rsidRPr="004F572A">
        <w:rPr>
          <w:rFonts w:eastAsia="Calibri"/>
          <w:sz w:val="22"/>
          <w:szCs w:val="22"/>
        </w:rPr>
        <w:t>gydytų pacientų</w:t>
      </w:r>
      <w:r w:rsidR="00C11F88">
        <w:rPr>
          <w:rFonts w:eastAsia="Calibri"/>
          <w:sz w:val="22"/>
          <w:szCs w:val="22"/>
        </w:rPr>
        <w:t>, o</w:t>
      </w:r>
      <w:r w:rsidR="00E800CE" w:rsidRPr="004F572A">
        <w:rPr>
          <w:rFonts w:eastAsia="Calibri"/>
          <w:sz w:val="22"/>
          <w:szCs w:val="22"/>
        </w:rPr>
        <w:t xml:space="preserve"> </w:t>
      </w:r>
      <w:r w:rsidRPr="004F572A">
        <w:rPr>
          <w:rFonts w:eastAsia="Calibri"/>
          <w:sz w:val="22"/>
          <w:szCs w:val="22"/>
        </w:rPr>
        <w:t>≥</w:t>
      </w:r>
      <w:r w:rsidR="00E800CE" w:rsidRPr="004F572A">
        <w:rPr>
          <w:rFonts w:eastAsia="Calibri"/>
          <w:sz w:val="22"/>
          <w:szCs w:val="22"/>
        </w:rPr>
        <w:t> </w:t>
      </w:r>
      <w:r w:rsidRPr="004F572A">
        <w:rPr>
          <w:rFonts w:eastAsia="Calibri"/>
          <w:sz w:val="22"/>
          <w:szCs w:val="22"/>
        </w:rPr>
        <w:t>3</w:t>
      </w:r>
      <w:r w:rsidR="00D53FC3">
        <w:rPr>
          <w:rFonts w:eastAsia="Calibri"/>
          <w:sz w:val="22"/>
          <w:szCs w:val="22"/>
        </w:rPr>
        <w:t> </w:t>
      </w:r>
      <w:r w:rsidRPr="004F572A">
        <w:rPr>
          <w:rFonts w:eastAsia="Calibri"/>
          <w:sz w:val="22"/>
          <w:szCs w:val="22"/>
        </w:rPr>
        <w:t>laipsnio</w:t>
      </w:r>
      <w:r w:rsidR="00C11F88">
        <w:rPr>
          <w:rFonts w:eastAsia="Calibri"/>
          <w:sz w:val="22"/>
          <w:szCs w:val="22"/>
        </w:rPr>
        <w:t xml:space="preserve"> reakcijos pasireiškė </w:t>
      </w:r>
      <w:r w:rsidR="00C11F88" w:rsidRPr="004F572A">
        <w:rPr>
          <w:rFonts w:eastAsia="Calibri"/>
          <w:sz w:val="22"/>
          <w:szCs w:val="22"/>
        </w:rPr>
        <w:t>2,2 % pacientų</w:t>
      </w:r>
      <w:r w:rsidRPr="004F572A">
        <w:rPr>
          <w:rFonts w:eastAsia="Calibri"/>
          <w:sz w:val="22"/>
          <w:szCs w:val="22"/>
        </w:rPr>
        <w:t>. Vidutinis laikas iki pradžios buvo 59,0</w:t>
      </w:r>
      <w:r w:rsidR="00D53FC3">
        <w:rPr>
          <w:rFonts w:eastAsia="Calibri"/>
          <w:sz w:val="22"/>
          <w:szCs w:val="22"/>
        </w:rPr>
        <w:t> </w:t>
      </w:r>
      <w:r w:rsidRPr="004F572A">
        <w:rPr>
          <w:rFonts w:eastAsia="Calibri"/>
          <w:sz w:val="22"/>
          <w:szCs w:val="22"/>
        </w:rPr>
        <w:t xml:space="preserve">dienos. </w:t>
      </w:r>
      <w:proofErr w:type="spellStart"/>
      <w:r w:rsidR="00C11F88" w:rsidRPr="00C11F88">
        <w:rPr>
          <w:rFonts w:eastAsia="Calibri"/>
          <w:sz w:val="22"/>
          <w:szCs w:val="22"/>
        </w:rPr>
        <w:t>Lenvatinibo</w:t>
      </w:r>
      <w:proofErr w:type="spellEnd"/>
      <w:r w:rsidR="00C11F88" w:rsidRPr="00C11F88">
        <w:rPr>
          <w:rFonts w:eastAsia="Calibri"/>
          <w:sz w:val="22"/>
          <w:szCs w:val="22"/>
        </w:rPr>
        <w:t xml:space="preserve"> vartojimą laikinai sustabdė</w:t>
      </w:r>
      <w:r w:rsidR="00C11F88">
        <w:rPr>
          <w:rFonts w:eastAsia="Calibri"/>
          <w:sz w:val="22"/>
          <w:szCs w:val="22"/>
        </w:rPr>
        <w:t xml:space="preserve"> ir </w:t>
      </w:r>
      <w:r w:rsidRPr="004F572A">
        <w:rPr>
          <w:rFonts w:eastAsia="Calibri"/>
          <w:sz w:val="22"/>
          <w:szCs w:val="22"/>
        </w:rPr>
        <w:t>nutraukė atitinkamai 0,2</w:t>
      </w:r>
      <w:r w:rsidR="00E800CE" w:rsidRPr="004F572A">
        <w:rPr>
          <w:rFonts w:eastAsia="Calibri"/>
          <w:sz w:val="22"/>
          <w:szCs w:val="22"/>
        </w:rPr>
        <w:t> </w:t>
      </w:r>
      <w:r w:rsidRPr="004F572A">
        <w:rPr>
          <w:rFonts w:eastAsia="Calibri"/>
          <w:sz w:val="22"/>
          <w:szCs w:val="22"/>
        </w:rPr>
        <w:t>% ir 2,0</w:t>
      </w:r>
      <w:r w:rsidR="00E800CE" w:rsidRPr="004F572A">
        <w:rPr>
          <w:rFonts w:eastAsia="Calibri"/>
          <w:sz w:val="22"/>
          <w:szCs w:val="22"/>
        </w:rPr>
        <w:t> </w:t>
      </w:r>
      <w:r w:rsidRPr="004F572A">
        <w:rPr>
          <w:rFonts w:eastAsia="Calibri"/>
          <w:sz w:val="22"/>
          <w:szCs w:val="22"/>
        </w:rPr>
        <w:t>% pacientų.</w:t>
      </w:r>
    </w:p>
    <w:p w14:paraId="3245A13C" w14:textId="77777777" w:rsidR="00E800CE" w:rsidRPr="004F572A" w:rsidRDefault="00E800CE" w:rsidP="00104C74">
      <w:pPr>
        <w:widowControl w:val="0"/>
        <w:tabs>
          <w:tab w:val="clear" w:pos="567"/>
        </w:tabs>
        <w:rPr>
          <w:rFonts w:eastAsia="Calibri"/>
          <w:i/>
          <w:iCs/>
          <w:sz w:val="22"/>
          <w:szCs w:val="22"/>
        </w:rPr>
      </w:pPr>
    </w:p>
    <w:p w14:paraId="2F7583AA" w14:textId="55AD7F14" w:rsidR="00E800CE" w:rsidRPr="004F572A" w:rsidRDefault="00C11F88" w:rsidP="00104C74">
      <w:pPr>
        <w:widowControl w:val="0"/>
        <w:tabs>
          <w:tab w:val="clear" w:pos="567"/>
        </w:tabs>
        <w:rPr>
          <w:rFonts w:eastAsia="Calibri"/>
          <w:i/>
          <w:iCs/>
          <w:sz w:val="22"/>
          <w:szCs w:val="22"/>
          <w:u w:val="single"/>
        </w:rPr>
      </w:pPr>
      <w:proofErr w:type="spellStart"/>
      <w:r>
        <w:rPr>
          <w:rFonts w:eastAsia="Calibri"/>
          <w:i/>
          <w:iCs/>
          <w:sz w:val="22"/>
          <w:szCs w:val="22"/>
          <w:u w:val="single"/>
        </w:rPr>
        <w:t>Hemoragija</w:t>
      </w:r>
      <w:proofErr w:type="spellEnd"/>
      <w:r w:rsidRPr="004F572A">
        <w:rPr>
          <w:rFonts w:eastAsia="Calibri"/>
          <w:i/>
          <w:iCs/>
          <w:sz w:val="22"/>
          <w:szCs w:val="22"/>
          <w:u w:val="single"/>
        </w:rPr>
        <w:t xml:space="preserve"> </w:t>
      </w:r>
      <w:r w:rsidR="00104C74" w:rsidRPr="004F572A">
        <w:rPr>
          <w:rFonts w:eastAsia="Calibri"/>
          <w:i/>
          <w:iCs/>
          <w:sz w:val="22"/>
          <w:szCs w:val="22"/>
          <w:u w:val="single"/>
        </w:rPr>
        <w:t xml:space="preserve">(žr. 4.4 skyrių) </w:t>
      </w:r>
    </w:p>
    <w:p w14:paraId="68405991" w14:textId="77777777" w:rsidR="00E800CE" w:rsidRPr="004F572A" w:rsidRDefault="00E800CE" w:rsidP="00104C74">
      <w:pPr>
        <w:widowControl w:val="0"/>
        <w:tabs>
          <w:tab w:val="clear" w:pos="567"/>
        </w:tabs>
        <w:rPr>
          <w:rFonts w:eastAsia="Calibri"/>
          <w:i/>
          <w:iCs/>
          <w:sz w:val="22"/>
          <w:szCs w:val="22"/>
        </w:rPr>
      </w:pPr>
    </w:p>
    <w:p w14:paraId="76D34776" w14:textId="4A48DC83" w:rsidR="00080C68" w:rsidRPr="004F572A" w:rsidRDefault="00104C74" w:rsidP="00104C74">
      <w:pPr>
        <w:widowControl w:val="0"/>
        <w:tabs>
          <w:tab w:val="clear" w:pos="567"/>
        </w:tabs>
        <w:rPr>
          <w:rFonts w:eastAsia="Calibri"/>
          <w:sz w:val="22"/>
          <w:szCs w:val="22"/>
        </w:rPr>
      </w:pPr>
      <w:r w:rsidRPr="004F572A">
        <w:rPr>
          <w:rFonts w:eastAsia="Calibri"/>
          <w:i/>
          <w:iCs/>
          <w:sz w:val="22"/>
          <w:szCs w:val="22"/>
        </w:rPr>
        <w:t>DSK</w:t>
      </w:r>
    </w:p>
    <w:p w14:paraId="4393D540" w14:textId="77777777" w:rsidR="00080C68" w:rsidRPr="004F572A" w:rsidRDefault="00080C68" w:rsidP="000928CA">
      <w:pPr>
        <w:widowControl w:val="0"/>
        <w:tabs>
          <w:tab w:val="clear" w:pos="567"/>
        </w:tabs>
        <w:rPr>
          <w:rFonts w:eastAsia="Calibri"/>
          <w:sz w:val="22"/>
          <w:szCs w:val="22"/>
        </w:rPr>
      </w:pPr>
    </w:p>
    <w:p w14:paraId="15D2D010" w14:textId="48CBC9DD" w:rsidR="00B04B63" w:rsidRPr="004F572A" w:rsidRDefault="00B04B63" w:rsidP="00B04B63">
      <w:pPr>
        <w:widowControl w:val="0"/>
        <w:tabs>
          <w:tab w:val="clear" w:pos="567"/>
        </w:tabs>
        <w:rPr>
          <w:rFonts w:eastAsia="Calibri"/>
          <w:sz w:val="22"/>
          <w:szCs w:val="22"/>
        </w:rPr>
      </w:pPr>
      <w:r w:rsidRPr="004F572A">
        <w:rPr>
          <w:rFonts w:eastAsia="Calibri"/>
          <w:sz w:val="22"/>
          <w:szCs w:val="22"/>
        </w:rPr>
        <w:t>Pagrindinio 3</w:t>
      </w:r>
      <w:r w:rsidR="00D53FC3">
        <w:rPr>
          <w:rFonts w:eastAsia="Calibri"/>
          <w:sz w:val="22"/>
          <w:szCs w:val="22"/>
        </w:rPr>
        <w:t> </w:t>
      </w:r>
      <w:r w:rsidRPr="004F572A">
        <w:rPr>
          <w:rFonts w:eastAsia="Calibri"/>
          <w:sz w:val="22"/>
          <w:szCs w:val="22"/>
        </w:rPr>
        <w:t xml:space="preserve">fazės </w:t>
      </w:r>
      <w:r w:rsidR="00C11F88" w:rsidRPr="004F572A">
        <w:rPr>
          <w:rFonts w:eastAsia="Calibri"/>
          <w:sz w:val="22"/>
          <w:szCs w:val="22"/>
        </w:rPr>
        <w:t xml:space="preserve">tyrimo </w:t>
      </w:r>
      <w:r w:rsidR="00146EA8" w:rsidRPr="004F572A">
        <w:rPr>
          <w:rFonts w:eastAsia="Calibri"/>
          <w:sz w:val="22"/>
          <w:szCs w:val="22"/>
        </w:rPr>
        <w:t xml:space="preserve">SELECT </w:t>
      </w:r>
      <w:r w:rsidR="00C11F88">
        <w:rPr>
          <w:rFonts w:eastAsia="Calibri"/>
          <w:sz w:val="22"/>
          <w:szCs w:val="22"/>
        </w:rPr>
        <w:t>metu</w:t>
      </w:r>
      <w:r w:rsidR="00010E0D">
        <w:rPr>
          <w:rFonts w:eastAsia="Calibri"/>
          <w:sz w:val="22"/>
          <w:szCs w:val="22"/>
        </w:rPr>
        <w:t xml:space="preserve"> </w:t>
      </w:r>
      <w:r w:rsidRPr="004F572A">
        <w:rPr>
          <w:rFonts w:eastAsia="Calibri"/>
          <w:sz w:val="22"/>
          <w:szCs w:val="22"/>
        </w:rPr>
        <w:t xml:space="preserve">(žr. 5.1 skyrių) </w:t>
      </w:r>
      <w:proofErr w:type="spellStart"/>
      <w:r w:rsidR="00C11F88">
        <w:rPr>
          <w:rFonts w:eastAsia="Calibri"/>
          <w:sz w:val="22"/>
          <w:szCs w:val="22"/>
        </w:rPr>
        <w:t>hemoragija</w:t>
      </w:r>
      <w:proofErr w:type="spellEnd"/>
      <w:r w:rsidR="00C11F88">
        <w:rPr>
          <w:rFonts w:eastAsia="Calibri"/>
          <w:sz w:val="22"/>
          <w:szCs w:val="22"/>
        </w:rPr>
        <w:t xml:space="preserve"> buvo nustatyta </w:t>
      </w:r>
      <w:r w:rsidRPr="004F572A">
        <w:rPr>
          <w:rFonts w:eastAsia="Calibri"/>
          <w:sz w:val="22"/>
          <w:szCs w:val="22"/>
        </w:rPr>
        <w:t>34,9 % (1,9 % buvo ≥</w:t>
      </w:r>
      <w:r w:rsidR="00146EA8" w:rsidRPr="004F572A">
        <w:rPr>
          <w:rFonts w:eastAsia="Calibri"/>
          <w:sz w:val="22"/>
          <w:szCs w:val="22"/>
        </w:rPr>
        <w:t> </w:t>
      </w:r>
      <w:r w:rsidRPr="004F572A">
        <w:rPr>
          <w:rFonts w:eastAsia="Calibri"/>
          <w:sz w:val="22"/>
          <w:szCs w:val="22"/>
        </w:rPr>
        <w:t>3</w:t>
      </w:r>
      <w:r w:rsidR="00D53FC3">
        <w:rPr>
          <w:rFonts w:eastAsia="Calibri"/>
          <w:sz w:val="22"/>
          <w:szCs w:val="22"/>
        </w:rPr>
        <w:t> </w:t>
      </w:r>
      <w:r w:rsidRPr="004F572A">
        <w:rPr>
          <w:rFonts w:eastAsia="Calibri"/>
          <w:sz w:val="22"/>
          <w:szCs w:val="22"/>
        </w:rPr>
        <w:t xml:space="preserve">laipsnio) </w:t>
      </w:r>
      <w:proofErr w:type="spellStart"/>
      <w:r w:rsidRPr="004F572A">
        <w:rPr>
          <w:rFonts w:eastAsia="Calibri"/>
          <w:sz w:val="22"/>
          <w:szCs w:val="22"/>
        </w:rPr>
        <w:t>lenvatinibu</w:t>
      </w:r>
      <w:proofErr w:type="spellEnd"/>
      <w:r w:rsidRPr="004F572A">
        <w:rPr>
          <w:rFonts w:eastAsia="Calibri"/>
          <w:sz w:val="22"/>
          <w:szCs w:val="22"/>
        </w:rPr>
        <w:t xml:space="preserve"> gydytų pacientų ir 18,3 % (3,1 % buvo ≥</w:t>
      </w:r>
      <w:r w:rsidR="00146EA8" w:rsidRPr="004F572A">
        <w:rPr>
          <w:rFonts w:eastAsia="Calibri"/>
          <w:sz w:val="22"/>
          <w:szCs w:val="22"/>
        </w:rPr>
        <w:t> </w:t>
      </w:r>
      <w:r w:rsidRPr="004F572A">
        <w:rPr>
          <w:rFonts w:eastAsia="Calibri"/>
          <w:sz w:val="22"/>
          <w:szCs w:val="22"/>
        </w:rPr>
        <w:t>3</w:t>
      </w:r>
      <w:r w:rsidR="00D53FC3">
        <w:rPr>
          <w:rFonts w:eastAsia="Calibri"/>
          <w:sz w:val="22"/>
          <w:szCs w:val="22"/>
        </w:rPr>
        <w:t> </w:t>
      </w:r>
      <w:r w:rsidRPr="004F572A">
        <w:rPr>
          <w:rFonts w:eastAsia="Calibri"/>
          <w:sz w:val="22"/>
          <w:szCs w:val="22"/>
        </w:rPr>
        <w:t>laipsnio) placeb</w:t>
      </w:r>
      <w:r w:rsidR="00C11F88">
        <w:rPr>
          <w:rFonts w:eastAsia="Calibri"/>
          <w:sz w:val="22"/>
          <w:szCs w:val="22"/>
        </w:rPr>
        <w:t>u gydytų</w:t>
      </w:r>
      <w:r w:rsidRPr="004F572A">
        <w:rPr>
          <w:rFonts w:eastAsia="Calibri"/>
          <w:sz w:val="22"/>
          <w:szCs w:val="22"/>
        </w:rPr>
        <w:t xml:space="preserve"> pacientų.</w:t>
      </w:r>
      <w:r w:rsidRPr="004F572A">
        <w:rPr>
          <w:rFonts w:eastAsia="Calibri"/>
          <w:sz w:val="22"/>
          <w:szCs w:val="22"/>
        </w:rPr>
        <w:cr/>
        <w:t>Reakcijos, kurių dažnis ≥</w:t>
      </w:r>
      <w:r w:rsidR="00D53FC3">
        <w:rPr>
          <w:rFonts w:eastAsia="Calibri"/>
          <w:sz w:val="22"/>
          <w:szCs w:val="22"/>
        </w:rPr>
        <w:t> </w:t>
      </w:r>
      <w:r w:rsidRPr="004F572A">
        <w:rPr>
          <w:rFonts w:eastAsia="Calibri"/>
          <w:sz w:val="22"/>
          <w:szCs w:val="22"/>
        </w:rPr>
        <w:t>0,75 % viršijo dažnį placebo grupėje</w:t>
      </w:r>
      <w:r w:rsidR="00C11F88">
        <w:rPr>
          <w:rFonts w:eastAsia="Calibri"/>
          <w:sz w:val="22"/>
          <w:szCs w:val="22"/>
        </w:rPr>
        <w:t>:</w:t>
      </w:r>
      <w:r w:rsidRPr="004F572A">
        <w:rPr>
          <w:rFonts w:eastAsia="Calibri"/>
          <w:sz w:val="22"/>
          <w:szCs w:val="22"/>
        </w:rPr>
        <w:t xml:space="preserve"> kraujavimas iš nosies (11,9 %), </w:t>
      </w:r>
      <w:proofErr w:type="spellStart"/>
      <w:r w:rsidRPr="004F572A">
        <w:rPr>
          <w:rFonts w:eastAsia="Calibri"/>
          <w:sz w:val="22"/>
          <w:szCs w:val="22"/>
        </w:rPr>
        <w:t>hematurija</w:t>
      </w:r>
      <w:proofErr w:type="spellEnd"/>
      <w:r w:rsidRPr="004F572A">
        <w:rPr>
          <w:rFonts w:eastAsia="Calibri"/>
          <w:sz w:val="22"/>
          <w:szCs w:val="22"/>
        </w:rPr>
        <w:t xml:space="preserve"> (6,5 %), sumušimas (4,6 %), </w:t>
      </w:r>
      <w:r w:rsidR="00C11F88" w:rsidRPr="004F572A">
        <w:rPr>
          <w:rFonts w:eastAsia="Calibri"/>
          <w:sz w:val="22"/>
          <w:szCs w:val="22"/>
        </w:rPr>
        <w:t xml:space="preserve">dantenų </w:t>
      </w:r>
      <w:r w:rsidRPr="004F572A">
        <w:rPr>
          <w:rFonts w:eastAsia="Calibri"/>
          <w:sz w:val="22"/>
          <w:szCs w:val="22"/>
        </w:rPr>
        <w:t>kraujavimas</w:t>
      </w:r>
      <w:r w:rsidR="00C11F88">
        <w:rPr>
          <w:rFonts w:eastAsia="Calibri"/>
          <w:sz w:val="22"/>
          <w:szCs w:val="22"/>
        </w:rPr>
        <w:t xml:space="preserve"> </w:t>
      </w:r>
      <w:r w:rsidRPr="004F572A">
        <w:rPr>
          <w:rFonts w:eastAsia="Calibri"/>
          <w:sz w:val="22"/>
          <w:szCs w:val="22"/>
        </w:rPr>
        <w:t xml:space="preserve">(2,3 %), </w:t>
      </w:r>
      <w:proofErr w:type="spellStart"/>
      <w:r w:rsidR="00C11F88" w:rsidRPr="00C11F88">
        <w:rPr>
          <w:rFonts w:eastAsia="Calibri"/>
          <w:sz w:val="22"/>
          <w:szCs w:val="22"/>
        </w:rPr>
        <w:t>hematochezija</w:t>
      </w:r>
      <w:proofErr w:type="spellEnd"/>
      <w:r w:rsidR="00C11F88" w:rsidRPr="00C11F88" w:rsidDel="00C11F88">
        <w:rPr>
          <w:rFonts w:eastAsia="Calibri"/>
          <w:sz w:val="22"/>
          <w:szCs w:val="22"/>
        </w:rPr>
        <w:t xml:space="preserve"> </w:t>
      </w:r>
      <w:r w:rsidRPr="004F572A">
        <w:rPr>
          <w:rFonts w:eastAsia="Calibri"/>
          <w:sz w:val="22"/>
          <w:szCs w:val="22"/>
        </w:rPr>
        <w:t>(2,3 %),</w:t>
      </w:r>
      <w:r w:rsidR="00C11F88">
        <w:rPr>
          <w:rFonts w:eastAsia="Calibri"/>
          <w:sz w:val="22"/>
          <w:szCs w:val="22"/>
        </w:rPr>
        <w:t xml:space="preserve"> </w:t>
      </w:r>
      <w:r w:rsidRPr="004F572A">
        <w:rPr>
          <w:rFonts w:eastAsia="Calibri"/>
          <w:sz w:val="22"/>
          <w:szCs w:val="22"/>
        </w:rPr>
        <w:t>kraujavimas</w:t>
      </w:r>
      <w:r w:rsidR="00010E0D">
        <w:rPr>
          <w:rFonts w:eastAsia="Calibri"/>
          <w:sz w:val="22"/>
          <w:szCs w:val="22"/>
        </w:rPr>
        <w:t xml:space="preserve"> iš tiesiosios žarnos</w:t>
      </w:r>
      <w:r w:rsidRPr="004F572A">
        <w:rPr>
          <w:rFonts w:eastAsia="Calibri"/>
          <w:sz w:val="22"/>
          <w:szCs w:val="22"/>
        </w:rPr>
        <w:t xml:space="preserve"> (1,5 %), hematoma (1,1 %), kraujavimas</w:t>
      </w:r>
      <w:r w:rsidR="007E470F">
        <w:rPr>
          <w:rFonts w:eastAsia="Calibri"/>
          <w:sz w:val="22"/>
          <w:szCs w:val="22"/>
        </w:rPr>
        <w:t xml:space="preserve"> iš </w:t>
      </w:r>
      <w:proofErr w:type="spellStart"/>
      <w:r w:rsidR="007E470F">
        <w:rPr>
          <w:rFonts w:eastAsia="Calibri"/>
          <w:sz w:val="22"/>
          <w:szCs w:val="22"/>
        </w:rPr>
        <w:t>hemorojinių</w:t>
      </w:r>
      <w:proofErr w:type="spellEnd"/>
      <w:r w:rsidR="007E470F">
        <w:rPr>
          <w:rFonts w:eastAsia="Calibri"/>
          <w:sz w:val="22"/>
          <w:szCs w:val="22"/>
        </w:rPr>
        <w:t xml:space="preserve"> mazgų</w:t>
      </w:r>
      <w:r w:rsidRPr="004F572A">
        <w:rPr>
          <w:rFonts w:eastAsia="Calibri"/>
          <w:sz w:val="22"/>
          <w:szCs w:val="22"/>
        </w:rPr>
        <w:t xml:space="preserve"> (1,1 %), gerklų kraujavimas</w:t>
      </w:r>
      <w:r w:rsidR="006A7332" w:rsidRPr="004F572A">
        <w:rPr>
          <w:rFonts w:eastAsia="Calibri"/>
          <w:sz w:val="22"/>
          <w:szCs w:val="22"/>
        </w:rPr>
        <w:t xml:space="preserve"> </w:t>
      </w:r>
      <w:r w:rsidRPr="004F572A">
        <w:rPr>
          <w:rFonts w:eastAsia="Calibri"/>
          <w:sz w:val="22"/>
          <w:szCs w:val="22"/>
        </w:rPr>
        <w:t>(1,1</w:t>
      </w:r>
      <w:r w:rsidR="006A7332" w:rsidRPr="004F572A">
        <w:rPr>
          <w:rFonts w:eastAsia="Calibri"/>
          <w:sz w:val="22"/>
          <w:szCs w:val="22"/>
        </w:rPr>
        <w:t> </w:t>
      </w:r>
      <w:r w:rsidRPr="004F572A">
        <w:rPr>
          <w:rFonts w:eastAsia="Calibri"/>
          <w:sz w:val="22"/>
          <w:szCs w:val="22"/>
        </w:rPr>
        <w:t xml:space="preserve">%), </w:t>
      </w:r>
      <w:proofErr w:type="spellStart"/>
      <w:r w:rsidRPr="004F572A">
        <w:rPr>
          <w:rFonts w:eastAsia="Calibri"/>
          <w:sz w:val="22"/>
          <w:szCs w:val="22"/>
        </w:rPr>
        <w:t>petechija</w:t>
      </w:r>
      <w:proofErr w:type="spellEnd"/>
      <w:r w:rsidRPr="004F572A">
        <w:rPr>
          <w:rFonts w:eastAsia="Calibri"/>
          <w:sz w:val="22"/>
          <w:szCs w:val="22"/>
        </w:rPr>
        <w:t xml:space="preserve"> (1,1</w:t>
      </w:r>
      <w:r w:rsidR="006A7332" w:rsidRPr="004F572A">
        <w:rPr>
          <w:rFonts w:eastAsia="Calibri"/>
          <w:sz w:val="22"/>
          <w:szCs w:val="22"/>
        </w:rPr>
        <w:t> </w:t>
      </w:r>
      <w:r w:rsidRPr="004F572A">
        <w:rPr>
          <w:rFonts w:eastAsia="Calibri"/>
          <w:sz w:val="22"/>
          <w:szCs w:val="22"/>
        </w:rPr>
        <w:t xml:space="preserve">%) ir </w:t>
      </w:r>
      <w:proofErr w:type="spellStart"/>
      <w:r w:rsidRPr="004F572A">
        <w:rPr>
          <w:rFonts w:eastAsia="Calibri"/>
          <w:sz w:val="22"/>
          <w:szCs w:val="22"/>
        </w:rPr>
        <w:t>intrakranijinis</w:t>
      </w:r>
      <w:proofErr w:type="spellEnd"/>
      <w:r w:rsidRPr="004F572A">
        <w:rPr>
          <w:rFonts w:eastAsia="Calibri"/>
          <w:sz w:val="22"/>
          <w:szCs w:val="22"/>
        </w:rPr>
        <w:t xml:space="preserve"> naviko kraujavimas (0,8</w:t>
      </w:r>
      <w:r w:rsidR="006A7332" w:rsidRPr="004F572A">
        <w:rPr>
          <w:rFonts w:eastAsia="Calibri"/>
          <w:sz w:val="22"/>
          <w:szCs w:val="22"/>
        </w:rPr>
        <w:t> </w:t>
      </w:r>
      <w:r w:rsidRPr="004F572A">
        <w:rPr>
          <w:rFonts w:eastAsia="Calibri"/>
          <w:sz w:val="22"/>
          <w:szCs w:val="22"/>
        </w:rPr>
        <w:t>%). Šio tyrimo metu 1 iš</w:t>
      </w:r>
      <w:r w:rsidR="006A7332" w:rsidRPr="004F572A">
        <w:rPr>
          <w:rFonts w:eastAsia="Calibri"/>
          <w:sz w:val="22"/>
          <w:szCs w:val="22"/>
        </w:rPr>
        <w:t xml:space="preserve"> </w:t>
      </w:r>
      <w:r w:rsidRPr="004F572A">
        <w:rPr>
          <w:rFonts w:eastAsia="Calibri"/>
          <w:sz w:val="22"/>
          <w:szCs w:val="22"/>
        </w:rPr>
        <w:t xml:space="preserve">16 pacientų, kurie buvo gydomi </w:t>
      </w:r>
      <w:proofErr w:type="spellStart"/>
      <w:r w:rsidRPr="004F572A">
        <w:rPr>
          <w:rFonts w:eastAsia="Calibri"/>
          <w:sz w:val="22"/>
          <w:szCs w:val="22"/>
        </w:rPr>
        <w:t>lenvatinibu</w:t>
      </w:r>
      <w:proofErr w:type="spellEnd"/>
      <w:r w:rsidRPr="004F572A">
        <w:rPr>
          <w:rFonts w:eastAsia="Calibri"/>
          <w:sz w:val="22"/>
          <w:szCs w:val="22"/>
        </w:rPr>
        <w:t xml:space="preserve"> ir kuriems pradinio įvertinimo metu buvo CNS</w:t>
      </w:r>
      <w:r w:rsidR="006A7332" w:rsidRPr="004F572A">
        <w:rPr>
          <w:rFonts w:eastAsia="Calibri"/>
          <w:sz w:val="22"/>
          <w:szCs w:val="22"/>
        </w:rPr>
        <w:t xml:space="preserve"> </w:t>
      </w:r>
      <w:r w:rsidRPr="004F572A">
        <w:rPr>
          <w:rFonts w:eastAsia="Calibri"/>
          <w:sz w:val="22"/>
          <w:szCs w:val="22"/>
        </w:rPr>
        <w:t xml:space="preserve">metastazių, pasireiškė mirtimi pasibaigęs </w:t>
      </w:r>
      <w:proofErr w:type="spellStart"/>
      <w:r w:rsidRPr="004F572A">
        <w:rPr>
          <w:rFonts w:eastAsia="Calibri"/>
          <w:sz w:val="22"/>
          <w:szCs w:val="22"/>
        </w:rPr>
        <w:t>intrakranijinis</w:t>
      </w:r>
      <w:proofErr w:type="spellEnd"/>
      <w:r w:rsidRPr="004F572A">
        <w:rPr>
          <w:rFonts w:eastAsia="Calibri"/>
          <w:sz w:val="22"/>
          <w:szCs w:val="22"/>
        </w:rPr>
        <w:t xml:space="preserve"> kraujavimas.</w:t>
      </w:r>
    </w:p>
    <w:p w14:paraId="5E16C9DE" w14:textId="77777777" w:rsidR="006A7332" w:rsidRPr="004F572A" w:rsidRDefault="006A7332" w:rsidP="00B04B63">
      <w:pPr>
        <w:widowControl w:val="0"/>
        <w:tabs>
          <w:tab w:val="clear" w:pos="567"/>
        </w:tabs>
        <w:rPr>
          <w:rFonts w:eastAsia="Calibri"/>
          <w:sz w:val="22"/>
          <w:szCs w:val="22"/>
        </w:rPr>
      </w:pPr>
    </w:p>
    <w:p w14:paraId="38469ACE" w14:textId="78933027" w:rsidR="00B04B63" w:rsidRPr="004F572A" w:rsidRDefault="00B04B63" w:rsidP="00B04B63">
      <w:pPr>
        <w:widowControl w:val="0"/>
        <w:tabs>
          <w:tab w:val="clear" w:pos="567"/>
        </w:tabs>
        <w:rPr>
          <w:rFonts w:eastAsia="Calibri"/>
          <w:sz w:val="22"/>
          <w:szCs w:val="22"/>
        </w:rPr>
      </w:pPr>
      <w:r w:rsidRPr="004F572A">
        <w:rPr>
          <w:rFonts w:eastAsia="Calibri"/>
          <w:sz w:val="22"/>
          <w:szCs w:val="22"/>
        </w:rPr>
        <w:t xml:space="preserve">Laiko iki pirmojo pasireiškimo mediana </w:t>
      </w:r>
      <w:proofErr w:type="spellStart"/>
      <w:r w:rsidRPr="004F572A">
        <w:rPr>
          <w:rFonts w:eastAsia="Calibri"/>
          <w:sz w:val="22"/>
          <w:szCs w:val="22"/>
        </w:rPr>
        <w:t>lenvatinibu</w:t>
      </w:r>
      <w:proofErr w:type="spellEnd"/>
      <w:r w:rsidRPr="004F572A">
        <w:rPr>
          <w:rFonts w:eastAsia="Calibri"/>
          <w:sz w:val="22"/>
          <w:szCs w:val="22"/>
        </w:rPr>
        <w:t xml:space="preserve"> gydytiems pacientams buvo 10,1</w:t>
      </w:r>
      <w:r w:rsidR="006A7332" w:rsidRPr="004F572A">
        <w:rPr>
          <w:rFonts w:eastAsia="Calibri"/>
          <w:sz w:val="22"/>
          <w:szCs w:val="22"/>
        </w:rPr>
        <w:t> </w:t>
      </w:r>
      <w:r w:rsidRPr="004F572A">
        <w:rPr>
          <w:rFonts w:eastAsia="Calibri"/>
          <w:sz w:val="22"/>
          <w:szCs w:val="22"/>
        </w:rPr>
        <w:t>savaitės.</w:t>
      </w:r>
      <w:r w:rsidR="006A7332" w:rsidRPr="004F572A">
        <w:rPr>
          <w:rFonts w:eastAsia="Calibri"/>
          <w:sz w:val="22"/>
          <w:szCs w:val="22"/>
        </w:rPr>
        <w:t xml:space="preserve"> </w:t>
      </w:r>
      <w:r w:rsidR="00C11F88">
        <w:rPr>
          <w:rFonts w:eastAsia="Calibri"/>
          <w:sz w:val="22"/>
          <w:szCs w:val="22"/>
        </w:rPr>
        <w:t>S</w:t>
      </w:r>
      <w:r w:rsidRPr="004F572A">
        <w:rPr>
          <w:rFonts w:eastAsia="Calibri"/>
          <w:sz w:val="22"/>
          <w:szCs w:val="22"/>
        </w:rPr>
        <w:t>unkių</w:t>
      </w:r>
      <w:r w:rsidR="006A7332" w:rsidRPr="004F572A">
        <w:rPr>
          <w:rFonts w:eastAsia="Calibri"/>
          <w:sz w:val="22"/>
          <w:szCs w:val="22"/>
        </w:rPr>
        <w:t xml:space="preserve"> </w:t>
      </w:r>
      <w:r w:rsidRPr="004F572A">
        <w:rPr>
          <w:rFonts w:eastAsia="Calibri"/>
          <w:sz w:val="22"/>
          <w:szCs w:val="22"/>
        </w:rPr>
        <w:lastRenderedPageBreak/>
        <w:t>reakcijų (3,4</w:t>
      </w:r>
      <w:r w:rsidR="006A7332" w:rsidRPr="004F572A">
        <w:rPr>
          <w:rFonts w:eastAsia="Calibri"/>
          <w:sz w:val="22"/>
          <w:szCs w:val="22"/>
        </w:rPr>
        <w:t> </w:t>
      </w:r>
      <w:r w:rsidRPr="004F572A">
        <w:rPr>
          <w:rFonts w:eastAsia="Calibri"/>
          <w:sz w:val="22"/>
          <w:szCs w:val="22"/>
        </w:rPr>
        <w:t>%</w:t>
      </w:r>
      <w:r w:rsidR="00C11F88">
        <w:rPr>
          <w:rFonts w:eastAsia="Calibri"/>
          <w:sz w:val="22"/>
          <w:szCs w:val="22"/>
        </w:rPr>
        <w:t xml:space="preserve"> ir</w:t>
      </w:r>
      <w:r w:rsidRPr="004F572A">
        <w:rPr>
          <w:rFonts w:eastAsia="Calibri"/>
          <w:sz w:val="22"/>
          <w:szCs w:val="22"/>
        </w:rPr>
        <w:t xml:space="preserve"> 3,8</w:t>
      </w:r>
      <w:r w:rsidR="006A7332" w:rsidRPr="004F572A">
        <w:rPr>
          <w:rFonts w:eastAsia="Calibri"/>
          <w:sz w:val="22"/>
          <w:szCs w:val="22"/>
        </w:rPr>
        <w:t> </w:t>
      </w:r>
      <w:r w:rsidRPr="004F572A">
        <w:rPr>
          <w:rFonts w:eastAsia="Calibri"/>
          <w:sz w:val="22"/>
          <w:szCs w:val="22"/>
        </w:rPr>
        <w:t>%), reakcijų, dėl kurių reikėjo pirma laiko nutraukti vaistinio preparato</w:t>
      </w:r>
      <w:r w:rsidR="006A7332" w:rsidRPr="004F572A">
        <w:rPr>
          <w:rFonts w:eastAsia="Calibri"/>
          <w:sz w:val="22"/>
          <w:szCs w:val="22"/>
        </w:rPr>
        <w:t xml:space="preserve"> </w:t>
      </w:r>
      <w:r w:rsidRPr="004F572A">
        <w:rPr>
          <w:rFonts w:eastAsia="Calibri"/>
          <w:sz w:val="22"/>
          <w:szCs w:val="22"/>
        </w:rPr>
        <w:t>vartojimą (1,1</w:t>
      </w:r>
      <w:r w:rsidR="006A7332" w:rsidRPr="004F572A">
        <w:rPr>
          <w:rFonts w:eastAsia="Calibri"/>
          <w:sz w:val="22"/>
          <w:szCs w:val="22"/>
        </w:rPr>
        <w:t> </w:t>
      </w:r>
      <w:r w:rsidRPr="004F572A">
        <w:rPr>
          <w:rFonts w:eastAsia="Calibri"/>
          <w:sz w:val="22"/>
          <w:szCs w:val="22"/>
        </w:rPr>
        <w:t>%</w:t>
      </w:r>
      <w:r w:rsidR="00C11F88">
        <w:rPr>
          <w:rFonts w:eastAsia="Calibri"/>
          <w:sz w:val="22"/>
          <w:szCs w:val="22"/>
        </w:rPr>
        <w:t xml:space="preserve"> ir </w:t>
      </w:r>
      <w:r w:rsidRPr="004F572A">
        <w:rPr>
          <w:rFonts w:eastAsia="Calibri"/>
          <w:sz w:val="22"/>
          <w:szCs w:val="22"/>
        </w:rPr>
        <w:t>1,5</w:t>
      </w:r>
      <w:r w:rsidR="006A7332" w:rsidRPr="004F572A">
        <w:rPr>
          <w:rFonts w:eastAsia="Calibri"/>
          <w:sz w:val="22"/>
          <w:szCs w:val="22"/>
        </w:rPr>
        <w:t> </w:t>
      </w:r>
      <w:r w:rsidRPr="004F572A">
        <w:rPr>
          <w:rFonts w:eastAsia="Calibri"/>
          <w:sz w:val="22"/>
          <w:szCs w:val="22"/>
        </w:rPr>
        <w:t xml:space="preserve">%), arba reakcijų, dėl kurių reikėjo </w:t>
      </w:r>
      <w:r w:rsidR="00C11F88">
        <w:rPr>
          <w:rFonts w:eastAsia="Calibri"/>
          <w:sz w:val="22"/>
          <w:szCs w:val="22"/>
        </w:rPr>
        <w:t>laikinai sustabdyti vaistinio preparato</w:t>
      </w:r>
      <w:r w:rsidR="006A7332" w:rsidRPr="004F572A">
        <w:rPr>
          <w:rFonts w:eastAsia="Calibri"/>
          <w:sz w:val="22"/>
          <w:szCs w:val="22"/>
        </w:rPr>
        <w:t xml:space="preserve"> </w:t>
      </w:r>
      <w:r w:rsidRPr="004F572A">
        <w:rPr>
          <w:rFonts w:eastAsia="Calibri"/>
          <w:sz w:val="22"/>
          <w:szCs w:val="22"/>
        </w:rPr>
        <w:t>vartojimą (3,4</w:t>
      </w:r>
      <w:r w:rsidR="006A7332" w:rsidRPr="004F572A">
        <w:rPr>
          <w:rFonts w:eastAsia="Calibri"/>
          <w:sz w:val="22"/>
          <w:szCs w:val="22"/>
        </w:rPr>
        <w:t> </w:t>
      </w:r>
      <w:r w:rsidRPr="004F572A">
        <w:rPr>
          <w:rFonts w:eastAsia="Calibri"/>
          <w:sz w:val="22"/>
          <w:szCs w:val="22"/>
        </w:rPr>
        <w:t>%</w:t>
      </w:r>
      <w:r w:rsidR="00C11F88">
        <w:rPr>
          <w:rFonts w:eastAsia="Calibri"/>
          <w:sz w:val="22"/>
          <w:szCs w:val="22"/>
        </w:rPr>
        <w:t xml:space="preserve"> ir</w:t>
      </w:r>
      <w:r w:rsidRPr="004F572A">
        <w:rPr>
          <w:rFonts w:eastAsia="Calibri"/>
          <w:sz w:val="22"/>
          <w:szCs w:val="22"/>
        </w:rPr>
        <w:t xml:space="preserve"> 3,8</w:t>
      </w:r>
      <w:r w:rsidR="006A7332" w:rsidRPr="004F572A">
        <w:rPr>
          <w:rFonts w:eastAsia="Calibri"/>
          <w:sz w:val="22"/>
          <w:szCs w:val="22"/>
        </w:rPr>
        <w:t> </w:t>
      </w:r>
      <w:r w:rsidRPr="004F572A">
        <w:rPr>
          <w:rFonts w:eastAsia="Calibri"/>
          <w:sz w:val="22"/>
          <w:szCs w:val="22"/>
        </w:rPr>
        <w:t>%) arba</w:t>
      </w:r>
      <w:r w:rsidR="006A7332" w:rsidRPr="004F572A">
        <w:rPr>
          <w:rFonts w:eastAsia="Calibri"/>
          <w:sz w:val="22"/>
          <w:szCs w:val="22"/>
        </w:rPr>
        <w:t xml:space="preserve"> </w:t>
      </w:r>
      <w:r w:rsidRPr="004F572A">
        <w:rPr>
          <w:rFonts w:eastAsia="Calibri"/>
          <w:sz w:val="22"/>
          <w:szCs w:val="22"/>
        </w:rPr>
        <w:t xml:space="preserve">sumažinti </w:t>
      </w:r>
      <w:r w:rsidR="00C11F88">
        <w:rPr>
          <w:rFonts w:eastAsia="Calibri"/>
          <w:sz w:val="22"/>
          <w:szCs w:val="22"/>
        </w:rPr>
        <w:t xml:space="preserve">dozę </w:t>
      </w:r>
      <w:r w:rsidRPr="004F572A">
        <w:rPr>
          <w:rFonts w:eastAsia="Calibri"/>
          <w:sz w:val="22"/>
          <w:szCs w:val="22"/>
        </w:rPr>
        <w:t>(0,4</w:t>
      </w:r>
      <w:r w:rsidR="006A7332" w:rsidRPr="004F572A">
        <w:rPr>
          <w:rFonts w:eastAsia="Calibri"/>
          <w:sz w:val="22"/>
          <w:szCs w:val="22"/>
        </w:rPr>
        <w:t> </w:t>
      </w:r>
      <w:r w:rsidRPr="004F572A">
        <w:rPr>
          <w:rFonts w:eastAsia="Calibri"/>
          <w:sz w:val="22"/>
          <w:szCs w:val="22"/>
        </w:rPr>
        <w:t>%</w:t>
      </w:r>
      <w:r w:rsidR="00C11F88">
        <w:rPr>
          <w:rFonts w:eastAsia="Calibri"/>
          <w:sz w:val="22"/>
          <w:szCs w:val="22"/>
        </w:rPr>
        <w:t xml:space="preserve"> ir</w:t>
      </w:r>
      <w:r w:rsidRPr="004F572A">
        <w:rPr>
          <w:rFonts w:eastAsia="Calibri"/>
          <w:sz w:val="22"/>
          <w:szCs w:val="22"/>
        </w:rPr>
        <w:t xml:space="preserve"> 0), dažnio skirtumų </w:t>
      </w:r>
      <w:r w:rsidR="00C11F88">
        <w:rPr>
          <w:rFonts w:eastAsia="Calibri"/>
          <w:sz w:val="22"/>
          <w:szCs w:val="22"/>
        </w:rPr>
        <w:t xml:space="preserve">tarp </w:t>
      </w:r>
      <w:proofErr w:type="spellStart"/>
      <w:r w:rsidR="00C11F88">
        <w:rPr>
          <w:rFonts w:eastAsia="Calibri"/>
          <w:sz w:val="22"/>
          <w:szCs w:val="22"/>
        </w:rPr>
        <w:t>lenvatinibu</w:t>
      </w:r>
      <w:proofErr w:type="spellEnd"/>
      <w:r w:rsidR="00C11F88">
        <w:rPr>
          <w:rFonts w:eastAsia="Calibri"/>
          <w:sz w:val="22"/>
          <w:szCs w:val="22"/>
        </w:rPr>
        <w:t xml:space="preserve"> ir placebu gydytų pacientų nenustatyta</w:t>
      </w:r>
      <w:r w:rsidRPr="004F572A">
        <w:rPr>
          <w:rFonts w:eastAsia="Calibri"/>
          <w:sz w:val="22"/>
          <w:szCs w:val="22"/>
        </w:rPr>
        <w:t>.</w:t>
      </w:r>
    </w:p>
    <w:p w14:paraId="2B4B328D" w14:textId="77777777" w:rsidR="006A7332" w:rsidRPr="004F572A" w:rsidRDefault="006A7332" w:rsidP="00B04B63">
      <w:pPr>
        <w:widowControl w:val="0"/>
        <w:tabs>
          <w:tab w:val="clear" w:pos="567"/>
        </w:tabs>
        <w:rPr>
          <w:rFonts w:eastAsia="Calibri"/>
          <w:sz w:val="22"/>
          <w:szCs w:val="22"/>
        </w:rPr>
      </w:pPr>
    </w:p>
    <w:p w14:paraId="71E244A0" w14:textId="18A2CAB1" w:rsidR="00B04B63" w:rsidRPr="004F572A" w:rsidRDefault="00B04B63" w:rsidP="00B04B63">
      <w:pPr>
        <w:widowControl w:val="0"/>
        <w:tabs>
          <w:tab w:val="clear" w:pos="567"/>
        </w:tabs>
        <w:rPr>
          <w:rFonts w:eastAsia="Calibri"/>
          <w:i/>
          <w:iCs/>
          <w:sz w:val="22"/>
          <w:szCs w:val="22"/>
        </w:rPr>
      </w:pPr>
      <w:r w:rsidRPr="004F572A">
        <w:rPr>
          <w:rFonts w:eastAsia="Calibri"/>
          <w:i/>
          <w:iCs/>
          <w:sz w:val="22"/>
          <w:szCs w:val="22"/>
        </w:rPr>
        <w:t>HCK</w:t>
      </w:r>
    </w:p>
    <w:p w14:paraId="292C668B" w14:textId="77777777" w:rsidR="006A7332" w:rsidRPr="004F572A" w:rsidRDefault="006A7332" w:rsidP="00B04B63">
      <w:pPr>
        <w:widowControl w:val="0"/>
        <w:tabs>
          <w:tab w:val="clear" w:pos="567"/>
        </w:tabs>
        <w:rPr>
          <w:rFonts w:eastAsia="Calibri"/>
          <w:sz w:val="22"/>
          <w:szCs w:val="22"/>
        </w:rPr>
      </w:pPr>
    </w:p>
    <w:p w14:paraId="4CFCB2E1" w14:textId="0F7FFCE5" w:rsidR="008811A6" w:rsidRPr="004F572A" w:rsidRDefault="00B04B63" w:rsidP="00B04B63">
      <w:pPr>
        <w:widowControl w:val="0"/>
        <w:tabs>
          <w:tab w:val="clear" w:pos="567"/>
        </w:tabs>
        <w:rPr>
          <w:rFonts w:eastAsia="Calibri"/>
          <w:sz w:val="22"/>
          <w:szCs w:val="22"/>
        </w:rPr>
      </w:pPr>
      <w:r w:rsidRPr="004F572A">
        <w:rPr>
          <w:rFonts w:eastAsia="Calibri"/>
          <w:sz w:val="22"/>
          <w:szCs w:val="22"/>
        </w:rPr>
        <w:t>3</w:t>
      </w:r>
      <w:r w:rsidR="00D53FC3">
        <w:rPr>
          <w:rFonts w:eastAsia="Calibri"/>
          <w:sz w:val="22"/>
          <w:szCs w:val="22"/>
        </w:rPr>
        <w:t> </w:t>
      </w:r>
      <w:r w:rsidRPr="004F572A">
        <w:rPr>
          <w:rFonts w:eastAsia="Calibri"/>
          <w:sz w:val="22"/>
          <w:szCs w:val="22"/>
        </w:rPr>
        <w:t xml:space="preserve">fazės REFLECT </w:t>
      </w:r>
      <w:r w:rsidR="00146EA8" w:rsidRPr="004F572A">
        <w:rPr>
          <w:rFonts w:eastAsia="Calibri"/>
          <w:sz w:val="22"/>
          <w:szCs w:val="22"/>
        </w:rPr>
        <w:t>tyrim</w:t>
      </w:r>
      <w:r w:rsidR="007B1CD9">
        <w:rPr>
          <w:rFonts w:eastAsia="Calibri"/>
          <w:sz w:val="22"/>
          <w:szCs w:val="22"/>
        </w:rPr>
        <w:t>e</w:t>
      </w:r>
      <w:r w:rsidR="00146EA8" w:rsidRPr="004F572A">
        <w:rPr>
          <w:rFonts w:eastAsia="Calibri"/>
          <w:sz w:val="22"/>
          <w:szCs w:val="22"/>
        </w:rPr>
        <w:t xml:space="preserve"> </w:t>
      </w:r>
      <w:r w:rsidRPr="004F572A">
        <w:rPr>
          <w:rFonts w:eastAsia="Calibri"/>
          <w:sz w:val="22"/>
          <w:szCs w:val="22"/>
        </w:rPr>
        <w:t xml:space="preserve">(žr. 5.1 skyrių) </w:t>
      </w:r>
      <w:r w:rsidR="00146EA8" w:rsidRPr="004F572A">
        <w:rPr>
          <w:rFonts w:eastAsia="Calibri"/>
          <w:sz w:val="22"/>
          <w:szCs w:val="22"/>
        </w:rPr>
        <w:t>apie kraujavimą pranešta</w:t>
      </w:r>
      <w:r w:rsidR="006A7332" w:rsidRPr="004F572A">
        <w:rPr>
          <w:rFonts w:eastAsia="Calibri"/>
          <w:sz w:val="22"/>
          <w:szCs w:val="22"/>
        </w:rPr>
        <w:t xml:space="preserve"> </w:t>
      </w:r>
      <w:r w:rsidRPr="004F572A">
        <w:rPr>
          <w:rFonts w:eastAsia="Calibri"/>
          <w:sz w:val="22"/>
          <w:szCs w:val="22"/>
        </w:rPr>
        <w:t>24,6</w:t>
      </w:r>
      <w:r w:rsidR="00146EA8" w:rsidRPr="004F572A">
        <w:rPr>
          <w:rFonts w:eastAsia="Calibri"/>
          <w:sz w:val="22"/>
          <w:szCs w:val="22"/>
        </w:rPr>
        <w:t> </w:t>
      </w:r>
      <w:r w:rsidRPr="004F572A">
        <w:rPr>
          <w:rFonts w:eastAsia="Calibri"/>
          <w:sz w:val="22"/>
          <w:szCs w:val="22"/>
        </w:rPr>
        <w:t>% pacientų,</w:t>
      </w:r>
      <w:r w:rsidR="00146EA8" w:rsidRPr="004F572A">
        <w:t xml:space="preserve"> </w:t>
      </w:r>
      <w:r w:rsidR="007B1CD9">
        <w:rPr>
          <w:sz w:val="22"/>
          <w:szCs w:val="22"/>
        </w:rPr>
        <w:t xml:space="preserve">o </w:t>
      </w:r>
      <w:r w:rsidR="007B1CD9" w:rsidRPr="004F572A">
        <w:rPr>
          <w:rFonts w:eastAsia="Calibri"/>
          <w:sz w:val="22"/>
          <w:szCs w:val="22"/>
        </w:rPr>
        <w:t>≥</w:t>
      </w:r>
      <w:r w:rsidR="007B1CD9">
        <w:rPr>
          <w:rFonts w:eastAsia="Calibri"/>
          <w:sz w:val="22"/>
          <w:szCs w:val="22"/>
        </w:rPr>
        <w:t> </w:t>
      </w:r>
      <w:r w:rsidR="007B1CD9" w:rsidRPr="004F572A">
        <w:rPr>
          <w:rFonts w:eastAsia="Calibri"/>
          <w:sz w:val="22"/>
          <w:szCs w:val="22"/>
        </w:rPr>
        <w:t>3</w:t>
      </w:r>
      <w:r w:rsidR="00D53FC3">
        <w:rPr>
          <w:rFonts w:eastAsia="Calibri"/>
          <w:sz w:val="22"/>
          <w:szCs w:val="22"/>
        </w:rPr>
        <w:noBreakHyphen/>
      </w:r>
      <w:r w:rsidR="007B1CD9" w:rsidRPr="004F572A">
        <w:rPr>
          <w:rFonts w:eastAsia="Calibri"/>
          <w:sz w:val="22"/>
          <w:szCs w:val="22"/>
        </w:rPr>
        <w:t xml:space="preserve">ojo laipsnio </w:t>
      </w:r>
      <w:r w:rsidR="007B1CD9">
        <w:rPr>
          <w:rFonts w:eastAsia="Calibri"/>
          <w:sz w:val="22"/>
          <w:szCs w:val="22"/>
        </w:rPr>
        <w:t xml:space="preserve">reakcijos pasireiškė </w:t>
      </w:r>
      <w:r w:rsidR="00146EA8" w:rsidRPr="004F572A">
        <w:rPr>
          <w:rFonts w:eastAsia="Calibri"/>
          <w:sz w:val="22"/>
          <w:szCs w:val="22"/>
        </w:rPr>
        <w:t>5</w:t>
      </w:r>
      <w:r w:rsidR="007B1CD9">
        <w:rPr>
          <w:rFonts w:eastAsia="Calibri"/>
          <w:sz w:val="22"/>
          <w:szCs w:val="22"/>
        </w:rPr>
        <w:t>,0</w:t>
      </w:r>
      <w:r w:rsidR="00146EA8" w:rsidRPr="004F572A">
        <w:rPr>
          <w:rFonts w:eastAsia="Calibri"/>
          <w:sz w:val="22"/>
          <w:szCs w:val="22"/>
        </w:rPr>
        <w:t xml:space="preserve"> % </w:t>
      </w:r>
      <w:r w:rsidR="007B1CD9">
        <w:rPr>
          <w:rFonts w:eastAsia="Calibri"/>
          <w:sz w:val="22"/>
          <w:szCs w:val="22"/>
        </w:rPr>
        <w:t>pacientų</w:t>
      </w:r>
      <w:r w:rsidR="00146EA8" w:rsidRPr="004F572A">
        <w:rPr>
          <w:rFonts w:eastAsia="Calibri"/>
          <w:sz w:val="22"/>
          <w:szCs w:val="22"/>
        </w:rPr>
        <w:t>.</w:t>
      </w:r>
      <w:r w:rsidRPr="004F572A">
        <w:rPr>
          <w:rFonts w:eastAsia="Calibri"/>
          <w:sz w:val="22"/>
          <w:szCs w:val="22"/>
        </w:rPr>
        <w:t xml:space="preserve"> 3</w:t>
      </w:r>
      <w:r w:rsidR="00D53FC3">
        <w:rPr>
          <w:rFonts w:eastAsia="Calibri"/>
          <w:sz w:val="22"/>
          <w:szCs w:val="22"/>
        </w:rPr>
        <w:noBreakHyphen/>
      </w:r>
      <w:r w:rsidRPr="004F572A">
        <w:rPr>
          <w:rFonts w:eastAsia="Calibri"/>
          <w:sz w:val="22"/>
          <w:szCs w:val="22"/>
        </w:rPr>
        <w:t>ojo laipsnio reakcijos išsivystė 3,4</w:t>
      </w:r>
      <w:r w:rsidR="00146EA8" w:rsidRPr="004F572A">
        <w:rPr>
          <w:rFonts w:eastAsia="Calibri"/>
          <w:sz w:val="22"/>
          <w:szCs w:val="22"/>
        </w:rPr>
        <w:t> </w:t>
      </w:r>
      <w:r w:rsidRPr="004F572A">
        <w:rPr>
          <w:rFonts w:eastAsia="Calibri"/>
          <w:sz w:val="22"/>
          <w:szCs w:val="22"/>
        </w:rPr>
        <w:t>% pacientų, 4</w:t>
      </w:r>
      <w:r w:rsidR="00D53FC3">
        <w:rPr>
          <w:rFonts w:eastAsia="Calibri"/>
          <w:sz w:val="22"/>
          <w:szCs w:val="22"/>
        </w:rPr>
        <w:noBreakHyphen/>
      </w:r>
      <w:r w:rsidRPr="004F572A">
        <w:rPr>
          <w:rFonts w:eastAsia="Calibri"/>
          <w:sz w:val="22"/>
          <w:szCs w:val="22"/>
        </w:rPr>
        <w:t>ojo laipsnio</w:t>
      </w:r>
      <w:r w:rsidR="00146EA8" w:rsidRPr="004F572A">
        <w:rPr>
          <w:rFonts w:eastAsia="Calibri"/>
          <w:sz w:val="22"/>
          <w:szCs w:val="22"/>
        </w:rPr>
        <w:t xml:space="preserve"> </w:t>
      </w:r>
      <w:r w:rsidRPr="004F572A">
        <w:rPr>
          <w:rFonts w:eastAsia="Calibri"/>
          <w:sz w:val="22"/>
          <w:szCs w:val="22"/>
        </w:rPr>
        <w:t>reakcijo</w:t>
      </w:r>
      <w:r w:rsidR="00146EA8" w:rsidRPr="004F572A">
        <w:rPr>
          <w:rFonts w:eastAsia="Calibri"/>
          <w:sz w:val="22"/>
          <w:szCs w:val="22"/>
        </w:rPr>
        <w:t>s</w:t>
      </w:r>
      <w:r w:rsidRPr="004F572A">
        <w:rPr>
          <w:rFonts w:eastAsia="Calibri"/>
          <w:sz w:val="22"/>
          <w:szCs w:val="22"/>
        </w:rPr>
        <w:t xml:space="preserve"> – 0,2</w:t>
      </w:r>
      <w:r w:rsidR="00146EA8" w:rsidRPr="004F572A">
        <w:rPr>
          <w:rFonts w:eastAsia="Calibri"/>
          <w:sz w:val="22"/>
          <w:szCs w:val="22"/>
        </w:rPr>
        <w:t> </w:t>
      </w:r>
      <w:r w:rsidRPr="004F572A">
        <w:rPr>
          <w:rFonts w:eastAsia="Calibri"/>
          <w:sz w:val="22"/>
          <w:szCs w:val="22"/>
        </w:rPr>
        <w:t>% pacientų, o 7</w:t>
      </w:r>
      <w:r w:rsidR="00D53FC3">
        <w:rPr>
          <w:rFonts w:eastAsia="Calibri"/>
          <w:sz w:val="22"/>
          <w:szCs w:val="22"/>
        </w:rPr>
        <w:t> </w:t>
      </w:r>
      <w:r w:rsidRPr="004F572A">
        <w:rPr>
          <w:rFonts w:eastAsia="Calibri"/>
          <w:sz w:val="22"/>
          <w:szCs w:val="22"/>
        </w:rPr>
        <w:t>pacientams (1,5</w:t>
      </w:r>
      <w:r w:rsidR="00146EA8" w:rsidRPr="004F572A">
        <w:rPr>
          <w:rFonts w:eastAsia="Calibri"/>
          <w:sz w:val="22"/>
          <w:szCs w:val="22"/>
        </w:rPr>
        <w:t> </w:t>
      </w:r>
      <w:r w:rsidRPr="004F572A">
        <w:rPr>
          <w:rFonts w:eastAsia="Calibri"/>
          <w:sz w:val="22"/>
          <w:szCs w:val="22"/>
        </w:rPr>
        <w:t xml:space="preserve">%) </w:t>
      </w:r>
      <w:r w:rsidR="007B1CD9">
        <w:rPr>
          <w:rFonts w:eastAsia="Calibri"/>
          <w:sz w:val="22"/>
          <w:szCs w:val="22"/>
        </w:rPr>
        <w:t>pasireiškė</w:t>
      </w:r>
      <w:r w:rsidRPr="004F572A">
        <w:rPr>
          <w:rFonts w:eastAsia="Calibri"/>
          <w:sz w:val="22"/>
          <w:szCs w:val="22"/>
        </w:rPr>
        <w:t xml:space="preserve"> 5</w:t>
      </w:r>
      <w:r w:rsidR="00D53FC3">
        <w:rPr>
          <w:rFonts w:eastAsia="Calibri"/>
          <w:sz w:val="22"/>
          <w:szCs w:val="22"/>
        </w:rPr>
        <w:noBreakHyphen/>
      </w:r>
      <w:r w:rsidRPr="004F572A">
        <w:rPr>
          <w:rFonts w:eastAsia="Calibri"/>
          <w:sz w:val="22"/>
          <w:szCs w:val="22"/>
        </w:rPr>
        <w:t>ojo laipsnio reakcij</w:t>
      </w:r>
      <w:r w:rsidR="007B1CD9">
        <w:rPr>
          <w:rFonts w:eastAsia="Calibri"/>
          <w:sz w:val="22"/>
          <w:szCs w:val="22"/>
        </w:rPr>
        <w:t>os</w:t>
      </w:r>
      <w:r w:rsidRPr="004F572A">
        <w:rPr>
          <w:rFonts w:eastAsia="Calibri"/>
          <w:sz w:val="22"/>
          <w:szCs w:val="22"/>
        </w:rPr>
        <w:t>, įskaitant</w:t>
      </w:r>
      <w:r w:rsidR="00146EA8" w:rsidRPr="004F572A">
        <w:rPr>
          <w:rFonts w:eastAsia="Calibri"/>
          <w:sz w:val="22"/>
          <w:szCs w:val="22"/>
        </w:rPr>
        <w:t xml:space="preserve"> </w:t>
      </w:r>
      <w:r w:rsidRPr="004F572A">
        <w:rPr>
          <w:rFonts w:eastAsia="Calibri"/>
          <w:sz w:val="22"/>
          <w:szCs w:val="22"/>
        </w:rPr>
        <w:t xml:space="preserve">kraujavimą į smegenis, kraujavimą iš </w:t>
      </w:r>
      <w:proofErr w:type="spellStart"/>
      <w:r w:rsidRPr="004F572A">
        <w:rPr>
          <w:rFonts w:eastAsia="Calibri"/>
          <w:sz w:val="22"/>
          <w:szCs w:val="22"/>
        </w:rPr>
        <w:t>viršutin</w:t>
      </w:r>
      <w:r w:rsidR="007B1CD9">
        <w:rPr>
          <w:rFonts w:eastAsia="Calibri"/>
          <w:sz w:val="22"/>
          <w:szCs w:val="22"/>
        </w:rPr>
        <w:t>iojo</w:t>
      </w:r>
      <w:proofErr w:type="spellEnd"/>
      <w:r w:rsidRPr="004F572A">
        <w:rPr>
          <w:rFonts w:eastAsia="Calibri"/>
          <w:sz w:val="22"/>
          <w:szCs w:val="22"/>
        </w:rPr>
        <w:t xml:space="preserve"> virškin</w:t>
      </w:r>
      <w:r w:rsidR="00146EA8" w:rsidRPr="004F572A">
        <w:rPr>
          <w:rFonts w:eastAsia="Calibri"/>
          <w:sz w:val="22"/>
          <w:szCs w:val="22"/>
        </w:rPr>
        <w:t xml:space="preserve">imo </w:t>
      </w:r>
      <w:r w:rsidRPr="004F572A">
        <w:rPr>
          <w:rFonts w:eastAsia="Calibri"/>
          <w:sz w:val="22"/>
          <w:szCs w:val="22"/>
        </w:rPr>
        <w:t>trakto, kraujavimą iš žarnyno ir</w:t>
      </w:r>
      <w:r w:rsidR="00146EA8" w:rsidRPr="004F572A">
        <w:rPr>
          <w:rFonts w:eastAsia="Calibri"/>
          <w:sz w:val="22"/>
          <w:szCs w:val="22"/>
        </w:rPr>
        <w:t xml:space="preserve"> </w:t>
      </w:r>
      <w:r w:rsidRPr="004F572A">
        <w:rPr>
          <w:rFonts w:eastAsia="Calibri"/>
          <w:sz w:val="22"/>
          <w:szCs w:val="22"/>
        </w:rPr>
        <w:t>kraujavimą iš naviko. Laiko mediana iki pirmojo atvejo pasireiškimo buvo 11,9</w:t>
      </w:r>
      <w:r w:rsidR="00D53FC3">
        <w:rPr>
          <w:rFonts w:eastAsia="Calibri"/>
          <w:sz w:val="22"/>
          <w:szCs w:val="22"/>
        </w:rPr>
        <w:t> </w:t>
      </w:r>
      <w:r w:rsidRPr="004F572A">
        <w:rPr>
          <w:rFonts w:eastAsia="Calibri"/>
          <w:sz w:val="22"/>
          <w:szCs w:val="22"/>
        </w:rPr>
        <w:t>savaičių. Dėl</w:t>
      </w:r>
      <w:r w:rsidR="00146EA8" w:rsidRPr="004F572A">
        <w:rPr>
          <w:rFonts w:eastAsia="Calibri"/>
          <w:sz w:val="22"/>
          <w:szCs w:val="22"/>
        </w:rPr>
        <w:t xml:space="preserve"> </w:t>
      </w:r>
      <w:r w:rsidRPr="004F572A">
        <w:rPr>
          <w:rFonts w:eastAsia="Calibri"/>
          <w:sz w:val="22"/>
          <w:szCs w:val="22"/>
        </w:rPr>
        <w:t>kraujavimo</w:t>
      </w:r>
      <w:r w:rsidR="002D0766">
        <w:rPr>
          <w:rFonts w:eastAsia="Calibri"/>
          <w:sz w:val="22"/>
          <w:szCs w:val="22"/>
        </w:rPr>
        <w:t xml:space="preserve"> epizodo gydymą laikinai sustabdyti ar dozę koreguoti </w:t>
      </w:r>
      <w:r w:rsidRPr="004F572A">
        <w:rPr>
          <w:rFonts w:eastAsia="Calibri"/>
          <w:sz w:val="22"/>
          <w:szCs w:val="22"/>
        </w:rPr>
        <w:t>reikėjo atitinkamai 3,2</w:t>
      </w:r>
      <w:r w:rsidR="00146EA8" w:rsidRPr="004F572A">
        <w:rPr>
          <w:rFonts w:eastAsia="Calibri"/>
          <w:sz w:val="22"/>
          <w:szCs w:val="22"/>
        </w:rPr>
        <w:t> </w:t>
      </w:r>
      <w:r w:rsidRPr="004F572A">
        <w:rPr>
          <w:rFonts w:eastAsia="Calibri"/>
          <w:sz w:val="22"/>
          <w:szCs w:val="22"/>
        </w:rPr>
        <w:t>% ir 0,8</w:t>
      </w:r>
      <w:r w:rsidR="00146EA8" w:rsidRPr="004F572A">
        <w:rPr>
          <w:rFonts w:eastAsia="Calibri"/>
          <w:sz w:val="22"/>
          <w:szCs w:val="22"/>
        </w:rPr>
        <w:t> </w:t>
      </w:r>
      <w:r w:rsidRPr="004F572A">
        <w:rPr>
          <w:rFonts w:eastAsia="Calibri"/>
          <w:sz w:val="22"/>
          <w:szCs w:val="22"/>
        </w:rPr>
        <w:t>% pacientų</w:t>
      </w:r>
      <w:r w:rsidR="002D0766">
        <w:rPr>
          <w:rFonts w:eastAsia="Calibri"/>
          <w:sz w:val="22"/>
          <w:szCs w:val="22"/>
        </w:rPr>
        <w:t>, o gydymą visam laikui</w:t>
      </w:r>
      <w:r w:rsidR="00146EA8" w:rsidRPr="004F572A">
        <w:rPr>
          <w:rFonts w:eastAsia="Calibri"/>
          <w:sz w:val="22"/>
          <w:szCs w:val="22"/>
        </w:rPr>
        <w:t xml:space="preserve"> nutraukti </w:t>
      </w:r>
      <w:r w:rsidRPr="004F572A">
        <w:rPr>
          <w:rFonts w:eastAsia="Calibri"/>
          <w:sz w:val="22"/>
          <w:szCs w:val="22"/>
        </w:rPr>
        <w:t>1,7</w:t>
      </w:r>
      <w:r w:rsidR="00146EA8" w:rsidRPr="004F572A">
        <w:rPr>
          <w:rFonts w:eastAsia="Calibri"/>
          <w:sz w:val="22"/>
          <w:szCs w:val="22"/>
        </w:rPr>
        <w:t> </w:t>
      </w:r>
      <w:r w:rsidRPr="004F572A">
        <w:rPr>
          <w:rFonts w:eastAsia="Calibri"/>
          <w:sz w:val="22"/>
          <w:szCs w:val="22"/>
        </w:rPr>
        <w:t>% pacientų.</w:t>
      </w:r>
    </w:p>
    <w:p w14:paraId="33403BA1" w14:textId="77777777" w:rsidR="008811A6" w:rsidRPr="004F572A" w:rsidRDefault="008811A6" w:rsidP="000928CA">
      <w:pPr>
        <w:widowControl w:val="0"/>
        <w:tabs>
          <w:tab w:val="clear" w:pos="567"/>
        </w:tabs>
        <w:rPr>
          <w:rFonts w:eastAsia="Calibri"/>
          <w:sz w:val="22"/>
          <w:szCs w:val="22"/>
        </w:rPr>
      </w:pPr>
    </w:p>
    <w:p w14:paraId="0F94174A" w14:textId="4D0BF123" w:rsidR="00146EA8" w:rsidRPr="004F572A" w:rsidRDefault="00146EA8" w:rsidP="00146EA8">
      <w:pPr>
        <w:widowControl w:val="0"/>
        <w:tabs>
          <w:tab w:val="clear" w:pos="567"/>
        </w:tabs>
        <w:rPr>
          <w:rFonts w:eastAsia="Calibri"/>
          <w:sz w:val="22"/>
          <w:szCs w:val="22"/>
        </w:rPr>
      </w:pPr>
      <w:r w:rsidRPr="004F572A">
        <w:rPr>
          <w:rFonts w:eastAsia="Calibri"/>
          <w:sz w:val="22"/>
          <w:szCs w:val="22"/>
        </w:rPr>
        <w:t>Klinikiniuose tyrim</w:t>
      </w:r>
      <w:r w:rsidR="002D0766">
        <w:rPr>
          <w:rFonts w:eastAsia="Calibri"/>
          <w:sz w:val="22"/>
          <w:szCs w:val="22"/>
        </w:rPr>
        <w:t>uose 2 </w:t>
      </w:r>
      <w:r w:rsidR="002D0766" w:rsidRPr="002D0766">
        <w:rPr>
          <w:rFonts w:eastAsia="Calibri"/>
          <w:sz w:val="22"/>
          <w:szCs w:val="22"/>
        </w:rPr>
        <w:t>% iš 1</w:t>
      </w:r>
      <w:r w:rsidR="00D53FC3">
        <w:rPr>
          <w:rFonts w:eastAsia="Calibri"/>
          <w:sz w:val="22"/>
          <w:szCs w:val="22"/>
        </w:rPr>
        <w:t> </w:t>
      </w:r>
      <w:r w:rsidR="002D0766" w:rsidRPr="002D0766">
        <w:rPr>
          <w:rFonts w:eastAsia="Calibri"/>
          <w:sz w:val="22"/>
          <w:szCs w:val="22"/>
        </w:rPr>
        <w:t xml:space="preserve">327 tik </w:t>
      </w:r>
      <w:proofErr w:type="spellStart"/>
      <w:r w:rsidR="002D0766" w:rsidRPr="002D0766">
        <w:rPr>
          <w:rFonts w:eastAsia="Calibri"/>
          <w:sz w:val="22"/>
          <w:szCs w:val="22"/>
        </w:rPr>
        <w:t>lenvatinibu</w:t>
      </w:r>
      <w:proofErr w:type="spellEnd"/>
      <w:r w:rsidR="002D0766" w:rsidRPr="002D0766">
        <w:rPr>
          <w:rFonts w:eastAsia="Calibri"/>
          <w:sz w:val="22"/>
          <w:szCs w:val="22"/>
        </w:rPr>
        <w:t xml:space="preserve"> ne dėl HCK indikacijos gydytų pacientų nustatytas</w:t>
      </w:r>
      <w:r w:rsidRPr="004F572A">
        <w:rPr>
          <w:rFonts w:eastAsia="Calibri"/>
          <w:sz w:val="22"/>
          <w:szCs w:val="22"/>
        </w:rPr>
        <w:t xml:space="preserve"> 3</w:t>
      </w:r>
      <w:r w:rsidR="00D53FC3">
        <w:rPr>
          <w:rFonts w:eastAsia="Calibri"/>
          <w:sz w:val="22"/>
          <w:szCs w:val="22"/>
        </w:rPr>
        <w:noBreakHyphen/>
      </w:r>
      <w:r w:rsidRPr="004F572A">
        <w:rPr>
          <w:rFonts w:eastAsia="Calibri"/>
          <w:sz w:val="22"/>
          <w:szCs w:val="22"/>
        </w:rPr>
        <w:t>ojo arba didesnio laipsnio kraujavimas</w:t>
      </w:r>
      <w:r w:rsidR="00F86242" w:rsidRPr="004F572A">
        <w:rPr>
          <w:rFonts w:eastAsia="Calibri"/>
          <w:sz w:val="22"/>
          <w:szCs w:val="22"/>
        </w:rPr>
        <w:t>,</w:t>
      </w:r>
      <w:r w:rsidRPr="004F572A">
        <w:rPr>
          <w:rFonts w:eastAsia="Calibri"/>
          <w:sz w:val="22"/>
          <w:szCs w:val="22"/>
        </w:rPr>
        <w:t xml:space="preserve"> 3</w:t>
      </w:r>
      <w:r w:rsidR="00D53FC3">
        <w:rPr>
          <w:rFonts w:eastAsia="Calibri"/>
          <w:sz w:val="22"/>
          <w:szCs w:val="22"/>
        </w:rPr>
        <w:t> </w:t>
      </w:r>
      <w:r w:rsidRPr="004F572A">
        <w:rPr>
          <w:rFonts w:eastAsia="Calibri"/>
          <w:sz w:val="22"/>
          <w:szCs w:val="22"/>
        </w:rPr>
        <w:t>pacientams (0,</w:t>
      </w:r>
      <w:r w:rsidR="00F86242" w:rsidRPr="004F572A">
        <w:rPr>
          <w:rFonts w:eastAsia="Calibri"/>
          <w:sz w:val="22"/>
          <w:szCs w:val="22"/>
        </w:rPr>
        <w:t>2</w:t>
      </w:r>
      <w:r w:rsidR="00D53FC3">
        <w:rPr>
          <w:rFonts w:eastAsia="Calibri"/>
          <w:sz w:val="22"/>
          <w:szCs w:val="22"/>
        </w:rPr>
        <w:t> </w:t>
      </w:r>
      <w:r w:rsidRPr="004F572A">
        <w:rPr>
          <w:rFonts w:eastAsia="Calibri"/>
          <w:sz w:val="22"/>
          <w:szCs w:val="22"/>
        </w:rPr>
        <w:t xml:space="preserve">%) </w:t>
      </w:r>
      <w:r w:rsidR="00F86242" w:rsidRPr="004F572A">
        <w:rPr>
          <w:rFonts w:eastAsia="Calibri"/>
          <w:sz w:val="22"/>
          <w:szCs w:val="22"/>
        </w:rPr>
        <w:t>išsivystė</w:t>
      </w:r>
      <w:r w:rsidRPr="004F572A">
        <w:rPr>
          <w:rFonts w:eastAsia="Calibri"/>
          <w:sz w:val="22"/>
          <w:szCs w:val="22"/>
        </w:rPr>
        <w:t xml:space="preserve"> 4</w:t>
      </w:r>
      <w:r w:rsidR="00D53FC3">
        <w:rPr>
          <w:rFonts w:eastAsia="Calibri"/>
          <w:sz w:val="22"/>
          <w:szCs w:val="22"/>
        </w:rPr>
        <w:noBreakHyphen/>
      </w:r>
      <w:r w:rsidRPr="004F572A">
        <w:rPr>
          <w:rFonts w:eastAsia="Calibri"/>
          <w:sz w:val="22"/>
          <w:szCs w:val="22"/>
        </w:rPr>
        <w:t>ojo laipsnio kraujavimas</w:t>
      </w:r>
      <w:r w:rsidR="00F86242" w:rsidRPr="004F572A">
        <w:rPr>
          <w:rFonts w:eastAsia="Calibri"/>
          <w:sz w:val="22"/>
          <w:szCs w:val="22"/>
        </w:rPr>
        <w:t xml:space="preserve"> ir</w:t>
      </w:r>
      <w:r w:rsidRPr="004F572A">
        <w:rPr>
          <w:rFonts w:eastAsia="Calibri"/>
          <w:sz w:val="22"/>
          <w:szCs w:val="22"/>
        </w:rPr>
        <w:t xml:space="preserve"> </w:t>
      </w:r>
      <w:r w:rsidR="00F86242" w:rsidRPr="004F572A">
        <w:rPr>
          <w:rFonts w:eastAsia="Calibri"/>
          <w:sz w:val="22"/>
          <w:szCs w:val="22"/>
        </w:rPr>
        <w:t>8</w:t>
      </w:r>
      <w:r w:rsidR="00D53FC3">
        <w:rPr>
          <w:rFonts w:eastAsia="Calibri"/>
          <w:sz w:val="22"/>
          <w:szCs w:val="22"/>
        </w:rPr>
        <w:t> </w:t>
      </w:r>
      <w:r w:rsidRPr="004F572A">
        <w:rPr>
          <w:rFonts w:eastAsia="Calibri"/>
          <w:sz w:val="22"/>
          <w:szCs w:val="22"/>
        </w:rPr>
        <w:t>pacientams (0,</w:t>
      </w:r>
      <w:r w:rsidR="00F86242" w:rsidRPr="004F572A">
        <w:rPr>
          <w:rFonts w:eastAsia="Calibri"/>
          <w:sz w:val="22"/>
          <w:szCs w:val="22"/>
        </w:rPr>
        <w:t>6 </w:t>
      </w:r>
      <w:r w:rsidRPr="004F572A">
        <w:rPr>
          <w:rFonts w:eastAsia="Calibri"/>
          <w:sz w:val="22"/>
          <w:szCs w:val="22"/>
        </w:rPr>
        <w:t xml:space="preserve">%) </w:t>
      </w:r>
      <w:r w:rsidR="002D0766">
        <w:rPr>
          <w:rFonts w:eastAsia="Calibri"/>
          <w:sz w:val="22"/>
          <w:szCs w:val="22"/>
        </w:rPr>
        <w:t xml:space="preserve">– </w:t>
      </w:r>
      <w:r w:rsidRPr="004F572A">
        <w:rPr>
          <w:rFonts w:eastAsia="Calibri"/>
          <w:sz w:val="22"/>
          <w:szCs w:val="22"/>
        </w:rPr>
        <w:t>5</w:t>
      </w:r>
      <w:r w:rsidR="00D53FC3">
        <w:rPr>
          <w:rFonts w:eastAsia="Calibri"/>
          <w:sz w:val="22"/>
          <w:szCs w:val="22"/>
        </w:rPr>
        <w:noBreakHyphen/>
      </w:r>
      <w:r w:rsidRPr="004F572A">
        <w:rPr>
          <w:rFonts w:eastAsia="Calibri"/>
          <w:sz w:val="22"/>
          <w:szCs w:val="22"/>
        </w:rPr>
        <w:t xml:space="preserve">ojo laipsnio reakcija, įskaitant arterinį kraujavimą, hemoraginį insultą, kraujavimą į smegenis, </w:t>
      </w:r>
      <w:proofErr w:type="spellStart"/>
      <w:r w:rsidRPr="004F572A">
        <w:rPr>
          <w:rFonts w:eastAsia="Calibri"/>
          <w:sz w:val="22"/>
          <w:szCs w:val="22"/>
        </w:rPr>
        <w:t>intrakranijinį</w:t>
      </w:r>
      <w:proofErr w:type="spellEnd"/>
      <w:r w:rsidRPr="004F572A">
        <w:rPr>
          <w:rFonts w:eastAsia="Calibri"/>
          <w:sz w:val="22"/>
          <w:szCs w:val="22"/>
        </w:rPr>
        <w:t xml:space="preserve"> naviko kraujavimą, vėmimą krauju, </w:t>
      </w:r>
      <w:proofErr w:type="spellStart"/>
      <w:r w:rsidRPr="004F572A">
        <w:rPr>
          <w:rFonts w:eastAsia="Calibri"/>
          <w:sz w:val="22"/>
          <w:szCs w:val="22"/>
        </w:rPr>
        <w:t>meleną</w:t>
      </w:r>
      <w:proofErr w:type="spellEnd"/>
      <w:r w:rsidRPr="004F572A">
        <w:rPr>
          <w:rFonts w:eastAsia="Calibri"/>
          <w:sz w:val="22"/>
          <w:szCs w:val="22"/>
        </w:rPr>
        <w:t xml:space="preserve">, </w:t>
      </w:r>
      <w:r w:rsidR="007E470F">
        <w:rPr>
          <w:rFonts w:eastAsia="Calibri"/>
          <w:sz w:val="22"/>
          <w:szCs w:val="22"/>
        </w:rPr>
        <w:t>atsikosėjimą krauju</w:t>
      </w:r>
      <w:r w:rsidRPr="004F572A">
        <w:rPr>
          <w:rFonts w:eastAsia="Calibri"/>
          <w:sz w:val="22"/>
          <w:szCs w:val="22"/>
        </w:rPr>
        <w:t xml:space="preserve"> ir naviko kraujavimą.</w:t>
      </w:r>
    </w:p>
    <w:p w14:paraId="581213ED" w14:textId="77777777" w:rsidR="00F86242" w:rsidRPr="004F572A" w:rsidRDefault="00F86242" w:rsidP="00146EA8">
      <w:pPr>
        <w:widowControl w:val="0"/>
        <w:tabs>
          <w:tab w:val="clear" w:pos="567"/>
        </w:tabs>
        <w:rPr>
          <w:rFonts w:eastAsia="Calibri"/>
          <w:i/>
          <w:iCs/>
          <w:sz w:val="22"/>
          <w:szCs w:val="22"/>
        </w:rPr>
      </w:pPr>
    </w:p>
    <w:p w14:paraId="3F4E3AF0" w14:textId="316DB052" w:rsidR="00146EA8" w:rsidRPr="004F572A" w:rsidRDefault="00146EA8" w:rsidP="00146EA8">
      <w:pPr>
        <w:widowControl w:val="0"/>
        <w:tabs>
          <w:tab w:val="clear" w:pos="567"/>
        </w:tabs>
        <w:rPr>
          <w:rFonts w:eastAsia="Calibri"/>
          <w:i/>
          <w:iCs/>
          <w:sz w:val="22"/>
          <w:szCs w:val="22"/>
        </w:rPr>
      </w:pPr>
      <w:r w:rsidRPr="004F572A">
        <w:rPr>
          <w:rFonts w:eastAsia="Calibri"/>
          <w:i/>
          <w:iCs/>
          <w:sz w:val="22"/>
          <w:szCs w:val="22"/>
        </w:rPr>
        <w:t>EK</w:t>
      </w:r>
    </w:p>
    <w:p w14:paraId="66B4E4EB" w14:textId="77777777" w:rsidR="00F86242" w:rsidRPr="004F572A" w:rsidRDefault="00F86242" w:rsidP="00146EA8">
      <w:pPr>
        <w:widowControl w:val="0"/>
        <w:tabs>
          <w:tab w:val="clear" w:pos="567"/>
        </w:tabs>
        <w:rPr>
          <w:rFonts w:eastAsia="Calibri"/>
          <w:sz w:val="22"/>
          <w:szCs w:val="22"/>
        </w:rPr>
      </w:pPr>
    </w:p>
    <w:p w14:paraId="3737E6D9" w14:textId="2BA4F078" w:rsidR="00146EA8" w:rsidRPr="004F572A" w:rsidRDefault="00146EA8" w:rsidP="00146EA8">
      <w:pPr>
        <w:widowControl w:val="0"/>
        <w:tabs>
          <w:tab w:val="clear" w:pos="567"/>
        </w:tabs>
        <w:rPr>
          <w:rFonts w:eastAsia="Calibri"/>
          <w:sz w:val="22"/>
          <w:szCs w:val="22"/>
        </w:rPr>
      </w:pPr>
      <w:r w:rsidRPr="004F572A">
        <w:rPr>
          <w:rFonts w:eastAsia="Calibri"/>
          <w:sz w:val="22"/>
          <w:szCs w:val="22"/>
        </w:rPr>
        <w:t>3</w:t>
      </w:r>
      <w:r w:rsidR="00D53FC3">
        <w:rPr>
          <w:rFonts w:eastAsia="Calibri"/>
          <w:sz w:val="22"/>
          <w:szCs w:val="22"/>
        </w:rPr>
        <w:t> </w:t>
      </w:r>
      <w:r w:rsidRPr="004F572A">
        <w:rPr>
          <w:rFonts w:eastAsia="Calibri"/>
          <w:sz w:val="22"/>
          <w:szCs w:val="22"/>
        </w:rPr>
        <w:t>fazės 309 tyrim</w:t>
      </w:r>
      <w:r w:rsidR="002D0766">
        <w:rPr>
          <w:rFonts w:eastAsia="Calibri"/>
          <w:sz w:val="22"/>
          <w:szCs w:val="22"/>
        </w:rPr>
        <w:t>e</w:t>
      </w:r>
      <w:r w:rsidRPr="004F572A">
        <w:rPr>
          <w:rFonts w:eastAsia="Calibri"/>
          <w:sz w:val="22"/>
          <w:szCs w:val="22"/>
        </w:rPr>
        <w:t xml:space="preserve"> (žr. 5.1 skyrių) buvo pranešta apie kraujavimą 24,4</w:t>
      </w:r>
      <w:r w:rsidR="00F86242" w:rsidRPr="004F572A">
        <w:rPr>
          <w:rFonts w:eastAsia="Calibri"/>
          <w:sz w:val="22"/>
          <w:szCs w:val="22"/>
        </w:rPr>
        <w:t> </w:t>
      </w:r>
      <w:r w:rsidRPr="004F572A">
        <w:rPr>
          <w:rFonts w:eastAsia="Calibri"/>
          <w:sz w:val="22"/>
          <w:szCs w:val="22"/>
        </w:rPr>
        <w:t xml:space="preserve">% </w:t>
      </w:r>
      <w:proofErr w:type="spellStart"/>
      <w:r w:rsidRPr="004F572A">
        <w:rPr>
          <w:rFonts w:eastAsia="Calibri"/>
          <w:sz w:val="22"/>
          <w:szCs w:val="22"/>
        </w:rPr>
        <w:t>lenvatinibo</w:t>
      </w:r>
      <w:proofErr w:type="spellEnd"/>
      <w:r w:rsidRPr="004F572A">
        <w:rPr>
          <w:rFonts w:eastAsia="Calibri"/>
          <w:sz w:val="22"/>
          <w:szCs w:val="22"/>
        </w:rPr>
        <w:t xml:space="preserve"> ir </w:t>
      </w:r>
      <w:proofErr w:type="spellStart"/>
      <w:r w:rsidRPr="004F572A">
        <w:rPr>
          <w:rFonts w:eastAsia="Calibri"/>
          <w:sz w:val="22"/>
          <w:szCs w:val="22"/>
        </w:rPr>
        <w:t>pembrolizumabo</w:t>
      </w:r>
      <w:proofErr w:type="spellEnd"/>
      <w:r w:rsidRPr="004F572A">
        <w:rPr>
          <w:rFonts w:eastAsia="Calibri"/>
          <w:sz w:val="22"/>
          <w:szCs w:val="22"/>
        </w:rPr>
        <w:t xml:space="preserve"> </w:t>
      </w:r>
      <w:r w:rsidR="00F86242" w:rsidRPr="004F572A">
        <w:rPr>
          <w:rFonts w:eastAsia="Calibri"/>
          <w:sz w:val="22"/>
          <w:szCs w:val="22"/>
        </w:rPr>
        <w:t xml:space="preserve">deriniu </w:t>
      </w:r>
      <w:r w:rsidRPr="004F572A">
        <w:rPr>
          <w:rFonts w:eastAsia="Calibri"/>
          <w:sz w:val="22"/>
          <w:szCs w:val="22"/>
        </w:rPr>
        <w:t>gydytų pacientų</w:t>
      </w:r>
      <w:r w:rsidR="002D0766">
        <w:rPr>
          <w:rFonts w:eastAsia="Calibri"/>
          <w:sz w:val="22"/>
          <w:szCs w:val="22"/>
        </w:rPr>
        <w:t>, o</w:t>
      </w:r>
      <w:r w:rsidRPr="004F572A">
        <w:rPr>
          <w:rFonts w:eastAsia="Calibri"/>
          <w:sz w:val="22"/>
          <w:szCs w:val="22"/>
        </w:rPr>
        <w:t xml:space="preserve"> ≥</w:t>
      </w:r>
      <w:r w:rsidR="00F86242" w:rsidRPr="004F572A">
        <w:rPr>
          <w:rFonts w:eastAsia="Calibri"/>
          <w:sz w:val="22"/>
          <w:szCs w:val="22"/>
        </w:rPr>
        <w:t> </w:t>
      </w:r>
      <w:r w:rsidRPr="004F572A">
        <w:rPr>
          <w:rFonts w:eastAsia="Calibri"/>
          <w:sz w:val="22"/>
          <w:szCs w:val="22"/>
        </w:rPr>
        <w:t>3</w:t>
      </w:r>
      <w:r w:rsidR="00D53FC3">
        <w:rPr>
          <w:rFonts w:eastAsia="Calibri"/>
          <w:sz w:val="22"/>
          <w:szCs w:val="22"/>
        </w:rPr>
        <w:t> </w:t>
      </w:r>
      <w:r w:rsidRPr="004F572A">
        <w:rPr>
          <w:rFonts w:eastAsia="Calibri"/>
          <w:sz w:val="22"/>
          <w:szCs w:val="22"/>
        </w:rPr>
        <w:t>laipsnio reakcijos pasireiškė 3,0</w:t>
      </w:r>
      <w:r w:rsidR="00F86242" w:rsidRPr="004F572A">
        <w:rPr>
          <w:rFonts w:eastAsia="Calibri"/>
          <w:sz w:val="22"/>
          <w:szCs w:val="22"/>
        </w:rPr>
        <w:t> </w:t>
      </w:r>
      <w:r w:rsidRPr="004F572A">
        <w:rPr>
          <w:rFonts w:eastAsia="Calibri"/>
          <w:sz w:val="22"/>
          <w:szCs w:val="22"/>
        </w:rPr>
        <w:t>% pacientų. Vidutinis laikas iki pradžios buvo 65,0</w:t>
      </w:r>
      <w:r w:rsidR="00D53FC3">
        <w:rPr>
          <w:rFonts w:eastAsia="Calibri"/>
          <w:sz w:val="22"/>
          <w:szCs w:val="22"/>
        </w:rPr>
        <w:t> </w:t>
      </w:r>
      <w:r w:rsidRPr="004F572A">
        <w:rPr>
          <w:rFonts w:eastAsia="Calibri"/>
          <w:sz w:val="22"/>
          <w:szCs w:val="22"/>
        </w:rPr>
        <w:t xml:space="preserve">dienos. </w:t>
      </w:r>
      <w:proofErr w:type="spellStart"/>
      <w:r w:rsidR="002D0766" w:rsidRPr="002D0766">
        <w:rPr>
          <w:rFonts w:eastAsia="Calibri"/>
          <w:sz w:val="22"/>
          <w:szCs w:val="22"/>
        </w:rPr>
        <w:t>Lenvatinibo</w:t>
      </w:r>
      <w:proofErr w:type="spellEnd"/>
      <w:r w:rsidR="002D0766" w:rsidRPr="002D0766">
        <w:rPr>
          <w:rFonts w:eastAsia="Calibri"/>
          <w:sz w:val="22"/>
          <w:szCs w:val="22"/>
        </w:rPr>
        <w:t xml:space="preserve"> vartojimą </w:t>
      </w:r>
      <w:r w:rsidR="002D0766">
        <w:rPr>
          <w:rFonts w:eastAsia="Calibri"/>
          <w:sz w:val="22"/>
          <w:szCs w:val="22"/>
        </w:rPr>
        <w:t>laikinai sustabdė</w:t>
      </w:r>
      <w:r w:rsidR="009C694C" w:rsidRPr="004F572A">
        <w:rPr>
          <w:rFonts w:eastAsia="Calibri"/>
          <w:sz w:val="22"/>
          <w:szCs w:val="22"/>
        </w:rPr>
        <w:t xml:space="preserve">, sumažino </w:t>
      </w:r>
      <w:r w:rsidRPr="004F572A">
        <w:rPr>
          <w:rFonts w:eastAsia="Calibri"/>
          <w:sz w:val="22"/>
          <w:szCs w:val="22"/>
        </w:rPr>
        <w:t>ir nutraukė atitinkamai 1,7</w:t>
      </w:r>
      <w:r w:rsidR="009C694C" w:rsidRPr="004F572A">
        <w:rPr>
          <w:rFonts w:eastAsia="Calibri"/>
          <w:sz w:val="22"/>
          <w:szCs w:val="22"/>
        </w:rPr>
        <w:t> </w:t>
      </w:r>
      <w:r w:rsidRPr="004F572A">
        <w:rPr>
          <w:rFonts w:eastAsia="Calibri"/>
          <w:sz w:val="22"/>
          <w:szCs w:val="22"/>
        </w:rPr>
        <w:t>%, 1,2</w:t>
      </w:r>
      <w:r w:rsidR="009C694C" w:rsidRPr="004F572A">
        <w:rPr>
          <w:rFonts w:eastAsia="Calibri"/>
          <w:sz w:val="22"/>
          <w:szCs w:val="22"/>
        </w:rPr>
        <w:t> </w:t>
      </w:r>
      <w:r w:rsidRPr="004F572A">
        <w:rPr>
          <w:rFonts w:eastAsia="Calibri"/>
          <w:sz w:val="22"/>
          <w:szCs w:val="22"/>
        </w:rPr>
        <w:t>% ir 1,7</w:t>
      </w:r>
      <w:r w:rsidR="009C694C" w:rsidRPr="004F572A">
        <w:rPr>
          <w:rFonts w:eastAsia="Calibri"/>
          <w:sz w:val="22"/>
          <w:szCs w:val="22"/>
        </w:rPr>
        <w:t> </w:t>
      </w:r>
      <w:r w:rsidRPr="004F572A">
        <w:rPr>
          <w:rFonts w:eastAsia="Calibri"/>
          <w:sz w:val="22"/>
          <w:szCs w:val="22"/>
        </w:rPr>
        <w:t>% pacientų.</w:t>
      </w:r>
    </w:p>
    <w:p w14:paraId="3861CCA5" w14:textId="77777777" w:rsidR="009C694C" w:rsidRPr="004F572A" w:rsidRDefault="009C694C" w:rsidP="00146EA8">
      <w:pPr>
        <w:widowControl w:val="0"/>
        <w:tabs>
          <w:tab w:val="clear" w:pos="567"/>
        </w:tabs>
        <w:rPr>
          <w:rFonts w:eastAsia="Calibri"/>
          <w:i/>
          <w:iCs/>
          <w:sz w:val="22"/>
          <w:szCs w:val="22"/>
        </w:rPr>
      </w:pPr>
    </w:p>
    <w:p w14:paraId="34930529" w14:textId="283018B0" w:rsidR="009C694C" w:rsidRPr="004F572A" w:rsidRDefault="00146EA8" w:rsidP="00146EA8">
      <w:pPr>
        <w:widowControl w:val="0"/>
        <w:tabs>
          <w:tab w:val="clear" w:pos="567"/>
        </w:tabs>
        <w:rPr>
          <w:rFonts w:eastAsia="Calibri"/>
          <w:i/>
          <w:iCs/>
          <w:sz w:val="22"/>
          <w:szCs w:val="22"/>
          <w:u w:val="single"/>
        </w:rPr>
      </w:pPr>
      <w:proofErr w:type="spellStart"/>
      <w:r w:rsidRPr="004F572A">
        <w:rPr>
          <w:rFonts w:eastAsia="Calibri"/>
          <w:i/>
          <w:iCs/>
          <w:sz w:val="22"/>
          <w:szCs w:val="22"/>
          <w:u w:val="single"/>
        </w:rPr>
        <w:t>Hipokalcemija</w:t>
      </w:r>
      <w:proofErr w:type="spellEnd"/>
      <w:r w:rsidRPr="004F572A">
        <w:rPr>
          <w:rFonts w:eastAsia="Calibri"/>
          <w:i/>
          <w:iCs/>
          <w:sz w:val="22"/>
          <w:szCs w:val="22"/>
          <w:u w:val="single"/>
        </w:rPr>
        <w:t xml:space="preserve"> (žr. 4.4 skyrių) </w:t>
      </w:r>
    </w:p>
    <w:p w14:paraId="50506C0E" w14:textId="77777777" w:rsidR="009C694C" w:rsidRPr="004F572A" w:rsidRDefault="009C694C" w:rsidP="00146EA8">
      <w:pPr>
        <w:widowControl w:val="0"/>
        <w:tabs>
          <w:tab w:val="clear" w:pos="567"/>
        </w:tabs>
        <w:rPr>
          <w:rFonts w:eastAsia="Calibri"/>
          <w:i/>
          <w:iCs/>
          <w:sz w:val="22"/>
          <w:szCs w:val="22"/>
        </w:rPr>
      </w:pPr>
    </w:p>
    <w:p w14:paraId="769FEE9E" w14:textId="0739D296" w:rsidR="00146EA8" w:rsidRPr="004F572A" w:rsidRDefault="00146EA8" w:rsidP="00146EA8">
      <w:pPr>
        <w:widowControl w:val="0"/>
        <w:tabs>
          <w:tab w:val="clear" w:pos="567"/>
        </w:tabs>
        <w:rPr>
          <w:rFonts w:eastAsia="Calibri"/>
          <w:i/>
          <w:iCs/>
          <w:sz w:val="22"/>
          <w:szCs w:val="22"/>
        </w:rPr>
      </w:pPr>
      <w:r w:rsidRPr="004F572A">
        <w:rPr>
          <w:rFonts w:eastAsia="Calibri"/>
          <w:i/>
          <w:iCs/>
          <w:sz w:val="22"/>
          <w:szCs w:val="22"/>
        </w:rPr>
        <w:t>DSK</w:t>
      </w:r>
    </w:p>
    <w:p w14:paraId="3D000EA7" w14:textId="77777777" w:rsidR="009C694C" w:rsidRPr="004F572A" w:rsidRDefault="009C694C" w:rsidP="00146EA8">
      <w:pPr>
        <w:widowControl w:val="0"/>
        <w:tabs>
          <w:tab w:val="clear" w:pos="567"/>
        </w:tabs>
        <w:rPr>
          <w:rFonts w:eastAsia="Calibri"/>
          <w:sz w:val="22"/>
          <w:szCs w:val="22"/>
        </w:rPr>
      </w:pPr>
    </w:p>
    <w:p w14:paraId="709210CB" w14:textId="7D84E7A8" w:rsidR="00146EA8" w:rsidRPr="004F572A" w:rsidRDefault="00146EA8" w:rsidP="00146EA8">
      <w:pPr>
        <w:widowControl w:val="0"/>
        <w:tabs>
          <w:tab w:val="clear" w:pos="567"/>
        </w:tabs>
        <w:rPr>
          <w:rFonts w:eastAsia="Calibri"/>
          <w:sz w:val="22"/>
          <w:szCs w:val="22"/>
        </w:rPr>
      </w:pPr>
      <w:r w:rsidRPr="004F572A">
        <w:rPr>
          <w:rFonts w:eastAsia="Calibri"/>
          <w:sz w:val="22"/>
          <w:szCs w:val="22"/>
        </w:rPr>
        <w:t>Pagrindinio 3</w:t>
      </w:r>
      <w:r w:rsidR="00D53FC3">
        <w:rPr>
          <w:rFonts w:eastAsia="Calibri"/>
          <w:sz w:val="22"/>
          <w:szCs w:val="22"/>
        </w:rPr>
        <w:t> </w:t>
      </w:r>
      <w:r w:rsidRPr="004F572A">
        <w:rPr>
          <w:rFonts w:eastAsia="Calibri"/>
          <w:sz w:val="22"/>
          <w:szCs w:val="22"/>
        </w:rPr>
        <w:t xml:space="preserve">fazės tyrimo SELECT </w:t>
      </w:r>
      <w:r w:rsidR="002D0766">
        <w:rPr>
          <w:rFonts w:eastAsia="Calibri"/>
          <w:sz w:val="22"/>
          <w:szCs w:val="22"/>
        </w:rPr>
        <w:t xml:space="preserve">metu </w:t>
      </w:r>
      <w:r w:rsidRPr="004F572A">
        <w:rPr>
          <w:rFonts w:eastAsia="Calibri"/>
          <w:sz w:val="22"/>
          <w:szCs w:val="22"/>
        </w:rPr>
        <w:t xml:space="preserve">(žr. 5.1 skyrių) </w:t>
      </w:r>
      <w:proofErr w:type="spellStart"/>
      <w:r w:rsidRPr="004F572A">
        <w:rPr>
          <w:rFonts w:eastAsia="Calibri"/>
          <w:sz w:val="22"/>
          <w:szCs w:val="22"/>
        </w:rPr>
        <w:t>hipokalcemij</w:t>
      </w:r>
      <w:r w:rsidR="002D0766">
        <w:rPr>
          <w:rFonts w:eastAsia="Calibri"/>
          <w:sz w:val="22"/>
          <w:szCs w:val="22"/>
        </w:rPr>
        <w:t>a</w:t>
      </w:r>
      <w:proofErr w:type="spellEnd"/>
      <w:r w:rsidR="002D0766">
        <w:rPr>
          <w:rFonts w:eastAsia="Calibri"/>
          <w:sz w:val="22"/>
          <w:szCs w:val="22"/>
        </w:rPr>
        <w:t xml:space="preserve"> nustatyta</w:t>
      </w:r>
      <w:r w:rsidRPr="004F572A">
        <w:rPr>
          <w:rFonts w:eastAsia="Calibri"/>
          <w:sz w:val="22"/>
          <w:szCs w:val="22"/>
        </w:rPr>
        <w:t xml:space="preserve"> 12,6</w:t>
      </w:r>
      <w:r w:rsidR="009C694C" w:rsidRPr="004F572A">
        <w:rPr>
          <w:rFonts w:eastAsia="Calibri"/>
          <w:sz w:val="22"/>
          <w:szCs w:val="22"/>
        </w:rPr>
        <w:t> </w:t>
      </w:r>
      <w:r w:rsidRPr="004F572A">
        <w:rPr>
          <w:rFonts w:eastAsia="Calibri"/>
          <w:sz w:val="22"/>
          <w:szCs w:val="22"/>
        </w:rPr>
        <w:t xml:space="preserve">% </w:t>
      </w:r>
      <w:proofErr w:type="spellStart"/>
      <w:r w:rsidRPr="004F572A">
        <w:rPr>
          <w:rFonts w:eastAsia="Calibri"/>
          <w:sz w:val="22"/>
          <w:szCs w:val="22"/>
        </w:rPr>
        <w:t>lenvatinibu</w:t>
      </w:r>
      <w:proofErr w:type="spellEnd"/>
      <w:r w:rsidRPr="004F572A">
        <w:rPr>
          <w:rFonts w:eastAsia="Calibri"/>
          <w:sz w:val="22"/>
          <w:szCs w:val="22"/>
        </w:rPr>
        <w:t xml:space="preserve"> gydytų pacientų</w:t>
      </w:r>
      <w:r w:rsidR="002D0766">
        <w:rPr>
          <w:rFonts w:eastAsia="Calibri"/>
          <w:sz w:val="22"/>
          <w:szCs w:val="22"/>
        </w:rPr>
        <w:t xml:space="preserve"> ir nenustatyta </w:t>
      </w:r>
      <w:r w:rsidR="009C694C" w:rsidRPr="004F572A">
        <w:rPr>
          <w:rFonts w:eastAsia="Calibri"/>
          <w:sz w:val="22"/>
          <w:szCs w:val="22"/>
        </w:rPr>
        <w:t>nė vien</w:t>
      </w:r>
      <w:r w:rsidR="002D0766">
        <w:rPr>
          <w:rFonts w:eastAsia="Calibri"/>
          <w:sz w:val="22"/>
          <w:szCs w:val="22"/>
        </w:rPr>
        <w:t>am</w:t>
      </w:r>
      <w:r w:rsidRPr="004F572A">
        <w:rPr>
          <w:rFonts w:eastAsia="Calibri"/>
          <w:sz w:val="22"/>
          <w:szCs w:val="22"/>
        </w:rPr>
        <w:t xml:space="preserve"> placebo grupės pacient</w:t>
      </w:r>
      <w:r w:rsidR="002D0766">
        <w:rPr>
          <w:rFonts w:eastAsia="Calibri"/>
          <w:sz w:val="22"/>
          <w:szCs w:val="22"/>
        </w:rPr>
        <w:t>ui</w:t>
      </w:r>
      <w:r w:rsidRPr="004F572A">
        <w:rPr>
          <w:rFonts w:eastAsia="Calibri"/>
          <w:sz w:val="22"/>
          <w:szCs w:val="22"/>
        </w:rPr>
        <w:t xml:space="preserve">. Laiko iki pirmojo pasireiškimo mediana </w:t>
      </w:r>
      <w:proofErr w:type="spellStart"/>
      <w:r w:rsidRPr="004F572A">
        <w:rPr>
          <w:rFonts w:eastAsia="Calibri"/>
          <w:sz w:val="22"/>
          <w:szCs w:val="22"/>
        </w:rPr>
        <w:t>lenvatinibu</w:t>
      </w:r>
      <w:proofErr w:type="spellEnd"/>
      <w:r w:rsidRPr="004F572A">
        <w:rPr>
          <w:rFonts w:eastAsia="Calibri"/>
          <w:sz w:val="22"/>
          <w:szCs w:val="22"/>
        </w:rPr>
        <w:t xml:space="preserve"> gydytiems pacientams buvo 11,1</w:t>
      </w:r>
      <w:r w:rsidR="00D53FC3">
        <w:rPr>
          <w:rFonts w:eastAsia="Calibri"/>
          <w:sz w:val="22"/>
          <w:szCs w:val="22"/>
        </w:rPr>
        <w:t> </w:t>
      </w:r>
      <w:r w:rsidRPr="004F572A">
        <w:rPr>
          <w:rFonts w:eastAsia="Calibri"/>
          <w:sz w:val="22"/>
          <w:szCs w:val="22"/>
        </w:rPr>
        <w:t>savaitės. 3</w:t>
      </w:r>
      <w:r w:rsidR="00D53FC3">
        <w:rPr>
          <w:rFonts w:eastAsia="Calibri"/>
          <w:sz w:val="22"/>
          <w:szCs w:val="22"/>
        </w:rPr>
        <w:noBreakHyphen/>
      </w:r>
      <w:r w:rsidRPr="004F572A">
        <w:rPr>
          <w:rFonts w:eastAsia="Calibri"/>
          <w:sz w:val="22"/>
          <w:szCs w:val="22"/>
        </w:rPr>
        <w:t>iojo ar 4</w:t>
      </w:r>
      <w:r w:rsidR="00D53FC3">
        <w:rPr>
          <w:rFonts w:eastAsia="Calibri"/>
          <w:sz w:val="22"/>
          <w:szCs w:val="22"/>
        </w:rPr>
        <w:noBreakHyphen/>
      </w:r>
      <w:r w:rsidRPr="004F572A">
        <w:rPr>
          <w:rFonts w:eastAsia="Calibri"/>
          <w:sz w:val="22"/>
          <w:szCs w:val="22"/>
        </w:rPr>
        <w:t>ojo sunkumo laipsnio reakcijos pasireiškė 5,0</w:t>
      </w:r>
      <w:r w:rsidR="009C694C" w:rsidRPr="004F572A">
        <w:rPr>
          <w:rFonts w:eastAsia="Calibri"/>
          <w:sz w:val="22"/>
          <w:szCs w:val="22"/>
        </w:rPr>
        <w:t> </w:t>
      </w:r>
      <w:r w:rsidRPr="004F572A">
        <w:rPr>
          <w:rFonts w:eastAsia="Calibri"/>
          <w:sz w:val="22"/>
          <w:szCs w:val="22"/>
        </w:rPr>
        <w:t xml:space="preserve">% </w:t>
      </w:r>
      <w:proofErr w:type="spellStart"/>
      <w:r w:rsidRPr="004F572A">
        <w:rPr>
          <w:rFonts w:eastAsia="Calibri"/>
          <w:sz w:val="22"/>
          <w:szCs w:val="22"/>
        </w:rPr>
        <w:t>lenvatinibu</w:t>
      </w:r>
      <w:proofErr w:type="spellEnd"/>
      <w:r w:rsidRPr="004F572A">
        <w:rPr>
          <w:rFonts w:eastAsia="Calibri"/>
          <w:sz w:val="22"/>
          <w:szCs w:val="22"/>
        </w:rPr>
        <w:t xml:space="preserve"> gydytų pacientų ir 0 placebo grupės pacientų. Didžioji dalis reakcijų praėjo po palaikomojo gydymo, </w:t>
      </w:r>
      <w:r w:rsidR="002D0766">
        <w:rPr>
          <w:rFonts w:eastAsia="Calibri"/>
          <w:sz w:val="22"/>
          <w:szCs w:val="22"/>
        </w:rPr>
        <w:t>laikinai nesustabdant vaistinio preparato</w:t>
      </w:r>
      <w:r w:rsidRPr="004F572A">
        <w:rPr>
          <w:rFonts w:eastAsia="Calibri"/>
          <w:sz w:val="22"/>
          <w:szCs w:val="22"/>
        </w:rPr>
        <w:t xml:space="preserve"> vartojimo nemažinant</w:t>
      </w:r>
      <w:r w:rsidR="002D0766">
        <w:rPr>
          <w:rFonts w:eastAsia="Calibri"/>
          <w:sz w:val="22"/>
          <w:szCs w:val="22"/>
        </w:rPr>
        <w:t xml:space="preserve"> dozės</w:t>
      </w:r>
      <w:r w:rsidRPr="004F572A">
        <w:rPr>
          <w:rFonts w:eastAsia="Calibri"/>
          <w:sz w:val="22"/>
          <w:szCs w:val="22"/>
        </w:rPr>
        <w:t>, tai nustatyta atitinkamai 1,5</w:t>
      </w:r>
      <w:r w:rsidR="009C694C" w:rsidRPr="004F572A">
        <w:rPr>
          <w:rFonts w:eastAsia="Calibri"/>
          <w:sz w:val="22"/>
          <w:szCs w:val="22"/>
        </w:rPr>
        <w:t> </w:t>
      </w:r>
      <w:r w:rsidRPr="004F572A">
        <w:rPr>
          <w:rFonts w:eastAsia="Calibri"/>
          <w:sz w:val="22"/>
          <w:szCs w:val="22"/>
        </w:rPr>
        <w:t>% ir 1,1</w:t>
      </w:r>
      <w:r w:rsidR="009C694C" w:rsidRPr="004F572A">
        <w:rPr>
          <w:rFonts w:eastAsia="Calibri"/>
          <w:sz w:val="22"/>
          <w:szCs w:val="22"/>
        </w:rPr>
        <w:t> </w:t>
      </w:r>
      <w:r w:rsidRPr="004F572A">
        <w:rPr>
          <w:rFonts w:eastAsia="Calibri"/>
          <w:sz w:val="22"/>
          <w:szCs w:val="22"/>
        </w:rPr>
        <w:t>% pacientų; 1</w:t>
      </w:r>
      <w:r w:rsidR="00D53FC3">
        <w:rPr>
          <w:rFonts w:eastAsia="Calibri"/>
          <w:sz w:val="22"/>
          <w:szCs w:val="22"/>
        </w:rPr>
        <w:t> </w:t>
      </w:r>
      <w:r w:rsidRPr="004F572A">
        <w:rPr>
          <w:rFonts w:eastAsia="Calibri"/>
          <w:sz w:val="22"/>
          <w:szCs w:val="22"/>
        </w:rPr>
        <w:t xml:space="preserve">pacientui, </w:t>
      </w:r>
      <w:r w:rsidR="002D0766">
        <w:rPr>
          <w:rFonts w:eastAsia="Calibri"/>
          <w:sz w:val="22"/>
          <w:szCs w:val="22"/>
        </w:rPr>
        <w:t>sergančiam</w:t>
      </w:r>
      <w:r w:rsidRPr="004F572A">
        <w:rPr>
          <w:rFonts w:eastAsia="Calibri"/>
          <w:sz w:val="22"/>
          <w:szCs w:val="22"/>
        </w:rPr>
        <w:t xml:space="preserve"> 4</w:t>
      </w:r>
      <w:r w:rsidR="00D53FC3">
        <w:rPr>
          <w:rFonts w:eastAsia="Calibri"/>
          <w:sz w:val="22"/>
          <w:szCs w:val="22"/>
        </w:rPr>
        <w:noBreakHyphen/>
      </w:r>
      <w:r w:rsidRPr="004F572A">
        <w:rPr>
          <w:rFonts w:eastAsia="Calibri"/>
          <w:sz w:val="22"/>
          <w:szCs w:val="22"/>
        </w:rPr>
        <w:t xml:space="preserve">ojo laipsnio </w:t>
      </w:r>
      <w:proofErr w:type="spellStart"/>
      <w:r w:rsidRPr="004F572A">
        <w:rPr>
          <w:rFonts w:eastAsia="Calibri"/>
          <w:sz w:val="22"/>
          <w:szCs w:val="22"/>
        </w:rPr>
        <w:t>hipokalcemija</w:t>
      </w:r>
      <w:proofErr w:type="spellEnd"/>
      <w:r w:rsidRPr="004F572A">
        <w:rPr>
          <w:rFonts w:eastAsia="Calibri"/>
          <w:sz w:val="22"/>
          <w:szCs w:val="22"/>
        </w:rPr>
        <w:t xml:space="preserve">, gydymas </w:t>
      </w:r>
      <w:r w:rsidR="002D0766">
        <w:rPr>
          <w:rFonts w:eastAsia="Calibri"/>
          <w:sz w:val="22"/>
          <w:szCs w:val="22"/>
        </w:rPr>
        <w:t xml:space="preserve">buvo visiškai </w:t>
      </w:r>
      <w:r w:rsidRPr="004F572A">
        <w:rPr>
          <w:rFonts w:eastAsia="Calibri"/>
          <w:sz w:val="22"/>
          <w:szCs w:val="22"/>
        </w:rPr>
        <w:t>nutrauktas.</w:t>
      </w:r>
    </w:p>
    <w:p w14:paraId="0A784155" w14:textId="77777777" w:rsidR="002C70BE" w:rsidRPr="004F572A" w:rsidRDefault="002C70BE" w:rsidP="00146EA8">
      <w:pPr>
        <w:widowControl w:val="0"/>
        <w:tabs>
          <w:tab w:val="clear" w:pos="567"/>
        </w:tabs>
        <w:rPr>
          <w:rFonts w:eastAsia="Calibri"/>
          <w:i/>
          <w:iCs/>
          <w:sz w:val="22"/>
          <w:szCs w:val="22"/>
        </w:rPr>
      </w:pPr>
    </w:p>
    <w:p w14:paraId="2E9B1D14" w14:textId="19847B3B" w:rsidR="00146EA8" w:rsidRPr="004F572A" w:rsidRDefault="00146EA8" w:rsidP="00146EA8">
      <w:pPr>
        <w:widowControl w:val="0"/>
        <w:tabs>
          <w:tab w:val="clear" w:pos="567"/>
        </w:tabs>
        <w:rPr>
          <w:rFonts w:eastAsia="Calibri"/>
          <w:i/>
          <w:iCs/>
          <w:sz w:val="22"/>
          <w:szCs w:val="22"/>
        </w:rPr>
      </w:pPr>
      <w:r w:rsidRPr="004F572A">
        <w:rPr>
          <w:rFonts w:eastAsia="Calibri"/>
          <w:i/>
          <w:iCs/>
          <w:sz w:val="22"/>
          <w:szCs w:val="22"/>
        </w:rPr>
        <w:t>HCK</w:t>
      </w:r>
    </w:p>
    <w:p w14:paraId="380CFCFE" w14:textId="77777777" w:rsidR="002C70BE" w:rsidRPr="004F572A" w:rsidRDefault="002C70BE" w:rsidP="00146EA8">
      <w:pPr>
        <w:widowControl w:val="0"/>
        <w:tabs>
          <w:tab w:val="clear" w:pos="567"/>
        </w:tabs>
        <w:rPr>
          <w:rFonts w:eastAsia="Calibri"/>
          <w:sz w:val="22"/>
          <w:szCs w:val="22"/>
        </w:rPr>
      </w:pPr>
    </w:p>
    <w:p w14:paraId="0FB7604F" w14:textId="33CF5E3E" w:rsidR="00146EA8" w:rsidRPr="004F572A" w:rsidRDefault="00146EA8" w:rsidP="00146EA8">
      <w:pPr>
        <w:widowControl w:val="0"/>
        <w:tabs>
          <w:tab w:val="clear" w:pos="567"/>
        </w:tabs>
        <w:rPr>
          <w:rFonts w:eastAsia="Calibri"/>
          <w:sz w:val="22"/>
          <w:szCs w:val="22"/>
        </w:rPr>
      </w:pPr>
      <w:r w:rsidRPr="004F572A">
        <w:rPr>
          <w:rFonts w:eastAsia="Calibri"/>
          <w:sz w:val="22"/>
          <w:szCs w:val="22"/>
        </w:rPr>
        <w:t>3</w:t>
      </w:r>
      <w:r w:rsidR="00D53FC3">
        <w:rPr>
          <w:rFonts w:eastAsia="Calibri"/>
          <w:sz w:val="22"/>
          <w:szCs w:val="22"/>
        </w:rPr>
        <w:t> </w:t>
      </w:r>
      <w:r w:rsidRPr="004F572A">
        <w:rPr>
          <w:rFonts w:eastAsia="Calibri"/>
          <w:sz w:val="22"/>
          <w:szCs w:val="22"/>
        </w:rPr>
        <w:t>fazės REFLECT tyrim</w:t>
      </w:r>
      <w:r w:rsidR="002D0766">
        <w:rPr>
          <w:rFonts w:eastAsia="Calibri"/>
          <w:sz w:val="22"/>
          <w:szCs w:val="22"/>
        </w:rPr>
        <w:t>e</w:t>
      </w:r>
      <w:r w:rsidRPr="004F572A">
        <w:rPr>
          <w:rFonts w:eastAsia="Calibri"/>
          <w:sz w:val="22"/>
          <w:szCs w:val="22"/>
        </w:rPr>
        <w:t xml:space="preserve"> (žr. 5.1 skyrių) </w:t>
      </w:r>
      <w:proofErr w:type="spellStart"/>
      <w:r w:rsidR="002C70BE" w:rsidRPr="004F572A">
        <w:rPr>
          <w:rFonts w:eastAsia="Calibri"/>
          <w:sz w:val="22"/>
          <w:szCs w:val="22"/>
        </w:rPr>
        <w:t>hipokalcemij</w:t>
      </w:r>
      <w:r w:rsidR="002D0766">
        <w:rPr>
          <w:rFonts w:eastAsia="Calibri"/>
          <w:sz w:val="22"/>
          <w:szCs w:val="22"/>
        </w:rPr>
        <w:t>os</w:t>
      </w:r>
      <w:proofErr w:type="spellEnd"/>
      <w:r w:rsidR="002D0766">
        <w:rPr>
          <w:rFonts w:eastAsia="Calibri"/>
          <w:sz w:val="22"/>
          <w:szCs w:val="22"/>
        </w:rPr>
        <w:t xml:space="preserve"> epizodai buvo užregistruoti</w:t>
      </w:r>
      <w:r w:rsidR="002C70BE" w:rsidRPr="004F572A">
        <w:rPr>
          <w:rFonts w:eastAsia="Calibri"/>
          <w:sz w:val="22"/>
          <w:szCs w:val="22"/>
        </w:rPr>
        <w:t xml:space="preserve"> </w:t>
      </w:r>
      <w:r w:rsidRPr="004F572A">
        <w:rPr>
          <w:rFonts w:eastAsia="Calibri"/>
          <w:sz w:val="22"/>
          <w:szCs w:val="22"/>
        </w:rPr>
        <w:t>1,1</w:t>
      </w:r>
      <w:r w:rsidR="002C70BE" w:rsidRPr="004F572A">
        <w:rPr>
          <w:rFonts w:eastAsia="Calibri"/>
          <w:sz w:val="22"/>
          <w:szCs w:val="22"/>
        </w:rPr>
        <w:t> </w:t>
      </w:r>
      <w:r w:rsidRPr="004F572A">
        <w:rPr>
          <w:rFonts w:eastAsia="Calibri"/>
          <w:sz w:val="22"/>
          <w:szCs w:val="22"/>
        </w:rPr>
        <w:t>%</w:t>
      </w:r>
      <w:r w:rsidR="002D0766">
        <w:rPr>
          <w:rFonts w:eastAsia="Calibri"/>
          <w:sz w:val="22"/>
          <w:szCs w:val="22"/>
        </w:rPr>
        <w:t>,</w:t>
      </w:r>
      <w:r w:rsidR="002D0766" w:rsidRPr="004F572A" w:rsidDel="002D0766">
        <w:rPr>
          <w:rFonts w:eastAsia="Calibri"/>
          <w:sz w:val="22"/>
          <w:szCs w:val="22"/>
        </w:rPr>
        <w:t xml:space="preserve"> </w:t>
      </w:r>
      <w:r w:rsidRPr="004F572A">
        <w:rPr>
          <w:rFonts w:eastAsia="Calibri"/>
          <w:sz w:val="22"/>
          <w:szCs w:val="22"/>
        </w:rPr>
        <w:t>o 3</w:t>
      </w:r>
      <w:r w:rsidR="00D53FC3">
        <w:rPr>
          <w:rFonts w:eastAsia="Calibri"/>
          <w:sz w:val="22"/>
          <w:szCs w:val="22"/>
        </w:rPr>
        <w:noBreakHyphen/>
      </w:r>
      <w:r w:rsidRPr="004F572A">
        <w:rPr>
          <w:rFonts w:eastAsia="Calibri"/>
          <w:sz w:val="22"/>
          <w:szCs w:val="22"/>
        </w:rPr>
        <w:t>ojo laipsnio reakcijos pasireiškė 0,4</w:t>
      </w:r>
      <w:r w:rsidR="002C70BE" w:rsidRPr="004F572A">
        <w:rPr>
          <w:rFonts w:eastAsia="Calibri"/>
          <w:sz w:val="22"/>
          <w:szCs w:val="22"/>
        </w:rPr>
        <w:t> </w:t>
      </w:r>
      <w:r w:rsidRPr="004F572A">
        <w:rPr>
          <w:rFonts w:eastAsia="Calibri"/>
          <w:sz w:val="22"/>
          <w:szCs w:val="22"/>
        </w:rPr>
        <w:t xml:space="preserve">% pacientų. </w:t>
      </w:r>
      <w:proofErr w:type="spellStart"/>
      <w:r w:rsidR="002D0766">
        <w:rPr>
          <w:rFonts w:eastAsia="Calibri"/>
          <w:sz w:val="22"/>
          <w:szCs w:val="22"/>
        </w:rPr>
        <w:t>Lenvatinibo</w:t>
      </w:r>
      <w:proofErr w:type="spellEnd"/>
      <w:r w:rsidR="002D0766">
        <w:rPr>
          <w:rFonts w:eastAsia="Calibri"/>
          <w:sz w:val="22"/>
          <w:szCs w:val="22"/>
        </w:rPr>
        <w:t xml:space="preserve"> vartojimą d</w:t>
      </w:r>
      <w:r w:rsidR="002C70BE" w:rsidRPr="004F572A">
        <w:rPr>
          <w:rFonts w:eastAsia="Calibri"/>
          <w:sz w:val="22"/>
          <w:szCs w:val="22"/>
        </w:rPr>
        <w:t xml:space="preserve">ėl </w:t>
      </w:r>
      <w:proofErr w:type="spellStart"/>
      <w:r w:rsidR="002C70BE" w:rsidRPr="004F572A">
        <w:rPr>
          <w:rFonts w:eastAsia="Calibri"/>
          <w:sz w:val="22"/>
          <w:szCs w:val="22"/>
        </w:rPr>
        <w:t>hipokalcemijos</w:t>
      </w:r>
      <w:proofErr w:type="spellEnd"/>
      <w:r w:rsidR="002C70BE" w:rsidRPr="004F572A">
        <w:rPr>
          <w:rFonts w:eastAsia="Calibri"/>
          <w:sz w:val="22"/>
          <w:szCs w:val="22"/>
        </w:rPr>
        <w:t xml:space="preserve"> reikėjo </w:t>
      </w:r>
      <w:r w:rsidR="002D0766">
        <w:rPr>
          <w:rFonts w:eastAsia="Calibri"/>
          <w:sz w:val="22"/>
          <w:szCs w:val="22"/>
        </w:rPr>
        <w:t>laikinai sustabdyti</w:t>
      </w:r>
      <w:r w:rsidR="002C70BE" w:rsidRPr="004F572A">
        <w:rPr>
          <w:rFonts w:eastAsia="Calibri"/>
          <w:sz w:val="22"/>
          <w:szCs w:val="22"/>
        </w:rPr>
        <w:t xml:space="preserve"> vienam </w:t>
      </w:r>
      <w:r w:rsidR="002D0766">
        <w:rPr>
          <w:rFonts w:eastAsia="Calibri"/>
          <w:sz w:val="22"/>
          <w:szCs w:val="22"/>
        </w:rPr>
        <w:t xml:space="preserve">tiriamajam </w:t>
      </w:r>
      <w:r w:rsidR="002C70BE" w:rsidRPr="004F572A">
        <w:rPr>
          <w:rFonts w:eastAsia="Calibri"/>
          <w:sz w:val="22"/>
          <w:szCs w:val="22"/>
        </w:rPr>
        <w:t>asmeniui (0,2 %),</w:t>
      </w:r>
      <w:r w:rsidRPr="004F572A">
        <w:rPr>
          <w:rFonts w:eastAsia="Calibri"/>
          <w:sz w:val="22"/>
          <w:szCs w:val="22"/>
        </w:rPr>
        <w:t xml:space="preserve"> o </w:t>
      </w:r>
      <w:r w:rsidR="002D0766">
        <w:rPr>
          <w:rFonts w:eastAsia="Calibri"/>
          <w:sz w:val="22"/>
          <w:szCs w:val="22"/>
        </w:rPr>
        <w:t>dozės</w:t>
      </w:r>
      <w:r w:rsidR="002C70BE" w:rsidRPr="004F572A">
        <w:rPr>
          <w:rFonts w:eastAsia="Calibri"/>
          <w:sz w:val="22"/>
          <w:szCs w:val="22"/>
        </w:rPr>
        <w:t xml:space="preserve"> </w:t>
      </w:r>
      <w:r w:rsidRPr="004F572A">
        <w:rPr>
          <w:rFonts w:eastAsia="Calibri"/>
          <w:sz w:val="22"/>
          <w:szCs w:val="22"/>
        </w:rPr>
        <w:t>mažinti ar gydym</w:t>
      </w:r>
      <w:r w:rsidR="002D0766">
        <w:rPr>
          <w:rFonts w:eastAsia="Calibri"/>
          <w:sz w:val="22"/>
          <w:szCs w:val="22"/>
        </w:rPr>
        <w:t>o</w:t>
      </w:r>
      <w:r w:rsidRPr="004F572A">
        <w:rPr>
          <w:rFonts w:eastAsia="Calibri"/>
          <w:sz w:val="22"/>
          <w:szCs w:val="22"/>
        </w:rPr>
        <w:t xml:space="preserve"> nutraukti nereikėjo.</w:t>
      </w:r>
    </w:p>
    <w:p w14:paraId="36D484BD" w14:textId="77777777" w:rsidR="002C70BE" w:rsidRPr="004F572A" w:rsidRDefault="002C70BE" w:rsidP="00146EA8">
      <w:pPr>
        <w:widowControl w:val="0"/>
        <w:tabs>
          <w:tab w:val="clear" w:pos="567"/>
        </w:tabs>
        <w:rPr>
          <w:rFonts w:eastAsia="Calibri"/>
          <w:i/>
          <w:iCs/>
          <w:sz w:val="22"/>
          <w:szCs w:val="22"/>
        </w:rPr>
      </w:pPr>
    </w:p>
    <w:p w14:paraId="08F67A97" w14:textId="14CDD0EB" w:rsidR="00146EA8" w:rsidRPr="004F572A" w:rsidRDefault="00146EA8" w:rsidP="00146EA8">
      <w:pPr>
        <w:widowControl w:val="0"/>
        <w:tabs>
          <w:tab w:val="clear" w:pos="567"/>
        </w:tabs>
        <w:rPr>
          <w:rFonts w:eastAsia="Calibri"/>
          <w:i/>
          <w:iCs/>
          <w:sz w:val="22"/>
          <w:szCs w:val="22"/>
        </w:rPr>
      </w:pPr>
      <w:r w:rsidRPr="004F572A">
        <w:rPr>
          <w:rFonts w:eastAsia="Calibri"/>
          <w:i/>
          <w:iCs/>
          <w:sz w:val="22"/>
          <w:szCs w:val="22"/>
        </w:rPr>
        <w:t>EK</w:t>
      </w:r>
    </w:p>
    <w:p w14:paraId="0290CFD3" w14:textId="77777777" w:rsidR="002C70BE" w:rsidRPr="004F572A" w:rsidRDefault="002C70BE" w:rsidP="00146EA8">
      <w:pPr>
        <w:widowControl w:val="0"/>
        <w:tabs>
          <w:tab w:val="clear" w:pos="567"/>
        </w:tabs>
        <w:rPr>
          <w:rFonts w:eastAsia="Calibri"/>
          <w:sz w:val="22"/>
          <w:szCs w:val="22"/>
        </w:rPr>
      </w:pPr>
    </w:p>
    <w:p w14:paraId="72C995B2" w14:textId="7E1C1BCA" w:rsidR="00146EA8" w:rsidRPr="004F572A" w:rsidRDefault="00146EA8" w:rsidP="00146EA8">
      <w:pPr>
        <w:widowControl w:val="0"/>
        <w:tabs>
          <w:tab w:val="clear" w:pos="567"/>
        </w:tabs>
        <w:rPr>
          <w:rFonts w:eastAsia="Calibri"/>
          <w:sz w:val="22"/>
          <w:szCs w:val="22"/>
        </w:rPr>
      </w:pPr>
      <w:r w:rsidRPr="004F572A">
        <w:rPr>
          <w:rFonts w:eastAsia="Calibri"/>
          <w:sz w:val="22"/>
          <w:szCs w:val="22"/>
        </w:rPr>
        <w:t>3</w:t>
      </w:r>
      <w:r w:rsidR="00D53FC3">
        <w:rPr>
          <w:rFonts w:eastAsia="Calibri"/>
          <w:sz w:val="22"/>
          <w:szCs w:val="22"/>
        </w:rPr>
        <w:t> </w:t>
      </w:r>
      <w:r w:rsidRPr="004F572A">
        <w:rPr>
          <w:rFonts w:eastAsia="Calibri"/>
          <w:sz w:val="22"/>
          <w:szCs w:val="22"/>
        </w:rPr>
        <w:t>fazės 309 tyrim</w:t>
      </w:r>
      <w:r w:rsidR="002D0766">
        <w:rPr>
          <w:rFonts w:eastAsia="Calibri"/>
          <w:sz w:val="22"/>
          <w:szCs w:val="22"/>
        </w:rPr>
        <w:t>e</w:t>
      </w:r>
      <w:r w:rsidR="002C70BE" w:rsidRPr="004F572A">
        <w:rPr>
          <w:rFonts w:eastAsia="Calibri"/>
          <w:sz w:val="22"/>
          <w:szCs w:val="22"/>
        </w:rPr>
        <w:t xml:space="preserve"> (</w:t>
      </w:r>
      <w:r w:rsidRPr="004F572A">
        <w:rPr>
          <w:rFonts w:eastAsia="Calibri"/>
          <w:sz w:val="22"/>
          <w:szCs w:val="22"/>
        </w:rPr>
        <w:t xml:space="preserve">žr. 5.1 skyrių) </w:t>
      </w:r>
      <w:proofErr w:type="spellStart"/>
      <w:r w:rsidR="002C70BE" w:rsidRPr="004F572A">
        <w:rPr>
          <w:rFonts w:eastAsia="Calibri"/>
          <w:sz w:val="22"/>
          <w:szCs w:val="22"/>
        </w:rPr>
        <w:t>hipokalcemij</w:t>
      </w:r>
      <w:r w:rsidR="002D0766">
        <w:rPr>
          <w:rFonts w:eastAsia="Calibri"/>
          <w:sz w:val="22"/>
          <w:szCs w:val="22"/>
        </w:rPr>
        <w:t>os</w:t>
      </w:r>
      <w:proofErr w:type="spellEnd"/>
      <w:r w:rsidR="002D0766">
        <w:rPr>
          <w:rFonts w:eastAsia="Calibri"/>
          <w:sz w:val="22"/>
          <w:szCs w:val="22"/>
        </w:rPr>
        <w:t xml:space="preserve"> epizodai buvo užregistruoti</w:t>
      </w:r>
      <w:r w:rsidR="002C70BE" w:rsidRPr="004F572A">
        <w:rPr>
          <w:rFonts w:eastAsia="Calibri"/>
          <w:sz w:val="22"/>
          <w:szCs w:val="22"/>
        </w:rPr>
        <w:t xml:space="preserve"> </w:t>
      </w:r>
      <w:r w:rsidRPr="004F572A">
        <w:rPr>
          <w:rFonts w:eastAsia="Calibri"/>
          <w:sz w:val="22"/>
          <w:szCs w:val="22"/>
        </w:rPr>
        <w:t>3,9</w:t>
      </w:r>
      <w:r w:rsidR="002C70BE" w:rsidRPr="004F572A">
        <w:rPr>
          <w:rFonts w:eastAsia="Calibri"/>
          <w:sz w:val="22"/>
          <w:szCs w:val="22"/>
        </w:rPr>
        <w:t> </w:t>
      </w:r>
      <w:r w:rsidRPr="004F572A">
        <w:rPr>
          <w:rFonts w:eastAsia="Calibri"/>
          <w:sz w:val="22"/>
          <w:szCs w:val="22"/>
        </w:rPr>
        <w:t xml:space="preserve">% </w:t>
      </w:r>
      <w:proofErr w:type="spellStart"/>
      <w:r w:rsidRPr="004F572A">
        <w:rPr>
          <w:rFonts w:eastAsia="Calibri"/>
          <w:sz w:val="22"/>
          <w:szCs w:val="22"/>
        </w:rPr>
        <w:t>lenvatinibu</w:t>
      </w:r>
      <w:proofErr w:type="spellEnd"/>
      <w:r w:rsidRPr="004F572A">
        <w:rPr>
          <w:rFonts w:eastAsia="Calibri"/>
          <w:sz w:val="22"/>
          <w:szCs w:val="22"/>
        </w:rPr>
        <w:t xml:space="preserve"> kartu su </w:t>
      </w:r>
      <w:proofErr w:type="spellStart"/>
      <w:r w:rsidRPr="004F572A">
        <w:rPr>
          <w:rFonts w:eastAsia="Calibri"/>
          <w:sz w:val="22"/>
          <w:szCs w:val="22"/>
        </w:rPr>
        <w:t>pembrolizumabu</w:t>
      </w:r>
      <w:proofErr w:type="spellEnd"/>
      <w:r w:rsidRPr="004F572A">
        <w:rPr>
          <w:rFonts w:eastAsia="Calibri"/>
          <w:sz w:val="22"/>
          <w:szCs w:val="22"/>
        </w:rPr>
        <w:t xml:space="preserve"> gydytų pacientų, o ≥</w:t>
      </w:r>
      <w:r w:rsidR="002C70BE" w:rsidRPr="004F572A">
        <w:rPr>
          <w:rFonts w:eastAsia="Calibri"/>
          <w:sz w:val="22"/>
          <w:szCs w:val="22"/>
        </w:rPr>
        <w:t> </w:t>
      </w:r>
      <w:r w:rsidRPr="004F572A">
        <w:rPr>
          <w:rFonts w:eastAsia="Calibri"/>
          <w:sz w:val="22"/>
          <w:szCs w:val="22"/>
        </w:rPr>
        <w:t>3</w:t>
      </w:r>
      <w:r w:rsidR="00D53FC3">
        <w:rPr>
          <w:rFonts w:eastAsia="Calibri"/>
          <w:sz w:val="22"/>
          <w:szCs w:val="22"/>
        </w:rPr>
        <w:noBreakHyphen/>
      </w:r>
      <w:r w:rsidRPr="004F572A">
        <w:rPr>
          <w:rFonts w:eastAsia="Calibri"/>
          <w:sz w:val="22"/>
          <w:szCs w:val="22"/>
        </w:rPr>
        <w:t>iojo laipsnio reakcijos pasireiškė 1,0</w:t>
      </w:r>
      <w:r w:rsidR="002C70BE" w:rsidRPr="004F572A">
        <w:rPr>
          <w:rFonts w:eastAsia="Calibri"/>
          <w:sz w:val="22"/>
          <w:szCs w:val="22"/>
        </w:rPr>
        <w:t> </w:t>
      </w:r>
      <w:r w:rsidRPr="004F572A">
        <w:rPr>
          <w:rFonts w:eastAsia="Calibri"/>
          <w:sz w:val="22"/>
          <w:szCs w:val="22"/>
        </w:rPr>
        <w:t>% pacientų. Laiko iki pirmojo pasireiškimo mediana buvo 148,0</w:t>
      </w:r>
      <w:r w:rsidR="00D53FC3">
        <w:rPr>
          <w:rFonts w:eastAsia="Calibri"/>
          <w:sz w:val="22"/>
          <w:szCs w:val="22"/>
        </w:rPr>
        <w:t> </w:t>
      </w:r>
      <w:r w:rsidRPr="004F572A">
        <w:rPr>
          <w:rFonts w:eastAsia="Calibri"/>
          <w:sz w:val="22"/>
          <w:szCs w:val="22"/>
        </w:rPr>
        <w:t xml:space="preserve">dienos. Apie </w:t>
      </w:r>
      <w:proofErr w:type="spellStart"/>
      <w:r w:rsidRPr="004F572A">
        <w:rPr>
          <w:rFonts w:eastAsia="Calibri"/>
          <w:sz w:val="22"/>
          <w:szCs w:val="22"/>
        </w:rPr>
        <w:t>lenvatinibo</w:t>
      </w:r>
      <w:proofErr w:type="spellEnd"/>
      <w:r w:rsidRPr="004F572A">
        <w:rPr>
          <w:rFonts w:eastAsia="Calibri"/>
          <w:sz w:val="22"/>
          <w:szCs w:val="22"/>
        </w:rPr>
        <w:t xml:space="preserve"> dozės pakeitimus nepranešta.</w:t>
      </w:r>
    </w:p>
    <w:p w14:paraId="48B23376" w14:textId="77777777" w:rsidR="005E7E04" w:rsidRPr="004F572A" w:rsidRDefault="005E7E04" w:rsidP="00146EA8">
      <w:pPr>
        <w:widowControl w:val="0"/>
        <w:tabs>
          <w:tab w:val="clear" w:pos="567"/>
        </w:tabs>
        <w:rPr>
          <w:rFonts w:eastAsia="Calibri"/>
          <w:i/>
          <w:iCs/>
          <w:sz w:val="22"/>
          <w:szCs w:val="22"/>
        </w:rPr>
      </w:pPr>
    </w:p>
    <w:p w14:paraId="572897FD" w14:textId="176300CF" w:rsidR="00146EA8" w:rsidRPr="004F572A" w:rsidRDefault="00146EA8" w:rsidP="00146EA8">
      <w:pPr>
        <w:widowControl w:val="0"/>
        <w:tabs>
          <w:tab w:val="clear" w:pos="567"/>
        </w:tabs>
        <w:rPr>
          <w:rFonts w:eastAsia="Calibri"/>
          <w:sz w:val="22"/>
          <w:szCs w:val="22"/>
          <w:u w:val="single"/>
        </w:rPr>
      </w:pPr>
      <w:r w:rsidRPr="004F572A">
        <w:rPr>
          <w:rFonts w:eastAsia="Calibri"/>
          <w:i/>
          <w:iCs/>
          <w:sz w:val="22"/>
          <w:szCs w:val="22"/>
          <w:u w:val="single"/>
        </w:rPr>
        <w:t>Virškinimo trakto perforacija bei fistulių susi</w:t>
      </w:r>
      <w:r w:rsidR="002B62EB">
        <w:rPr>
          <w:rFonts w:eastAsia="Calibri"/>
          <w:i/>
          <w:iCs/>
          <w:sz w:val="22"/>
          <w:szCs w:val="22"/>
          <w:u w:val="single"/>
        </w:rPr>
        <w:t>darymas</w:t>
      </w:r>
      <w:r w:rsidRPr="004F572A">
        <w:rPr>
          <w:rFonts w:eastAsia="Calibri"/>
          <w:i/>
          <w:iCs/>
          <w:sz w:val="22"/>
          <w:szCs w:val="22"/>
          <w:u w:val="single"/>
        </w:rPr>
        <w:t xml:space="preserve"> (žr. 4.4 skyrių)</w:t>
      </w:r>
    </w:p>
    <w:p w14:paraId="1644ADA6" w14:textId="77777777" w:rsidR="00146EA8" w:rsidRPr="004F572A" w:rsidRDefault="00146EA8" w:rsidP="000928CA">
      <w:pPr>
        <w:widowControl w:val="0"/>
        <w:tabs>
          <w:tab w:val="clear" w:pos="567"/>
        </w:tabs>
        <w:rPr>
          <w:rFonts w:eastAsia="Calibri"/>
          <w:sz w:val="22"/>
          <w:szCs w:val="22"/>
        </w:rPr>
      </w:pPr>
    </w:p>
    <w:p w14:paraId="0F3777C1" w14:textId="77777777" w:rsidR="00F4037A" w:rsidRPr="004F572A" w:rsidRDefault="00F4037A" w:rsidP="00F4037A">
      <w:pPr>
        <w:widowControl w:val="0"/>
        <w:tabs>
          <w:tab w:val="clear" w:pos="567"/>
        </w:tabs>
        <w:rPr>
          <w:rFonts w:eastAsia="Calibri"/>
          <w:i/>
          <w:iCs/>
          <w:sz w:val="22"/>
          <w:szCs w:val="22"/>
        </w:rPr>
      </w:pPr>
      <w:r w:rsidRPr="004F572A">
        <w:rPr>
          <w:rFonts w:eastAsia="Calibri"/>
          <w:i/>
          <w:iCs/>
          <w:sz w:val="22"/>
          <w:szCs w:val="22"/>
        </w:rPr>
        <w:t>DSK</w:t>
      </w:r>
    </w:p>
    <w:p w14:paraId="1F2976CB" w14:textId="77777777" w:rsidR="00F4037A" w:rsidRPr="004F572A" w:rsidRDefault="00F4037A" w:rsidP="00F4037A">
      <w:pPr>
        <w:widowControl w:val="0"/>
        <w:tabs>
          <w:tab w:val="clear" w:pos="567"/>
        </w:tabs>
        <w:rPr>
          <w:rFonts w:eastAsia="Calibri"/>
          <w:sz w:val="22"/>
          <w:szCs w:val="22"/>
        </w:rPr>
      </w:pPr>
    </w:p>
    <w:p w14:paraId="5DF9D27F" w14:textId="30AEADF3" w:rsidR="00F4037A" w:rsidRPr="004F572A" w:rsidRDefault="00F4037A" w:rsidP="00F4037A">
      <w:pPr>
        <w:widowControl w:val="0"/>
        <w:tabs>
          <w:tab w:val="clear" w:pos="567"/>
        </w:tabs>
        <w:rPr>
          <w:rFonts w:eastAsia="Calibri"/>
          <w:sz w:val="22"/>
          <w:szCs w:val="22"/>
        </w:rPr>
      </w:pPr>
      <w:r w:rsidRPr="004F572A">
        <w:rPr>
          <w:rFonts w:eastAsia="Calibri"/>
          <w:sz w:val="22"/>
          <w:szCs w:val="22"/>
        </w:rPr>
        <w:t>Pagrindinio 3</w:t>
      </w:r>
      <w:r w:rsidR="00D53FC3">
        <w:rPr>
          <w:rFonts w:eastAsia="Calibri"/>
          <w:sz w:val="22"/>
          <w:szCs w:val="22"/>
        </w:rPr>
        <w:t> </w:t>
      </w:r>
      <w:r w:rsidRPr="004F572A">
        <w:rPr>
          <w:rFonts w:eastAsia="Calibri"/>
          <w:sz w:val="22"/>
          <w:szCs w:val="22"/>
        </w:rPr>
        <w:t xml:space="preserve">fazės </w:t>
      </w:r>
      <w:r w:rsidR="002B62EB" w:rsidRPr="004F572A">
        <w:rPr>
          <w:rFonts w:eastAsia="Calibri"/>
          <w:sz w:val="22"/>
          <w:szCs w:val="22"/>
        </w:rPr>
        <w:t xml:space="preserve">tyrimo </w:t>
      </w:r>
      <w:r w:rsidRPr="004F572A">
        <w:rPr>
          <w:rFonts w:eastAsia="Calibri"/>
          <w:sz w:val="22"/>
          <w:szCs w:val="22"/>
        </w:rPr>
        <w:t xml:space="preserve">SELECT </w:t>
      </w:r>
      <w:r w:rsidR="002B62EB">
        <w:rPr>
          <w:rFonts w:eastAsia="Calibri"/>
          <w:sz w:val="22"/>
          <w:szCs w:val="22"/>
        </w:rPr>
        <w:t xml:space="preserve">metu </w:t>
      </w:r>
      <w:r w:rsidRPr="004F572A">
        <w:rPr>
          <w:rFonts w:eastAsia="Calibri"/>
          <w:sz w:val="22"/>
          <w:szCs w:val="22"/>
        </w:rPr>
        <w:t xml:space="preserve">(žr. 5.1 skyrių) virškinimo trakto perforacijos arba fistulių </w:t>
      </w:r>
      <w:r w:rsidR="002B62EB">
        <w:rPr>
          <w:rFonts w:eastAsia="Calibri"/>
          <w:sz w:val="22"/>
          <w:szCs w:val="22"/>
        </w:rPr>
        <w:lastRenderedPageBreak/>
        <w:t>susidarymo reiškiniai nustatyti</w:t>
      </w:r>
      <w:r w:rsidRPr="004F572A">
        <w:rPr>
          <w:rFonts w:eastAsia="Calibri"/>
          <w:sz w:val="22"/>
          <w:szCs w:val="22"/>
        </w:rPr>
        <w:t xml:space="preserve"> 1,9 % </w:t>
      </w:r>
      <w:proofErr w:type="spellStart"/>
      <w:r w:rsidRPr="004F572A">
        <w:rPr>
          <w:rFonts w:eastAsia="Calibri"/>
          <w:sz w:val="22"/>
          <w:szCs w:val="22"/>
        </w:rPr>
        <w:t>lenvatinibu</w:t>
      </w:r>
      <w:proofErr w:type="spellEnd"/>
      <w:r w:rsidRPr="004F572A">
        <w:rPr>
          <w:rFonts w:eastAsia="Calibri"/>
          <w:sz w:val="22"/>
          <w:szCs w:val="22"/>
        </w:rPr>
        <w:t xml:space="preserve"> gydytų pacientų ir 0,8 % placebo grupės pacientų.</w:t>
      </w:r>
    </w:p>
    <w:p w14:paraId="172A1DA0" w14:textId="77777777" w:rsidR="00F4037A" w:rsidRPr="004F572A" w:rsidRDefault="00F4037A" w:rsidP="00F4037A">
      <w:pPr>
        <w:widowControl w:val="0"/>
        <w:tabs>
          <w:tab w:val="clear" w:pos="567"/>
        </w:tabs>
        <w:rPr>
          <w:rFonts w:eastAsia="Calibri"/>
          <w:i/>
          <w:iCs/>
          <w:sz w:val="22"/>
          <w:szCs w:val="22"/>
        </w:rPr>
      </w:pPr>
    </w:p>
    <w:p w14:paraId="540D327E" w14:textId="406C55F3" w:rsidR="00F4037A" w:rsidRPr="004F572A" w:rsidRDefault="00F4037A" w:rsidP="00F4037A">
      <w:pPr>
        <w:widowControl w:val="0"/>
        <w:tabs>
          <w:tab w:val="clear" w:pos="567"/>
        </w:tabs>
        <w:rPr>
          <w:rFonts w:eastAsia="Calibri"/>
          <w:i/>
          <w:iCs/>
          <w:sz w:val="22"/>
          <w:szCs w:val="22"/>
        </w:rPr>
      </w:pPr>
      <w:r w:rsidRPr="004F572A">
        <w:rPr>
          <w:rFonts w:eastAsia="Calibri"/>
          <w:i/>
          <w:iCs/>
          <w:sz w:val="22"/>
          <w:szCs w:val="22"/>
        </w:rPr>
        <w:t>HCK</w:t>
      </w:r>
    </w:p>
    <w:p w14:paraId="57337A5C" w14:textId="77777777" w:rsidR="00F4037A" w:rsidRPr="004F572A" w:rsidRDefault="00F4037A" w:rsidP="00F4037A">
      <w:pPr>
        <w:widowControl w:val="0"/>
        <w:tabs>
          <w:tab w:val="clear" w:pos="567"/>
        </w:tabs>
        <w:rPr>
          <w:rFonts w:eastAsia="Calibri"/>
          <w:sz w:val="22"/>
          <w:szCs w:val="22"/>
        </w:rPr>
      </w:pPr>
    </w:p>
    <w:p w14:paraId="1956FC3E" w14:textId="3A21F90F" w:rsidR="00F4037A" w:rsidRPr="004F572A" w:rsidRDefault="00F4037A" w:rsidP="00F4037A">
      <w:pPr>
        <w:widowControl w:val="0"/>
        <w:tabs>
          <w:tab w:val="clear" w:pos="567"/>
        </w:tabs>
        <w:rPr>
          <w:rFonts w:eastAsia="Calibri"/>
          <w:sz w:val="22"/>
          <w:szCs w:val="22"/>
        </w:rPr>
      </w:pPr>
      <w:r w:rsidRPr="004F572A">
        <w:rPr>
          <w:rFonts w:eastAsia="Calibri"/>
          <w:sz w:val="22"/>
          <w:szCs w:val="22"/>
        </w:rPr>
        <w:t>3</w:t>
      </w:r>
      <w:r w:rsidR="00D53FC3">
        <w:rPr>
          <w:rFonts w:eastAsia="Calibri"/>
          <w:sz w:val="22"/>
          <w:szCs w:val="22"/>
        </w:rPr>
        <w:t> </w:t>
      </w:r>
      <w:r w:rsidRPr="004F572A">
        <w:rPr>
          <w:rFonts w:eastAsia="Calibri"/>
          <w:sz w:val="22"/>
          <w:szCs w:val="22"/>
        </w:rPr>
        <w:t>fazės REFLECT tyrim</w:t>
      </w:r>
      <w:r w:rsidR="002B62EB">
        <w:rPr>
          <w:rFonts w:eastAsia="Calibri"/>
          <w:sz w:val="22"/>
          <w:szCs w:val="22"/>
        </w:rPr>
        <w:t>e</w:t>
      </w:r>
      <w:r w:rsidRPr="004F572A">
        <w:rPr>
          <w:rFonts w:eastAsia="Calibri"/>
          <w:sz w:val="22"/>
          <w:szCs w:val="22"/>
        </w:rPr>
        <w:t xml:space="preserve"> (žr. 5.1 skyrių) virškinimo trakto perforacijos </w:t>
      </w:r>
      <w:r w:rsidR="002B62EB">
        <w:rPr>
          <w:rFonts w:eastAsia="Calibri"/>
          <w:sz w:val="22"/>
          <w:szCs w:val="22"/>
        </w:rPr>
        <w:t xml:space="preserve">epizodai </w:t>
      </w:r>
      <w:r w:rsidRPr="004F572A">
        <w:rPr>
          <w:rFonts w:eastAsia="Calibri"/>
          <w:sz w:val="22"/>
          <w:szCs w:val="22"/>
        </w:rPr>
        <w:t>ar fistulė</w:t>
      </w:r>
      <w:r w:rsidR="002B62EB">
        <w:rPr>
          <w:rFonts w:eastAsia="Calibri"/>
          <w:sz w:val="22"/>
          <w:szCs w:val="22"/>
        </w:rPr>
        <w:t xml:space="preserve"> buvo užregistruoti</w:t>
      </w:r>
      <w:r w:rsidRPr="004F572A">
        <w:rPr>
          <w:rFonts w:eastAsia="Calibri"/>
          <w:sz w:val="22"/>
          <w:szCs w:val="22"/>
        </w:rPr>
        <w:t xml:space="preserve"> 1,9 % </w:t>
      </w:r>
      <w:proofErr w:type="spellStart"/>
      <w:r w:rsidRPr="004F572A">
        <w:rPr>
          <w:rFonts w:eastAsia="Calibri"/>
          <w:sz w:val="22"/>
          <w:szCs w:val="22"/>
        </w:rPr>
        <w:t>lenvatinibu</w:t>
      </w:r>
      <w:proofErr w:type="spellEnd"/>
      <w:r w:rsidRPr="004F572A">
        <w:rPr>
          <w:rFonts w:eastAsia="Calibri"/>
          <w:sz w:val="22"/>
          <w:szCs w:val="22"/>
        </w:rPr>
        <w:t xml:space="preserve"> gydytų pacientų.</w:t>
      </w:r>
    </w:p>
    <w:p w14:paraId="4FD4BC5B" w14:textId="77777777" w:rsidR="00F4037A" w:rsidRPr="004F572A" w:rsidRDefault="00F4037A" w:rsidP="00F4037A">
      <w:pPr>
        <w:widowControl w:val="0"/>
        <w:tabs>
          <w:tab w:val="clear" w:pos="567"/>
        </w:tabs>
        <w:rPr>
          <w:rFonts w:eastAsia="Calibri"/>
          <w:i/>
          <w:iCs/>
          <w:sz w:val="22"/>
          <w:szCs w:val="22"/>
        </w:rPr>
      </w:pPr>
    </w:p>
    <w:p w14:paraId="3917A2A7" w14:textId="5CFC22ED" w:rsidR="00F4037A" w:rsidRPr="004F572A" w:rsidRDefault="00F4037A" w:rsidP="00F4037A">
      <w:pPr>
        <w:widowControl w:val="0"/>
        <w:tabs>
          <w:tab w:val="clear" w:pos="567"/>
        </w:tabs>
        <w:rPr>
          <w:rFonts w:eastAsia="Calibri"/>
          <w:i/>
          <w:iCs/>
          <w:sz w:val="22"/>
          <w:szCs w:val="22"/>
        </w:rPr>
      </w:pPr>
      <w:r w:rsidRPr="004F572A">
        <w:rPr>
          <w:rFonts w:eastAsia="Calibri"/>
          <w:i/>
          <w:iCs/>
          <w:sz w:val="22"/>
          <w:szCs w:val="22"/>
        </w:rPr>
        <w:t>EK</w:t>
      </w:r>
    </w:p>
    <w:p w14:paraId="65EF8FDC" w14:textId="77777777" w:rsidR="00F4037A" w:rsidRPr="004F572A" w:rsidRDefault="00F4037A" w:rsidP="00F4037A">
      <w:pPr>
        <w:widowControl w:val="0"/>
        <w:tabs>
          <w:tab w:val="clear" w:pos="567"/>
        </w:tabs>
        <w:rPr>
          <w:rFonts w:eastAsia="Calibri"/>
          <w:sz w:val="22"/>
          <w:szCs w:val="22"/>
        </w:rPr>
      </w:pPr>
    </w:p>
    <w:p w14:paraId="08B8A198" w14:textId="110F7D87" w:rsidR="00F4037A" w:rsidRPr="004F572A" w:rsidRDefault="00F4037A" w:rsidP="00F4037A">
      <w:pPr>
        <w:widowControl w:val="0"/>
        <w:tabs>
          <w:tab w:val="clear" w:pos="567"/>
        </w:tabs>
        <w:rPr>
          <w:rFonts w:eastAsia="Calibri"/>
          <w:sz w:val="22"/>
          <w:szCs w:val="22"/>
        </w:rPr>
      </w:pPr>
      <w:r w:rsidRPr="004F572A">
        <w:rPr>
          <w:rFonts w:eastAsia="Calibri"/>
          <w:sz w:val="22"/>
          <w:szCs w:val="22"/>
        </w:rPr>
        <w:t>3</w:t>
      </w:r>
      <w:r w:rsidR="00D53FC3">
        <w:rPr>
          <w:rFonts w:eastAsia="Calibri"/>
          <w:sz w:val="22"/>
          <w:szCs w:val="22"/>
        </w:rPr>
        <w:t> </w:t>
      </w:r>
      <w:r w:rsidRPr="004F572A">
        <w:rPr>
          <w:rFonts w:eastAsia="Calibri"/>
          <w:sz w:val="22"/>
          <w:szCs w:val="22"/>
        </w:rPr>
        <w:t>fazės 309 tyrim</w:t>
      </w:r>
      <w:r w:rsidR="002B62EB">
        <w:rPr>
          <w:rFonts w:eastAsia="Calibri"/>
          <w:sz w:val="22"/>
          <w:szCs w:val="22"/>
        </w:rPr>
        <w:t>e</w:t>
      </w:r>
      <w:r w:rsidRPr="004F572A">
        <w:rPr>
          <w:rFonts w:eastAsia="Calibri"/>
          <w:sz w:val="22"/>
          <w:szCs w:val="22"/>
        </w:rPr>
        <w:t xml:space="preserve"> (žr. 5.1 skyrių) </w:t>
      </w:r>
      <w:bookmarkStart w:id="9" w:name="_Hlk196212499"/>
      <w:r w:rsidRPr="004F572A">
        <w:rPr>
          <w:rFonts w:eastAsia="Calibri"/>
          <w:sz w:val="22"/>
          <w:szCs w:val="22"/>
        </w:rPr>
        <w:t xml:space="preserve">buvo pranešta apie </w:t>
      </w:r>
      <w:bookmarkEnd w:id="9"/>
      <w:r w:rsidRPr="004F572A">
        <w:rPr>
          <w:rFonts w:eastAsia="Calibri"/>
          <w:sz w:val="22"/>
          <w:szCs w:val="22"/>
        </w:rPr>
        <w:t xml:space="preserve">fistulės </w:t>
      </w:r>
      <w:r w:rsidR="002B62EB">
        <w:rPr>
          <w:rFonts w:eastAsia="Calibri"/>
          <w:sz w:val="22"/>
          <w:szCs w:val="22"/>
        </w:rPr>
        <w:t>susidarymo atvejus</w:t>
      </w:r>
      <w:r w:rsidRPr="004F572A">
        <w:rPr>
          <w:rFonts w:eastAsia="Calibri"/>
          <w:sz w:val="22"/>
          <w:szCs w:val="22"/>
        </w:rPr>
        <w:t xml:space="preserve"> 2,5 % </w:t>
      </w:r>
      <w:proofErr w:type="spellStart"/>
      <w:r w:rsidRPr="004F572A">
        <w:rPr>
          <w:rFonts w:eastAsia="Calibri"/>
          <w:sz w:val="22"/>
          <w:szCs w:val="22"/>
        </w:rPr>
        <w:t>lenvatinibo</w:t>
      </w:r>
      <w:proofErr w:type="spellEnd"/>
      <w:r w:rsidRPr="004F572A">
        <w:rPr>
          <w:rFonts w:eastAsia="Calibri"/>
          <w:sz w:val="22"/>
          <w:szCs w:val="22"/>
        </w:rPr>
        <w:t xml:space="preserve"> ir </w:t>
      </w:r>
      <w:proofErr w:type="spellStart"/>
      <w:r w:rsidRPr="004F572A">
        <w:rPr>
          <w:rFonts w:eastAsia="Calibri"/>
          <w:sz w:val="22"/>
          <w:szCs w:val="22"/>
        </w:rPr>
        <w:t>pembrolizumabo</w:t>
      </w:r>
      <w:proofErr w:type="spellEnd"/>
      <w:r w:rsidRPr="004F572A">
        <w:rPr>
          <w:rFonts w:eastAsia="Calibri"/>
          <w:sz w:val="22"/>
          <w:szCs w:val="22"/>
        </w:rPr>
        <w:t xml:space="preserve"> deriniu gydytų pacientų, o ≥ 3</w:t>
      </w:r>
      <w:r w:rsidR="00D53FC3">
        <w:rPr>
          <w:rFonts w:eastAsia="Calibri"/>
          <w:sz w:val="22"/>
          <w:szCs w:val="22"/>
        </w:rPr>
        <w:t> </w:t>
      </w:r>
      <w:r w:rsidRPr="004F572A">
        <w:rPr>
          <w:rFonts w:eastAsia="Calibri"/>
          <w:sz w:val="22"/>
          <w:szCs w:val="22"/>
        </w:rPr>
        <w:t>laipsnio reakcijos pasireiškė 2,5 % pacientų. Vidutinis laikas iki pradžios buvo 117,0</w:t>
      </w:r>
      <w:r w:rsidR="00D53FC3">
        <w:rPr>
          <w:rFonts w:eastAsia="Calibri"/>
          <w:sz w:val="22"/>
          <w:szCs w:val="22"/>
        </w:rPr>
        <w:t> </w:t>
      </w:r>
      <w:r w:rsidRPr="004F572A">
        <w:rPr>
          <w:rFonts w:eastAsia="Calibri"/>
          <w:sz w:val="22"/>
          <w:szCs w:val="22"/>
        </w:rPr>
        <w:t xml:space="preserve">dienos. </w:t>
      </w:r>
      <w:proofErr w:type="spellStart"/>
      <w:r w:rsidRPr="004F572A">
        <w:rPr>
          <w:rFonts w:eastAsia="Calibri"/>
          <w:sz w:val="22"/>
          <w:szCs w:val="22"/>
        </w:rPr>
        <w:t>Lenvatinibo</w:t>
      </w:r>
      <w:proofErr w:type="spellEnd"/>
      <w:r w:rsidRPr="004F572A">
        <w:rPr>
          <w:rFonts w:eastAsia="Calibri"/>
          <w:sz w:val="22"/>
          <w:szCs w:val="22"/>
        </w:rPr>
        <w:t xml:space="preserve"> vartojimą nutraukė 1,0 % pacientų. Buvo pranešta apie virškinimo trakto perforacijos atvejus 3,9 % </w:t>
      </w:r>
      <w:proofErr w:type="spellStart"/>
      <w:r w:rsidRPr="004F572A">
        <w:rPr>
          <w:rFonts w:eastAsia="Calibri"/>
          <w:sz w:val="22"/>
          <w:szCs w:val="22"/>
        </w:rPr>
        <w:t>lenvatinibo</w:t>
      </w:r>
      <w:proofErr w:type="spellEnd"/>
      <w:r w:rsidRPr="004F572A">
        <w:rPr>
          <w:rFonts w:eastAsia="Calibri"/>
          <w:sz w:val="22"/>
          <w:szCs w:val="22"/>
        </w:rPr>
        <w:t xml:space="preserve"> ir </w:t>
      </w:r>
      <w:proofErr w:type="spellStart"/>
      <w:r w:rsidRPr="004F572A">
        <w:rPr>
          <w:rFonts w:eastAsia="Calibri"/>
          <w:sz w:val="22"/>
          <w:szCs w:val="22"/>
        </w:rPr>
        <w:t>pembrolizumabo</w:t>
      </w:r>
      <w:proofErr w:type="spellEnd"/>
      <w:r w:rsidRPr="004F572A">
        <w:rPr>
          <w:rFonts w:eastAsia="Calibri"/>
          <w:sz w:val="22"/>
          <w:szCs w:val="22"/>
        </w:rPr>
        <w:t xml:space="preserve"> deriniu gydytų pacientų, o ≥ 3</w:t>
      </w:r>
      <w:r w:rsidR="00D53FC3">
        <w:rPr>
          <w:rFonts w:eastAsia="Calibri"/>
          <w:sz w:val="22"/>
          <w:szCs w:val="22"/>
        </w:rPr>
        <w:t> </w:t>
      </w:r>
      <w:r w:rsidRPr="004F572A">
        <w:rPr>
          <w:rFonts w:eastAsia="Calibri"/>
          <w:sz w:val="22"/>
          <w:szCs w:val="22"/>
        </w:rPr>
        <w:t>laipsnio reakcijos pasireiškė 3,0 % pacientų. Vidutinis laikas iki pradžios buvo 42</w:t>
      </w:r>
      <w:r w:rsidR="00D53FC3">
        <w:rPr>
          <w:rFonts w:eastAsia="Calibri"/>
          <w:sz w:val="22"/>
          <w:szCs w:val="22"/>
        </w:rPr>
        <w:t> </w:t>
      </w:r>
      <w:r w:rsidRPr="004F572A">
        <w:rPr>
          <w:rFonts w:eastAsia="Calibri"/>
          <w:sz w:val="22"/>
          <w:szCs w:val="22"/>
        </w:rPr>
        <w:t xml:space="preserve">dienos. </w:t>
      </w:r>
      <w:proofErr w:type="spellStart"/>
      <w:r w:rsidR="002B62EB">
        <w:rPr>
          <w:rFonts w:eastAsia="Calibri"/>
          <w:sz w:val="22"/>
          <w:szCs w:val="22"/>
        </w:rPr>
        <w:t>Lenvatinibo</w:t>
      </w:r>
      <w:proofErr w:type="spellEnd"/>
      <w:r w:rsidR="002B62EB">
        <w:rPr>
          <w:rFonts w:eastAsia="Calibri"/>
          <w:sz w:val="22"/>
          <w:szCs w:val="22"/>
        </w:rPr>
        <w:t xml:space="preserve"> </w:t>
      </w:r>
      <w:r w:rsidR="007F38CD" w:rsidRPr="004F572A">
        <w:rPr>
          <w:rFonts w:eastAsia="Calibri"/>
          <w:sz w:val="22"/>
          <w:szCs w:val="22"/>
        </w:rPr>
        <w:t xml:space="preserve">vartojimą </w:t>
      </w:r>
      <w:r w:rsidR="002B62EB">
        <w:rPr>
          <w:rFonts w:eastAsia="Calibri"/>
          <w:sz w:val="22"/>
          <w:szCs w:val="22"/>
        </w:rPr>
        <w:t xml:space="preserve">laikinai sustabdė ir </w:t>
      </w:r>
      <w:r w:rsidRPr="004F572A">
        <w:rPr>
          <w:rFonts w:eastAsia="Calibri"/>
          <w:sz w:val="22"/>
          <w:szCs w:val="22"/>
        </w:rPr>
        <w:t>nutraukė atitinkamai 0,5</w:t>
      </w:r>
      <w:r w:rsidR="007F38CD" w:rsidRPr="004F572A">
        <w:rPr>
          <w:rFonts w:eastAsia="Calibri"/>
          <w:sz w:val="22"/>
          <w:szCs w:val="22"/>
        </w:rPr>
        <w:t> </w:t>
      </w:r>
      <w:r w:rsidRPr="004F572A">
        <w:rPr>
          <w:rFonts w:eastAsia="Calibri"/>
          <w:sz w:val="22"/>
          <w:szCs w:val="22"/>
        </w:rPr>
        <w:t>% ir 3,0</w:t>
      </w:r>
      <w:r w:rsidR="007F38CD" w:rsidRPr="004F572A">
        <w:rPr>
          <w:rFonts w:eastAsia="Calibri"/>
          <w:sz w:val="22"/>
          <w:szCs w:val="22"/>
        </w:rPr>
        <w:t> </w:t>
      </w:r>
      <w:r w:rsidRPr="004F572A">
        <w:rPr>
          <w:rFonts w:eastAsia="Calibri"/>
          <w:sz w:val="22"/>
          <w:szCs w:val="22"/>
        </w:rPr>
        <w:t>% pacientų.</w:t>
      </w:r>
    </w:p>
    <w:p w14:paraId="20C212DB" w14:textId="77777777" w:rsidR="007F38CD" w:rsidRPr="004F572A" w:rsidRDefault="007F38CD" w:rsidP="00F4037A">
      <w:pPr>
        <w:widowControl w:val="0"/>
        <w:tabs>
          <w:tab w:val="clear" w:pos="567"/>
        </w:tabs>
        <w:rPr>
          <w:rFonts w:eastAsia="Calibri"/>
          <w:i/>
          <w:iCs/>
          <w:sz w:val="22"/>
          <w:szCs w:val="22"/>
        </w:rPr>
      </w:pPr>
    </w:p>
    <w:p w14:paraId="2E1BE8B6" w14:textId="4CEC4FE6" w:rsidR="00F4037A" w:rsidRPr="004F572A" w:rsidRDefault="00F4037A" w:rsidP="00F4037A">
      <w:pPr>
        <w:widowControl w:val="0"/>
        <w:tabs>
          <w:tab w:val="clear" w:pos="567"/>
        </w:tabs>
        <w:rPr>
          <w:rFonts w:eastAsia="Calibri"/>
          <w:i/>
          <w:iCs/>
          <w:sz w:val="22"/>
          <w:szCs w:val="22"/>
          <w:u w:val="single"/>
        </w:rPr>
      </w:pPr>
      <w:r w:rsidRPr="004F572A">
        <w:rPr>
          <w:rFonts w:eastAsia="Calibri"/>
          <w:i/>
          <w:iCs/>
          <w:sz w:val="22"/>
          <w:szCs w:val="22"/>
          <w:u w:val="single"/>
        </w:rPr>
        <w:t>Ne virškinimo trakto fistulės (žr. 4.4 skyrių)</w:t>
      </w:r>
    </w:p>
    <w:p w14:paraId="2ED96613" w14:textId="77777777" w:rsidR="007F38CD" w:rsidRPr="004F572A" w:rsidRDefault="007F38CD" w:rsidP="00F4037A">
      <w:pPr>
        <w:widowControl w:val="0"/>
        <w:tabs>
          <w:tab w:val="clear" w:pos="567"/>
        </w:tabs>
        <w:rPr>
          <w:rFonts w:eastAsia="Calibri"/>
          <w:i/>
          <w:iCs/>
          <w:sz w:val="22"/>
          <w:szCs w:val="22"/>
        </w:rPr>
      </w:pPr>
    </w:p>
    <w:p w14:paraId="7FBB5333" w14:textId="4DA886E7" w:rsidR="00F4037A" w:rsidRPr="004F572A" w:rsidRDefault="00F4037A" w:rsidP="00F4037A">
      <w:pPr>
        <w:widowControl w:val="0"/>
        <w:tabs>
          <w:tab w:val="clear" w:pos="567"/>
        </w:tabs>
        <w:rPr>
          <w:rFonts w:eastAsia="Calibri"/>
          <w:sz w:val="22"/>
          <w:szCs w:val="22"/>
        </w:rPr>
      </w:pPr>
      <w:proofErr w:type="spellStart"/>
      <w:r w:rsidRPr="004F572A">
        <w:rPr>
          <w:rFonts w:eastAsia="Calibri"/>
          <w:sz w:val="22"/>
          <w:szCs w:val="22"/>
        </w:rPr>
        <w:t>Lenvatinibo</w:t>
      </w:r>
      <w:proofErr w:type="spellEnd"/>
      <w:r w:rsidRPr="004F572A">
        <w:rPr>
          <w:rFonts w:eastAsia="Calibri"/>
          <w:sz w:val="22"/>
          <w:szCs w:val="22"/>
        </w:rPr>
        <w:t xml:space="preserve"> vartojimas buvo susijęs su fistulių </w:t>
      </w:r>
      <w:r w:rsidR="002B62EB">
        <w:rPr>
          <w:rFonts w:eastAsia="Calibri"/>
          <w:sz w:val="22"/>
          <w:szCs w:val="22"/>
        </w:rPr>
        <w:t>susidarymo</w:t>
      </w:r>
      <w:r w:rsidR="002B62EB" w:rsidRPr="004F572A">
        <w:rPr>
          <w:rFonts w:eastAsia="Calibri"/>
          <w:sz w:val="22"/>
          <w:szCs w:val="22"/>
        </w:rPr>
        <w:t xml:space="preserve"> </w:t>
      </w:r>
      <w:r w:rsidRPr="004F572A">
        <w:rPr>
          <w:rFonts w:eastAsia="Calibri"/>
          <w:sz w:val="22"/>
          <w:szCs w:val="22"/>
        </w:rPr>
        <w:t xml:space="preserve">atvejais, įskaitant </w:t>
      </w:r>
      <w:r w:rsidR="002B62EB">
        <w:rPr>
          <w:rFonts w:eastAsia="Calibri"/>
          <w:sz w:val="22"/>
          <w:szCs w:val="22"/>
        </w:rPr>
        <w:t>mirtį sukėlusias</w:t>
      </w:r>
      <w:r w:rsidRPr="004F572A">
        <w:rPr>
          <w:rFonts w:eastAsia="Calibri"/>
          <w:sz w:val="22"/>
          <w:szCs w:val="22"/>
        </w:rPr>
        <w:t xml:space="preserve"> reakcijas. </w:t>
      </w:r>
      <w:r w:rsidR="002B62EB">
        <w:rPr>
          <w:rFonts w:eastAsia="Calibri"/>
          <w:sz w:val="22"/>
          <w:szCs w:val="22"/>
        </w:rPr>
        <w:t xml:space="preserve">Esant įvairioms indikacijoms, nustatytos fistulės, apimančios </w:t>
      </w:r>
      <w:r w:rsidR="007F38CD" w:rsidRPr="004F572A">
        <w:rPr>
          <w:rFonts w:eastAsia="Calibri"/>
          <w:sz w:val="22"/>
          <w:szCs w:val="22"/>
        </w:rPr>
        <w:t>ne skrand</w:t>
      </w:r>
      <w:r w:rsidR="002B62EB">
        <w:rPr>
          <w:rFonts w:eastAsia="Calibri"/>
          <w:sz w:val="22"/>
          <w:szCs w:val="22"/>
        </w:rPr>
        <w:t>į a</w:t>
      </w:r>
      <w:r w:rsidR="007F38CD" w:rsidRPr="004F572A">
        <w:rPr>
          <w:rFonts w:eastAsia="Calibri"/>
          <w:sz w:val="22"/>
          <w:szCs w:val="22"/>
        </w:rPr>
        <w:t>r žarn</w:t>
      </w:r>
      <w:r w:rsidR="002B62EB">
        <w:rPr>
          <w:rFonts w:eastAsia="Calibri"/>
          <w:sz w:val="22"/>
          <w:szCs w:val="22"/>
        </w:rPr>
        <w:t>yną</w:t>
      </w:r>
      <w:r w:rsidR="007F38CD" w:rsidRPr="004F572A">
        <w:rPr>
          <w:rFonts w:eastAsia="Calibri"/>
          <w:sz w:val="22"/>
          <w:szCs w:val="22"/>
        </w:rPr>
        <w:t>, o kit</w:t>
      </w:r>
      <w:r w:rsidR="002B62EB">
        <w:rPr>
          <w:rFonts w:eastAsia="Calibri"/>
          <w:sz w:val="22"/>
          <w:szCs w:val="22"/>
        </w:rPr>
        <w:t>as organizmo dalis</w:t>
      </w:r>
      <w:r w:rsidRPr="004F572A">
        <w:rPr>
          <w:rFonts w:eastAsia="Calibri"/>
          <w:sz w:val="22"/>
          <w:szCs w:val="22"/>
        </w:rPr>
        <w:t xml:space="preserve">. Gydymo metu </w:t>
      </w:r>
      <w:r w:rsidR="002B62EB">
        <w:rPr>
          <w:rFonts w:eastAsia="Calibri"/>
          <w:sz w:val="22"/>
          <w:szCs w:val="22"/>
        </w:rPr>
        <w:t xml:space="preserve">reakcijos </w:t>
      </w:r>
      <w:r w:rsidRPr="004F572A">
        <w:rPr>
          <w:rFonts w:eastAsia="Calibri"/>
          <w:sz w:val="22"/>
          <w:szCs w:val="22"/>
        </w:rPr>
        <w:t>nustatytos įvairiais laiko momentais – praėjus nuo dviejų savaičių iki daugiau kaip 1</w:t>
      </w:r>
      <w:r w:rsidR="00D53FC3">
        <w:rPr>
          <w:rFonts w:eastAsia="Calibri"/>
          <w:sz w:val="22"/>
          <w:szCs w:val="22"/>
        </w:rPr>
        <w:t> </w:t>
      </w:r>
      <w:r w:rsidRPr="004F572A">
        <w:rPr>
          <w:rFonts w:eastAsia="Calibri"/>
          <w:sz w:val="22"/>
          <w:szCs w:val="22"/>
        </w:rPr>
        <w:t xml:space="preserve">metų nuo gydymo </w:t>
      </w:r>
      <w:proofErr w:type="spellStart"/>
      <w:r w:rsidRPr="004F572A">
        <w:rPr>
          <w:rFonts w:eastAsia="Calibri"/>
          <w:sz w:val="22"/>
          <w:szCs w:val="22"/>
        </w:rPr>
        <w:t>lenvatinibu</w:t>
      </w:r>
      <w:proofErr w:type="spellEnd"/>
      <w:r w:rsidRPr="004F572A">
        <w:rPr>
          <w:rFonts w:eastAsia="Calibri"/>
          <w:sz w:val="22"/>
          <w:szCs w:val="22"/>
        </w:rPr>
        <w:t xml:space="preserve"> pradžios, </w:t>
      </w:r>
      <w:r w:rsidR="002B62EB">
        <w:rPr>
          <w:rFonts w:eastAsia="Calibri"/>
          <w:sz w:val="22"/>
          <w:szCs w:val="22"/>
        </w:rPr>
        <w:t xml:space="preserve">inkubacinio laikotarpio mediana – </w:t>
      </w:r>
      <w:r w:rsidR="00141A49" w:rsidRPr="004F572A">
        <w:rPr>
          <w:rFonts w:eastAsia="Calibri"/>
          <w:sz w:val="22"/>
          <w:szCs w:val="22"/>
        </w:rPr>
        <w:t>maždaug 3</w:t>
      </w:r>
      <w:r w:rsidR="00D53FC3">
        <w:rPr>
          <w:rFonts w:eastAsia="Calibri"/>
          <w:sz w:val="22"/>
          <w:szCs w:val="22"/>
        </w:rPr>
        <w:t> </w:t>
      </w:r>
      <w:r w:rsidR="00141A49" w:rsidRPr="004F572A">
        <w:rPr>
          <w:rFonts w:eastAsia="Calibri"/>
          <w:sz w:val="22"/>
          <w:szCs w:val="22"/>
        </w:rPr>
        <w:t>mėnesi</w:t>
      </w:r>
      <w:r w:rsidR="002B62EB">
        <w:rPr>
          <w:rFonts w:eastAsia="Calibri"/>
          <w:sz w:val="22"/>
          <w:szCs w:val="22"/>
        </w:rPr>
        <w:t>ai</w:t>
      </w:r>
      <w:r w:rsidRPr="004F572A">
        <w:rPr>
          <w:rFonts w:eastAsia="Calibri"/>
          <w:sz w:val="22"/>
          <w:szCs w:val="22"/>
        </w:rPr>
        <w:t>.</w:t>
      </w:r>
    </w:p>
    <w:p w14:paraId="24248BC7" w14:textId="77777777" w:rsidR="00141A49" w:rsidRPr="004F572A" w:rsidRDefault="00141A49" w:rsidP="00F4037A">
      <w:pPr>
        <w:widowControl w:val="0"/>
        <w:tabs>
          <w:tab w:val="clear" w:pos="567"/>
        </w:tabs>
        <w:rPr>
          <w:rFonts w:eastAsia="Calibri"/>
          <w:i/>
          <w:iCs/>
          <w:sz w:val="22"/>
          <w:szCs w:val="22"/>
        </w:rPr>
      </w:pPr>
    </w:p>
    <w:p w14:paraId="59D8C92B" w14:textId="77777777" w:rsidR="00141A49" w:rsidRPr="004F572A" w:rsidRDefault="00F4037A" w:rsidP="00F4037A">
      <w:pPr>
        <w:widowControl w:val="0"/>
        <w:tabs>
          <w:tab w:val="clear" w:pos="567"/>
        </w:tabs>
        <w:rPr>
          <w:rFonts w:eastAsia="Calibri"/>
          <w:i/>
          <w:iCs/>
          <w:sz w:val="22"/>
          <w:szCs w:val="22"/>
          <w:u w:val="single"/>
        </w:rPr>
      </w:pPr>
      <w:r w:rsidRPr="004F572A">
        <w:rPr>
          <w:rFonts w:eastAsia="Calibri"/>
          <w:i/>
          <w:iCs/>
          <w:sz w:val="22"/>
          <w:szCs w:val="22"/>
          <w:u w:val="single"/>
        </w:rPr>
        <w:t xml:space="preserve">Pailgėjęs QT intervalas (žr. 4.4 skyrių) </w:t>
      </w:r>
    </w:p>
    <w:p w14:paraId="5E6A3EB1" w14:textId="77777777" w:rsidR="00141A49" w:rsidRPr="004F572A" w:rsidRDefault="00141A49" w:rsidP="00F4037A">
      <w:pPr>
        <w:widowControl w:val="0"/>
        <w:tabs>
          <w:tab w:val="clear" w:pos="567"/>
        </w:tabs>
        <w:rPr>
          <w:rFonts w:eastAsia="Calibri"/>
          <w:i/>
          <w:iCs/>
          <w:sz w:val="22"/>
          <w:szCs w:val="22"/>
        </w:rPr>
      </w:pPr>
    </w:p>
    <w:p w14:paraId="5073B780" w14:textId="6CAA5ACC" w:rsidR="00F4037A" w:rsidRPr="004F572A" w:rsidRDefault="00F4037A" w:rsidP="00F4037A">
      <w:pPr>
        <w:widowControl w:val="0"/>
        <w:tabs>
          <w:tab w:val="clear" w:pos="567"/>
        </w:tabs>
        <w:rPr>
          <w:rFonts w:eastAsia="Calibri"/>
          <w:i/>
          <w:iCs/>
          <w:sz w:val="22"/>
          <w:szCs w:val="22"/>
        </w:rPr>
      </w:pPr>
      <w:r w:rsidRPr="004F572A">
        <w:rPr>
          <w:rFonts w:eastAsia="Calibri"/>
          <w:i/>
          <w:iCs/>
          <w:sz w:val="22"/>
          <w:szCs w:val="22"/>
        </w:rPr>
        <w:t>DSK</w:t>
      </w:r>
    </w:p>
    <w:p w14:paraId="24C239E3" w14:textId="77777777" w:rsidR="00141A49" w:rsidRPr="004F572A" w:rsidRDefault="00141A49" w:rsidP="00F4037A">
      <w:pPr>
        <w:widowControl w:val="0"/>
        <w:tabs>
          <w:tab w:val="clear" w:pos="567"/>
        </w:tabs>
        <w:rPr>
          <w:rFonts w:eastAsia="Calibri"/>
          <w:i/>
          <w:iCs/>
          <w:sz w:val="22"/>
          <w:szCs w:val="22"/>
        </w:rPr>
      </w:pPr>
    </w:p>
    <w:p w14:paraId="0253799A" w14:textId="58BA8704" w:rsidR="00F4037A" w:rsidRPr="004F572A" w:rsidRDefault="00F4037A" w:rsidP="00F4037A">
      <w:pPr>
        <w:widowControl w:val="0"/>
        <w:tabs>
          <w:tab w:val="clear" w:pos="567"/>
        </w:tabs>
        <w:rPr>
          <w:rFonts w:eastAsia="Calibri"/>
          <w:sz w:val="22"/>
          <w:szCs w:val="22"/>
        </w:rPr>
      </w:pPr>
      <w:r w:rsidRPr="004F572A">
        <w:rPr>
          <w:rFonts w:eastAsia="Calibri"/>
          <w:sz w:val="22"/>
          <w:szCs w:val="22"/>
        </w:rPr>
        <w:t>Pagrindinio 3</w:t>
      </w:r>
      <w:r w:rsidR="00D53FC3">
        <w:rPr>
          <w:rFonts w:eastAsia="Calibri"/>
          <w:sz w:val="22"/>
          <w:szCs w:val="22"/>
        </w:rPr>
        <w:t> </w:t>
      </w:r>
      <w:r w:rsidRPr="004F572A">
        <w:rPr>
          <w:rFonts w:eastAsia="Calibri"/>
          <w:sz w:val="22"/>
          <w:szCs w:val="22"/>
        </w:rPr>
        <w:t xml:space="preserve">fazės </w:t>
      </w:r>
      <w:r w:rsidR="002B62EB">
        <w:rPr>
          <w:rFonts w:eastAsia="Calibri"/>
          <w:sz w:val="22"/>
          <w:szCs w:val="22"/>
        </w:rPr>
        <w:t xml:space="preserve">tyrimo </w:t>
      </w:r>
      <w:r w:rsidR="00141A49" w:rsidRPr="004F572A">
        <w:rPr>
          <w:rFonts w:eastAsia="Calibri"/>
          <w:sz w:val="22"/>
          <w:szCs w:val="22"/>
        </w:rPr>
        <w:t xml:space="preserve">SELECT </w:t>
      </w:r>
      <w:r w:rsidR="002B62EB">
        <w:rPr>
          <w:rFonts w:eastAsia="Calibri"/>
          <w:sz w:val="22"/>
          <w:szCs w:val="22"/>
        </w:rPr>
        <w:t>metu</w:t>
      </w:r>
      <w:r w:rsidRPr="004F572A">
        <w:rPr>
          <w:rFonts w:eastAsia="Calibri"/>
          <w:sz w:val="22"/>
          <w:szCs w:val="22"/>
        </w:rPr>
        <w:t xml:space="preserve"> (žr. 5.1 skyrių) </w:t>
      </w:r>
      <w:r w:rsidR="002B62EB">
        <w:rPr>
          <w:rFonts w:eastAsia="Calibri"/>
          <w:sz w:val="22"/>
          <w:szCs w:val="22"/>
        </w:rPr>
        <w:t>pailgėjęs</w:t>
      </w:r>
      <w:r w:rsidR="00141A49" w:rsidRPr="004F572A">
        <w:rPr>
          <w:rFonts w:eastAsia="Calibri"/>
          <w:sz w:val="22"/>
          <w:szCs w:val="22"/>
        </w:rPr>
        <w:t xml:space="preserve"> </w:t>
      </w:r>
      <w:r w:rsidRPr="004F572A">
        <w:rPr>
          <w:rFonts w:eastAsia="Calibri"/>
          <w:sz w:val="22"/>
          <w:szCs w:val="22"/>
        </w:rPr>
        <w:t>QT/</w:t>
      </w:r>
      <w:proofErr w:type="spellStart"/>
      <w:r w:rsidRPr="004F572A">
        <w:rPr>
          <w:rFonts w:eastAsia="Calibri"/>
          <w:sz w:val="22"/>
          <w:szCs w:val="22"/>
        </w:rPr>
        <w:t>QTc</w:t>
      </w:r>
      <w:proofErr w:type="spellEnd"/>
      <w:r w:rsidRPr="004F572A">
        <w:rPr>
          <w:rFonts w:eastAsia="Calibri"/>
          <w:sz w:val="22"/>
          <w:szCs w:val="22"/>
        </w:rPr>
        <w:t xml:space="preserve"> interval</w:t>
      </w:r>
      <w:r w:rsidR="002B62EB">
        <w:rPr>
          <w:rFonts w:eastAsia="Calibri"/>
          <w:sz w:val="22"/>
          <w:szCs w:val="22"/>
        </w:rPr>
        <w:t>as nustatytas</w:t>
      </w:r>
      <w:r w:rsidRPr="004F572A">
        <w:rPr>
          <w:rFonts w:eastAsia="Calibri"/>
          <w:sz w:val="22"/>
          <w:szCs w:val="22"/>
        </w:rPr>
        <w:t xml:space="preserve"> 8,8</w:t>
      </w:r>
      <w:r w:rsidR="00141A49" w:rsidRPr="004F572A">
        <w:rPr>
          <w:rFonts w:eastAsia="Calibri"/>
          <w:sz w:val="22"/>
          <w:szCs w:val="22"/>
        </w:rPr>
        <w:t> </w:t>
      </w:r>
      <w:r w:rsidRPr="004F572A">
        <w:rPr>
          <w:rFonts w:eastAsia="Calibri"/>
          <w:sz w:val="22"/>
          <w:szCs w:val="22"/>
        </w:rPr>
        <w:t xml:space="preserve">% </w:t>
      </w:r>
      <w:proofErr w:type="spellStart"/>
      <w:r w:rsidRPr="004F572A">
        <w:rPr>
          <w:rFonts w:eastAsia="Calibri"/>
          <w:sz w:val="22"/>
          <w:szCs w:val="22"/>
        </w:rPr>
        <w:t>lenvatinibu</w:t>
      </w:r>
      <w:proofErr w:type="spellEnd"/>
      <w:r w:rsidRPr="004F572A">
        <w:rPr>
          <w:rFonts w:eastAsia="Calibri"/>
          <w:sz w:val="22"/>
          <w:szCs w:val="22"/>
        </w:rPr>
        <w:t xml:space="preserve"> gydomų pacientų ir 1,5</w:t>
      </w:r>
      <w:r w:rsidR="00141A49" w:rsidRPr="004F572A">
        <w:rPr>
          <w:rFonts w:eastAsia="Calibri"/>
          <w:sz w:val="22"/>
          <w:szCs w:val="22"/>
        </w:rPr>
        <w:t> </w:t>
      </w:r>
      <w:r w:rsidRPr="004F572A">
        <w:rPr>
          <w:rFonts w:eastAsia="Calibri"/>
          <w:sz w:val="22"/>
          <w:szCs w:val="22"/>
        </w:rPr>
        <w:t>% placebo grupės pacientų. Daugiau kaip 500</w:t>
      </w:r>
      <w:r w:rsidR="00141A49" w:rsidRPr="004F572A">
        <w:rPr>
          <w:rFonts w:eastAsia="Calibri"/>
          <w:sz w:val="22"/>
          <w:szCs w:val="22"/>
        </w:rPr>
        <w:t> </w:t>
      </w:r>
      <w:proofErr w:type="spellStart"/>
      <w:r w:rsidRPr="004F572A">
        <w:rPr>
          <w:rFonts w:eastAsia="Calibri"/>
          <w:sz w:val="22"/>
          <w:szCs w:val="22"/>
        </w:rPr>
        <w:t>ms</w:t>
      </w:r>
      <w:proofErr w:type="spellEnd"/>
      <w:r w:rsidRPr="004F572A">
        <w:rPr>
          <w:rFonts w:eastAsia="Calibri"/>
          <w:sz w:val="22"/>
          <w:szCs w:val="22"/>
        </w:rPr>
        <w:t xml:space="preserve"> pailgėjęs QT intervalas nustatytas 2</w:t>
      </w:r>
      <w:r w:rsidR="00141A49" w:rsidRPr="004F572A">
        <w:rPr>
          <w:rFonts w:eastAsia="Calibri"/>
          <w:sz w:val="22"/>
          <w:szCs w:val="22"/>
        </w:rPr>
        <w:t> </w:t>
      </w:r>
      <w:r w:rsidRPr="004F572A">
        <w:rPr>
          <w:rFonts w:eastAsia="Calibri"/>
          <w:sz w:val="22"/>
          <w:szCs w:val="22"/>
        </w:rPr>
        <w:t xml:space="preserve">% </w:t>
      </w:r>
      <w:proofErr w:type="spellStart"/>
      <w:r w:rsidRPr="004F572A">
        <w:rPr>
          <w:rFonts w:eastAsia="Calibri"/>
          <w:sz w:val="22"/>
          <w:szCs w:val="22"/>
        </w:rPr>
        <w:t>lenvatinibu</w:t>
      </w:r>
      <w:proofErr w:type="spellEnd"/>
      <w:r w:rsidRPr="004F572A">
        <w:rPr>
          <w:rFonts w:eastAsia="Calibri"/>
          <w:sz w:val="22"/>
          <w:szCs w:val="22"/>
        </w:rPr>
        <w:t xml:space="preserve"> gydyt</w:t>
      </w:r>
      <w:r w:rsidR="002B62EB">
        <w:rPr>
          <w:rFonts w:eastAsia="Calibri"/>
          <w:sz w:val="22"/>
          <w:szCs w:val="22"/>
        </w:rPr>
        <w:t>iems</w:t>
      </w:r>
      <w:r w:rsidRPr="004F572A">
        <w:rPr>
          <w:rFonts w:eastAsia="Calibri"/>
          <w:sz w:val="22"/>
          <w:szCs w:val="22"/>
        </w:rPr>
        <w:t xml:space="preserve"> </w:t>
      </w:r>
      <w:r w:rsidR="00141A49" w:rsidRPr="004F572A">
        <w:rPr>
          <w:rFonts w:eastAsia="Calibri"/>
          <w:sz w:val="22"/>
          <w:szCs w:val="22"/>
        </w:rPr>
        <w:t>pacient</w:t>
      </w:r>
      <w:r w:rsidR="002B62EB">
        <w:rPr>
          <w:rFonts w:eastAsia="Calibri"/>
          <w:sz w:val="22"/>
          <w:szCs w:val="22"/>
        </w:rPr>
        <w:t>ams</w:t>
      </w:r>
      <w:r w:rsidRPr="004F572A">
        <w:rPr>
          <w:rFonts w:eastAsia="Calibri"/>
          <w:sz w:val="22"/>
          <w:szCs w:val="22"/>
        </w:rPr>
        <w:t>, placebo grupėje tokių atvejų nenustatyta.</w:t>
      </w:r>
    </w:p>
    <w:p w14:paraId="1FF55A8B" w14:textId="77777777" w:rsidR="00141A49" w:rsidRPr="004F572A" w:rsidRDefault="00141A49" w:rsidP="00F4037A">
      <w:pPr>
        <w:widowControl w:val="0"/>
        <w:tabs>
          <w:tab w:val="clear" w:pos="567"/>
        </w:tabs>
        <w:rPr>
          <w:rFonts w:eastAsia="Calibri"/>
          <w:i/>
          <w:iCs/>
          <w:sz w:val="22"/>
          <w:szCs w:val="22"/>
        </w:rPr>
      </w:pPr>
    </w:p>
    <w:p w14:paraId="576CC317" w14:textId="62BDA1CF" w:rsidR="00F4037A" w:rsidRPr="004F572A" w:rsidRDefault="00F4037A" w:rsidP="00F4037A">
      <w:pPr>
        <w:widowControl w:val="0"/>
        <w:tabs>
          <w:tab w:val="clear" w:pos="567"/>
        </w:tabs>
        <w:rPr>
          <w:rFonts w:eastAsia="Calibri"/>
          <w:i/>
          <w:iCs/>
          <w:sz w:val="22"/>
          <w:szCs w:val="22"/>
        </w:rPr>
      </w:pPr>
      <w:r w:rsidRPr="004F572A">
        <w:rPr>
          <w:rFonts w:eastAsia="Calibri"/>
          <w:i/>
          <w:iCs/>
          <w:sz w:val="22"/>
          <w:szCs w:val="22"/>
        </w:rPr>
        <w:t>HCK</w:t>
      </w:r>
    </w:p>
    <w:p w14:paraId="5262ECE9" w14:textId="77777777" w:rsidR="00141A49" w:rsidRPr="004F572A" w:rsidRDefault="00141A49" w:rsidP="00F4037A">
      <w:pPr>
        <w:widowControl w:val="0"/>
        <w:tabs>
          <w:tab w:val="clear" w:pos="567"/>
        </w:tabs>
        <w:rPr>
          <w:rFonts w:eastAsia="Calibri"/>
          <w:i/>
          <w:iCs/>
          <w:sz w:val="22"/>
          <w:szCs w:val="22"/>
        </w:rPr>
      </w:pPr>
    </w:p>
    <w:p w14:paraId="02852167" w14:textId="6B9EAB7A" w:rsidR="00F4037A" w:rsidRPr="004F572A" w:rsidRDefault="00F4037A" w:rsidP="00F4037A">
      <w:pPr>
        <w:widowControl w:val="0"/>
        <w:tabs>
          <w:tab w:val="clear" w:pos="567"/>
        </w:tabs>
        <w:rPr>
          <w:rFonts w:eastAsia="Calibri"/>
          <w:sz w:val="22"/>
          <w:szCs w:val="22"/>
        </w:rPr>
      </w:pPr>
      <w:r w:rsidRPr="004F572A">
        <w:rPr>
          <w:rFonts w:eastAsia="Calibri"/>
          <w:sz w:val="22"/>
          <w:szCs w:val="22"/>
        </w:rPr>
        <w:t>3</w:t>
      </w:r>
      <w:r w:rsidR="00D53FC3">
        <w:rPr>
          <w:rFonts w:eastAsia="Calibri"/>
          <w:sz w:val="22"/>
          <w:szCs w:val="22"/>
        </w:rPr>
        <w:t> </w:t>
      </w:r>
      <w:r w:rsidRPr="004F572A">
        <w:rPr>
          <w:rFonts w:eastAsia="Calibri"/>
          <w:sz w:val="22"/>
          <w:szCs w:val="22"/>
        </w:rPr>
        <w:t>fazės REFLECT tyrim</w:t>
      </w:r>
      <w:r w:rsidR="002B62EB">
        <w:rPr>
          <w:rFonts w:eastAsia="Calibri"/>
          <w:sz w:val="22"/>
          <w:szCs w:val="22"/>
        </w:rPr>
        <w:t>e</w:t>
      </w:r>
      <w:r w:rsidRPr="004F572A">
        <w:rPr>
          <w:rFonts w:eastAsia="Calibri"/>
          <w:sz w:val="22"/>
          <w:szCs w:val="22"/>
        </w:rPr>
        <w:t xml:space="preserve"> (žr. 5.1 skyrių)</w:t>
      </w:r>
      <w:r w:rsidR="00141A49" w:rsidRPr="004F572A">
        <w:rPr>
          <w:rFonts w:eastAsia="Calibri"/>
          <w:sz w:val="22"/>
          <w:szCs w:val="22"/>
        </w:rPr>
        <w:t xml:space="preserve"> QT/</w:t>
      </w:r>
      <w:proofErr w:type="spellStart"/>
      <w:r w:rsidR="00141A49" w:rsidRPr="004F572A">
        <w:rPr>
          <w:rFonts w:eastAsia="Calibri"/>
          <w:sz w:val="22"/>
          <w:szCs w:val="22"/>
        </w:rPr>
        <w:t>QTc</w:t>
      </w:r>
      <w:proofErr w:type="spellEnd"/>
      <w:r w:rsidR="00141A49" w:rsidRPr="004F572A">
        <w:rPr>
          <w:rFonts w:eastAsia="Calibri"/>
          <w:sz w:val="22"/>
          <w:szCs w:val="22"/>
        </w:rPr>
        <w:t xml:space="preserve"> intervalo pailgėjim</w:t>
      </w:r>
      <w:r w:rsidR="002B62EB">
        <w:rPr>
          <w:rFonts w:eastAsia="Calibri"/>
          <w:sz w:val="22"/>
          <w:szCs w:val="22"/>
        </w:rPr>
        <w:t>o epizodai buvo užregistruoti</w:t>
      </w:r>
      <w:r w:rsidR="00141A49" w:rsidRPr="004F572A">
        <w:rPr>
          <w:rFonts w:eastAsia="Calibri"/>
          <w:sz w:val="22"/>
          <w:szCs w:val="22"/>
        </w:rPr>
        <w:t xml:space="preserve"> </w:t>
      </w:r>
      <w:r w:rsidRPr="004F572A">
        <w:rPr>
          <w:rFonts w:eastAsia="Calibri"/>
          <w:sz w:val="22"/>
          <w:szCs w:val="22"/>
        </w:rPr>
        <w:t>6,9</w:t>
      </w:r>
      <w:r w:rsidR="00141A49" w:rsidRPr="004F572A">
        <w:rPr>
          <w:rFonts w:eastAsia="Calibri"/>
          <w:sz w:val="22"/>
          <w:szCs w:val="22"/>
        </w:rPr>
        <w:t> </w:t>
      </w:r>
      <w:r w:rsidRPr="004F572A">
        <w:rPr>
          <w:rFonts w:eastAsia="Calibri"/>
          <w:sz w:val="22"/>
          <w:szCs w:val="22"/>
        </w:rPr>
        <w:t xml:space="preserve">%, </w:t>
      </w:r>
      <w:proofErr w:type="spellStart"/>
      <w:r w:rsidRPr="004F572A">
        <w:rPr>
          <w:rFonts w:eastAsia="Calibri"/>
          <w:sz w:val="22"/>
          <w:szCs w:val="22"/>
        </w:rPr>
        <w:t>lenvatinibu</w:t>
      </w:r>
      <w:proofErr w:type="spellEnd"/>
      <w:r w:rsidRPr="004F572A">
        <w:rPr>
          <w:rFonts w:eastAsia="Calibri"/>
          <w:sz w:val="22"/>
          <w:szCs w:val="22"/>
        </w:rPr>
        <w:t xml:space="preserve"> gydytų pacientų. </w:t>
      </w:r>
      <w:proofErr w:type="spellStart"/>
      <w:r w:rsidRPr="004F572A">
        <w:rPr>
          <w:rFonts w:eastAsia="Calibri"/>
          <w:sz w:val="22"/>
          <w:szCs w:val="22"/>
        </w:rPr>
        <w:t>QTcF</w:t>
      </w:r>
      <w:proofErr w:type="spellEnd"/>
      <w:r w:rsidRPr="004F572A">
        <w:rPr>
          <w:rFonts w:eastAsia="Calibri"/>
          <w:sz w:val="22"/>
          <w:szCs w:val="22"/>
        </w:rPr>
        <w:t xml:space="preserve"> intervalo pailgėjimo iki daugiau kaip 500</w:t>
      </w:r>
      <w:r w:rsidR="00141A49" w:rsidRPr="004F572A">
        <w:rPr>
          <w:rFonts w:eastAsia="Calibri"/>
          <w:sz w:val="22"/>
          <w:szCs w:val="22"/>
        </w:rPr>
        <w:t> </w:t>
      </w:r>
      <w:proofErr w:type="spellStart"/>
      <w:r w:rsidRPr="004F572A">
        <w:rPr>
          <w:rFonts w:eastAsia="Calibri"/>
          <w:sz w:val="22"/>
          <w:szCs w:val="22"/>
        </w:rPr>
        <w:t>ms</w:t>
      </w:r>
      <w:proofErr w:type="spellEnd"/>
      <w:r w:rsidRPr="004F572A">
        <w:rPr>
          <w:rFonts w:eastAsia="Calibri"/>
          <w:sz w:val="22"/>
          <w:szCs w:val="22"/>
        </w:rPr>
        <w:t xml:space="preserve"> </w:t>
      </w:r>
      <w:r w:rsidR="002B62EB">
        <w:rPr>
          <w:rFonts w:eastAsia="Calibri"/>
          <w:sz w:val="22"/>
          <w:szCs w:val="22"/>
        </w:rPr>
        <w:t>dažnis</w:t>
      </w:r>
      <w:r w:rsidRPr="004F572A">
        <w:rPr>
          <w:rFonts w:eastAsia="Calibri"/>
          <w:sz w:val="22"/>
          <w:szCs w:val="22"/>
        </w:rPr>
        <w:t xml:space="preserve"> buvo 2,4</w:t>
      </w:r>
      <w:r w:rsidR="00141A49" w:rsidRPr="004F572A">
        <w:rPr>
          <w:rFonts w:eastAsia="Calibri"/>
          <w:sz w:val="22"/>
          <w:szCs w:val="22"/>
        </w:rPr>
        <w:t> </w:t>
      </w:r>
      <w:r w:rsidRPr="004F572A">
        <w:rPr>
          <w:rFonts w:eastAsia="Calibri"/>
          <w:sz w:val="22"/>
          <w:szCs w:val="22"/>
        </w:rPr>
        <w:t>%.</w:t>
      </w:r>
    </w:p>
    <w:p w14:paraId="10DD61F3" w14:textId="77777777" w:rsidR="00141A49" w:rsidRPr="004F572A" w:rsidRDefault="00141A49" w:rsidP="00F4037A">
      <w:pPr>
        <w:widowControl w:val="0"/>
        <w:tabs>
          <w:tab w:val="clear" w:pos="567"/>
        </w:tabs>
        <w:rPr>
          <w:rFonts w:eastAsia="Calibri"/>
          <w:i/>
          <w:iCs/>
          <w:sz w:val="22"/>
          <w:szCs w:val="22"/>
        </w:rPr>
      </w:pPr>
    </w:p>
    <w:p w14:paraId="4D9B8E16" w14:textId="590E3393" w:rsidR="00146EA8" w:rsidRPr="004F572A" w:rsidRDefault="00F4037A" w:rsidP="00F4037A">
      <w:pPr>
        <w:widowControl w:val="0"/>
        <w:tabs>
          <w:tab w:val="clear" w:pos="567"/>
        </w:tabs>
        <w:rPr>
          <w:rFonts w:eastAsia="Calibri"/>
          <w:sz w:val="22"/>
          <w:szCs w:val="22"/>
        </w:rPr>
      </w:pPr>
      <w:r w:rsidRPr="004F572A">
        <w:rPr>
          <w:rFonts w:eastAsia="Calibri"/>
          <w:i/>
          <w:iCs/>
          <w:sz w:val="22"/>
          <w:szCs w:val="22"/>
        </w:rPr>
        <w:t>EK</w:t>
      </w:r>
    </w:p>
    <w:p w14:paraId="10FECF58" w14:textId="77777777" w:rsidR="00146EA8" w:rsidRPr="004F572A" w:rsidRDefault="00146EA8" w:rsidP="000928CA">
      <w:pPr>
        <w:widowControl w:val="0"/>
        <w:tabs>
          <w:tab w:val="clear" w:pos="567"/>
        </w:tabs>
        <w:rPr>
          <w:rFonts w:eastAsia="Calibri"/>
          <w:sz w:val="22"/>
          <w:szCs w:val="22"/>
        </w:rPr>
      </w:pPr>
    </w:p>
    <w:p w14:paraId="6C0E92F4" w14:textId="46688B02" w:rsidR="008A7B1F" w:rsidRPr="004F572A" w:rsidRDefault="008A7B1F" w:rsidP="008A7B1F">
      <w:pPr>
        <w:widowControl w:val="0"/>
        <w:tabs>
          <w:tab w:val="clear" w:pos="567"/>
        </w:tabs>
        <w:rPr>
          <w:rFonts w:eastAsia="Calibri"/>
          <w:sz w:val="22"/>
          <w:szCs w:val="22"/>
        </w:rPr>
      </w:pPr>
      <w:r w:rsidRPr="004F572A">
        <w:rPr>
          <w:rFonts w:eastAsia="Calibri"/>
          <w:sz w:val="22"/>
          <w:szCs w:val="22"/>
        </w:rPr>
        <w:t>3</w:t>
      </w:r>
      <w:r w:rsidR="00D53FC3">
        <w:rPr>
          <w:rFonts w:eastAsia="Calibri"/>
          <w:sz w:val="22"/>
          <w:szCs w:val="22"/>
        </w:rPr>
        <w:t> </w:t>
      </w:r>
      <w:r w:rsidRPr="004F572A">
        <w:rPr>
          <w:rFonts w:eastAsia="Calibri"/>
          <w:sz w:val="22"/>
          <w:szCs w:val="22"/>
        </w:rPr>
        <w:t>fazės 309 tyrim</w:t>
      </w:r>
      <w:r w:rsidR="002B62EB">
        <w:rPr>
          <w:rFonts w:eastAsia="Calibri"/>
          <w:sz w:val="22"/>
          <w:szCs w:val="22"/>
        </w:rPr>
        <w:t>e</w:t>
      </w:r>
      <w:r w:rsidRPr="004F572A">
        <w:rPr>
          <w:rFonts w:eastAsia="Calibri"/>
          <w:sz w:val="22"/>
          <w:szCs w:val="22"/>
        </w:rPr>
        <w:t xml:space="preserve"> (žr. 5.1 skyrių) </w:t>
      </w:r>
      <w:r w:rsidR="002B62EB">
        <w:rPr>
          <w:rFonts w:eastAsia="Calibri"/>
          <w:sz w:val="22"/>
          <w:szCs w:val="22"/>
        </w:rPr>
        <w:t>nustatytas</w:t>
      </w:r>
      <w:r w:rsidRPr="004F572A">
        <w:rPr>
          <w:rFonts w:eastAsia="Calibri"/>
          <w:sz w:val="22"/>
          <w:szCs w:val="22"/>
        </w:rPr>
        <w:t xml:space="preserve"> QT intervalo pailgėjim</w:t>
      </w:r>
      <w:r w:rsidR="002B62EB">
        <w:rPr>
          <w:rFonts w:eastAsia="Calibri"/>
          <w:sz w:val="22"/>
          <w:szCs w:val="22"/>
        </w:rPr>
        <w:t>as</w:t>
      </w:r>
      <w:r w:rsidRPr="004F572A">
        <w:rPr>
          <w:rFonts w:eastAsia="Calibri"/>
          <w:sz w:val="22"/>
          <w:szCs w:val="22"/>
        </w:rPr>
        <w:t xml:space="preserve"> 3,9 % </w:t>
      </w:r>
      <w:proofErr w:type="spellStart"/>
      <w:r w:rsidRPr="004F572A">
        <w:rPr>
          <w:rFonts w:eastAsia="Calibri"/>
          <w:sz w:val="22"/>
          <w:szCs w:val="22"/>
        </w:rPr>
        <w:t>lenvatinibo</w:t>
      </w:r>
      <w:proofErr w:type="spellEnd"/>
      <w:r w:rsidRPr="004F572A">
        <w:rPr>
          <w:rFonts w:eastAsia="Calibri"/>
          <w:sz w:val="22"/>
          <w:szCs w:val="22"/>
        </w:rPr>
        <w:t xml:space="preserve"> ir </w:t>
      </w:r>
      <w:proofErr w:type="spellStart"/>
      <w:r w:rsidRPr="004F572A">
        <w:rPr>
          <w:rFonts w:eastAsia="Calibri"/>
          <w:sz w:val="22"/>
          <w:szCs w:val="22"/>
        </w:rPr>
        <w:t>pembrolizumabo</w:t>
      </w:r>
      <w:proofErr w:type="spellEnd"/>
      <w:r w:rsidRPr="004F572A">
        <w:rPr>
          <w:rFonts w:eastAsia="Calibri"/>
          <w:sz w:val="22"/>
          <w:szCs w:val="22"/>
        </w:rPr>
        <w:t xml:space="preserve"> deriniu gydytų pacientų</w:t>
      </w:r>
      <w:r w:rsidR="002B62EB">
        <w:rPr>
          <w:rFonts w:eastAsia="Calibri"/>
          <w:sz w:val="22"/>
          <w:szCs w:val="22"/>
        </w:rPr>
        <w:t>, o</w:t>
      </w:r>
      <w:r w:rsidRPr="004F572A">
        <w:rPr>
          <w:rFonts w:eastAsia="Calibri"/>
          <w:sz w:val="22"/>
          <w:szCs w:val="22"/>
        </w:rPr>
        <w:t xml:space="preserve"> ≥ 3</w:t>
      </w:r>
      <w:r w:rsidR="00D53FC3">
        <w:rPr>
          <w:rFonts w:eastAsia="Calibri"/>
          <w:sz w:val="22"/>
          <w:szCs w:val="22"/>
        </w:rPr>
        <w:t> </w:t>
      </w:r>
      <w:r w:rsidRPr="004F572A">
        <w:rPr>
          <w:rFonts w:eastAsia="Calibri"/>
          <w:sz w:val="22"/>
          <w:szCs w:val="22"/>
        </w:rPr>
        <w:t>laipsnio reakcij</w:t>
      </w:r>
      <w:r w:rsidR="002B62EB">
        <w:rPr>
          <w:rFonts w:eastAsia="Calibri"/>
          <w:sz w:val="22"/>
          <w:szCs w:val="22"/>
        </w:rPr>
        <w:t>os pasireiškė</w:t>
      </w:r>
      <w:r w:rsidRPr="004F572A">
        <w:rPr>
          <w:rFonts w:eastAsia="Calibri"/>
          <w:sz w:val="22"/>
          <w:szCs w:val="22"/>
        </w:rPr>
        <w:t xml:space="preserve"> 0,5 % pacientų. Vidutinis laikas iki pasireiškimo buvo 115,5</w:t>
      </w:r>
      <w:r w:rsidR="00D53FC3">
        <w:rPr>
          <w:rFonts w:eastAsia="Calibri"/>
          <w:sz w:val="22"/>
          <w:szCs w:val="22"/>
        </w:rPr>
        <w:t> </w:t>
      </w:r>
      <w:r w:rsidRPr="004F572A">
        <w:rPr>
          <w:rFonts w:eastAsia="Calibri"/>
          <w:sz w:val="22"/>
          <w:szCs w:val="22"/>
        </w:rPr>
        <w:t xml:space="preserve">dienos. </w:t>
      </w:r>
      <w:proofErr w:type="spellStart"/>
      <w:r w:rsidRPr="004F572A">
        <w:rPr>
          <w:rFonts w:eastAsia="Calibri"/>
          <w:sz w:val="22"/>
          <w:szCs w:val="22"/>
        </w:rPr>
        <w:t>Lenvatinibo</w:t>
      </w:r>
      <w:proofErr w:type="spellEnd"/>
      <w:r w:rsidRPr="004F572A">
        <w:rPr>
          <w:rFonts w:eastAsia="Calibri"/>
          <w:sz w:val="22"/>
          <w:szCs w:val="22"/>
        </w:rPr>
        <w:t xml:space="preserve"> dozės vartojimą </w:t>
      </w:r>
      <w:r w:rsidR="002B62EB">
        <w:rPr>
          <w:rFonts w:eastAsia="Calibri"/>
          <w:sz w:val="22"/>
          <w:szCs w:val="22"/>
        </w:rPr>
        <w:t>laikinai sustabdė</w:t>
      </w:r>
      <w:r w:rsidRPr="004F572A">
        <w:rPr>
          <w:rFonts w:eastAsia="Calibri"/>
          <w:sz w:val="22"/>
          <w:szCs w:val="22"/>
        </w:rPr>
        <w:t xml:space="preserve"> ir sumažino atitinkamai 0,2 % ir 0,5 % pacientų.</w:t>
      </w:r>
    </w:p>
    <w:p w14:paraId="7F92AB5D" w14:textId="77777777" w:rsidR="008A7B1F" w:rsidRPr="004F572A" w:rsidRDefault="008A7B1F" w:rsidP="008A7B1F">
      <w:pPr>
        <w:widowControl w:val="0"/>
        <w:tabs>
          <w:tab w:val="clear" w:pos="567"/>
        </w:tabs>
        <w:rPr>
          <w:rFonts w:eastAsia="Calibri"/>
          <w:i/>
          <w:iCs/>
          <w:sz w:val="22"/>
          <w:szCs w:val="22"/>
        </w:rPr>
      </w:pPr>
    </w:p>
    <w:p w14:paraId="062897B3" w14:textId="20FF9219" w:rsidR="008A7B1F" w:rsidRPr="004F572A" w:rsidRDefault="008A7B1F" w:rsidP="008A7B1F">
      <w:pPr>
        <w:widowControl w:val="0"/>
        <w:tabs>
          <w:tab w:val="clear" w:pos="567"/>
        </w:tabs>
        <w:rPr>
          <w:rFonts w:eastAsia="Calibri"/>
          <w:i/>
          <w:iCs/>
          <w:sz w:val="22"/>
          <w:szCs w:val="22"/>
          <w:u w:val="single"/>
        </w:rPr>
      </w:pPr>
      <w:r w:rsidRPr="004F572A">
        <w:rPr>
          <w:rFonts w:eastAsia="Calibri"/>
          <w:i/>
          <w:iCs/>
          <w:sz w:val="22"/>
          <w:szCs w:val="22"/>
          <w:u w:val="single"/>
        </w:rPr>
        <w:t>Padidėjęs skydliaukę stimuliuojančio hormono kiekis kraujyje (žr. 4.4 skyrių)</w:t>
      </w:r>
    </w:p>
    <w:p w14:paraId="6627EF5F" w14:textId="77777777" w:rsidR="008A7B1F" w:rsidRPr="004F572A" w:rsidRDefault="008A7B1F" w:rsidP="008A7B1F">
      <w:pPr>
        <w:widowControl w:val="0"/>
        <w:tabs>
          <w:tab w:val="clear" w:pos="567"/>
        </w:tabs>
        <w:rPr>
          <w:rFonts w:eastAsia="Calibri"/>
          <w:i/>
          <w:iCs/>
          <w:sz w:val="22"/>
          <w:szCs w:val="22"/>
        </w:rPr>
      </w:pPr>
    </w:p>
    <w:p w14:paraId="5E5067A5" w14:textId="07947A63" w:rsidR="008A7B1F" w:rsidRPr="004F572A" w:rsidRDefault="008A7B1F" w:rsidP="008A7B1F">
      <w:pPr>
        <w:widowControl w:val="0"/>
        <w:tabs>
          <w:tab w:val="clear" w:pos="567"/>
        </w:tabs>
        <w:rPr>
          <w:rFonts w:eastAsia="Calibri"/>
          <w:i/>
          <w:iCs/>
          <w:sz w:val="22"/>
          <w:szCs w:val="22"/>
        </w:rPr>
      </w:pPr>
      <w:r w:rsidRPr="004F572A">
        <w:rPr>
          <w:rFonts w:eastAsia="Calibri"/>
          <w:i/>
          <w:iCs/>
          <w:sz w:val="22"/>
          <w:szCs w:val="22"/>
        </w:rPr>
        <w:t>DSK</w:t>
      </w:r>
    </w:p>
    <w:p w14:paraId="7B9B4C82" w14:textId="77777777" w:rsidR="008A7B1F" w:rsidRPr="004F572A" w:rsidRDefault="008A7B1F" w:rsidP="008A7B1F">
      <w:pPr>
        <w:widowControl w:val="0"/>
        <w:tabs>
          <w:tab w:val="clear" w:pos="567"/>
        </w:tabs>
        <w:rPr>
          <w:rFonts w:eastAsia="Calibri"/>
          <w:sz w:val="22"/>
          <w:szCs w:val="22"/>
        </w:rPr>
      </w:pPr>
    </w:p>
    <w:p w14:paraId="4DA518EE" w14:textId="18A2A0D0" w:rsidR="008A7B1F" w:rsidRPr="004F572A" w:rsidRDefault="008A7B1F" w:rsidP="008A7B1F">
      <w:pPr>
        <w:widowControl w:val="0"/>
        <w:tabs>
          <w:tab w:val="clear" w:pos="567"/>
        </w:tabs>
        <w:rPr>
          <w:rFonts w:eastAsia="Calibri"/>
          <w:sz w:val="22"/>
          <w:szCs w:val="22"/>
        </w:rPr>
      </w:pPr>
      <w:r w:rsidRPr="004F572A">
        <w:rPr>
          <w:rFonts w:eastAsia="Calibri"/>
          <w:sz w:val="22"/>
          <w:szCs w:val="22"/>
        </w:rPr>
        <w:t>Pagrindinio 3</w:t>
      </w:r>
      <w:r w:rsidR="00D53FC3">
        <w:rPr>
          <w:rFonts w:eastAsia="Calibri"/>
          <w:sz w:val="22"/>
          <w:szCs w:val="22"/>
        </w:rPr>
        <w:t> </w:t>
      </w:r>
      <w:r w:rsidRPr="004F572A">
        <w:rPr>
          <w:rFonts w:eastAsia="Calibri"/>
          <w:sz w:val="22"/>
          <w:szCs w:val="22"/>
        </w:rPr>
        <w:t xml:space="preserve">fazės </w:t>
      </w:r>
      <w:r w:rsidR="002B62EB">
        <w:rPr>
          <w:rFonts w:eastAsia="Calibri"/>
          <w:sz w:val="22"/>
          <w:szCs w:val="22"/>
        </w:rPr>
        <w:t xml:space="preserve">tyrimo </w:t>
      </w:r>
      <w:r w:rsidRPr="004F572A">
        <w:rPr>
          <w:rFonts w:eastAsia="Calibri"/>
          <w:sz w:val="22"/>
          <w:szCs w:val="22"/>
        </w:rPr>
        <w:t xml:space="preserve">SELECT </w:t>
      </w:r>
      <w:r w:rsidR="002B62EB">
        <w:rPr>
          <w:rFonts w:eastAsia="Calibri"/>
          <w:sz w:val="22"/>
          <w:szCs w:val="22"/>
        </w:rPr>
        <w:t>metu</w:t>
      </w:r>
      <w:r w:rsidRPr="004F572A">
        <w:rPr>
          <w:rFonts w:eastAsia="Calibri"/>
          <w:sz w:val="22"/>
          <w:szCs w:val="22"/>
        </w:rPr>
        <w:t xml:space="preserve"> (žr. 5.1 skyrių) metu 88 % visų pacientų SSH kiekis pradinio įvertinimo metu buvo 0,5 </w:t>
      </w:r>
      <w:proofErr w:type="spellStart"/>
      <w:r w:rsidRPr="004F572A">
        <w:rPr>
          <w:rFonts w:eastAsia="Calibri"/>
          <w:sz w:val="22"/>
          <w:szCs w:val="22"/>
        </w:rPr>
        <w:t>mU</w:t>
      </w:r>
      <w:proofErr w:type="spellEnd"/>
      <w:r w:rsidRPr="004F572A">
        <w:rPr>
          <w:rFonts w:eastAsia="Calibri"/>
          <w:sz w:val="22"/>
          <w:szCs w:val="22"/>
        </w:rPr>
        <w:t>/l arba mažesnis. Tokiems pacientams, kurių SSH pradinio įvertinimo metu buvo normalus, SSH padidėjimas virš 0,5 </w:t>
      </w:r>
      <w:proofErr w:type="spellStart"/>
      <w:r w:rsidRPr="004F572A">
        <w:rPr>
          <w:rFonts w:eastAsia="Calibri"/>
          <w:sz w:val="22"/>
          <w:szCs w:val="22"/>
        </w:rPr>
        <w:t>mU</w:t>
      </w:r>
      <w:proofErr w:type="spellEnd"/>
      <w:r w:rsidRPr="004F572A">
        <w:rPr>
          <w:rFonts w:eastAsia="Calibri"/>
          <w:sz w:val="22"/>
          <w:szCs w:val="22"/>
        </w:rPr>
        <w:t xml:space="preserve">/l </w:t>
      </w:r>
      <w:r w:rsidR="001D219E">
        <w:rPr>
          <w:rFonts w:eastAsia="Calibri"/>
          <w:sz w:val="22"/>
          <w:szCs w:val="22"/>
        </w:rPr>
        <w:t xml:space="preserve">po pradinio įvertinimo </w:t>
      </w:r>
      <w:r w:rsidRPr="004F572A">
        <w:rPr>
          <w:rFonts w:eastAsia="Calibri"/>
          <w:sz w:val="22"/>
          <w:szCs w:val="22"/>
        </w:rPr>
        <w:t xml:space="preserve">nustatytas 57 % </w:t>
      </w:r>
      <w:proofErr w:type="spellStart"/>
      <w:r w:rsidRPr="004F572A">
        <w:rPr>
          <w:rFonts w:eastAsia="Calibri"/>
          <w:sz w:val="22"/>
          <w:szCs w:val="22"/>
        </w:rPr>
        <w:t>lenvatinibu</w:t>
      </w:r>
      <w:proofErr w:type="spellEnd"/>
      <w:r w:rsidRPr="004F572A">
        <w:rPr>
          <w:rFonts w:eastAsia="Calibri"/>
          <w:sz w:val="22"/>
          <w:szCs w:val="22"/>
        </w:rPr>
        <w:t xml:space="preserve"> gydytų pacientų ir 14 % placeb</w:t>
      </w:r>
      <w:r w:rsidR="001D219E">
        <w:rPr>
          <w:rFonts w:eastAsia="Calibri"/>
          <w:sz w:val="22"/>
          <w:szCs w:val="22"/>
        </w:rPr>
        <w:t>u g</w:t>
      </w:r>
      <w:r w:rsidR="00D63E87">
        <w:rPr>
          <w:rFonts w:eastAsia="Calibri"/>
          <w:sz w:val="22"/>
          <w:szCs w:val="22"/>
        </w:rPr>
        <w:t>y</w:t>
      </w:r>
      <w:r w:rsidR="001D219E">
        <w:rPr>
          <w:rFonts w:eastAsia="Calibri"/>
          <w:sz w:val="22"/>
          <w:szCs w:val="22"/>
        </w:rPr>
        <w:t>dytų</w:t>
      </w:r>
      <w:r w:rsidRPr="004F572A">
        <w:rPr>
          <w:rFonts w:eastAsia="Calibri"/>
          <w:sz w:val="22"/>
          <w:szCs w:val="22"/>
        </w:rPr>
        <w:t xml:space="preserve"> pacientų.</w:t>
      </w:r>
    </w:p>
    <w:p w14:paraId="7315C532" w14:textId="77777777" w:rsidR="008A7B1F" w:rsidRPr="004F572A" w:rsidRDefault="008A7B1F" w:rsidP="008A7B1F">
      <w:pPr>
        <w:widowControl w:val="0"/>
        <w:tabs>
          <w:tab w:val="clear" w:pos="567"/>
        </w:tabs>
        <w:rPr>
          <w:rFonts w:eastAsia="Calibri"/>
          <w:i/>
          <w:iCs/>
          <w:sz w:val="22"/>
          <w:szCs w:val="22"/>
        </w:rPr>
      </w:pPr>
    </w:p>
    <w:p w14:paraId="51BA4331" w14:textId="7BFB4F15" w:rsidR="008A7B1F" w:rsidRPr="004F572A" w:rsidRDefault="008A7B1F" w:rsidP="008A7B1F">
      <w:pPr>
        <w:widowControl w:val="0"/>
        <w:tabs>
          <w:tab w:val="clear" w:pos="567"/>
        </w:tabs>
        <w:rPr>
          <w:rFonts w:eastAsia="Calibri"/>
          <w:i/>
          <w:iCs/>
          <w:sz w:val="22"/>
          <w:szCs w:val="22"/>
        </w:rPr>
      </w:pPr>
      <w:r w:rsidRPr="004F572A">
        <w:rPr>
          <w:rFonts w:eastAsia="Calibri"/>
          <w:i/>
          <w:iCs/>
          <w:sz w:val="22"/>
          <w:szCs w:val="22"/>
        </w:rPr>
        <w:t>HCK</w:t>
      </w:r>
    </w:p>
    <w:p w14:paraId="66EE8DB4" w14:textId="77777777" w:rsidR="008A7B1F" w:rsidRPr="004F572A" w:rsidRDefault="008A7B1F" w:rsidP="008A7B1F">
      <w:pPr>
        <w:widowControl w:val="0"/>
        <w:tabs>
          <w:tab w:val="clear" w:pos="567"/>
        </w:tabs>
        <w:rPr>
          <w:rFonts w:eastAsia="Calibri"/>
          <w:sz w:val="22"/>
          <w:szCs w:val="22"/>
        </w:rPr>
      </w:pPr>
    </w:p>
    <w:p w14:paraId="33E9DBC7" w14:textId="65A09769" w:rsidR="00146EA8" w:rsidRPr="004F572A" w:rsidRDefault="008A7B1F" w:rsidP="008A7B1F">
      <w:pPr>
        <w:widowControl w:val="0"/>
        <w:tabs>
          <w:tab w:val="clear" w:pos="567"/>
        </w:tabs>
        <w:rPr>
          <w:rFonts w:eastAsia="Calibri"/>
          <w:sz w:val="22"/>
          <w:szCs w:val="22"/>
        </w:rPr>
      </w:pPr>
      <w:r w:rsidRPr="004F572A">
        <w:rPr>
          <w:rFonts w:eastAsia="Calibri"/>
          <w:sz w:val="22"/>
          <w:szCs w:val="22"/>
        </w:rPr>
        <w:lastRenderedPageBreak/>
        <w:t>3</w:t>
      </w:r>
      <w:r w:rsidR="00D53FC3">
        <w:rPr>
          <w:rFonts w:eastAsia="Calibri"/>
          <w:sz w:val="22"/>
          <w:szCs w:val="22"/>
        </w:rPr>
        <w:t> </w:t>
      </w:r>
      <w:r w:rsidRPr="004F572A">
        <w:rPr>
          <w:rFonts w:eastAsia="Calibri"/>
          <w:sz w:val="22"/>
          <w:szCs w:val="22"/>
        </w:rPr>
        <w:t>fazės REFLECT tyrim</w:t>
      </w:r>
      <w:r w:rsidR="001D219E">
        <w:rPr>
          <w:rFonts w:eastAsia="Calibri"/>
          <w:sz w:val="22"/>
          <w:szCs w:val="22"/>
        </w:rPr>
        <w:t>e</w:t>
      </w:r>
      <w:r w:rsidRPr="004F572A">
        <w:rPr>
          <w:rFonts w:eastAsia="Calibri"/>
          <w:sz w:val="22"/>
          <w:szCs w:val="22"/>
        </w:rPr>
        <w:t xml:space="preserve"> (žr. 5.1 skyrių) 89,6 % pacientų </w:t>
      </w:r>
      <w:r w:rsidR="00952018" w:rsidRPr="004F572A">
        <w:rPr>
          <w:rFonts w:eastAsia="Calibri"/>
          <w:sz w:val="22"/>
          <w:szCs w:val="22"/>
        </w:rPr>
        <w:t>gydym</w:t>
      </w:r>
      <w:r w:rsidR="001D219E">
        <w:rPr>
          <w:rFonts w:eastAsia="Calibri"/>
          <w:sz w:val="22"/>
          <w:szCs w:val="22"/>
        </w:rPr>
        <w:t>o pradžioje</w:t>
      </w:r>
      <w:r w:rsidRPr="004F572A">
        <w:rPr>
          <w:rFonts w:eastAsia="Calibri"/>
          <w:sz w:val="22"/>
          <w:szCs w:val="22"/>
        </w:rPr>
        <w:t xml:space="preserve"> </w:t>
      </w:r>
      <w:r w:rsidR="00952018" w:rsidRPr="004F572A">
        <w:rPr>
          <w:rFonts w:eastAsia="Calibri"/>
          <w:sz w:val="22"/>
          <w:szCs w:val="22"/>
        </w:rPr>
        <w:t>S</w:t>
      </w:r>
      <w:r w:rsidRPr="004F572A">
        <w:rPr>
          <w:rFonts w:eastAsia="Calibri"/>
          <w:sz w:val="22"/>
          <w:szCs w:val="22"/>
        </w:rPr>
        <w:t xml:space="preserve">SH kiekis buvo mažesnis už viršutinę normos ribą. </w:t>
      </w:r>
      <w:r w:rsidR="001D219E">
        <w:rPr>
          <w:rFonts w:eastAsia="Calibri"/>
          <w:sz w:val="22"/>
          <w:szCs w:val="22"/>
        </w:rPr>
        <w:t>Pradėjus gydymą</w:t>
      </w:r>
      <w:r w:rsidRPr="004F572A">
        <w:rPr>
          <w:rFonts w:eastAsia="Calibri"/>
          <w:sz w:val="22"/>
          <w:szCs w:val="22"/>
        </w:rPr>
        <w:t xml:space="preserve"> </w:t>
      </w:r>
      <w:r w:rsidR="00952018" w:rsidRPr="004F572A">
        <w:rPr>
          <w:rFonts w:eastAsia="Calibri"/>
          <w:sz w:val="22"/>
          <w:szCs w:val="22"/>
        </w:rPr>
        <w:t>S</w:t>
      </w:r>
      <w:r w:rsidRPr="004F572A">
        <w:rPr>
          <w:rFonts w:eastAsia="Calibri"/>
          <w:sz w:val="22"/>
          <w:szCs w:val="22"/>
        </w:rPr>
        <w:t xml:space="preserve">SH kiekio padidėjimas virš viršutinės normos ribos </w:t>
      </w:r>
      <w:r w:rsidR="00952018" w:rsidRPr="004F572A">
        <w:rPr>
          <w:rFonts w:eastAsia="Calibri"/>
          <w:sz w:val="22"/>
          <w:szCs w:val="22"/>
        </w:rPr>
        <w:t xml:space="preserve">buvo </w:t>
      </w:r>
      <w:r w:rsidR="001D219E">
        <w:rPr>
          <w:rFonts w:eastAsia="Calibri"/>
          <w:sz w:val="22"/>
          <w:szCs w:val="22"/>
        </w:rPr>
        <w:t>užregistruotas</w:t>
      </w:r>
      <w:r w:rsidRPr="004F572A">
        <w:rPr>
          <w:rFonts w:eastAsia="Calibri"/>
          <w:sz w:val="22"/>
          <w:szCs w:val="22"/>
        </w:rPr>
        <w:t xml:space="preserve"> 69,6</w:t>
      </w:r>
      <w:r w:rsidR="00952018" w:rsidRPr="004F572A">
        <w:rPr>
          <w:rFonts w:eastAsia="Calibri"/>
          <w:sz w:val="22"/>
          <w:szCs w:val="22"/>
        </w:rPr>
        <w:t> </w:t>
      </w:r>
      <w:r w:rsidRPr="004F572A">
        <w:rPr>
          <w:rFonts w:eastAsia="Calibri"/>
          <w:sz w:val="22"/>
          <w:szCs w:val="22"/>
        </w:rPr>
        <w:t xml:space="preserve">% </w:t>
      </w:r>
      <w:proofErr w:type="spellStart"/>
      <w:r w:rsidRPr="004F572A">
        <w:rPr>
          <w:rFonts w:eastAsia="Calibri"/>
          <w:sz w:val="22"/>
          <w:szCs w:val="22"/>
        </w:rPr>
        <w:t>lenvatinibu</w:t>
      </w:r>
      <w:proofErr w:type="spellEnd"/>
      <w:r w:rsidRPr="004F572A">
        <w:rPr>
          <w:rFonts w:eastAsia="Calibri"/>
          <w:sz w:val="22"/>
          <w:szCs w:val="22"/>
        </w:rPr>
        <w:t xml:space="preserve"> gyd</w:t>
      </w:r>
      <w:r w:rsidR="001D219E">
        <w:rPr>
          <w:rFonts w:eastAsia="Calibri"/>
          <w:sz w:val="22"/>
          <w:szCs w:val="22"/>
        </w:rPr>
        <w:t>ytų</w:t>
      </w:r>
      <w:r w:rsidRPr="004F572A">
        <w:rPr>
          <w:rFonts w:eastAsia="Calibri"/>
          <w:sz w:val="22"/>
          <w:szCs w:val="22"/>
        </w:rPr>
        <w:t xml:space="preserve"> pacientų</w:t>
      </w:r>
      <w:r w:rsidR="001D219E">
        <w:rPr>
          <w:rFonts w:eastAsia="Calibri"/>
          <w:sz w:val="22"/>
          <w:szCs w:val="22"/>
        </w:rPr>
        <w:t>.</w:t>
      </w:r>
    </w:p>
    <w:p w14:paraId="191C4A6E" w14:textId="77777777" w:rsidR="00146EA8" w:rsidRPr="004F572A" w:rsidRDefault="00146EA8" w:rsidP="000928CA">
      <w:pPr>
        <w:widowControl w:val="0"/>
        <w:tabs>
          <w:tab w:val="clear" w:pos="567"/>
        </w:tabs>
        <w:rPr>
          <w:rFonts w:eastAsia="Calibri"/>
          <w:sz w:val="22"/>
          <w:szCs w:val="22"/>
        </w:rPr>
      </w:pPr>
    </w:p>
    <w:p w14:paraId="19AC45CF" w14:textId="0CC37309" w:rsidR="00146EA8" w:rsidRPr="004F572A" w:rsidRDefault="00952018" w:rsidP="000928CA">
      <w:pPr>
        <w:widowControl w:val="0"/>
        <w:tabs>
          <w:tab w:val="clear" w:pos="567"/>
        </w:tabs>
        <w:rPr>
          <w:rFonts w:eastAsia="Calibri"/>
          <w:i/>
          <w:iCs/>
          <w:sz w:val="22"/>
          <w:szCs w:val="22"/>
        </w:rPr>
      </w:pPr>
      <w:r w:rsidRPr="004F572A">
        <w:rPr>
          <w:rFonts w:eastAsia="Calibri"/>
          <w:i/>
          <w:iCs/>
          <w:sz w:val="22"/>
          <w:szCs w:val="22"/>
        </w:rPr>
        <w:t>EK</w:t>
      </w:r>
    </w:p>
    <w:p w14:paraId="4D9694F6" w14:textId="77777777" w:rsidR="00146EA8" w:rsidRPr="004F572A" w:rsidRDefault="00146EA8" w:rsidP="000928CA">
      <w:pPr>
        <w:widowControl w:val="0"/>
        <w:tabs>
          <w:tab w:val="clear" w:pos="567"/>
        </w:tabs>
        <w:rPr>
          <w:rFonts w:eastAsia="Calibri"/>
          <w:sz w:val="22"/>
          <w:szCs w:val="22"/>
        </w:rPr>
      </w:pPr>
    </w:p>
    <w:p w14:paraId="619E2870" w14:textId="3ECE304E" w:rsidR="00146EA8" w:rsidRPr="004F572A" w:rsidRDefault="00952018" w:rsidP="00952018">
      <w:pPr>
        <w:widowControl w:val="0"/>
        <w:tabs>
          <w:tab w:val="clear" w:pos="567"/>
        </w:tabs>
        <w:rPr>
          <w:rFonts w:eastAsia="Calibri"/>
          <w:sz w:val="22"/>
          <w:szCs w:val="22"/>
        </w:rPr>
      </w:pPr>
      <w:r w:rsidRPr="004F572A">
        <w:rPr>
          <w:rFonts w:eastAsia="Calibri"/>
          <w:sz w:val="22"/>
          <w:szCs w:val="22"/>
        </w:rPr>
        <w:t>3</w:t>
      </w:r>
      <w:r w:rsidR="00D53FC3">
        <w:rPr>
          <w:rFonts w:eastAsia="Calibri"/>
          <w:sz w:val="22"/>
          <w:szCs w:val="22"/>
        </w:rPr>
        <w:t> </w:t>
      </w:r>
      <w:r w:rsidRPr="004F572A">
        <w:rPr>
          <w:rFonts w:eastAsia="Calibri"/>
          <w:sz w:val="22"/>
          <w:szCs w:val="22"/>
        </w:rPr>
        <w:t>fazės 309 tyrim</w:t>
      </w:r>
      <w:r w:rsidR="001D219E">
        <w:rPr>
          <w:rFonts w:eastAsia="Calibri"/>
          <w:sz w:val="22"/>
          <w:szCs w:val="22"/>
        </w:rPr>
        <w:t>e</w:t>
      </w:r>
      <w:r w:rsidRPr="004F572A">
        <w:rPr>
          <w:rFonts w:eastAsia="Calibri"/>
          <w:sz w:val="22"/>
          <w:szCs w:val="22"/>
        </w:rPr>
        <w:t xml:space="preserve"> (žr. 5.1 skyrių) apie </w:t>
      </w:r>
      <w:proofErr w:type="spellStart"/>
      <w:r w:rsidRPr="004F572A">
        <w:rPr>
          <w:rFonts w:eastAsia="Calibri"/>
          <w:sz w:val="22"/>
          <w:szCs w:val="22"/>
        </w:rPr>
        <w:t>hipotiro</w:t>
      </w:r>
      <w:r w:rsidR="00B83E94" w:rsidRPr="004F572A">
        <w:rPr>
          <w:rFonts w:eastAsia="Calibri"/>
          <w:sz w:val="22"/>
          <w:szCs w:val="22"/>
        </w:rPr>
        <w:t>zę</w:t>
      </w:r>
      <w:proofErr w:type="spellEnd"/>
      <w:r w:rsidRPr="004F572A">
        <w:rPr>
          <w:rFonts w:eastAsia="Calibri"/>
          <w:sz w:val="22"/>
          <w:szCs w:val="22"/>
        </w:rPr>
        <w:t xml:space="preserve"> pranešta 68,2 % </w:t>
      </w:r>
      <w:proofErr w:type="spellStart"/>
      <w:r w:rsidRPr="004F572A">
        <w:rPr>
          <w:rFonts w:eastAsia="Calibri"/>
          <w:sz w:val="22"/>
          <w:szCs w:val="22"/>
        </w:rPr>
        <w:t>lenvatinibo</w:t>
      </w:r>
      <w:proofErr w:type="spellEnd"/>
      <w:r w:rsidRPr="004F572A">
        <w:rPr>
          <w:rFonts w:eastAsia="Calibri"/>
          <w:sz w:val="22"/>
          <w:szCs w:val="22"/>
        </w:rPr>
        <w:t xml:space="preserve"> ir </w:t>
      </w:r>
      <w:proofErr w:type="spellStart"/>
      <w:r w:rsidRPr="004F572A">
        <w:rPr>
          <w:rFonts w:eastAsia="Calibri"/>
          <w:sz w:val="22"/>
          <w:szCs w:val="22"/>
        </w:rPr>
        <w:t>pembrolizumabo</w:t>
      </w:r>
      <w:proofErr w:type="spellEnd"/>
      <w:r w:rsidRPr="004F572A">
        <w:rPr>
          <w:rFonts w:eastAsia="Calibri"/>
          <w:sz w:val="22"/>
          <w:szCs w:val="22"/>
        </w:rPr>
        <w:t xml:space="preserve"> deriniu gydytų pacientų, </w:t>
      </w:r>
      <w:r w:rsidR="001D219E">
        <w:rPr>
          <w:rFonts w:eastAsia="Calibri"/>
          <w:sz w:val="22"/>
          <w:szCs w:val="22"/>
        </w:rPr>
        <w:t>o</w:t>
      </w:r>
      <w:r w:rsidRPr="004F572A">
        <w:rPr>
          <w:rFonts w:eastAsia="Calibri"/>
          <w:sz w:val="22"/>
          <w:szCs w:val="22"/>
        </w:rPr>
        <w:t xml:space="preserve"> ≥</w:t>
      </w:r>
      <w:r w:rsidR="00D53FC3">
        <w:rPr>
          <w:rFonts w:eastAsia="Calibri"/>
          <w:sz w:val="22"/>
          <w:szCs w:val="22"/>
        </w:rPr>
        <w:t> </w:t>
      </w:r>
      <w:r w:rsidRPr="004F572A">
        <w:rPr>
          <w:rFonts w:eastAsia="Calibri"/>
          <w:sz w:val="22"/>
          <w:szCs w:val="22"/>
        </w:rPr>
        <w:t>3</w:t>
      </w:r>
      <w:r w:rsidR="00D53FC3">
        <w:rPr>
          <w:rFonts w:eastAsia="Calibri"/>
          <w:sz w:val="22"/>
          <w:szCs w:val="22"/>
        </w:rPr>
        <w:t> </w:t>
      </w:r>
      <w:r w:rsidRPr="004F572A">
        <w:rPr>
          <w:rFonts w:eastAsia="Calibri"/>
          <w:sz w:val="22"/>
          <w:szCs w:val="22"/>
        </w:rPr>
        <w:t>laipsnio reakcij</w:t>
      </w:r>
      <w:r w:rsidR="001D219E">
        <w:rPr>
          <w:rFonts w:eastAsia="Calibri"/>
          <w:sz w:val="22"/>
          <w:szCs w:val="22"/>
        </w:rPr>
        <w:t>ų pasireiškė</w:t>
      </w:r>
      <w:r w:rsidRPr="004F572A">
        <w:rPr>
          <w:rFonts w:eastAsia="Calibri"/>
          <w:sz w:val="22"/>
          <w:szCs w:val="22"/>
        </w:rPr>
        <w:t xml:space="preserve"> 1,2 % pacientų. Vidutinis laikas iki pradžios buvo 62,0</w:t>
      </w:r>
      <w:r w:rsidR="00D53FC3">
        <w:rPr>
          <w:rFonts w:eastAsia="Calibri"/>
          <w:sz w:val="22"/>
          <w:szCs w:val="22"/>
        </w:rPr>
        <w:t> </w:t>
      </w:r>
      <w:r w:rsidRPr="004F572A">
        <w:rPr>
          <w:rFonts w:eastAsia="Calibri"/>
          <w:sz w:val="22"/>
          <w:szCs w:val="22"/>
        </w:rPr>
        <w:t xml:space="preserve">dienos. </w:t>
      </w:r>
      <w:proofErr w:type="spellStart"/>
      <w:r w:rsidRPr="004F572A">
        <w:rPr>
          <w:rFonts w:eastAsia="Calibri"/>
          <w:sz w:val="22"/>
          <w:szCs w:val="22"/>
        </w:rPr>
        <w:t>Lenvatinibo</w:t>
      </w:r>
      <w:proofErr w:type="spellEnd"/>
      <w:r w:rsidRPr="004F572A">
        <w:rPr>
          <w:rFonts w:eastAsia="Calibri"/>
          <w:sz w:val="22"/>
          <w:szCs w:val="22"/>
        </w:rPr>
        <w:t xml:space="preserve"> dozės vartojimą </w:t>
      </w:r>
      <w:r w:rsidR="001D219E">
        <w:rPr>
          <w:rFonts w:eastAsia="Calibri"/>
          <w:sz w:val="22"/>
          <w:szCs w:val="22"/>
        </w:rPr>
        <w:t>laikinai sustabdė</w:t>
      </w:r>
      <w:r w:rsidRPr="004F572A">
        <w:rPr>
          <w:rFonts w:eastAsia="Calibri"/>
          <w:sz w:val="22"/>
          <w:szCs w:val="22"/>
        </w:rPr>
        <w:t xml:space="preserve"> ir sumažino atitinkamai 2,2 % ir 0,7 % pacientų.</w:t>
      </w:r>
    </w:p>
    <w:p w14:paraId="1DD115C2" w14:textId="77777777" w:rsidR="00146EA8" w:rsidRPr="004F572A" w:rsidRDefault="00146EA8" w:rsidP="000928CA">
      <w:pPr>
        <w:widowControl w:val="0"/>
        <w:tabs>
          <w:tab w:val="clear" w:pos="567"/>
        </w:tabs>
        <w:rPr>
          <w:rFonts w:eastAsia="Calibri"/>
          <w:sz w:val="22"/>
          <w:szCs w:val="22"/>
        </w:rPr>
      </w:pPr>
    </w:p>
    <w:p w14:paraId="05088AB0" w14:textId="14C93FCC" w:rsidR="00952018" w:rsidRPr="004F572A" w:rsidRDefault="00952018" w:rsidP="00952018">
      <w:pPr>
        <w:widowControl w:val="0"/>
        <w:tabs>
          <w:tab w:val="clear" w:pos="567"/>
        </w:tabs>
        <w:rPr>
          <w:rFonts w:eastAsia="Calibri"/>
          <w:sz w:val="22"/>
          <w:szCs w:val="22"/>
        </w:rPr>
      </w:pPr>
      <w:r w:rsidRPr="004F572A">
        <w:rPr>
          <w:rFonts w:eastAsia="Calibri"/>
          <w:sz w:val="22"/>
          <w:szCs w:val="22"/>
        </w:rPr>
        <w:t xml:space="preserve">Buvo pranešta apie padidėjusį </w:t>
      </w:r>
      <w:r w:rsidR="00D8302E" w:rsidRPr="004F572A">
        <w:rPr>
          <w:rFonts w:eastAsia="Calibri"/>
          <w:sz w:val="22"/>
          <w:szCs w:val="22"/>
        </w:rPr>
        <w:t>S</w:t>
      </w:r>
      <w:r w:rsidRPr="004F572A">
        <w:rPr>
          <w:rFonts w:eastAsia="Calibri"/>
          <w:sz w:val="22"/>
          <w:szCs w:val="22"/>
        </w:rPr>
        <w:t>SH kiekį 12,8</w:t>
      </w:r>
      <w:r w:rsidR="00D53FC3">
        <w:rPr>
          <w:rFonts w:eastAsia="Calibri"/>
          <w:sz w:val="22"/>
          <w:szCs w:val="22"/>
        </w:rPr>
        <w:t> </w:t>
      </w:r>
      <w:r w:rsidRPr="004F572A">
        <w:rPr>
          <w:rFonts w:eastAsia="Calibri"/>
          <w:sz w:val="22"/>
          <w:szCs w:val="22"/>
        </w:rPr>
        <w:t xml:space="preserve">% </w:t>
      </w:r>
      <w:proofErr w:type="spellStart"/>
      <w:r w:rsidRPr="004F572A">
        <w:rPr>
          <w:rFonts w:eastAsia="Calibri"/>
          <w:sz w:val="22"/>
          <w:szCs w:val="22"/>
        </w:rPr>
        <w:t>lenvatinibo</w:t>
      </w:r>
      <w:proofErr w:type="spellEnd"/>
      <w:r w:rsidRPr="004F572A">
        <w:rPr>
          <w:rFonts w:eastAsia="Calibri"/>
          <w:sz w:val="22"/>
          <w:szCs w:val="22"/>
        </w:rPr>
        <w:t xml:space="preserve"> ir </w:t>
      </w:r>
      <w:proofErr w:type="spellStart"/>
      <w:r w:rsidRPr="004F572A">
        <w:rPr>
          <w:rFonts w:eastAsia="Calibri"/>
          <w:sz w:val="22"/>
          <w:szCs w:val="22"/>
        </w:rPr>
        <w:t>pembrolizumabo</w:t>
      </w:r>
      <w:proofErr w:type="spellEnd"/>
      <w:r w:rsidRPr="004F572A">
        <w:rPr>
          <w:rFonts w:eastAsia="Calibri"/>
          <w:sz w:val="22"/>
          <w:szCs w:val="22"/>
        </w:rPr>
        <w:t xml:space="preserve"> </w:t>
      </w:r>
      <w:r w:rsidR="00D8302E" w:rsidRPr="004F572A">
        <w:rPr>
          <w:rFonts w:eastAsia="Calibri"/>
          <w:sz w:val="22"/>
          <w:szCs w:val="22"/>
        </w:rPr>
        <w:t xml:space="preserve">deriniu </w:t>
      </w:r>
      <w:r w:rsidRPr="004F572A">
        <w:rPr>
          <w:rFonts w:eastAsia="Calibri"/>
          <w:sz w:val="22"/>
          <w:szCs w:val="22"/>
        </w:rPr>
        <w:t>gydytų pacientų</w:t>
      </w:r>
      <w:r w:rsidR="001D219E">
        <w:rPr>
          <w:rFonts w:eastAsia="Calibri"/>
          <w:sz w:val="22"/>
          <w:szCs w:val="22"/>
        </w:rPr>
        <w:t>, o</w:t>
      </w:r>
      <w:r w:rsidR="00D8302E" w:rsidRPr="004F572A">
        <w:rPr>
          <w:rFonts w:eastAsia="Calibri"/>
          <w:sz w:val="22"/>
          <w:szCs w:val="22"/>
        </w:rPr>
        <w:t xml:space="preserve"> pranešimų apie ≥</w:t>
      </w:r>
      <w:r w:rsidR="00D53FC3">
        <w:rPr>
          <w:rFonts w:eastAsia="Calibri"/>
          <w:sz w:val="22"/>
          <w:szCs w:val="22"/>
        </w:rPr>
        <w:t> </w:t>
      </w:r>
      <w:r w:rsidR="00D8302E" w:rsidRPr="004F572A">
        <w:rPr>
          <w:rFonts w:eastAsia="Calibri"/>
          <w:sz w:val="22"/>
          <w:szCs w:val="22"/>
        </w:rPr>
        <w:t>3</w:t>
      </w:r>
      <w:r w:rsidR="00D53FC3">
        <w:rPr>
          <w:rFonts w:eastAsia="Calibri"/>
          <w:sz w:val="22"/>
          <w:szCs w:val="22"/>
        </w:rPr>
        <w:t> </w:t>
      </w:r>
      <w:r w:rsidR="00D8302E" w:rsidRPr="004F572A">
        <w:rPr>
          <w:rFonts w:eastAsia="Calibri"/>
          <w:sz w:val="22"/>
          <w:szCs w:val="22"/>
        </w:rPr>
        <w:t>laipsnio reakcijas nebuvo.</w:t>
      </w:r>
      <w:r w:rsidRPr="004F572A">
        <w:rPr>
          <w:rFonts w:eastAsia="Calibri"/>
          <w:sz w:val="22"/>
          <w:szCs w:val="22"/>
        </w:rPr>
        <w:t xml:space="preserve"> Do</w:t>
      </w:r>
      <w:r w:rsidR="00D8302E" w:rsidRPr="004F572A">
        <w:rPr>
          <w:rFonts w:eastAsia="Calibri"/>
          <w:sz w:val="22"/>
          <w:szCs w:val="22"/>
        </w:rPr>
        <w:t xml:space="preserve">zės vartojimą </w:t>
      </w:r>
      <w:r w:rsidR="001D219E">
        <w:rPr>
          <w:rFonts w:eastAsia="Calibri"/>
          <w:sz w:val="22"/>
          <w:szCs w:val="22"/>
        </w:rPr>
        <w:t>laikinai sustabdė</w:t>
      </w:r>
      <w:r w:rsidRPr="004F572A">
        <w:rPr>
          <w:rFonts w:eastAsia="Calibri"/>
          <w:sz w:val="22"/>
          <w:szCs w:val="22"/>
        </w:rPr>
        <w:t xml:space="preserve"> 0,2</w:t>
      </w:r>
      <w:r w:rsidR="00D8302E" w:rsidRPr="004F572A">
        <w:rPr>
          <w:rFonts w:eastAsia="Calibri"/>
          <w:sz w:val="22"/>
          <w:szCs w:val="22"/>
        </w:rPr>
        <w:t> </w:t>
      </w:r>
      <w:r w:rsidRPr="004F572A">
        <w:rPr>
          <w:rFonts w:eastAsia="Calibri"/>
          <w:sz w:val="22"/>
          <w:szCs w:val="22"/>
        </w:rPr>
        <w:t>% pacientų.</w:t>
      </w:r>
    </w:p>
    <w:p w14:paraId="6D796058" w14:textId="77777777" w:rsidR="00D8302E" w:rsidRPr="004F572A" w:rsidRDefault="00D8302E" w:rsidP="00952018">
      <w:pPr>
        <w:widowControl w:val="0"/>
        <w:tabs>
          <w:tab w:val="clear" w:pos="567"/>
        </w:tabs>
        <w:rPr>
          <w:rFonts w:eastAsia="Calibri"/>
          <w:i/>
          <w:iCs/>
          <w:sz w:val="22"/>
          <w:szCs w:val="22"/>
        </w:rPr>
      </w:pPr>
    </w:p>
    <w:p w14:paraId="7560A9BE" w14:textId="77777777" w:rsidR="00D8302E" w:rsidRPr="004F572A" w:rsidRDefault="00952018" w:rsidP="00952018">
      <w:pPr>
        <w:widowControl w:val="0"/>
        <w:tabs>
          <w:tab w:val="clear" w:pos="567"/>
        </w:tabs>
        <w:rPr>
          <w:rFonts w:eastAsia="Calibri"/>
          <w:i/>
          <w:iCs/>
          <w:sz w:val="22"/>
          <w:szCs w:val="22"/>
          <w:u w:val="single"/>
        </w:rPr>
      </w:pPr>
      <w:r w:rsidRPr="004F572A">
        <w:rPr>
          <w:rFonts w:eastAsia="Calibri"/>
          <w:i/>
          <w:iCs/>
          <w:sz w:val="22"/>
          <w:szCs w:val="22"/>
          <w:u w:val="single"/>
        </w:rPr>
        <w:t xml:space="preserve">Viduriavimas (žr. 4.4 skyrių) </w:t>
      </w:r>
    </w:p>
    <w:p w14:paraId="3CD1D3E3" w14:textId="77777777" w:rsidR="00D8302E" w:rsidRPr="004F572A" w:rsidRDefault="00D8302E" w:rsidP="00952018">
      <w:pPr>
        <w:widowControl w:val="0"/>
        <w:tabs>
          <w:tab w:val="clear" w:pos="567"/>
        </w:tabs>
        <w:rPr>
          <w:rFonts w:eastAsia="Calibri"/>
          <w:i/>
          <w:iCs/>
          <w:sz w:val="22"/>
          <w:szCs w:val="22"/>
        </w:rPr>
      </w:pPr>
    </w:p>
    <w:p w14:paraId="33BD22E8" w14:textId="185CD7DC" w:rsidR="00952018" w:rsidRPr="004F572A" w:rsidRDefault="00952018" w:rsidP="00952018">
      <w:pPr>
        <w:widowControl w:val="0"/>
        <w:tabs>
          <w:tab w:val="clear" w:pos="567"/>
        </w:tabs>
        <w:rPr>
          <w:rFonts w:eastAsia="Calibri"/>
          <w:i/>
          <w:iCs/>
          <w:sz w:val="22"/>
          <w:szCs w:val="22"/>
        </w:rPr>
      </w:pPr>
      <w:r w:rsidRPr="004F572A">
        <w:rPr>
          <w:rFonts w:eastAsia="Calibri"/>
          <w:i/>
          <w:iCs/>
          <w:sz w:val="22"/>
          <w:szCs w:val="22"/>
        </w:rPr>
        <w:t>DSK</w:t>
      </w:r>
    </w:p>
    <w:p w14:paraId="79F0F51F" w14:textId="734F0526" w:rsidR="00952018" w:rsidRPr="004F572A" w:rsidRDefault="00952018" w:rsidP="00952018">
      <w:pPr>
        <w:widowControl w:val="0"/>
        <w:tabs>
          <w:tab w:val="clear" w:pos="567"/>
        </w:tabs>
        <w:rPr>
          <w:rFonts w:eastAsia="Calibri"/>
          <w:sz w:val="22"/>
          <w:szCs w:val="22"/>
        </w:rPr>
      </w:pPr>
      <w:r w:rsidRPr="004F572A">
        <w:rPr>
          <w:rFonts w:eastAsia="Calibri"/>
          <w:sz w:val="22"/>
          <w:szCs w:val="22"/>
        </w:rPr>
        <w:t>Pagrindinio 3</w:t>
      </w:r>
      <w:r w:rsidR="00D53FC3">
        <w:rPr>
          <w:rFonts w:eastAsia="Calibri"/>
          <w:sz w:val="22"/>
          <w:szCs w:val="22"/>
        </w:rPr>
        <w:t> </w:t>
      </w:r>
      <w:r w:rsidRPr="004F572A">
        <w:rPr>
          <w:rFonts w:eastAsia="Calibri"/>
          <w:sz w:val="22"/>
          <w:szCs w:val="22"/>
        </w:rPr>
        <w:t xml:space="preserve">fazės </w:t>
      </w:r>
      <w:r w:rsidR="001D219E">
        <w:rPr>
          <w:rFonts w:eastAsia="Calibri"/>
          <w:sz w:val="22"/>
          <w:szCs w:val="22"/>
        </w:rPr>
        <w:t xml:space="preserve">tyrimo </w:t>
      </w:r>
      <w:r w:rsidRPr="004F572A">
        <w:rPr>
          <w:rFonts w:eastAsia="Calibri"/>
          <w:sz w:val="22"/>
          <w:szCs w:val="22"/>
        </w:rPr>
        <w:t xml:space="preserve">SELECT </w:t>
      </w:r>
      <w:r w:rsidR="001D219E">
        <w:rPr>
          <w:rFonts w:eastAsia="Calibri"/>
          <w:sz w:val="22"/>
          <w:szCs w:val="22"/>
        </w:rPr>
        <w:t>metu</w:t>
      </w:r>
      <w:r w:rsidR="0036796D" w:rsidRPr="004F572A">
        <w:rPr>
          <w:rFonts w:eastAsia="Calibri"/>
          <w:sz w:val="22"/>
          <w:szCs w:val="22"/>
        </w:rPr>
        <w:t xml:space="preserve"> (žr. 5.1 skyrių) viduriavim</w:t>
      </w:r>
      <w:r w:rsidR="001D219E">
        <w:rPr>
          <w:rFonts w:eastAsia="Calibri"/>
          <w:sz w:val="22"/>
          <w:szCs w:val="22"/>
        </w:rPr>
        <w:t>as pasireiškė</w:t>
      </w:r>
      <w:r w:rsidR="0036796D" w:rsidRPr="004F572A">
        <w:rPr>
          <w:rFonts w:eastAsia="Calibri"/>
          <w:sz w:val="22"/>
          <w:szCs w:val="22"/>
        </w:rPr>
        <w:t xml:space="preserve"> </w:t>
      </w:r>
      <w:r w:rsidRPr="004F572A">
        <w:rPr>
          <w:rFonts w:eastAsia="Calibri"/>
          <w:sz w:val="22"/>
          <w:szCs w:val="22"/>
        </w:rPr>
        <w:t>67,4</w:t>
      </w:r>
      <w:r w:rsidR="0036796D" w:rsidRPr="004F572A">
        <w:rPr>
          <w:rFonts w:eastAsia="Calibri"/>
          <w:sz w:val="22"/>
          <w:szCs w:val="22"/>
        </w:rPr>
        <w:t> </w:t>
      </w:r>
      <w:r w:rsidRPr="004F572A">
        <w:rPr>
          <w:rFonts w:eastAsia="Calibri"/>
          <w:sz w:val="22"/>
          <w:szCs w:val="22"/>
        </w:rPr>
        <w:t xml:space="preserve">% pacientų </w:t>
      </w:r>
      <w:proofErr w:type="spellStart"/>
      <w:r w:rsidRPr="004F572A">
        <w:rPr>
          <w:rFonts w:eastAsia="Calibri"/>
          <w:sz w:val="22"/>
          <w:szCs w:val="22"/>
        </w:rPr>
        <w:t>lenvatinibu</w:t>
      </w:r>
      <w:proofErr w:type="spellEnd"/>
      <w:r w:rsidRPr="004F572A">
        <w:rPr>
          <w:rFonts w:eastAsia="Calibri"/>
          <w:sz w:val="22"/>
          <w:szCs w:val="22"/>
        </w:rPr>
        <w:t xml:space="preserve"> gydytoje grupėje (9,2</w:t>
      </w:r>
      <w:r w:rsidR="0036796D" w:rsidRPr="004F572A">
        <w:rPr>
          <w:rFonts w:eastAsia="Calibri"/>
          <w:sz w:val="22"/>
          <w:szCs w:val="22"/>
        </w:rPr>
        <w:t> </w:t>
      </w:r>
      <w:r w:rsidRPr="004F572A">
        <w:rPr>
          <w:rFonts w:eastAsia="Calibri"/>
          <w:sz w:val="22"/>
          <w:szCs w:val="22"/>
        </w:rPr>
        <w:t>% buvo ≥</w:t>
      </w:r>
      <w:r w:rsidR="00D53FC3">
        <w:rPr>
          <w:rFonts w:eastAsia="Calibri"/>
          <w:sz w:val="22"/>
          <w:szCs w:val="22"/>
        </w:rPr>
        <w:t> </w:t>
      </w:r>
      <w:r w:rsidRPr="004F572A">
        <w:rPr>
          <w:rFonts w:eastAsia="Calibri"/>
          <w:sz w:val="22"/>
          <w:szCs w:val="22"/>
        </w:rPr>
        <w:t>3</w:t>
      </w:r>
      <w:r w:rsidR="00D53FC3">
        <w:rPr>
          <w:rFonts w:eastAsia="Calibri"/>
          <w:sz w:val="22"/>
          <w:szCs w:val="22"/>
        </w:rPr>
        <w:t> </w:t>
      </w:r>
      <w:r w:rsidRPr="004F572A">
        <w:rPr>
          <w:rFonts w:eastAsia="Calibri"/>
          <w:sz w:val="22"/>
          <w:szCs w:val="22"/>
        </w:rPr>
        <w:t>laipsnio) ir 16,8</w:t>
      </w:r>
      <w:r w:rsidR="0036796D" w:rsidRPr="004F572A">
        <w:rPr>
          <w:rFonts w:eastAsia="Calibri"/>
          <w:sz w:val="22"/>
          <w:szCs w:val="22"/>
        </w:rPr>
        <w:t> </w:t>
      </w:r>
      <w:r w:rsidRPr="004F572A">
        <w:rPr>
          <w:rFonts w:eastAsia="Calibri"/>
          <w:sz w:val="22"/>
          <w:szCs w:val="22"/>
        </w:rPr>
        <w:t>% pacientų placebo grupėje (nė vienas atvejis nebuvo ≥</w:t>
      </w:r>
      <w:r w:rsidR="00D53FC3">
        <w:rPr>
          <w:rFonts w:eastAsia="Calibri"/>
          <w:sz w:val="22"/>
          <w:szCs w:val="22"/>
        </w:rPr>
        <w:t> </w:t>
      </w:r>
      <w:r w:rsidRPr="004F572A">
        <w:rPr>
          <w:rFonts w:eastAsia="Calibri"/>
          <w:sz w:val="22"/>
          <w:szCs w:val="22"/>
        </w:rPr>
        <w:t>3</w:t>
      </w:r>
      <w:r w:rsidR="00D53FC3">
        <w:rPr>
          <w:rFonts w:eastAsia="Calibri"/>
          <w:sz w:val="22"/>
          <w:szCs w:val="22"/>
        </w:rPr>
        <w:noBreakHyphen/>
      </w:r>
      <w:r w:rsidR="0036796D" w:rsidRPr="004F572A">
        <w:rPr>
          <w:rFonts w:eastAsia="Calibri"/>
          <w:sz w:val="22"/>
          <w:szCs w:val="22"/>
        </w:rPr>
        <w:t>ojo</w:t>
      </w:r>
      <w:r w:rsidRPr="004F572A">
        <w:rPr>
          <w:rFonts w:eastAsia="Calibri"/>
          <w:sz w:val="22"/>
          <w:szCs w:val="22"/>
        </w:rPr>
        <w:t xml:space="preserve"> laipsnio).</w:t>
      </w:r>
    </w:p>
    <w:p w14:paraId="68540C44" w14:textId="77777777" w:rsidR="0036796D" w:rsidRPr="004F572A" w:rsidRDefault="0036796D" w:rsidP="00952018">
      <w:pPr>
        <w:widowControl w:val="0"/>
        <w:tabs>
          <w:tab w:val="clear" w:pos="567"/>
        </w:tabs>
        <w:rPr>
          <w:rFonts w:eastAsia="Calibri"/>
          <w:i/>
          <w:iCs/>
          <w:sz w:val="22"/>
          <w:szCs w:val="22"/>
        </w:rPr>
      </w:pPr>
    </w:p>
    <w:p w14:paraId="2BF8941C" w14:textId="42C05A46" w:rsidR="00952018" w:rsidRPr="004F572A" w:rsidRDefault="00952018" w:rsidP="00952018">
      <w:pPr>
        <w:widowControl w:val="0"/>
        <w:tabs>
          <w:tab w:val="clear" w:pos="567"/>
        </w:tabs>
        <w:rPr>
          <w:rFonts w:eastAsia="Calibri"/>
          <w:i/>
          <w:iCs/>
          <w:sz w:val="22"/>
          <w:szCs w:val="22"/>
        </w:rPr>
      </w:pPr>
      <w:r w:rsidRPr="004F572A">
        <w:rPr>
          <w:rFonts w:eastAsia="Calibri"/>
          <w:i/>
          <w:iCs/>
          <w:sz w:val="22"/>
          <w:szCs w:val="22"/>
        </w:rPr>
        <w:t>HCK</w:t>
      </w:r>
    </w:p>
    <w:p w14:paraId="492350AD" w14:textId="77777777" w:rsidR="0036796D" w:rsidRPr="004F572A" w:rsidRDefault="0036796D" w:rsidP="00952018">
      <w:pPr>
        <w:widowControl w:val="0"/>
        <w:tabs>
          <w:tab w:val="clear" w:pos="567"/>
        </w:tabs>
        <w:rPr>
          <w:rFonts w:eastAsia="Calibri"/>
          <w:i/>
          <w:iCs/>
          <w:sz w:val="22"/>
          <w:szCs w:val="22"/>
        </w:rPr>
      </w:pPr>
    </w:p>
    <w:p w14:paraId="7A56B4BC" w14:textId="28219BF2" w:rsidR="00952018" w:rsidRPr="004F572A" w:rsidRDefault="00952018" w:rsidP="00952018">
      <w:pPr>
        <w:widowControl w:val="0"/>
        <w:tabs>
          <w:tab w:val="clear" w:pos="567"/>
        </w:tabs>
        <w:rPr>
          <w:rFonts w:eastAsia="Calibri"/>
          <w:sz w:val="22"/>
          <w:szCs w:val="22"/>
        </w:rPr>
      </w:pPr>
      <w:r w:rsidRPr="004F572A">
        <w:rPr>
          <w:rFonts w:eastAsia="Calibri"/>
          <w:sz w:val="22"/>
          <w:szCs w:val="22"/>
        </w:rPr>
        <w:t>3</w:t>
      </w:r>
      <w:r w:rsidR="00D53FC3">
        <w:rPr>
          <w:rFonts w:eastAsia="Calibri"/>
          <w:sz w:val="22"/>
          <w:szCs w:val="22"/>
        </w:rPr>
        <w:t> </w:t>
      </w:r>
      <w:r w:rsidRPr="004F572A">
        <w:rPr>
          <w:rFonts w:eastAsia="Calibri"/>
          <w:sz w:val="22"/>
          <w:szCs w:val="22"/>
        </w:rPr>
        <w:t>fazės REFLECT tyrim</w:t>
      </w:r>
      <w:r w:rsidR="001D219E">
        <w:rPr>
          <w:rFonts w:eastAsia="Calibri"/>
          <w:sz w:val="22"/>
          <w:szCs w:val="22"/>
        </w:rPr>
        <w:t>e</w:t>
      </w:r>
      <w:r w:rsidRPr="004F572A">
        <w:rPr>
          <w:rFonts w:eastAsia="Calibri"/>
          <w:sz w:val="22"/>
          <w:szCs w:val="22"/>
        </w:rPr>
        <w:t xml:space="preserve"> (žr. 5.1 skyrių) </w:t>
      </w:r>
      <w:r w:rsidR="0036796D" w:rsidRPr="004F572A">
        <w:rPr>
          <w:rFonts w:eastAsia="Calibri"/>
          <w:sz w:val="22"/>
          <w:szCs w:val="22"/>
        </w:rPr>
        <w:t>viduriavim</w:t>
      </w:r>
      <w:r w:rsidR="001D219E">
        <w:rPr>
          <w:rFonts w:eastAsia="Calibri"/>
          <w:sz w:val="22"/>
          <w:szCs w:val="22"/>
        </w:rPr>
        <w:t>o epizodai buvo užregistruoti</w:t>
      </w:r>
      <w:r w:rsidR="0036796D" w:rsidRPr="004F572A">
        <w:rPr>
          <w:rFonts w:eastAsia="Calibri"/>
          <w:sz w:val="22"/>
          <w:szCs w:val="22"/>
        </w:rPr>
        <w:t xml:space="preserve"> </w:t>
      </w:r>
      <w:r w:rsidRPr="004F572A">
        <w:rPr>
          <w:rFonts w:eastAsia="Calibri"/>
          <w:sz w:val="22"/>
          <w:szCs w:val="22"/>
        </w:rPr>
        <w:t>38,7</w:t>
      </w:r>
      <w:r w:rsidR="0036796D" w:rsidRPr="004F572A">
        <w:rPr>
          <w:rFonts w:eastAsia="Calibri"/>
          <w:sz w:val="22"/>
          <w:szCs w:val="22"/>
        </w:rPr>
        <w:t> </w:t>
      </w:r>
      <w:r w:rsidRPr="004F572A">
        <w:rPr>
          <w:rFonts w:eastAsia="Calibri"/>
          <w:sz w:val="22"/>
          <w:szCs w:val="22"/>
        </w:rPr>
        <w:t xml:space="preserve">% </w:t>
      </w:r>
      <w:proofErr w:type="spellStart"/>
      <w:r w:rsidRPr="004F572A">
        <w:rPr>
          <w:rFonts w:eastAsia="Calibri"/>
          <w:sz w:val="22"/>
          <w:szCs w:val="22"/>
        </w:rPr>
        <w:t>lenvatinibu</w:t>
      </w:r>
      <w:proofErr w:type="spellEnd"/>
      <w:r w:rsidRPr="004F572A">
        <w:rPr>
          <w:rFonts w:eastAsia="Calibri"/>
          <w:sz w:val="22"/>
          <w:szCs w:val="22"/>
        </w:rPr>
        <w:t xml:space="preserve"> gydytų pacientų (4</w:t>
      </w:r>
      <w:r w:rsidR="0036796D" w:rsidRPr="004F572A">
        <w:rPr>
          <w:rFonts w:eastAsia="Calibri"/>
          <w:sz w:val="22"/>
          <w:szCs w:val="22"/>
        </w:rPr>
        <w:t>,</w:t>
      </w:r>
      <w:r w:rsidRPr="004F572A">
        <w:rPr>
          <w:rFonts w:eastAsia="Calibri"/>
          <w:sz w:val="22"/>
          <w:szCs w:val="22"/>
        </w:rPr>
        <w:t>2</w:t>
      </w:r>
      <w:r w:rsidR="00D53FC3">
        <w:rPr>
          <w:rFonts w:eastAsia="Calibri"/>
          <w:sz w:val="22"/>
          <w:szCs w:val="22"/>
        </w:rPr>
        <w:t> </w:t>
      </w:r>
      <w:r w:rsidRPr="004F572A">
        <w:rPr>
          <w:rFonts w:eastAsia="Calibri"/>
          <w:sz w:val="22"/>
          <w:szCs w:val="22"/>
        </w:rPr>
        <w:t>% iš jų buvo ≥</w:t>
      </w:r>
      <w:r w:rsidR="00D53FC3">
        <w:rPr>
          <w:rFonts w:eastAsia="Calibri"/>
          <w:sz w:val="22"/>
          <w:szCs w:val="22"/>
        </w:rPr>
        <w:t> </w:t>
      </w:r>
      <w:r w:rsidRPr="004F572A">
        <w:rPr>
          <w:rFonts w:eastAsia="Calibri"/>
          <w:sz w:val="22"/>
          <w:szCs w:val="22"/>
        </w:rPr>
        <w:t>3</w:t>
      </w:r>
      <w:r w:rsidR="00D53FC3">
        <w:rPr>
          <w:rFonts w:eastAsia="Calibri"/>
          <w:sz w:val="22"/>
          <w:szCs w:val="22"/>
        </w:rPr>
        <w:noBreakHyphen/>
      </w:r>
      <w:r w:rsidRPr="004F572A">
        <w:rPr>
          <w:rFonts w:eastAsia="Calibri"/>
          <w:sz w:val="22"/>
          <w:szCs w:val="22"/>
        </w:rPr>
        <w:t>ojo laipsnio).</w:t>
      </w:r>
    </w:p>
    <w:p w14:paraId="370CEE40" w14:textId="77777777" w:rsidR="0036796D" w:rsidRPr="004F572A" w:rsidRDefault="0036796D" w:rsidP="00952018">
      <w:pPr>
        <w:widowControl w:val="0"/>
        <w:tabs>
          <w:tab w:val="clear" w:pos="567"/>
        </w:tabs>
        <w:rPr>
          <w:rFonts w:eastAsia="Calibri"/>
          <w:i/>
          <w:iCs/>
          <w:sz w:val="22"/>
          <w:szCs w:val="22"/>
        </w:rPr>
      </w:pPr>
    </w:p>
    <w:p w14:paraId="6B6083D6" w14:textId="6191F265" w:rsidR="00952018" w:rsidRPr="004F572A" w:rsidRDefault="00952018" w:rsidP="00952018">
      <w:pPr>
        <w:widowControl w:val="0"/>
        <w:tabs>
          <w:tab w:val="clear" w:pos="567"/>
        </w:tabs>
        <w:rPr>
          <w:rFonts w:eastAsia="Calibri"/>
          <w:i/>
          <w:iCs/>
          <w:sz w:val="22"/>
          <w:szCs w:val="22"/>
        </w:rPr>
      </w:pPr>
      <w:r w:rsidRPr="004F572A">
        <w:rPr>
          <w:rFonts w:eastAsia="Calibri"/>
          <w:i/>
          <w:iCs/>
          <w:sz w:val="22"/>
          <w:szCs w:val="22"/>
        </w:rPr>
        <w:t>EK</w:t>
      </w:r>
    </w:p>
    <w:p w14:paraId="1AF49065" w14:textId="77777777" w:rsidR="0036796D" w:rsidRPr="004F572A" w:rsidRDefault="0036796D" w:rsidP="00952018">
      <w:pPr>
        <w:widowControl w:val="0"/>
        <w:tabs>
          <w:tab w:val="clear" w:pos="567"/>
        </w:tabs>
        <w:rPr>
          <w:rFonts w:eastAsia="Calibri"/>
          <w:i/>
          <w:iCs/>
          <w:sz w:val="22"/>
          <w:szCs w:val="22"/>
        </w:rPr>
      </w:pPr>
    </w:p>
    <w:p w14:paraId="1EBEFF60" w14:textId="7DA987C1" w:rsidR="00146EA8" w:rsidRPr="004F572A" w:rsidRDefault="00952018" w:rsidP="00952018">
      <w:pPr>
        <w:widowControl w:val="0"/>
        <w:tabs>
          <w:tab w:val="clear" w:pos="567"/>
        </w:tabs>
        <w:rPr>
          <w:rFonts w:eastAsia="Calibri"/>
          <w:sz w:val="22"/>
          <w:szCs w:val="22"/>
        </w:rPr>
      </w:pPr>
      <w:r w:rsidRPr="004F572A">
        <w:rPr>
          <w:rFonts w:eastAsia="Calibri"/>
          <w:sz w:val="22"/>
          <w:szCs w:val="22"/>
        </w:rPr>
        <w:t>3</w:t>
      </w:r>
      <w:r w:rsidR="00D53FC3">
        <w:rPr>
          <w:rFonts w:eastAsia="Calibri"/>
          <w:sz w:val="22"/>
          <w:szCs w:val="22"/>
        </w:rPr>
        <w:t> </w:t>
      </w:r>
      <w:r w:rsidRPr="004F572A">
        <w:rPr>
          <w:rFonts w:eastAsia="Calibri"/>
          <w:sz w:val="22"/>
          <w:szCs w:val="22"/>
        </w:rPr>
        <w:t>fazės 309 tyrim</w:t>
      </w:r>
      <w:r w:rsidR="001D219E">
        <w:rPr>
          <w:rFonts w:eastAsia="Calibri"/>
          <w:sz w:val="22"/>
          <w:szCs w:val="22"/>
        </w:rPr>
        <w:t>e</w:t>
      </w:r>
      <w:r w:rsidRPr="004F572A">
        <w:rPr>
          <w:rFonts w:eastAsia="Calibri"/>
          <w:sz w:val="22"/>
          <w:szCs w:val="22"/>
        </w:rPr>
        <w:t xml:space="preserve"> (žr. 5.1 skyrių) </w:t>
      </w:r>
      <w:r w:rsidR="0036796D" w:rsidRPr="004F572A">
        <w:rPr>
          <w:rFonts w:eastAsia="Calibri"/>
          <w:sz w:val="22"/>
          <w:szCs w:val="22"/>
        </w:rPr>
        <w:t>viduriavim</w:t>
      </w:r>
      <w:r w:rsidR="001D219E">
        <w:rPr>
          <w:rFonts w:eastAsia="Calibri"/>
          <w:sz w:val="22"/>
          <w:szCs w:val="22"/>
        </w:rPr>
        <w:t>as pasireiškė</w:t>
      </w:r>
      <w:r w:rsidR="0036796D" w:rsidRPr="004F572A">
        <w:rPr>
          <w:rFonts w:eastAsia="Calibri"/>
          <w:sz w:val="22"/>
          <w:szCs w:val="22"/>
        </w:rPr>
        <w:t xml:space="preserve"> </w:t>
      </w:r>
      <w:r w:rsidRPr="004F572A">
        <w:rPr>
          <w:rFonts w:eastAsia="Calibri"/>
          <w:sz w:val="22"/>
          <w:szCs w:val="22"/>
        </w:rPr>
        <w:t>54,2</w:t>
      </w:r>
      <w:r w:rsidR="0036796D" w:rsidRPr="004F572A">
        <w:rPr>
          <w:rFonts w:eastAsia="Calibri"/>
          <w:sz w:val="22"/>
          <w:szCs w:val="22"/>
        </w:rPr>
        <w:t> </w:t>
      </w:r>
      <w:r w:rsidRPr="004F572A">
        <w:rPr>
          <w:rFonts w:eastAsia="Calibri"/>
          <w:sz w:val="22"/>
          <w:szCs w:val="22"/>
        </w:rPr>
        <w:t xml:space="preserve">% </w:t>
      </w:r>
      <w:proofErr w:type="spellStart"/>
      <w:r w:rsidRPr="004F572A">
        <w:rPr>
          <w:rFonts w:eastAsia="Calibri"/>
          <w:sz w:val="22"/>
          <w:szCs w:val="22"/>
        </w:rPr>
        <w:t>lenvatinibo</w:t>
      </w:r>
      <w:proofErr w:type="spellEnd"/>
      <w:r w:rsidRPr="004F572A">
        <w:rPr>
          <w:rFonts w:eastAsia="Calibri"/>
          <w:sz w:val="22"/>
          <w:szCs w:val="22"/>
        </w:rPr>
        <w:t xml:space="preserve"> ir </w:t>
      </w:r>
      <w:proofErr w:type="spellStart"/>
      <w:r w:rsidRPr="004F572A">
        <w:rPr>
          <w:rFonts w:eastAsia="Calibri"/>
          <w:sz w:val="22"/>
          <w:szCs w:val="22"/>
        </w:rPr>
        <w:t>pembrolizumabo</w:t>
      </w:r>
      <w:proofErr w:type="spellEnd"/>
      <w:r w:rsidRPr="004F572A">
        <w:rPr>
          <w:rFonts w:eastAsia="Calibri"/>
          <w:sz w:val="22"/>
          <w:szCs w:val="22"/>
        </w:rPr>
        <w:t xml:space="preserve"> </w:t>
      </w:r>
      <w:r w:rsidR="0036796D" w:rsidRPr="004F572A">
        <w:rPr>
          <w:rFonts w:eastAsia="Calibri"/>
          <w:sz w:val="22"/>
          <w:szCs w:val="22"/>
        </w:rPr>
        <w:t xml:space="preserve">deriniu </w:t>
      </w:r>
      <w:r w:rsidRPr="004F572A">
        <w:rPr>
          <w:rFonts w:eastAsia="Calibri"/>
          <w:sz w:val="22"/>
          <w:szCs w:val="22"/>
        </w:rPr>
        <w:t>gydytų pacientų</w:t>
      </w:r>
      <w:r w:rsidR="001D219E">
        <w:rPr>
          <w:rFonts w:eastAsia="Calibri"/>
          <w:sz w:val="22"/>
          <w:szCs w:val="22"/>
        </w:rPr>
        <w:t xml:space="preserve"> </w:t>
      </w:r>
      <w:r w:rsidR="001D219E" w:rsidRPr="004F572A">
        <w:rPr>
          <w:rFonts w:eastAsia="Calibri"/>
          <w:sz w:val="22"/>
          <w:szCs w:val="22"/>
        </w:rPr>
        <w:t>(7,6 % buvo ≥</w:t>
      </w:r>
      <w:r w:rsidR="00D53FC3">
        <w:rPr>
          <w:rFonts w:eastAsia="Calibri"/>
          <w:sz w:val="22"/>
          <w:szCs w:val="22"/>
        </w:rPr>
        <w:t> </w:t>
      </w:r>
      <w:r w:rsidR="001D219E" w:rsidRPr="004F572A">
        <w:rPr>
          <w:rFonts w:eastAsia="Calibri"/>
          <w:sz w:val="22"/>
          <w:szCs w:val="22"/>
        </w:rPr>
        <w:t>3</w:t>
      </w:r>
      <w:r w:rsidR="00D53FC3">
        <w:rPr>
          <w:rFonts w:eastAsia="Calibri"/>
          <w:sz w:val="22"/>
          <w:szCs w:val="22"/>
        </w:rPr>
        <w:noBreakHyphen/>
      </w:r>
      <w:r w:rsidR="001D219E" w:rsidRPr="004F572A">
        <w:rPr>
          <w:rFonts w:eastAsia="Calibri"/>
          <w:sz w:val="22"/>
          <w:szCs w:val="22"/>
        </w:rPr>
        <w:t>ojo laipsnio)</w:t>
      </w:r>
      <w:r w:rsidRPr="004F572A">
        <w:rPr>
          <w:rFonts w:eastAsia="Calibri"/>
          <w:sz w:val="22"/>
          <w:szCs w:val="22"/>
        </w:rPr>
        <w:t xml:space="preserve">. </w:t>
      </w:r>
      <w:proofErr w:type="spellStart"/>
      <w:r w:rsidR="001D219E">
        <w:rPr>
          <w:rFonts w:eastAsia="Calibri"/>
          <w:sz w:val="22"/>
          <w:szCs w:val="22"/>
        </w:rPr>
        <w:t>Lenvatinibo</w:t>
      </w:r>
      <w:proofErr w:type="spellEnd"/>
      <w:r w:rsidRPr="004F572A">
        <w:rPr>
          <w:rFonts w:eastAsia="Calibri"/>
          <w:sz w:val="22"/>
          <w:szCs w:val="22"/>
        </w:rPr>
        <w:t xml:space="preserve"> vartojimą </w:t>
      </w:r>
      <w:r w:rsidR="001D219E">
        <w:rPr>
          <w:rFonts w:eastAsia="Calibri"/>
          <w:sz w:val="22"/>
          <w:szCs w:val="22"/>
        </w:rPr>
        <w:t>laikinai sustabdė</w:t>
      </w:r>
      <w:r w:rsidRPr="004F572A">
        <w:rPr>
          <w:rFonts w:eastAsia="Calibri"/>
          <w:sz w:val="22"/>
          <w:szCs w:val="22"/>
        </w:rPr>
        <w:t>, sumažino ir nutraukė atitinkamai 10,6</w:t>
      </w:r>
      <w:r w:rsidR="003E3675" w:rsidRPr="004F572A">
        <w:rPr>
          <w:rFonts w:eastAsia="Calibri"/>
          <w:sz w:val="22"/>
          <w:szCs w:val="22"/>
        </w:rPr>
        <w:t> </w:t>
      </w:r>
      <w:r w:rsidRPr="004F572A">
        <w:rPr>
          <w:rFonts w:eastAsia="Calibri"/>
          <w:sz w:val="22"/>
          <w:szCs w:val="22"/>
        </w:rPr>
        <w:t>%, 11,1</w:t>
      </w:r>
      <w:r w:rsidR="003E3675" w:rsidRPr="004F572A">
        <w:rPr>
          <w:rFonts w:eastAsia="Calibri"/>
          <w:sz w:val="22"/>
          <w:szCs w:val="22"/>
        </w:rPr>
        <w:t> </w:t>
      </w:r>
      <w:r w:rsidRPr="004F572A">
        <w:rPr>
          <w:rFonts w:eastAsia="Calibri"/>
          <w:sz w:val="22"/>
          <w:szCs w:val="22"/>
        </w:rPr>
        <w:t>% ir 1,2</w:t>
      </w:r>
      <w:r w:rsidR="003E3675" w:rsidRPr="004F572A">
        <w:rPr>
          <w:rFonts w:eastAsia="Calibri"/>
          <w:sz w:val="22"/>
          <w:szCs w:val="22"/>
        </w:rPr>
        <w:t> </w:t>
      </w:r>
      <w:r w:rsidRPr="004F572A">
        <w:rPr>
          <w:rFonts w:eastAsia="Calibri"/>
          <w:sz w:val="22"/>
          <w:szCs w:val="22"/>
        </w:rPr>
        <w:t>% pacientų</w:t>
      </w:r>
      <w:r w:rsidR="003E3675" w:rsidRPr="004F572A">
        <w:rPr>
          <w:rFonts w:eastAsia="Calibri"/>
          <w:sz w:val="22"/>
          <w:szCs w:val="22"/>
        </w:rPr>
        <w:t>.</w:t>
      </w:r>
    </w:p>
    <w:p w14:paraId="225110D0" w14:textId="77777777" w:rsidR="008811A6" w:rsidRPr="004F572A" w:rsidRDefault="008811A6" w:rsidP="000928CA">
      <w:pPr>
        <w:widowControl w:val="0"/>
        <w:tabs>
          <w:tab w:val="clear" w:pos="567"/>
        </w:tabs>
        <w:rPr>
          <w:rFonts w:eastAsia="Calibri"/>
          <w:sz w:val="22"/>
          <w:szCs w:val="22"/>
        </w:rPr>
      </w:pPr>
    </w:p>
    <w:p w14:paraId="3DD17E00" w14:textId="77777777" w:rsidR="003E3675" w:rsidRPr="004F572A" w:rsidRDefault="003E3675" w:rsidP="003E3675">
      <w:pPr>
        <w:widowControl w:val="0"/>
        <w:tabs>
          <w:tab w:val="clear" w:pos="567"/>
        </w:tabs>
        <w:rPr>
          <w:rFonts w:eastAsia="Calibri"/>
          <w:i/>
          <w:iCs/>
          <w:sz w:val="22"/>
          <w:szCs w:val="22"/>
          <w:u w:val="single"/>
        </w:rPr>
      </w:pPr>
      <w:r w:rsidRPr="004F572A">
        <w:rPr>
          <w:rFonts w:eastAsia="Calibri"/>
          <w:i/>
          <w:iCs/>
          <w:sz w:val="22"/>
          <w:szCs w:val="22"/>
          <w:u w:val="single"/>
        </w:rPr>
        <w:t>Vaikų populiacija</w:t>
      </w:r>
    </w:p>
    <w:p w14:paraId="2DB1012D" w14:textId="77777777" w:rsidR="003E3675" w:rsidRPr="004F572A" w:rsidRDefault="003E3675" w:rsidP="003E3675">
      <w:pPr>
        <w:widowControl w:val="0"/>
        <w:tabs>
          <w:tab w:val="clear" w:pos="567"/>
        </w:tabs>
        <w:rPr>
          <w:rFonts w:eastAsia="Calibri"/>
          <w:sz w:val="22"/>
          <w:szCs w:val="22"/>
        </w:rPr>
      </w:pPr>
    </w:p>
    <w:p w14:paraId="28DB8E15" w14:textId="3F491BA2" w:rsidR="003E3675" w:rsidRPr="004F572A" w:rsidRDefault="001D219E" w:rsidP="003E3675">
      <w:pPr>
        <w:widowControl w:val="0"/>
        <w:tabs>
          <w:tab w:val="clear" w:pos="567"/>
        </w:tabs>
        <w:rPr>
          <w:rFonts w:eastAsia="Calibri"/>
          <w:sz w:val="22"/>
          <w:szCs w:val="22"/>
        </w:rPr>
      </w:pPr>
      <w:r w:rsidRPr="001D219E">
        <w:rPr>
          <w:rFonts w:eastAsia="Calibri"/>
          <w:sz w:val="22"/>
          <w:szCs w:val="22"/>
        </w:rPr>
        <w:t>Atlikus pediatrinius tyrimus Nr.</w:t>
      </w:r>
      <w:r>
        <w:rPr>
          <w:rFonts w:eastAsia="Calibri"/>
          <w:sz w:val="22"/>
          <w:szCs w:val="22"/>
        </w:rPr>
        <w:t xml:space="preserve"> </w:t>
      </w:r>
      <w:r w:rsidR="003E3675" w:rsidRPr="004F572A">
        <w:rPr>
          <w:rFonts w:eastAsia="Calibri"/>
          <w:sz w:val="22"/>
          <w:szCs w:val="22"/>
        </w:rPr>
        <w:t xml:space="preserve">207, 216, 230 ir 231 (žr. 5.1 skyrių), </w:t>
      </w:r>
      <w:r w:rsidR="0065439F">
        <w:rPr>
          <w:rFonts w:eastAsia="Calibri"/>
          <w:sz w:val="22"/>
          <w:szCs w:val="22"/>
        </w:rPr>
        <w:t xml:space="preserve">bendras </w:t>
      </w:r>
      <w:proofErr w:type="spellStart"/>
      <w:r w:rsidR="003E3675" w:rsidRPr="004F572A">
        <w:rPr>
          <w:rFonts w:eastAsia="Calibri"/>
          <w:sz w:val="22"/>
          <w:szCs w:val="22"/>
        </w:rPr>
        <w:t>lenvatinibo</w:t>
      </w:r>
      <w:proofErr w:type="spellEnd"/>
      <w:r w:rsidR="003E3675" w:rsidRPr="004F572A">
        <w:rPr>
          <w:rFonts w:eastAsia="Calibri"/>
          <w:sz w:val="22"/>
          <w:szCs w:val="22"/>
        </w:rPr>
        <w:t xml:space="preserve">, vartojamo kaip vieno vaistinio preparato arba vartojamo kartu su </w:t>
      </w:r>
      <w:proofErr w:type="spellStart"/>
      <w:r w:rsidR="003E3675" w:rsidRPr="004F572A">
        <w:rPr>
          <w:rFonts w:eastAsia="Calibri"/>
          <w:sz w:val="22"/>
          <w:szCs w:val="22"/>
        </w:rPr>
        <w:t>ifosfamidu</w:t>
      </w:r>
      <w:proofErr w:type="spellEnd"/>
      <w:r w:rsidR="003E3675" w:rsidRPr="004F572A">
        <w:rPr>
          <w:rFonts w:eastAsia="Calibri"/>
          <w:sz w:val="22"/>
          <w:szCs w:val="22"/>
        </w:rPr>
        <w:t xml:space="preserve"> ir </w:t>
      </w:r>
      <w:proofErr w:type="spellStart"/>
      <w:r w:rsidR="003E3675" w:rsidRPr="004F572A">
        <w:rPr>
          <w:rFonts w:eastAsia="Calibri"/>
          <w:sz w:val="22"/>
          <w:szCs w:val="22"/>
        </w:rPr>
        <w:t>etopozidu</w:t>
      </w:r>
      <w:proofErr w:type="spellEnd"/>
      <w:r w:rsidR="003E3675" w:rsidRPr="004F572A">
        <w:rPr>
          <w:rFonts w:eastAsia="Calibri"/>
          <w:sz w:val="22"/>
          <w:szCs w:val="22"/>
        </w:rPr>
        <w:t xml:space="preserve"> arba </w:t>
      </w:r>
      <w:proofErr w:type="spellStart"/>
      <w:r w:rsidR="003E3675" w:rsidRPr="004F572A">
        <w:rPr>
          <w:rFonts w:eastAsia="Calibri"/>
          <w:sz w:val="22"/>
          <w:szCs w:val="22"/>
        </w:rPr>
        <w:t>everolimuzu</w:t>
      </w:r>
      <w:proofErr w:type="spellEnd"/>
      <w:r w:rsidR="003E3675" w:rsidRPr="004F572A">
        <w:rPr>
          <w:rFonts w:eastAsia="Calibri"/>
          <w:sz w:val="22"/>
          <w:szCs w:val="22"/>
        </w:rPr>
        <w:t xml:space="preserve">, saugumo profilis atitiko suaugusiųjų, gydytų </w:t>
      </w:r>
      <w:proofErr w:type="spellStart"/>
      <w:r w:rsidR="003E3675" w:rsidRPr="004F572A">
        <w:rPr>
          <w:rFonts w:eastAsia="Calibri"/>
          <w:sz w:val="22"/>
          <w:szCs w:val="22"/>
        </w:rPr>
        <w:t>lenvatinibu</w:t>
      </w:r>
      <w:proofErr w:type="spellEnd"/>
      <w:r w:rsidR="003E3675" w:rsidRPr="004F572A">
        <w:rPr>
          <w:rFonts w:eastAsia="Calibri"/>
          <w:sz w:val="22"/>
          <w:szCs w:val="22"/>
        </w:rPr>
        <w:t>, saugumo profilį.</w:t>
      </w:r>
    </w:p>
    <w:p w14:paraId="493BBDA6" w14:textId="77777777" w:rsidR="003E3675" w:rsidRPr="004F572A" w:rsidRDefault="003E3675" w:rsidP="003E3675">
      <w:pPr>
        <w:widowControl w:val="0"/>
        <w:tabs>
          <w:tab w:val="clear" w:pos="567"/>
        </w:tabs>
        <w:rPr>
          <w:rFonts w:eastAsia="Calibri"/>
          <w:sz w:val="22"/>
          <w:szCs w:val="22"/>
        </w:rPr>
      </w:pPr>
    </w:p>
    <w:p w14:paraId="09E68B6E" w14:textId="5E2EB1FE" w:rsidR="003E3675" w:rsidRPr="004F572A" w:rsidRDefault="003E3675" w:rsidP="003E3675">
      <w:pPr>
        <w:widowControl w:val="0"/>
        <w:tabs>
          <w:tab w:val="clear" w:pos="567"/>
        </w:tabs>
        <w:rPr>
          <w:rFonts w:eastAsia="Calibri"/>
          <w:sz w:val="22"/>
          <w:szCs w:val="22"/>
        </w:rPr>
      </w:pPr>
      <w:r w:rsidRPr="004F572A">
        <w:rPr>
          <w:rFonts w:eastAsia="Calibri"/>
          <w:sz w:val="22"/>
          <w:szCs w:val="22"/>
        </w:rPr>
        <w:t xml:space="preserve">Pacientams, sergantiems </w:t>
      </w:r>
      <w:proofErr w:type="spellStart"/>
      <w:r w:rsidRPr="004F572A">
        <w:rPr>
          <w:rFonts w:eastAsia="Calibri"/>
          <w:sz w:val="22"/>
          <w:szCs w:val="22"/>
        </w:rPr>
        <w:t>recidyvuojančia</w:t>
      </w:r>
      <w:proofErr w:type="spellEnd"/>
      <w:r w:rsidRPr="004F572A">
        <w:rPr>
          <w:rFonts w:eastAsia="Calibri"/>
          <w:sz w:val="22"/>
          <w:szCs w:val="22"/>
        </w:rPr>
        <w:t xml:space="preserve"> ir (arba) </w:t>
      </w:r>
      <w:proofErr w:type="spellStart"/>
      <w:r w:rsidRPr="004F572A">
        <w:rPr>
          <w:rFonts w:eastAsia="Calibri"/>
          <w:sz w:val="22"/>
          <w:szCs w:val="22"/>
        </w:rPr>
        <w:t>refrakterine</w:t>
      </w:r>
      <w:proofErr w:type="spellEnd"/>
      <w:r w:rsidRPr="004F572A">
        <w:rPr>
          <w:rFonts w:eastAsia="Calibri"/>
          <w:sz w:val="22"/>
          <w:szCs w:val="22"/>
        </w:rPr>
        <w:t xml:space="preserve"> </w:t>
      </w:r>
      <w:proofErr w:type="spellStart"/>
      <w:r w:rsidRPr="004F572A">
        <w:rPr>
          <w:rFonts w:eastAsia="Calibri"/>
          <w:sz w:val="22"/>
          <w:szCs w:val="22"/>
        </w:rPr>
        <w:t>osteosarkoma</w:t>
      </w:r>
      <w:proofErr w:type="spellEnd"/>
      <w:r w:rsidRPr="004F572A">
        <w:rPr>
          <w:rFonts w:eastAsia="Calibri"/>
          <w:sz w:val="22"/>
          <w:szCs w:val="22"/>
        </w:rPr>
        <w:t xml:space="preserve">, </w:t>
      </w:r>
      <w:proofErr w:type="spellStart"/>
      <w:r w:rsidRPr="004F572A">
        <w:rPr>
          <w:rFonts w:eastAsia="Calibri"/>
          <w:sz w:val="22"/>
          <w:szCs w:val="22"/>
        </w:rPr>
        <w:t>pneumotoraks</w:t>
      </w:r>
      <w:r w:rsidR="0065439F">
        <w:rPr>
          <w:rFonts w:eastAsia="Calibri"/>
          <w:sz w:val="22"/>
          <w:szCs w:val="22"/>
        </w:rPr>
        <w:t>as</w:t>
      </w:r>
      <w:proofErr w:type="spellEnd"/>
      <w:r w:rsidR="0065439F">
        <w:rPr>
          <w:rFonts w:eastAsia="Calibri"/>
          <w:sz w:val="22"/>
          <w:szCs w:val="22"/>
        </w:rPr>
        <w:t xml:space="preserve"> pasireiškė dažniau nei suaugusiesiems</w:t>
      </w:r>
      <w:r w:rsidRPr="004F572A">
        <w:rPr>
          <w:rFonts w:eastAsia="Calibri"/>
          <w:sz w:val="22"/>
          <w:szCs w:val="22"/>
        </w:rPr>
        <w:t xml:space="preserve">, sergantiems DSK, HCK, ILK ir EK. </w:t>
      </w:r>
      <w:r w:rsidR="0065439F">
        <w:rPr>
          <w:rFonts w:eastAsia="Calibri"/>
          <w:sz w:val="22"/>
          <w:szCs w:val="22"/>
        </w:rPr>
        <w:t xml:space="preserve">Tyrimo Nr. </w:t>
      </w:r>
      <w:r w:rsidRPr="004F572A">
        <w:rPr>
          <w:rFonts w:eastAsia="Calibri"/>
          <w:sz w:val="22"/>
          <w:szCs w:val="22"/>
        </w:rPr>
        <w:t xml:space="preserve">207 </w:t>
      </w:r>
      <w:r w:rsidR="0065439F">
        <w:rPr>
          <w:rFonts w:eastAsia="Calibri"/>
          <w:sz w:val="22"/>
          <w:szCs w:val="22"/>
        </w:rPr>
        <w:t>metu</w:t>
      </w:r>
      <w:r w:rsidRPr="004F572A">
        <w:rPr>
          <w:rFonts w:eastAsia="Calibri"/>
          <w:sz w:val="22"/>
          <w:szCs w:val="22"/>
        </w:rPr>
        <w:t xml:space="preserve"> </w:t>
      </w:r>
      <w:proofErr w:type="spellStart"/>
      <w:r w:rsidRPr="004F572A">
        <w:rPr>
          <w:rFonts w:eastAsia="Calibri"/>
          <w:sz w:val="22"/>
          <w:szCs w:val="22"/>
        </w:rPr>
        <w:t>pneumotoraksas</w:t>
      </w:r>
      <w:proofErr w:type="spellEnd"/>
      <w:r w:rsidRPr="004F572A">
        <w:rPr>
          <w:rFonts w:eastAsia="Calibri"/>
          <w:sz w:val="22"/>
          <w:szCs w:val="22"/>
        </w:rPr>
        <w:t xml:space="preserve"> pasireiškė 6</w:t>
      </w:r>
      <w:r w:rsidR="00115D7F">
        <w:rPr>
          <w:rFonts w:eastAsia="Calibri"/>
          <w:sz w:val="22"/>
          <w:szCs w:val="22"/>
        </w:rPr>
        <w:t> </w:t>
      </w:r>
      <w:r w:rsidRPr="004F572A">
        <w:rPr>
          <w:rFonts w:eastAsia="Calibri"/>
          <w:sz w:val="22"/>
          <w:szCs w:val="22"/>
        </w:rPr>
        <w:t xml:space="preserve">pacientams (10,9 %), gydytiems </w:t>
      </w:r>
      <w:proofErr w:type="spellStart"/>
      <w:r w:rsidRPr="004F572A">
        <w:rPr>
          <w:rFonts w:eastAsia="Calibri"/>
          <w:sz w:val="22"/>
          <w:szCs w:val="22"/>
        </w:rPr>
        <w:t>lenvatinibu</w:t>
      </w:r>
      <w:proofErr w:type="spellEnd"/>
      <w:r w:rsidRPr="004F572A">
        <w:rPr>
          <w:rFonts w:eastAsia="Calibri"/>
          <w:sz w:val="22"/>
          <w:szCs w:val="22"/>
        </w:rPr>
        <w:t xml:space="preserve"> </w:t>
      </w:r>
      <w:r w:rsidR="0065439F">
        <w:rPr>
          <w:rFonts w:eastAsia="Calibri"/>
          <w:sz w:val="22"/>
          <w:szCs w:val="22"/>
        </w:rPr>
        <w:t xml:space="preserve">kaip vienu vaistiniu preparatu, </w:t>
      </w:r>
      <w:r w:rsidRPr="004F572A">
        <w:rPr>
          <w:rFonts w:eastAsia="Calibri"/>
          <w:sz w:val="22"/>
          <w:szCs w:val="22"/>
        </w:rPr>
        <w:t>ir 7</w:t>
      </w:r>
      <w:r w:rsidR="00115D7F">
        <w:rPr>
          <w:rFonts w:eastAsia="Calibri"/>
          <w:sz w:val="22"/>
          <w:szCs w:val="22"/>
        </w:rPr>
        <w:t> </w:t>
      </w:r>
      <w:r w:rsidRPr="004F572A">
        <w:rPr>
          <w:rFonts w:eastAsia="Calibri"/>
          <w:sz w:val="22"/>
          <w:szCs w:val="22"/>
        </w:rPr>
        <w:t>pacientams (16,7</w:t>
      </w:r>
      <w:r w:rsidR="006E0A67" w:rsidRPr="004F572A">
        <w:rPr>
          <w:rFonts w:eastAsia="Calibri"/>
          <w:sz w:val="22"/>
          <w:szCs w:val="22"/>
        </w:rPr>
        <w:t> </w:t>
      </w:r>
      <w:r w:rsidRPr="004F572A">
        <w:rPr>
          <w:rFonts w:eastAsia="Calibri"/>
          <w:sz w:val="22"/>
          <w:szCs w:val="22"/>
        </w:rPr>
        <w:t xml:space="preserve">%), </w:t>
      </w:r>
      <w:r w:rsidR="0065439F">
        <w:rPr>
          <w:rFonts w:eastAsia="Calibri"/>
          <w:sz w:val="22"/>
          <w:szCs w:val="22"/>
        </w:rPr>
        <w:t>gydytiems</w:t>
      </w:r>
      <w:r w:rsidRPr="004F572A">
        <w:rPr>
          <w:rFonts w:eastAsia="Calibri"/>
          <w:sz w:val="22"/>
          <w:szCs w:val="22"/>
        </w:rPr>
        <w:t xml:space="preserve"> </w:t>
      </w:r>
      <w:proofErr w:type="spellStart"/>
      <w:r w:rsidRPr="004F572A">
        <w:rPr>
          <w:rFonts w:eastAsia="Calibri"/>
          <w:sz w:val="22"/>
          <w:szCs w:val="22"/>
        </w:rPr>
        <w:t>lenvatinibu</w:t>
      </w:r>
      <w:proofErr w:type="spellEnd"/>
      <w:r w:rsidRPr="004F572A">
        <w:rPr>
          <w:rFonts w:eastAsia="Calibri"/>
          <w:sz w:val="22"/>
          <w:szCs w:val="22"/>
        </w:rPr>
        <w:t xml:space="preserve"> kartu su </w:t>
      </w:r>
      <w:proofErr w:type="spellStart"/>
      <w:r w:rsidRPr="004F572A">
        <w:rPr>
          <w:rFonts w:eastAsia="Calibri"/>
          <w:sz w:val="22"/>
          <w:szCs w:val="22"/>
        </w:rPr>
        <w:t>ifosfamidu</w:t>
      </w:r>
      <w:proofErr w:type="spellEnd"/>
      <w:r w:rsidRPr="004F572A">
        <w:rPr>
          <w:rFonts w:eastAsia="Calibri"/>
          <w:sz w:val="22"/>
          <w:szCs w:val="22"/>
        </w:rPr>
        <w:t xml:space="preserve"> ir </w:t>
      </w:r>
      <w:proofErr w:type="spellStart"/>
      <w:r w:rsidRPr="004F572A">
        <w:rPr>
          <w:rFonts w:eastAsia="Calibri"/>
          <w:sz w:val="22"/>
          <w:szCs w:val="22"/>
        </w:rPr>
        <w:t>etopozidu</w:t>
      </w:r>
      <w:proofErr w:type="spellEnd"/>
      <w:r w:rsidRPr="004F572A">
        <w:rPr>
          <w:rFonts w:eastAsia="Calibri"/>
          <w:sz w:val="22"/>
          <w:szCs w:val="22"/>
        </w:rPr>
        <w:t xml:space="preserve">. </w:t>
      </w:r>
      <w:r w:rsidR="0065439F">
        <w:rPr>
          <w:rFonts w:eastAsia="Calibri"/>
          <w:sz w:val="22"/>
          <w:szCs w:val="22"/>
        </w:rPr>
        <w:t>I</w:t>
      </w:r>
      <w:r w:rsidR="0065439F" w:rsidRPr="004F572A">
        <w:rPr>
          <w:rFonts w:eastAsia="Calibri"/>
          <w:sz w:val="22"/>
          <w:szCs w:val="22"/>
        </w:rPr>
        <w:t>š viso 2</w:t>
      </w:r>
      <w:r w:rsidR="00115D7F">
        <w:rPr>
          <w:rFonts w:eastAsia="Calibri"/>
          <w:sz w:val="22"/>
          <w:szCs w:val="22"/>
        </w:rPr>
        <w:t> </w:t>
      </w:r>
      <w:r w:rsidR="0065439F" w:rsidRPr="004F572A">
        <w:rPr>
          <w:rFonts w:eastAsia="Calibri"/>
          <w:sz w:val="22"/>
          <w:szCs w:val="22"/>
        </w:rPr>
        <w:t xml:space="preserve">pacientams </w:t>
      </w:r>
      <w:r w:rsidR="0065439F">
        <w:rPr>
          <w:rFonts w:eastAsia="Calibri"/>
          <w:sz w:val="22"/>
          <w:szCs w:val="22"/>
        </w:rPr>
        <w:t>g</w:t>
      </w:r>
      <w:r w:rsidR="006E0A67" w:rsidRPr="004F572A">
        <w:rPr>
          <w:rFonts w:eastAsia="Calibri"/>
          <w:sz w:val="22"/>
          <w:szCs w:val="22"/>
        </w:rPr>
        <w:t>ydym</w:t>
      </w:r>
      <w:r w:rsidR="0065439F">
        <w:rPr>
          <w:rFonts w:eastAsia="Calibri"/>
          <w:sz w:val="22"/>
          <w:szCs w:val="22"/>
        </w:rPr>
        <w:t>as</w:t>
      </w:r>
      <w:r w:rsidR="006E0A67" w:rsidRPr="004F572A">
        <w:rPr>
          <w:rFonts w:eastAsia="Calibri"/>
          <w:sz w:val="22"/>
          <w:szCs w:val="22"/>
        </w:rPr>
        <w:t xml:space="preserve"> buvo nutrauktas dėl </w:t>
      </w:r>
      <w:proofErr w:type="spellStart"/>
      <w:r w:rsidR="006E0A67" w:rsidRPr="004F572A">
        <w:rPr>
          <w:rFonts w:eastAsia="Calibri"/>
          <w:sz w:val="22"/>
          <w:szCs w:val="22"/>
        </w:rPr>
        <w:t>pneumotorakso</w:t>
      </w:r>
      <w:proofErr w:type="spellEnd"/>
      <w:r w:rsidRPr="004F572A">
        <w:rPr>
          <w:rFonts w:eastAsia="Calibri"/>
          <w:sz w:val="22"/>
          <w:szCs w:val="22"/>
        </w:rPr>
        <w:t xml:space="preserve">. </w:t>
      </w:r>
      <w:r w:rsidR="0065439F">
        <w:rPr>
          <w:rFonts w:eastAsia="Calibri"/>
          <w:sz w:val="22"/>
          <w:szCs w:val="22"/>
        </w:rPr>
        <w:t xml:space="preserve">Tyrimo Nr. </w:t>
      </w:r>
      <w:r w:rsidR="006E0A67" w:rsidRPr="004F572A">
        <w:rPr>
          <w:rFonts w:eastAsia="Calibri"/>
          <w:sz w:val="22"/>
          <w:szCs w:val="22"/>
        </w:rPr>
        <w:t xml:space="preserve">230 metu </w:t>
      </w:r>
      <w:proofErr w:type="spellStart"/>
      <w:r w:rsidR="006E0A67" w:rsidRPr="004F572A">
        <w:rPr>
          <w:rFonts w:eastAsia="Calibri"/>
          <w:sz w:val="22"/>
          <w:szCs w:val="22"/>
        </w:rPr>
        <w:t>pneumotoraks</w:t>
      </w:r>
      <w:r w:rsidR="0065439F">
        <w:rPr>
          <w:rFonts w:eastAsia="Calibri"/>
          <w:sz w:val="22"/>
          <w:szCs w:val="22"/>
        </w:rPr>
        <w:t>as</w:t>
      </w:r>
      <w:proofErr w:type="spellEnd"/>
      <w:r w:rsidR="0065439F">
        <w:rPr>
          <w:rFonts w:eastAsia="Calibri"/>
          <w:sz w:val="22"/>
          <w:szCs w:val="22"/>
        </w:rPr>
        <w:t xml:space="preserve"> pasireiškė iš viso</w:t>
      </w:r>
      <w:r w:rsidRPr="004F572A">
        <w:rPr>
          <w:rFonts w:eastAsia="Calibri"/>
          <w:sz w:val="22"/>
          <w:szCs w:val="22"/>
        </w:rPr>
        <w:t xml:space="preserve"> </w:t>
      </w:r>
      <w:r w:rsidR="00523FA8" w:rsidRPr="004F572A">
        <w:rPr>
          <w:rFonts w:eastAsia="Calibri"/>
          <w:sz w:val="22"/>
          <w:szCs w:val="22"/>
        </w:rPr>
        <w:t>14</w:t>
      </w:r>
      <w:r w:rsidR="00115D7F">
        <w:rPr>
          <w:rFonts w:eastAsia="Calibri"/>
          <w:sz w:val="22"/>
          <w:szCs w:val="22"/>
        </w:rPr>
        <w:t> </w:t>
      </w:r>
      <w:r w:rsidRPr="004F572A">
        <w:rPr>
          <w:rFonts w:eastAsia="Calibri"/>
          <w:sz w:val="22"/>
          <w:szCs w:val="22"/>
        </w:rPr>
        <w:t>pacientų (11</w:t>
      </w:r>
      <w:r w:rsidR="00115D7F">
        <w:rPr>
          <w:rFonts w:eastAsia="Calibri"/>
          <w:sz w:val="22"/>
          <w:szCs w:val="22"/>
        </w:rPr>
        <w:t> </w:t>
      </w:r>
      <w:r w:rsidRPr="004F572A">
        <w:rPr>
          <w:rFonts w:eastAsia="Calibri"/>
          <w:sz w:val="22"/>
          <w:szCs w:val="22"/>
        </w:rPr>
        <w:t>pacientų [28,2</w:t>
      </w:r>
      <w:r w:rsidR="00115D7F">
        <w:rPr>
          <w:rFonts w:eastAsia="Calibri"/>
          <w:sz w:val="22"/>
          <w:szCs w:val="22"/>
        </w:rPr>
        <w:t> </w:t>
      </w:r>
      <w:r w:rsidRPr="004F572A">
        <w:rPr>
          <w:rFonts w:eastAsia="Calibri"/>
          <w:sz w:val="22"/>
          <w:szCs w:val="22"/>
        </w:rPr>
        <w:t xml:space="preserve">%], gydytų </w:t>
      </w:r>
      <w:proofErr w:type="spellStart"/>
      <w:r w:rsidRPr="004F572A">
        <w:rPr>
          <w:rFonts w:eastAsia="Calibri"/>
          <w:sz w:val="22"/>
          <w:szCs w:val="22"/>
        </w:rPr>
        <w:t>lenvatinibu</w:t>
      </w:r>
      <w:proofErr w:type="spellEnd"/>
      <w:r w:rsidRPr="004F572A">
        <w:rPr>
          <w:rFonts w:eastAsia="Calibri"/>
          <w:sz w:val="22"/>
          <w:szCs w:val="22"/>
        </w:rPr>
        <w:t xml:space="preserve"> kartu su </w:t>
      </w:r>
      <w:proofErr w:type="spellStart"/>
      <w:r w:rsidRPr="004F572A">
        <w:rPr>
          <w:rFonts w:eastAsia="Calibri"/>
          <w:sz w:val="22"/>
          <w:szCs w:val="22"/>
        </w:rPr>
        <w:t>ifosfamidu</w:t>
      </w:r>
      <w:proofErr w:type="spellEnd"/>
      <w:r w:rsidRPr="004F572A">
        <w:rPr>
          <w:rFonts w:eastAsia="Calibri"/>
          <w:sz w:val="22"/>
          <w:szCs w:val="22"/>
        </w:rPr>
        <w:t xml:space="preserve"> ir </w:t>
      </w:r>
      <w:proofErr w:type="spellStart"/>
      <w:r w:rsidRPr="004F572A">
        <w:rPr>
          <w:rFonts w:eastAsia="Calibri"/>
          <w:sz w:val="22"/>
          <w:szCs w:val="22"/>
        </w:rPr>
        <w:t>etopozidu</w:t>
      </w:r>
      <w:proofErr w:type="spellEnd"/>
      <w:r w:rsidRPr="004F572A">
        <w:rPr>
          <w:rFonts w:eastAsia="Calibri"/>
          <w:sz w:val="22"/>
          <w:szCs w:val="22"/>
        </w:rPr>
        <w:t xml:space="preserve">, </w:t>
      </w:r>
      <w:r w:rsidR="0065439F">
        <w:rPr>
          <w:rFonts w:eastAsia="Calibri"/>
          <w:sz w:val="22"/>
          <w:szCs w:val="22"/>
        </w:rPr>
        <w:t xml:space="preserve">ir </w:t>
      </w:r>
      <w:r w:rsidRPr="004F572A">
        <w:rPr>
          <w:rFonts w:eastAsia="Calibri"/>
          <w:sz w:val="22"/>
          <w:szCs w:val="22"/>
        </w:rPr>
        <w:t>3</w:t>
      </w:r>
      <w:r w:rsidR="00115D7F">
        <w:rPr>
          <w:rFonts w:eastAsia="Calibri"/>
          <w:sz w:val="22"/>
          <w:szCs w:val="22"/>
        </w:rPr>
        <w:t> </w:t>
      </w:r>
      <w:r w:rsidRPr="004F572A">
        <w:rPr>
          <w:rFonts w:eastAsia="Calibri"/>
          <w:sz w:val="22"/>
          <w:szCs w:val="22"/>
        </w:rPr>
        <w:t>pacientams [7,7</w:t>
      </w:r>
      <w:r w:rsidR="00115D7F">
        <w:rPr>
          <w:rFonts w:eastAsia="Calibri"/>
          <w:sz w:val="22"/>
          <w:szCs w:val="22"/>
        </w:rPr>
        <w:t> </w:t>
      </w:r>
      <w:r w:rsidRPr="004F572A">
        <w:rPr>
          <w:rFonts w:eastAsia="Calibri"/>
          <w:sz w:val="22"/>
          <w:szCs w:val="22"/>
        </w:rPr>
        <w:t xml:space="preserve">%], gydytiems </w:t>
      </w:r>
      <w:proofErr w:type="spellStart"/>
      <w:r w:rsidRPr="004F572A">
        <w:rPr>
          <w:rFonts w:eastAsia="Calibri"/>
          <w:sz w:val="22"/>
          <w:szCs w:val="22"/>
        </w:rPr>
        <w:t>ifosfamidu</w:t>
      </w:r>
      <w:proofErr w:type="spellEnd"/>
      <w:r w:rsidRPr="004F572A">
        <w:rPr>
          <w:rFonts w:eastAsia="Calibri"/>
          <w:sz w:val="22"/>
          <w:szCs w:val="22"/>
        </w:rPr>
        <w:t xml:space="preserve"> ir </w:t>
      </w:r>
      <w:proofErr w:type="spellStart"/>
      <w:r w:rsidRPr="004F572A">
        <w:rPr>
          <w:rFonts w:eastAsia="Calibri"/>
          <w:sz w:val="22"/>
          <w:szCs w:val="22"/>
        </w:rPr>
        <w:t>etopozidu</w:t>
      </w:r>
      <w:proofErr w:type="spellEnd"/>
      <w:r w:rsidR="00896616" w:rsidRPr="004F572A">
        <w:rPr>
          <w:rFonts w:eastAsia="Calibri"/>
          <w:sz w:val="22"/>
          <w:szCs w:val="22"/>
        </w:rPr>
        <w:t>)</w:t>
      </w:r>
      <w:r w:rsidRPr="004F572A">
        <w:rPr>
          <w:rFonts w:eastAsia="Calibri"/>
          <w:sz w:val="22"/>
          <w:szCs w:val="22"/>
        </w:rPr>
        <w:t xml:space="preserve">. </w:t>
      </w:r>
      <w:r w:rsidR="0065439F">
        <w:rPr>
          <w:rFonts w:eastAsia="Calibri"/>
          <w:sz w:val="22"/>
          <w:szCs w:val="22"/>
        </w:rPr>
        <w:t xml:space="preserve">Tyrimo Nr. </w:t>
      </w:r>
      <w:r w:rsidRPr="004F572A">
        <w:rPr>
          <w:rFonts w:eastAsia="Calibri"/>
          <w:sz w:val="22"/>
          <w:szCs w:val="22"/>
        </w:rPr>
        <w:t xml:space="preserve">216 </w:t>
      </w:r>
      <w:r w:rsidR="00896616" w:rsidRPr="004F572A">
        <w:rPr>
          <w:rFonts w:eastAsia="Calibri"/>
          <w:sz w:val="22"/>
          <w:szCs w:val="22"/>
        </w:rPr>
        <w:t xml:space="preserve">tyrimo metu </w:t>
      </w:r>
      <w:proofErr w:type="spellStart"/>
      <w:r w:rsidR="00896616" w:rsidRPr="004F572A">
        <w:rPr>
          <w:rFonts w:eastAsia="Calibri"/>
          <w:sz w:val="22"/>
          <w:szCs w:val="22"/>
        </w:rPr>
        <w:t>pneumotoraks</w:t>
      </w:r>
      <w:r w:rsidR="0065439F">
        <w:rPr>
          <w:rFonts w:eastAsia="Calibri"/>
          <w:sz w:val="22"/>
          <w:szCs w:val="22"/>
        </w:rPr>
        <w:t>as</w:t>
      </w:r>
      <w:proofErr w:type="spellEnd"/>
      <w:r w:rsidR="0065439F">
        <w:rPr>
          <w:rFonts w:eastAsia="Calibri"/>
          <w:sz w:val="22"/>
          <w:szCs w:val="22"/>
        </w:rPr>
        <w:t xml:space="preserve"> pasireiškė</w:t>
      </w:r>
      <w:r w:rsidR="00896616" w:rsidRPr="004F572A">
        <w:rPr>
          <w:rFonts w:eastAsia="Calibri"/>
          <w:sz w:val="22"/>
          <w:szCs w:val="22"/>
        </w:rPr>
        <w:t xml:space="preserve"> </w:t>
      </w:r>
      <w:r w:rsidRPr="004F572A">
        <w:rPr>
          <w:rFonts w:eastAsia="Calibri"/>
          <w:sz w:val="22"/>
          <w:szCs w:val="22"/>
        </w:rPr>
        <w:t>3</w:t>
      </w:r>
      <w:r w:rsidR="00115D7F">
        <w:rPr>
          <w:rFonts w:eastAsia="Calibri"/>
          <w:sz w:val="22"/>
          <w:szCs w:val="22"/>
        </w:rPr>
        <w:t> </w:t>
      </w:r>
      <w:r w:rsidRPr="004F572A">
        <w:rPr>
          <w:rFonts w:eastAsia="Calibri"/>
          <w:sz w:val="22"/>
          <w:szCs w:val="22"/>
        </w:rPr>
        <w:t>pacientams (4,7</w:t>
      </w:r>
      <w:r w:rsidR="00896616" w:rsidRPr="004F572A">
        <w:rPr>
          <w:rFonts w:eastAsia="Calibri"/>
          <w:sz w:val="22"/>
          <w:szCs w:val="22"/>
        </w:rPr>
        <w:t> </w:t>
      </w:r>
      <w:r w:rsidRPr="004F572A">
        <w:rPr>
          <w:rFonts w:eastAsia="Calibri"/>
          <w:sz w:val="22"/>
          <w:szCs w:val="22"/>
        </w:rPr>
        <w:t xml:space="preserve">%), sergantiems </w:t>
      </w:r>
      <w:proofErr w:type="spellStart"/>
      <w:r w:rsidRPr="004F572A">
        <w:rPr>
          <w:rFonts w:eastAsia="Calibri"/>
          <w:sz w:val="22"/>
          <w:szCs w:val="22"/>
        </w:rPr>
        <w:t>Evingo</w:t>
      </w:r>
      <w:proofErr w:type="spellEnd"/>
      <w:r w:rsidRPr="004F572A">
        <w:rPr>
          <w:rFonts w:eastAsia="Calibri"/>
          <w:sz w:val="22"/>
          <w:szCs w:val="22"/>
        </w:rPr>
        <w:t xml:space="preserve"> (</w:t>
      </w:r>
      <w:proofErr w:type="spellStart"/>
      <w:r w:rsidRPr="004F572A">
        <w:rPr>
          <w:rFonts w:eastAsia="Calibri"/>
          <w:i/>
          <w:iCs/>
          <w:sz w:val="22"/>
          <w:szCs w:val="22"/>
        </w:rPr>
        <w:t>Ewing</w:t>
      </w:r>
      <w:proofErr w:type="spellEnd"/>
      <w:r w:rsidRPr="004F572A">
        <w:rPr>
          <w:rFonts w:eastAsia="Calibri"/>
          <w:sz w:val="22"/>
          <w:szCs w:val="22"/>
        </w:rPr>
        <w:t xml:space="preserve">) sarkoma, </w:t>
      </w:r>
      <w:proofErr w:type="spellStart"/>
      <w:r w:rsidRPr="004F572A">
        <w:rPr>
          <w:rFonts w:eastAsia="Calibri"/>
          <w:sz w:val="22"/>
          <w:szCs w:val="22"/>
        </w:rPr>
        <w:t>rabdomiosarkoma</w:t>
      </w:r>
      <w:proofErr w:type="spellEnd"/>
      <w:r w:rsidRPr="004F572A">
        <w:rPr>
          <w:rFonts w:eastAsia="Calibri"/>
          <w:sz w:val="22"/>
          <w:szCs w:val="22"/>
        </w:rPr>
        <w:t xml:space="preserve"> (RMS) ir </w:t>
      </w:r>
      <w:proofErr w:type="spellStart"/>
      <w:r w:rsidRPr="004F572A">
        <w:rPr>
          <w:rFonts w:eastAsia="Calibri"/>
          <w:sz w:val="22"/>
          <w:szCs w:val="22"/>
        </w:rPr>
        <w:t>Vilmso</w:t>
      </w:r>
      <w:proofErr w:type="spellEnd"/>
      <w:r w:rsidRPr="004F572A">
        <w:rPr>
          <w:rFonts w:eastAsia="Calibri"/>
          <w:sz w:val="22"/>
          <w:szCs w:val="22"/>
        </w:rPr>
        <w:t xml:space="preserve"> (</w:t>
      </w:r>
      <w:proofErr w:type="spellStart"/>
      <w:r w:rsidRPr="004F572A">
        <w:rPr>
          <w:rFonts w:eastAsia="Calibri"/>
          <w:i/>
          <w:iCs/>
          <w:sz w:val="22"/>
          <w:szCs w:val="22"/>
        </w:rPr>
        <w:t>Wilms</w:t>
      </w:r>
      <w:proofErr w:type="spellEnd"/>
      <w:r w:rsidRPr="004F572A">
        <w:rPr>
          <w:rFonts w:eastAsia="Calibri"/>
          <w:sz w:val="22"/>
          <w:szCs w:val="22"/>
        </w:rPr>
        <w:t>) naviku; visiems 3</w:t>
      </w:r>
      <w:r w:rsidR="00115D7F">
        <w:rPr>
          <w:rFonts w:eastAsia="Calibri"/>
          <w:sz w:val="22"/>
          <w:szCs w:val="22"/>
        </w:rPr>
        <w:t> </w:t>
      </w:r>
      <w:r w:rsidRPr="004F572A">
        <w:rPr>
          <w:rFonts w:eastAsia="Calibri"/>
          <w:sz w:val="22"/>
          <w:szCs w:val="22"/>
        </w:rPr>
        <w:t xml:space="preserve">pacientams </w:t>
      </w:r>
      <w:r w:rsidR="00896616" w:rsidRPr="004F572A">
        <w:rPr>
          <w:rFonts w:eastAsia="Calibri"/>
          <w:sz w:val="22"/>
          <w:szCs w:val="22"/>
        </w:rPr>
        <w:t>gydym</w:t>
      </w:r>
      <w:r w:rsidR="0065439F">
        <w:rPr>
          <w:rFonts w:eastAsia="Calibri"/>
          <w:sz w:val="22"/>
          <w:szCs w:val="22"/>
        </w:rPr>
        <w:t>o pradžioje</w:t>
      </w:r>
      <w:r w:rsidR="00896616" w:rsidRPr="004F572A">
        <w:rPr>
          <w:rFonts w:eastAsia="Calibri"/>
          <w:sz w:val="22"/>
          <w:szCs w:val="22"/>
        </w:rPr>
        <w:t xml:space="preserve"> </w:t>
      </w:r>
      <w:r w:rsidRPr="004F572A">
        <w:rPr>
          <w:rFonts w:eastAsia="Calibri"/>
          <w:sz w:val="22"/>
          <w:szCs w:val="22"/>
        </w:rPr>
        <w:t xml:space="preserve">buvo </w:t>
      </w:r>
      <w:r w:rsidR="0065439F">
        <w:rPr>
          <w:rFonts w:eastAsia="Calibri"/>
          <w:sz w:val="22"/>
          <w:szCs w:val="22"/>
        </w:rPr>
        <w:t xml:space="preserve">plaučių </w:t>
      </w:r>
      <w:r w:rsidRPr="004F572A">
        <w:rPr>
          <w:rFonts w:eastAsia="Calibri"/>
          <w:sz w:val="22"/>
          <w:szCs w:val="22"/>
        </w:rPr>
        <w:t xml:space="preserve">metastazių. </w:t>
      </w:r>
      <w:r w:rsidR="0065439F">
        <w:rPr>
          <w:rFonts w:eastAsia="Calibri"/>
          <w:sz w:val="22"/>
          <w:szCs w:val="22"/>
        </w:rPr>
        <w:t xml:space="preserve">Tyrimo Nr. </w:t>
      </w:r>
      <w:r w:rsidRPr="004F572A">
        <w:rPr>
          <w:rFonts w:eastAsia="Calibri"/>
          <w:sz w:val="22"/>
          <w:szCs w:val="22"/>
        </w:rPr>
        <w:t xml:space="preserve">231 </w:t>
      </w:r>
      <w:r w:rsidR="00896616" w:rsidRPr="004F572A">
        <w:rPr>
          <w:rFonts w:eastAsia="Calibri"/>
          <w:sz w:val="22"/>
          <w:szCs w:val="22"/>
        </w:rPr>
        <w:t xml:space="preserve">tyrimo metu </w:t>
      </w:r>
      <w:proofErr w:type="spellStart"/>
      <w:r w:rsidR="00896616" w:rsidRPr="004F572A">
        <w:rPr>
          <w:rFonts w:eastAsia="Calibri"/>
          <w:sz w:val="22"/>
          <w:szCs w:val="22"/>
        </w:rPr>
        <w:t>pneumotoraks</w:t>
      </w:r>
      <w:r w:rsidR="0065439F">
        <w:rPr>
          <w:rFonts w:eastAsia="Calibri"/>
          <w:sz w:val="22"/>
          <w:szCs w:val="22"/>
        </w:rPr>
        <w:t>as</w:t>
      </w:r>
      <w:proofErr w:type="spellEnd"/>
      <w:r w:rsidR="0065439F">
        <w:rPr>
          <w:rFonts w:eastAsia="Calibri"/>
          <w:sz w:val="22"/>
          <w:szCs w:val="22"/>
        </w:rPr>
        <w:t xml:space="preserve"> pasireiškė</w:t>
      </w:r>
      <w:r w:rsidRPr="004F572A">
        <w:rPr>
          <w:rFonts w:eastAsia="Calibri"/>
          <w:sz w:val="22"/>
          <w:szCs w:val="22"/>
        </w:rPr>
        <w:t xml:space="preserve"> 7</w:t>
      </w:r>
      <w:r w:rsidR="00115D7F">
        <w:rPr>
          <w:rFonts w:eastAsia="Calibri"/>
          <w:sz w:val="22"/>
          <w:szCs w:val="22"/>
        </w:rPr>
        <w:t> </w:t>
      </w:r>
      <w:r w:rsidRPr="004F572A">
        <w:rPr>
          <w:rFonts w:eastAsia="Calibri"/>
          <w:sz w:val="22"/>
          <w:szCs w:val="22"/>
        </w:rPr>
        <w:t>pacientams (5,5</w:t>
      </w:r>
      <w:r w:rsidR="00896616" w:rsidRPr="004F572A">
        <w:rPr>
          <w:rFonts w:eastAsia="Calibri"/>
          <w:sz w:val="22"/>
          <w:szCs w:val="22"/>
        </w:rPr>
        <w:t> </w:t>
      </w:r>
      <w:r w:rsidRPr="004F572A">
        <w:rPr>
          <w:rFonts w:eastAsia="Calibri"/>
          <w:sz w:val="22"/>
          <w:szCs w:val="22"/>
        </w:rPr>
        <w:t xml:space="preserve">%), sergantiems </w:t>
      </w:r>
      <w:r w:rsidR="0065439F">
        <w:rPr>
          <w:rFonts w:eastAsia="Calibri"/>
          <w:sz w:val="22"/>
          <w:szCs w:val="22"/>
        </w:rPr>
        <w:t>šviesiųjų</w:t>
      </w:r>
      <w:r w:rsidRPr="004F572A">
        <w:rPr>
          <w:rFonts w:eastAsia="Calibri"/>
          <w:sz w:val="22"/>
          <w:szCs w:val="22"/>
        </w:rPr>
        <w:t xml:space="preserve"> ląstelių sarkoma, nediferencijuota sarkoma, RMS, piktybiniu periferinio nervo dangalo naviku, </w:t>
      </w:r>
      <w:proofErr w:type="spellStart"/>
      <w:r w:rsidRPr="004F572A">
        <w:rPr>
          <w:rFonts w:eastAsia="Calibri"/>
          <w:sz w:val="22"/>
          <w:szCs w:val="22"/>
        </w:rPr>
        <w:t>sinovine</w:t>
      </w:r>
      <w:proofErr w:type="spellEnd"/>
      <w:r w:rsidRPr="004F572A">
        <w:rPr>
          <w:rFonts w:eastAsia="Calibri"/>
          <w:sz w:val="22"/>
          <w:szCs w:val="22"/>
        </w:rPr>
        <w:t xml:space="preserve"> sarkoma, </w:t>
      </w:r>
      <w:r w:rsidR="0065439F">
        <w:rPr>
          <w:rFonts w:eastAsia="Calibri"/>
          <w:sz w:val="22"/>
          <w:szCs w:val="22"/>
        </w:rPr>
        <w:t>šviesiųjų</w:t>
      </w:r>
      <w:r w:rsidRPr="004F572A">
        <w:rPr>
          <w:rFonts w:eastAsia="Calibri"/>
          <w:sz w:val="22"/>
          <w:szCs w:val="22"/>
        </w:rPr>
        <w:t xml:space="preserve"> ląstelių karcinoma ir piktybiniu </w:t>
      </w:r>
      <w:proofErr w:type="spellStart"/>
      <w:r w:rsidRPr="004F572A">
        <w:rPr>
          <w:rFonts w:eastAsia="Calibri"/>
          <w:sz w:val="22"/>
          <w:szCs w:val="22"/>
        </w:rPr>
        <w:t>osifikuojančiu</w:t>
      </w:r>
      <w:proofErr w:type="spellEnd"/>
      <w:r w:rsidRPr="004F572A">
        <w:rPr>
          <w:rFonts w:eastAsia="Calibri"/>
          <w:sz w:val="22"/>
          <w:szCs w:val="22"/>
        </w:rPr>
        <w:t xml:space="preserve"> </w:t>
      </w:r>
      <w:proofErr w:type="spellStart"/>
      <w:r w:rsidRPr="004F572A">
        <w:rPr>
          <w:rFonts w:eastAsia="Calibri"/>
          <w:sz w:val="22"/>
          <w:szCs w:val="22"/>
        </w:rPr>
        <w:t>fibromiksoidiniu</w:t>
      </w:r>
      <w:proofErr w:type="spellEnd"/>
      <w:r w:rsidRPr="004F572A">
        <w:rPr>
          <w:rFonts w:eastAsia="Calibri"/>
          <w:sz w:val="22"/>
          <w:szCs w:val="22"/>
        </w:rPr>
        <w:t xml:space="preserve"> naviku; visiems 7</w:t>
      </w:r>
      <w:r w:rsidR="00115D7F">
        <w:rPr>
          <w:rFonts w:eastAsia="Calibri"/>
          <w:sz w:val="22"/>
          <w:szCs w:val="22"/>
        </w:rPr>
        <w:t> </w:t>
      </w:r>
      <w:r w:rsidRPr="004F572A">
        <w:rPr>
          <w:rFonts w:eastAsia="Calibri"/>
          <w:sz w:val="22"/>
          <w:szCs w:val="22"/>
        </w:rPr>
        <w:t xml:space="preserve">pacientams </w:t>
      </w:r>
      <w:r w:rsidR="001F4094" w:rsidRPr="004F572A">
        <w:rPr>
          <w:rFonts w:eastAsia="Calibri"/>
          <w:sz w:val="22"/>
          <w:szCs w:val="22"/>
        </w:rPr>
        <w:t>gydym</w:t>
      </w:r>
      <w:r w:rsidR="0065439F">
        <w:rPr>
          <w:rFonts w:eastAsia="Calibri"/>
          <w:sz w:val="22"/>
          <w:szCs w:val="22"/>
        </w:rPr>
        <w:t>o pradžioje</w:t>
      </w:r>
      <w:r w:rsidR="001F4094" w:rsidRPr="004F572A">
        <w:rPr>
          <w:rFonts w:eastAsia="Calibri"/>
          <w:sz w:val="22"/>
          <w:szCs w:val="22"/>
        </w:rPr>
        <w:t xml:space="preserve"> buvo </w:t>
      </w:r>
      <w:r w:rsidR="0065439F">
        <w:rPr>
          <w:rFonts w:eastAsia="Calibri"/>
          <w:sz w:val="22"/>
          <w:szCs w:val="22"/>
        </w:rPr>
        <w:t xml:space="preserve">plaučių </w:t>
      </w:r>
      <w:r w:rsidR="001F4094" w:rsidRPr="004F572A">
        <w:rPr>
          <w:rFonts w:eastAsia="Calibri"/>
          <w:sz w:val="22"/>
          <w:szCs w:val="22"/>
        </w:rPr>
        <w:t>metastazių arba</w:t>
      </w:r>
      <w:r w:rsidRPr="004F572A">
        <w:rPr>
          <w:rFonts w:eastAsia="Calibri"/>
          <w:sz w:val="22"/>
          <w:szCs w:val="22"/>
        </w:rPr>
        <w:t xml:space="preserve"> pirminė liga krūtinės ląst</w:t>
      </w:r>
      <w:r w:rsidR="001F4094" w:rsidRPr="004F572A">
        <w:rPr>
          <w:rFonts w:eastAsia="Calibri"/>
          <w:sz w:val="22"/>
          <w:szCs w:val="22"/>
        </w:rPr>
        <w:t>oje</w:t>
      </w:r>
      <w:r w:rsidRPr="004F572A">
        <w:rPr>
          <w:rFonts w:eastAsia="Calibri"/>
          <w:sz w:val="22"/>
          <w:szCs w:val="22"/>
        </w:rPr>
        <w:t xml:space="preserve"> arba pleuros ertmėje. </w:t>
      </w:r>
      <w:r w:rsidR="0065439F">
        <w:rPr>
          <w:rFonts w:eastAsia="Calibri"/>
          <w:sz w:val="22"/>
          <w:szCs w:val="22"/>
        </w:rPr>
        <w:t xml:space="preserve">Tyrimų </w:t>
      </w:r>
      <w:proofErr w:type="spellStart"/>
      <w:r w:rsidR="0065439F">
        <w:rPr>
          <w:rFonts w:eastAsia="Calibri"/>
          <w:sz w:val="22"/>
          <w:szCs w:val="22"/>
        </w:rPr>
        <w:t>Nr</w:t>
      </w:r>
      <w:proofErr w:type="spellEnd"/>
      <w:r w:rsidR="0065439F">
        <w:rPr>
          <w:rFonts w:eastAsia="Calibri"/>
          <w:sz w:val="22"/>
          <w:szCs w:val="22"/>
        </w:rPr>
        <w:t xml:space="preserve">, </w:t>
      </w:r>
      <w:r w:rsidRPr="004F572A">
        <w:rPr>
          <w:rFonts w:eastAsia="Calibri"/>
          <w:sz w:val="22"/>
          <w:szCs w:val="22"/>
        </w:rPr>
        <w:t xml:space="preserve">216, 230 ir 231 metu </w:t>
      </w:r>
      <w:r w:rsidR="0065439F">
        <w:rPr>
          <w:rFonts w:eastAsia="Calibri"/>
          <w:sz w:val="22"/>
          <w:szCs w:val="22"/>
        </w:rPr>
        <w:t xml:space="preserve">tiriamasis gydymas </w:t>
      </w:r>
      <w:r w:rsidRPr="004F572A">
        <w:rPr>
          <w:rFonts w:eastAsia="Calibri"/>
          <w:sz w:val="22"/>
          <w:szCs w:val="22"/>
        </w:rPr>
        <w:t xml:space="preserve">dėl </w:t>
      </w:r>
      <w:proofErr w:type="spellStart"/>
      <w:r w:rsidRPr="004F572A">
        <w:rPr>
          <w:rFonts w:eastAsia="Calibri"/>
          <w:sz w:val="22"/>
          <w:szCs w:val="22"/>
        </w:rPr>
        <w:t>pneumotorakso</w:t>
      </w:r>
      <w:proofErr w:type="spellEnd"/>
      <w:r w:rsidR="0065439F">
        <w:rPr>
          <w:rFonts w:eastAsia="Calibri"/>
          <w:sz w:val="22"/>
          <w:szCs w:val="22"/>
        </w:rPr>
        <w:t xml:space="preserve"> nenutrauktas nė vienam pacientui</w:t>
      </w:r>
      <w:r w:rsidRPr="004F572A">
        <w:rPr>
          <w:rFonts w:eastAsia="Calibri"/>
          <w:sz w:val="22"/>
          <w:szCs w:val="22"/>
        </w:rPr>
        <w:t>.</w:t>
      </w:r>
      <w:r w:rsidR="0065439F">
        <w:rPr>
          <w:rFonts w:eastAsia="Calibri"/>
          <w:sz w:val="22"/>
          <w:szCs w:val="22"/>
        </w:rPr>
        <w:t xml:space="preserve"> </w:t>
      </w:r>
      <w:proofErr w:type="spellStart"/>
      <w:r w:rsidR="0065439F">
        <w:rPr>
          <w:rFonts w:eastAsia="Calibri"/>
          <w:sz w:val="22"/>
          <w:szCs w:val="22"/>
        </w:rPr>
        <w:t>P</w:t>
      </w:r>
      <w:r w:rsidR="002E1364" w:rsidRPr="004F572A">
        <w:rPr>
          <w:rFonts w:eastAsia="Calibri"/>
          <w:sz w:val="22"/>
          <w:szCs w:val="22"/>
        </w:rPr>
        <w:t>neumotoraks</w:t>
      </w:r>
      <w:r w:rsidR="0065439F">
        <w:rPr>
          <w:rFonts w:eastAsia="Calibri"/>
          <w:sz w:val="22"/>
          <w:szCs w:val="22"/>
        </w:rPr>
        <w:t>as</w:t>
      </w:r>
      <w:proofErr w:type="spellEnd"/>
      <w:r w:rsidR="002E1364" w:rsidRPr="004F572A">
        <w:rPr>
          <w:rFonts w:eastAsia="Calibri"/>
          <w:sz w:val="22"/>
          <w:szCs w:val="22"/>
        </w:rPr>
        <w:t xml:space="preserve"> daugiausia </w:t>
      </w:r>
      <w:r w:rsidR="0065439F">
        <w:rPr>
          <w:rFonts w:eastAsia="Calibri"/>
          <w:sz w:val="22"/>
          <w:szCs w:val="22"/>
        </w:rPr>
        <w:t>pasireišk</w:t>
      </w:r>
      <w:r w:rsidR="003B58C5">
        <w:rPr>
          <w:rFonts w:eastAsia="Calibri"/>
          <w:sz w:val="22"/>
          <w:szCs w:val="22"/>
        </w:rPr>
        <w:t>ė</w:t>
      </w:r>
      <w:r w:rsidR="0065439F">
        <w:rPr>
          <w:rFonts w:eastAsia="Calibri"/>
          <w:sz w:val="22"/>
          <w:szCs w:val="22"/>
        </w:rPr>
        <w:t xml:space="preserve"> kaip </w:t>
      </w:r>
      <w:r w:rsidR="002E1364" w:rsidRPr="004F572A">
        <w:rPr>
          <w:rFonts w:eastAsia="Calibri"/>
          <w:sz w:val="22"/>
          <w:szCs w:val="22"/>
        </w:rPr>
        <w:t>plaučių metastaz</w:t>
      </w:r>
      <w:r w:rsidR="0065439F">
        <w:rPr>
          <w:rFonts w:eastAsia="Calibri"/>
          <w:sz w:val="22"/>
          <w:szCs w:val="22"/>
        </w:rPr>
        <w:t>ių</w:t>
      </w:r>
      <w:r w:rsidR="002E1364" w:rsidRPr="004F572A">
        <w:rPr>
          <w:rFonts w:eastAsia="Calibri"/>
          <w:sz w:val="22"/>
          <w:szCs w:val="22"/>
        </w:rPr>
        <w:t xml:space="preserve"> ir pagrindin</w:t>
      </w:r>
      <w:r w:rsidR="0065439F">
        <w:rPr>
          <w:rFonts w:eastAsia="Calibri"/>
          <w:sz w:val="22"/>
          <w:szCs w:val="22"/>
        </w:rPr>
        <w:t>ės</w:t>
      </w:r>
      <w:r w:rsidR="002E1364" w:rsidRPr="004F572A">
        <w:rPr>
          <w:rFonts w:eastAsia="Calibri"/>
          <w:sz w:val="22"/>
          <w:szCs w:val="22"/>
        </w:rPr>
        <w:t xml:space="preserve"> lig</w:t>
      </w:r>
      <w:r w:rsidR="0065439F">
        <w:rPr>
          <w:rFonts w:eastAsia="Calibri"/>
          <w:sz w:val="22"/>
          <w:szCs w:val="22"/>
        </w:rPr>
        <w:t>os pasekmė</w:t>
      </w:r>
      <w:r w:rsidRPr="004F572A">
        <w:rPr>
          <w:rFonts w:eastAsia="Calibri"/>
          <w:sz w:val="22"/>
          <w:szCs w:val="22"/>
        </w:rPr>
        <w:t>.</w:t>
      </w:r>
    </w:p>
    <w:p w14:paraId="01BDC293" w14:textId="77777777" w:rsidR="001F4094" w:rsidRPr="004F572A" w:rsidRDefault="001F4094" w:rsidP="003E3675">
      <w:pPr>
        <w:widowControl w:val="0"/>
        <w:tabs>
          <w:tab w:val="clear" w:pos="567"/>
        </w:tabs>
        <w:rPr>
          <w:rFonts w:eastAsia="Calibri"/>
          <w:sz w:val="22"/>
          <w:szCs w:val="22"/>
        </w:rPr>
      </w:pPr>
    </w:p>
    <w:p w14:paraId="6C7FBF98" w14:textId="3BFD4052" w:rsidR="003E3675" w:rsidRPr="004F572A" w:rsidRDefault="0065439F" w:rsidP="003E3675">
      <w:pPr>
        <w:widowControl w:val="0"/>
        <w:tabs>
          <w:tab w:val="clear" w:pos="567"/>
        </w:tabs>
        <w:rPr>
          <w:rFonts w:eastAsia="Calibri"/>
          <w:sz w:val="22"/>
          <w:szCs w:val="22"/>
        </w:rPr>
      </w:pPr>
      <w:r>
        <w:rPr>
          <w:rFonts w:eastAsia="Calibri"/>
          <w:sz w:val="22"/>
          <w:szCs w:val="22"/>
        </w:rPr>
        <w:t xml:space="preserve">Tyrimo Nr. </w:t>
      </w:r>
      <w:r w:rsidR="003E3675" w:rsidRPr="004F572A">
        <w:rPr>
          <w:rFonts w:eastAsia="Calibri"/>
          <w:sz w:val="22"/>
          <w:szCs w:val="22"/>
        </w:rPr>
        <w:t xml:space="preserve">207 </w:t>
      </w:r>
      <w:r w:rsidRPr="0065439F">
        <w:rPr>
          <w:rFonts w:eastAsia="Calibri"/>
          <w:sz w:val="22"/>
          <w:szCs w:val="22"/>
        </w:rPr>
        <w:t>vieno vaistinio preparato dozės</w:t>
      </w:r>
      <w:r w:rsidR="00D63E87">
        <w:rPr>
          <w:rFonts w:eastAsia="Calibri"/>
          <w:sz w:val="22"/>
          <w:szCs w:val="22"/>
        </w:rPr>
        <w:t xml:space="preserve"> </w:t>
      </w:r>
      <w:r w:rsidR="003E3675" w:rsidRPr="004F572A">
        <w:rPr>
          <w:rFonts w:eastAsia="Calibri"/>
          <w:sz w:val="22"/>
          <w:szCs w:val="22"/>
        </w:rPr>
        <w:t>nustatymo grupėje dažniausiai (≥</w:t>
      </w:r>
      <w:r w:rsidR="004F1C95" w:rsidRPr="004F572A">
        <w:rPr>
          <w:rFonts w:eastAsia="Calibri"/>
          <w:sz w:val="22"/>
          <w:szCs w:val="22"/>
        </w:rPr>
        <w:t> </w:t>
      </w:r>
      <w:r w:rsidR="003E3675" w:rsidRPr="004F572A">
        <w:rPr>
          <w:rFonts w:eastAsia="Calibri"/>
          <w:sz w:val="22"/>
          <w:szCs w:val="22"/>
        </w:rPr>
        <w:t>40</w:t>
      </w:r>
      <w:r w:rsidR="00DE4D92" w:rsidRPr="004F572A">
        <w:rPr>
          <w:rFonts w:eastAsia="Calibri"/>
          <w:sz w:val="22"/>
          <w:szCs w:val="22"/>
        </w:rPr>
        <w:t> </w:t>
      </w:r>
      <w:r w:rsidR="003E3675" w:rsidRPr="004F572A">
        <w:rPr>
          <w:rFonts w:eastAsia="Calibri"/>
          <w:sz w:val="22"/>
          <w:szCs w:val="22"/>
        </w:rPr>
        <w:t xml:space="preserve">%) </w:t>
      </w:r>
      <w:r>
        <w:rPr>
          <w:rFonts w:eastAsia="Calibri"/>
          <w:sz w:val="22"/>
          <w:szCs w:val="22"/>
        </w:rPr>
        <w:t>pasireiškusios</w:t>
      </w:r>
      <w:r w:rsidR="004F1C95" w:rsidRPr="004F572A">
        <w:rPr>
          <w:rFonts w:eastAsia="Calibri"/>
          <w:sz w:val="22"/>
          <w:szCs w:val="22"/>
        </w:rPr>
        <w:t xml:space="preserve"> </w:t>
      </w:r>
      <w:r w:rsidR="004F1C95" w:rsidRPr="004F572A">
        <w:rPr>
          <w:rFonts w:eastAsia="Calibri"/>
          <w:sz w:val="22"/>
          <w:szCs w:val="22"/>
        </w:rPr>
        <w:lastRenderedPageBreak/>
        <w:t xml:space="preserve">nepageidaujamos reakcijos </w:t>
      </w:r>
      <w:r w:rsidR="003E3675" w:rsidRPr="004F572A">
        <w:rPr>
          <w:rFonts w:eastAsia="Calibri"/>
          <w:sz w:val="22"/>
          <w:szCs w:val="22"/>
        </w:rPr>
        <w:t xml:space="preserve">buvo apetito sumažėjimas, viduriavimas, </w:t>
      </w:r>
      <w:proofErr w:type="spellStart"/>
      <w:r w:rsidR="003E3675" w:rsidRPr="004F572A">
        <w:rPr>
          <w:rFonts w:eastAsia="Calibri"/>
          <w:sz w:val="22"/>
          <w:szCs w:val="22"/>
        </w:rPr>
        <w:t>hipotirozė</w:t>
      </w:r>
      <w:proofErr w:type="spellEnd"/>
      <w:r w:rsidR="003E3675" w:rsidRPr="004F572A">
        <w:rPr>
          <w:rFonts w:eastAsia="Calibri"/>
          <w:sz w:val="22"/>
          <w:szCs w:val="22"/>
        </w:rPr>
        <w:t xml:space="preserve">, vėmimas, pilvo skausmas, </w:t>
      </w:r>
      <w:proofErr w:type="spellStart"/>
      <w:r>
        <w:rPr>
          <w:rFonts w:eastAsia="Calibri"/>
          <w:sz w:val="22"/>
          <w:szCs w:val="22"/>
        </w:rPr>
        <w:t>pireksija</w:t>
      </w:r>
      <w:proofErr w:type="spellEnd"/>
      <w:r w:rsidR="003E3675" w:rsidRPr="004F572A">
        <w:rPr>
          <w:rFonts w:eastAsia="Calibri"/>
          <w:sz w:val="22"/>
          <w:szCs w:val="22"/>
        </w:rPr>
        <w:t>, hipertenzija ir sumažėjęs svoris</w:t>
      </w:r>
      <w:r>
        <w:rPr>
          <w:rFonts w:eastAsia="Calibri"/>
          <w:sz w:val="22"/>
          <w:szCs w:val="22"/>
        </w:rPr>
        <w:t xml:space="preserve">, o tyrimo Nr. </w:t>
      </w:r>
      <w:r w:rsidR="00DE4D92" w:rsidRPr="004F572A">
        <w:rPr>
          <w:rFonts w:eastAsia="Calibri"/>
          <w:sz w:val="22"/>
          <w:szCs w:val="22"/>
        </w:rPr>
        <w:t xml:space="preserve">207 </w:t>
      </w:r>
      <w:r w:rsidR="00217A1D" w:rsidRPr="00217A1D">
        <w:rPr>
          <w:rFonts w:eastAsia="Calibri"/>
          <w:sz w:val="22"/>
          <w:szCs w:val="22"/>
        </w:rPr>
        <w:t>vieno vaistinio preparato dozės</w:t>
      </w:r>
      <w:r w:rsidR="00DE4D92" w:rsidRPr="004F572A">
        <w:rPr>
          <w:rFonts w:eastAsia="Calibri"/>
          <w:sz w:val="22"/>
          <w:szCs w:val="22"/>
        </w:rPr>
        <w:t xml:space="preserve"> išplėtimo grupėje</w:t>
      </w:r>
      <w:r w:rsidR="003E3675" w:rsidRPr="004F572A">
        <w:rPr>
          <w:rFonts w:eastAsia="Calibri"/>
          <w:sz w:val="22"/>
          <w:szCs w:val="22"/>
        </w:rPr>
        <w:t xml:space="preserve">, </w:t>
      </w:r>
      <w:r w:rsidR="00217A1D">
        <w:rPr>
          <w:rFonts w:eastAsia="Calibri"/>
          <w:sz w:val="22"/>
          <w:szCs w:val="22"/>
        </w:rPr>
        <w:t>kurioje buvo pacientų</w:t>
      </w:r>
      <w:r w:rsidR="003E3675" w:rsidRPr="004F572A">
        <w:rPr>
          <w:rFonts w:eastAsia="Calibri"/>
          <w:sz w:val="22"/>
          <w:szCs w:val="22"/>
        </w:rPr>
        <w:t xml:space="preserve">, sergančių </w:t>
      </w:r>
      <w:proofErr w:type="spellStart"/>
      <w:r w:rsidR="003E3675" w:rsidRPr="004F572A">
        <w:rPr>
          <w:rFonts w:eastAsia="Calibri"/>
          <w:sz w:val="22"/>
          <w:szCs w:val="22"/>
        </w:rPr>
        <w:t>recidyvuojančia</w:t>
      </w:r>
      <w:proofErr w:type="spellEnd"/>
      <w:r w:rsidR="003E3675" w:rsidRPr="004F572A">
        <w:rPr>
          <w:rFonts w:eastAsia="Calibri"/>
          <w:sz w:val="22"/>
          <w:szCs w:val="22"/>
        </w:rPr>
        <w:t xml:space="preserve"> arba </w:t>
      </w:r>
      <w:proofErr w:type="spellStart"/>
      <w:r w:rsidR="003E3675" w:rsidRPr="004F572A">
        <w:rPr>
          <w:rFonts w:eastAsia="Calibri"/>
          <w:sz w:val="22"/>
          <w:szCs w:val="22"/>
        </w:rPr>
        <w:t>refrakterine</w:t>
      </w:r>
      <w:proofErr w:type="spellEnd"/>
      <w:r w:rsidR="003E3675" w:rsidRPr="004F572A">
        <w:rPr>
          <w:rFonts w:eastAsia="Calibri"/>
          <w:sz w:val="22"/>
          <w:szCs w:val="22"/>
        </w:rPr>
        <w:t xml:space="preserve"> </w:t>
      </w:r>
      <w:proofErr w:type="spellStart"/>
      <w:r w:rsidR="003E3675" w:rsidRPr="004F572A">
        <w:rPr>
          <w:rFonts w:eastAsia="Calibri"/>
          <w:sz w:val="22"/>
          <w:szCs w:val="22"/>
        </w:rPr>
        <w:t>osteosarkoma</w:t>
      </w:r>
      <w:proofErr w:type="spellEnd"/>
      <w:r w:rsidR="003E3675" w:rsidRPr="004F572A">
        <w:rPr>
          <w:rFonts w:eastAsia="Calibri"/>
          <w:sz w:val="22"/>
          <w:szCs w:val="22"/>
        </w:rPr>
        <w:t>, dažniausiai (≥</w:t>
      </w:r>
      <w:r w:rsidR="004F1C95" w:rsidRPr="004F572A">
        <w:rPr>
          <w:rFonts w:eastAsia="Calibri"/>
          <w:sz w:val="22"/>
          <w:szCs w:val="22"/>
        </w:rPr>
        <w:t> </w:t>
      </w:r>
      <w:r w:rsidR="003E3675" w:rsidRPr="004F572A">
        <w:rPr>
          <w:rFonts w:eastAsia="Calibri"/>
          <w:sz w:val="22"/>
          <w:szCs w:val="22"/>
        </w:rPr>
        <w:t>40</w:t>
      </w:r>
      <w:r w:rsidR="00DE4D92" w:rsidRPr="004F572A">
        <w:rPr>
          <w:rFonts w:eastAsia="Calibri"/>
          <w:sz w:val="22"/>
          <w:szCs w:val="22"/>
        </w:rPr>
        <w:t> </w:t>
      </w:r>
      <w:r w:rsidR="003E3675" w:rsidRPr="004F572A">
        <w:rPr>
          <w:rFonts w:eastAsia="Calibri"/>
          <w:sz w:val="22"/>
          <w:szCs w:val="22"/>
        </w:rPr>
        <w:t xml:space="preserve">%) </w:t>
      </w:r>
      <w:r w:rsidR="00217A1D">
        <w:rPr>
          <w:rFonts w:eastAsia="Calibri"/>
          <w:sz w:val="22"/>
          <w:szCs w:val="22"/>
        </w:rPr>
        <w:t>pasireiškusios</w:t>
      </w:r>
      <w:r w:rsidR="004F1C95" w:rsidRPr="004F572A">
        <w:rPr>
          <w:rFonts w:eastAsia="Calibri"/>
          <w:sz w:val="22"/>
          <w:szCs w:val="22"/>
        </w:rPr>
        <w:t xml:space="preserve"> nepageidaujamos reakcijos buvo </w:t>
      </w:r>
      <w:r w:rsidR="003E3675" w:rsidRPr="004F572A">
        <w:rPr>
          <w:rFonts w:eastAsia="Calibri"/>
          <w:sz w:val="22"/>
          <w:szCs w:val="22"/>
        </w:rPr>
        <w:t xml:space="preserve">apetito sumažėjimas, galvos skausmas, vėmimas, </w:t>
      </w:r>
      <w:proofErr w:type="spellStart"/>
      <w:r w:rsidR="003E3675" w:rsidRPr="004F572A">
        <w:rPr>
          <w:rFonts w:eastAsia="Calibri"/>
          <w:sz w:val="22"/>
          <w:szCs w:val="22"/>
        </w:rPr>
        <w:t>hipotirozė</w:t>
      </w:r>
      <w:proofErr w:type="spellEnd"/>
      <w:r w:rsidR="003E3675" w:rsidRPr="004F572A">
        <w:rPr>
          <w:rFonts w:eastAsia="Calibri"/>
          <w:sz w:val="22"/>
          <w:szCs w:val="22"/>
        </w:rPr>
        <w:t xml:space="preserve"> ir </w:t>
      </w:r>
      <w:proofErr w:type="spellStart"/>
      <w:r w:rsidR="003E3675" w:rsidRPr="004F572A">
        <w:rPr>
          <w:rFonts w:eastAsia="Calibri"/>
          <w:sz w:val="22"/>
          <w:szCs w:val="22"/>
        </w:rPr>
        <w:t>proteinurija</w:t>
      </w:r>
      <w:proofErr w:type="spellEnd"/>
      <w:r w:rsidR="003E3675" w:rsidRPr="004F572A">
        <w:rPr>
          <w:rFonts w:eastAsia="Calibri"/>
          <w:sz w:val="22"/>
          <w:szCs w:val="22"/>
        </w:rPr>
        <w:t>.</w:t>
      </w:r>
    </w:p>
    <w:p w14:paraId="7C24251F" w14:textId="77777777" w:rsidR="004F1C95" w:rsidRPr="004F572A" w:rsidRDefault="004F1C95" w:rsidP="003E3675">
      <w:pPr>
        <w:widowControl w:val="0"/>
        <w:tabs>
          <w:tab w:val="clear" w:pos="567"/>
        </w:tabs>
        <w:rPr>
          <w:rFonts w:eastAsia="Calibri"/>
          <w:sz w:val="22"/>
          <w:szCs w:val="22"/>
        </w:rPr>
      </w:pPr>
    </w:p>
    <w:p w14:paraId="37DB353D" w14:textId="3B65FE02" w:rsidR="004F1C95" w:rsidRPr="004F572A" w:rsidRDefault="00217A1D" w:rsidP="004F1C95">
      <w:pPr>
        <w:widowControl w:val="0"/>
        <w:tabs>
          <w:tab w:val="clear" w:pos="567"/>
        </w:tabs>
        <w:rPr>
          <w:rFonts w:eastAsia="Calibri"/>
          <w:sz w:val="22"/>
          <w:szCs w:val="22"/>
        </w:rPr>
      </w:pPr>
      <w:r>
        <w:rPr>
          <w:rFonts w:eastAsia="Calibri"/>
          <w:sz w:val="22"/>
          <w:szCs w:val="22"/>
        </w:rPr>
        <w:t xml:space="preserve">Tyrimo Nr. </w:t>
      </w:r>
      <w:r w:rsidR="004F1C95" w:rsidRPr="004F572A">
        <w:rPr>
          <w:rFonts w:eastAsia="Calibri"/>
          <w:sz w:val="22"/>
          <w:szCs w:val="22"/>
        </w:rPr>
        <w:t xml:space="preserve">207 </w:t>
      </w:r>
      <w:r w:rsidR="003E3675" w:rsidRPr="004F572A">
        <w:rPr>
          <w:rFonts w:eastAsia="Calibri"/>
          <w:sz w:val="22"/>
          <w:szCs w:val="22"/>
        </w:rPr>
        <w:t xml:space="preserve">kombinuoto gydymo dozės nustatymo grupėje </w:t>
      </w:r>
      <w:r w:rsidR="00623DA4" w:rsidRPr="004F572A">
        <w:rPr>
          <w:rFonts w:eastAsia="Calibri"/>
          <w:sz w:val="22"/>
          <w:szCs w:val="22"/>
        </w:rPr>
        <w:t xml:space="preserve">dažniausiai </w:t>
      </w:r>
      <w:r w:rsidR="003E3675" w:rsidRPr="004F572A">
        <w:rPr>
          <w:rFonts w:eastAsia="Calibri"/>
          <w:sz w:val="22"/>
          <w:szCs w:val="22"/>
        </w:rPr>
        <w:t>(≥</w:t>
      </w:r>
      <w:r w:rsidR="004F1C95" w:rsidRPr="004F572A">
        <w:rPr>
          <w:rFonts w:eastAsia="Calibri"/>
          <w:sz w:val="22"/>
          <w:szCs w:val="22"/>
        </w:rPr>
        <w:t> </w:t>
      </w:r>
      <w:r w:rsidR="003E3675" w:rsidRPr="004F572A">
        <w:rPr>
          <w:rFonts w:eastAsia="Calibri"/>
          <w:sz w:val="22"/>
          <w:szCs w:val="22"/>
        </w:rPr>
        <w:t>50</w:t>
      </w:r>
      <w:r w:rsidR="004F1C95" w:rsidRPr="004F572A">
        <w:rPr>
          <w:rFonts w:eastAsia="Calibri"/>
          <w:sz w:val="22"/>
          <w:szCs w:val="22"/>
        </w:rPr>
        <w:t> </w:t>
      </w:r>
      <w:r w:rsidR="003E3675" w:rsidRPr="004F572A">
        <w:rPr>
          <w:rFonts w:eastAsia="Calibri"/>
          <w:sz w:val="22"/>
          <w:szCs w:val="22"/>
        </w:rPr>
        <w:t xml:space="preserve">%) </w:t>
      </w:r>
      <w:r>
        <w:rPr>
          <w:rFonts w:eastAsia="Calibri"/>
          <w:sz w:val="22"/>
          <w:szCs w:val="22"/>
        </w:rPr>
        <w:t xml:space="preserve">pasireiškusios </w:t>
      </w:r>
      <w:r w:rsidR="004F1C95" w:rsidRPr="004F572A">
        <w:rPr>
          <w:rFonts w:eastAsia="Calibri"/>
          <w:sz w:val="22"/>
          <w:szCs w:val="22"/>
        </w:rPr>
        <w:t xml:space="preserve">nepageidaujamos reakcijos buvo </w:t>
      </w:r>
      <w:r w:rsidR="003E3675" w:rsidRPr="004F572A">
        <w:rPr>
          <w:rFonts w:eastAsia="Calibri"/>
          <w:sz w:val="22"/>
          <w:szCs w:val="22"/>
        </w:rPr>
        <w:t xml:space="preserve">vėmimas, anemija, pykinimas, viduriavimas, </w:t>
      </w:r>
      <w:proofErr w:type="spellStart"/>
      <w:r w:rsidR="003E3675" w:rsidRPr="004F572A">
        <w:rPr>
          <w:rFonts w:eastAsia="Calibri"/>
          <w:sz w:val="22"/>
          <w:szCs w:val="22"/>
        </w:rPr>
        <w:t>hipotirozė</w:t>
      </w:r>
      <w:proofErr w:type="spellEnd"/>
      <w:r w:rsidR="003E3675" w:rsidRPr="004F572A">
        <w:rPr>
          <w:rFonts w:eastAsia="Calibri"/>
          <w:sz w:val="22"/>
          <w:szCs w:val="22"/>
        </w:rPr>
        <w:t xml:space="preserve">, pilvo skausmas, </w:t>
      </w:r>
      <w:proofErr w:type="spellStart"/>
      <w:r w:rsidR="003E3675" w:rsidRPr="004F572A">
        <w:rPr>
          <w:rFonts w:eastAsia="Calibri"/>
          <w:sz w:val="22"/>
          <w:szCs w:val="22"/>
        </w:rPr>
        <w:t>artralgija</w:t>
      </w:r>
      <w:proofErr w:type="spellEnd"/>
      <w:r w:rsidR="003E3675" w:rsidRPr="004F572A">
        <w:rPr>
          <w:rFonts w:eastAsia="Calibri"/>
          <w:sz w:val="22"/>
          <w:szCs w:val="22"/>
        </w:rPr>
        <w:t xml:space="preserve">, kraujavimas iš nosies, </w:t>
      </w:r>
      <w:proofErr w:type="spellStart"/>
      <w:r w:rsidR="003E3675" w:rsidRPr="004F572A">
        <w:rPr>
          <w:rFonts w:eastAsia="Calibri"/>
          <w:sz w:val="22"/>
          <w:szCs w:val="22"/>
        </w:rPr>
        <w:t>neutropenija</w:t>
      </w:r>
      <w:proofErr w:type="spellEnd"/>
      <w:r w:rsidR="003E3675" w:rsidRPr="004F572A">
        <w:rPr>
          <w:rFonts w:eastAsia="Calibri"/>
          <w:sz w:val="22"/>
          <w:szCs w:val="22"/>
        </w:rPr>
        <w:t>, vidurių užkietėjimas, galvos skausmas ir galūnių skausmas, o kombinuoto gydymo išplėtimo grupėje dažniausiai (≥</w:t>
      </w:r>
      <w:r w:rsidR="004F1C95" w:rsidRPr="004F572A">
        <w:rPr>
          <w:rFonts w:eastAsia="Calibri"/>
          <w:sz w:val="22"/>
          <w:szCs w:val="22"/>
        </w:rPr>
        <w:t> </w:t>
      </w:r>
      <w:r w:rsidR="003E3675" w:rsidRPr="004F572A">
        <w:rPr>
          <w:rFonts w:eastAsia="Calibri"/>
          <w:sz w:val="22"/>
          <w:szCs w:val="22"/>
        </w:rPr>
        <w:t>50</w:t>
      </w:r>
      <w:r w:rsidR="004F1C95" w:rsidRPr="004F572A">
        <w:rPr>
          <w:rFonts w:eastAsia="Calibri"/>
          <w:sz w:val="22"/>
          <w:szCs w:val="22"/>
        </w:rPr>
        <w:t> </w:t>
      </w:r>
      <w:r w:rsidR="003E3675" w:rsidRPr="004F572A">
        <w:rPr>
          <w:rFonts w:eastAsia="Calibri"/>
          <w:sz w:val="22"/>
          <w:szCs w:val="22"/>
        </w:rPr>
        <w:t xml:space="preserve">%) </w:t>
      </w:r>
      <w:r>
        <w:rPr>
          <w:rFonts w:eastAsia="Calibri"/>
          <w:sz w:val="22"/>
          <w:szCs w:val="22"/>
        </w:rPr>
        <w:t xml:space="preserve">pasireiškusios </w:t>
      </w:r>
      <w:r w:rsidR="00623DA4" w:rsidRPr="004F572A">
        <w:rPr>
          <w:rFonts w:eastAsia="Calibri"/>
          <w:sz w:val="22"/>
          <w:szCs w:val="22"/>
        </w:rPr>
        <w:t xml:space="preserve">nepageidaujamos reakcijos buvo </w:t>
      </w:r>
      <w:r w:rsidR="004F1C95" w:rsidRPr="004F572A">
        <w:rPr>
          <w:rFonts w:eastAsia="Calibri"/>
          <w:sz w:val="22"/>
          <w:szCs w:val="22"/>
        </w:rPr>
        <w:t>anemija, pykinimas, baltųjų kraujo ląstelių skaičiaus sumažėjimas, viduriavimas, vėmimas ir trombocitų skaičiaus sumažėjimas.</w:t>
      </w:r>
    </w:p>
    <w:p w14:paraId="48EC3E2E" w14:textId="77777777" w:rsidR="004F1C95" w:rsidRPr="004F572A" w:rsidRDefault="004F1C95" w:rsidP="004F1C95">
      <w:pPr>
        <w:widowControl w:val="0"/>
        <w:tabs>
          <w:tab w:val="clear" w:pos="567"/>
        </w:tabs>
        <w:rPr>
          <w:rFonts w:eastAsia="Calibri"/>
          <w:sz w:val="22"/>
          <w:szCs w:val="22"/>
        </w:rPr>
      </w:pPr>
    </w:p>
    <w:p w14:paraId="6F9645D1" w14:textId="33520C03" w:rsidR="004F1C95" w:rsidRPr="004F572A" w:rsidRDefault="00217A1D" w:rsidP="004F1C95">
      <w:pPr>
        <w:widowControl w:val="0"/>
        <w:tabs>
          <w:tab w:val="clear" w:pos="567"/>
        </w:tabs>
        <w:rPr>
          <w:rFonts w:eastAsia="Calibri"/>
          <w:sz w:val="22"/>
          <w:szCs w:val="22"/>
        </w:rPr>
      </w:pPr>
      <w:r>
        <w:rPr>
          <w:rFonts w:eastAsia="Calibri"/>
          <w:sz w:val="22"/>
          <w:szCs w:val="22"/>
        </w:rPr>
        <w:t xml:space="preserve">Tyrimo Nr. </w:t>
      </w:r>
      <w:r w:rsidR="004F1C95" w:rsidRPr="004F572A">
        <w:rPr>
          <w:rFonts w:eastAsia="Calibri"/>
          <w:sz w:val="22"/>
          <w:szCs w:val="22"/>
        </w:rPr>
        <w:t>216 1</w:t>
      </w:r>
      <w:r w:rsidR="00115D7F">
        <w:rPr>
          <w:rFonts w:eastAsia="Calibri"/>
          <w:sz w:val="22"/>
          <w:szCs w:val="22"/>
        </w:rPr>
        <w:t> </w:t>
      </w:r>
      <w:r w:rsidR="004F1C95" w:rsidRPr="004F572A">
        <w:rPr>
          <w:rFonts w:eastAsia="Calibri"/>
          <w:sz w:val="22"/>
          <w:szCs w:val="22"/>
        </w:rPr>
        <w:t>fazė</w:t>
      </w:r>
      <w:r>
        <w:rPr>
          <w:rFonts w:eastAsia="Calibri"/>
          <w:sz w:val="22"/>
          <w:szCs w:val="22"/>
        </w:rPr>
        <w:t>je</w:t>
      </w:r>
      <w:r w:rsidR="004F1C95" w:rsidRPr="004F572A">
        <w:rPr>
          <w:rFonts w:eastAsia="Calibri"/>
          <w:sz w:val="22"/>
          <w:szCs w:val="22"/>
        </w:rPr>
        <w:t xml:space="preserve"> (kombinuoto gydymo dozės nustatymo grupėje) dažniausiai (≥ 40 %) </w:t>
      </w:r>
      <w:r>
        <w:rPr>
          <w:rFonts w:eastAsia="Calibri"/>
          <w:sz w:val="22"/>
          <w:szCs w:val="22"/>
        </w:rPr>
        <w:t>pasireiškusios</w:t>
      </w:r>
      <w:r w:rsidR="00623DA4" w:rsidRPr="004F572A">
        <w:rPr>
          <w:rFonts w:eastAsia="Calibri"/>
          <w:sz w:val="22"/>
          <w:szCs w:val="22"/>
        </w:rPr>
        <w:t xml:space="preserve"> nepageidaujamos reakcijos buvo </w:t>
      </w:r>
      <w:r w:rsidR="004F1C95" w:rsidRPr="004F572A">
        <w:rPr>
          <w:rFonts w:eastAsia="Calibri"/>
          <w:sz w:val="22"/>
          <w:szCs w:val="22"/>
        </w:rPr>
        <w:t xml:space="preserve">hipertenzija, </w:t>
      </w:r>
      <w:proofErr w:type="spellStart"/>
      <w:r w:rsidR="004F1C95" w:rsidRPr="004F572A">
        <w:rPr>
          <w:rFonts w:eastAsia="Calibri"/>
          <w:sz w:val="22"/>
          <w:szCs w:val="22"/>
        </w:rPr>
        <w:t>hipotirozė</w:t>
      </w:r>
      <w:proofErr w:type="spellEnd"/>
      <w:r w:rsidR="004F1C95" w:rsidRPr="004F572A">
        <w:rPr>
          <w:rFonts w:eastAsia="Calibri"/>
          <w:sz w:val="22"/>
          <w:szCs w:val="22"/>
        </w:rPr>
        <w:t xml:space="preserve">, </w:t>
      </w:r>
      <w:proofErr w:type="spellStart"/>
      <w:r w:rsidR="004F1C95" w:rsidRPr="004F572A">
        <w:rPr>
          <w:rFonts w:eastAsia="Calibri"/>
          <w:sz w:val="22"/>
          <w:szCs w:val="22"/>
        </w:rPr>
        <w:t>hipertrigliceridemija</w:t>
      </w:r>
      <w:proofErr w:type="spellEnd"/>
      <w:r w:rsidR="004F1C95" w:rsidRPr="004F572A">
        <w:rPr>
          <w:rFonts w:eastAsia="Calibri"/>
          <w:sz w:val="22"/>
          <w:szCs w:val="22"/>
        </w:rPr>
        <w:t>, pilvo skausmas ir viduriavimas; 2</w:t>
      </w:r>
      <w:r w:rsidR="00115D7F">
        <w:rPr>
          <w:rFonts w:eastAsia="Calibri"/>
          <w:sz w:val="22"/>
          <w:szCs w:val="22"/>
        </w:rPr>
        <w:t> </w:t>
      </w:r>
      <w:r w:rsidR="004F1C95" w:rsidRPr="004F572A">
        <w:rPr>
          <w:rFonts w:eastAsia="Calibri"/>
          <w:sz w:val="22"/>
          <w:szCs w:val="22"/>
        </w:rPr>
        <w:t>fazė</w:t>
      </w:r>
      <w:r>
        <w:rPr>
          <w:rFonts w:eastAsia="Calibri"/>
          <w:sz w:val="22"/>
          <w:szCs w:val="22"/>
        </w:rPr>
        <w:t>je</w:t>
      </w:r>
      <w:r w:rsidR="004F1C95" w:rsidRPr="004F572A">
        <w:rPr>
          <w:rFonts w:eastAsia="Calibri"/>
          <w:sz w:val="22"/>
          <w:szCs w:val="22"/>
        </w:rPr>
        <w:t xml:space="preserve"> (kombinuoto gydymo išplėtimo grupėje) dažniausiai (≥ 35 %) </w:t>
      </w:r>
      <w:r>
        <w:rPr>
          <w:rFonts w:eastAsia="Calibri"/>
          <w:sz w:val="22"/>
          <w:szCs w:val="22"/>
        </w:rPr>
        <w:t>pasireiškusios</w:t>
      </w:r>
      <w:r w:rsidR="00623DA4" w:rsidRPr="004F572A">
        <w:rPr>
          <w:rFonts w:eastAsia="Calibri"/>
          <w:sz w:val="22"/>
          <w:szCs w:val="22"/>
        </w:rPr>
        <w:t xml:space="preserve"> nepageidaujamos reakcijos buvo </w:t>
      </w:r>
      <w:proofErr w:type="spellStart"/>
      <w:r w:rsidR="004F1C95" w:rsidRPr="004F572A">
        <w:rPr>
          <w:rFonts w:eastAsia="Calibri"/>
          <w:sz w:val="22"/>
          <w:szCs w:val="22"/>
        </w:rPr>
        <w:t>hipertrigliceridemija</w:t>
      </w:r>
      <w:proofErr w:type="spellEnd"/>
      <w:r w:rsidR="004F1C95" w:rsidRPr="004F572A">
        <w:rPr>
          <w:rFonts w:eastAsia="Calibri"/>
          <w:sz w:val="22"/>
          <w:szCs w:val="22"/>
        </w:rPr>
        <w:t xml:space="preserve">, </w:t>
      </w:r>
      <w:proofErr w:type="spellStart"/>
      <w:r w:rsidR="004F1C95" w:rsidRPr="004F572A">
        <w:rPr>
          <w:rFonts w:eastAsia="Calibri"/>
          <w:sz w:val="22"/>
          <w:szCs w:val="22"/>
        </w:rPr>
        <w:t>proteinurija</w:t>
      </w:r>
      <w:proofErr w:type="spellEnd"/>
      <w:r w:rsidR="004F1C95" w:rsidRPr="004F572A">
        <w:rPr>
          <w:rFonts w:eastAsia="Calibri"/>
          <w:sz w:val="22"/>
          <w:szCs w:val="22"/>
        </w:rPr>
        <w:t>, viduriavimas, limfocitų skaičiaus sumažėjimas, baltųjų kraujo ląstelių skaičiaus sumažėjimas, padidėjęs cholesterolio kiekis kraujyje, nuovargis ir trombocitų skaičiaus sumažėjimas.</w:t>
      </w:r>
    </w:p>
    <w:p w14:paraId="4361EE97" w14:textId="77777777" w:rsidR="004F1C95" w:rsidRPr="004F572A" w:rsidRDefault="004F1C95" w:rsidP="004F1C95">
      <w:pPr>
        <w:widowControl w:val="0"/>
        <w:tabs>
          <w:tab w:val="clear" w:pos="567"/>
        </w:tabs>
        <w:rPr>
          <w:rFonts w:eastAsia="Calibri"/>
          <w:sz w:val="22"/>
          <w:szCs w:val="22"/>
        </w:rPr>
      </w:pPr>
    </w:p>
    <w:p w14:paraId="730148E7" w14:textId="3B01BF38" w:rsidR="004F1C95" w:rsidRPr="004F572A" w:rsidRDefault="004F1C95" w:rsidP="004F1C95">
      <w:pPr>
        <w:widowControl w:val="0"/>
        <w:tabs>
          <w:tab w:val="clear" w:pos="567"/>
        </w:tabs>
        <w:rPr>
          <w:rFonts w:eastAsia="Calibri"/>
          <w:sz w:val="22"/>
          <w:szCs w:val="22"/>
        </w:rPr>
      </w:pPr>
      <w:r w:rsidRPr="004F572A">
        <w:rPr>
          <w:rFonts w:eastAsia="Calibri"/>
          <w:sz w:val="22"/>
          <w:szCs w:val="22"/>
        </w:rPr>
        <w:t>OLIE tyrimo (</w:t>
      </w:r>
      <w:r w:rsidR="00217A1D">
        <w:rPr>
          <w:rFonts w:eastAsia="Calibri"/>
          <w:sz w:val="22"/>
          <w:szCs w:val="22"/>
        </w:rPr>
        <w:t xml:space="preserve">tyrimo Nr. </w:t>
      </w:r>
      <w:r w:rsidRPr="004F572A">
        <w:rPr>
          <w:rFonts w:eastAsia="Calibri"/>
          <w:sz w:val="22"/>
          <w:szCs w:val="22"/>
        </w:rPr>
        <w:t xml:space="preserve">230) metu dažniausiai (≥ 35 %) </w:t>
      </w:r>
      <w:r w:rsidR="00217A1D">
        <w:rPr>
          <w:rFonts w:eastAsia="Calibri"/>
          <w:sz w:val="22"/>
          <w:szCs w:val="22"/>
        </w:rPr>
        <w:t>pasireiškusios</w:t>
      </w:r>
      <w:r w:rsidR="00623DA4" w:rsidRPr="004F572A">
        <w:rPr>
          <w:rFonts w:eastAsia="Calibri"/>
          <w:sz w:val="22"/>
          <w:szCs w:val="22"/>
        </w:rPr>
        <w:t xml:space="preserve"> nepageidaujamos reakcijos buvo </w:t>
      </w:r>
      <w:proofErr w:type="spellStart"/>
      <w:r w:rsidRPr="004F572A">
        <w:rPr>
          <w:rFonts w:eastAsia="Calibri"/>
          <w:sz w:val="22"/>
          <w:szCs w:val="22"/>
        </w:rPr>
        <w:t>hipotirozė</w:t>
      </w:r>
      <w:proofErr w:type="spellEnd"/>
      <w:r w:rsidRPr="004F572A">
        <w:rPr>
          <w:rFonts w:eastAsia="Calibri"/>
          <w:sz w:val="22"/>
          <w:szCs w:val="22"/>
        </w:rPr>
        <w:t xml:space="preserve">, anemija, pykinimas, sumažėjęs trombocitų skaičius, </w:t>
      </w:r>
      <w:proofErr w:type="spellStart"/>
      <w:r w:rsidRPr="004F572A">
        <w:rPr>
          <w:rFonts w:eastAsia="Calibri"/>
          <w:sz w:val="22"/>
          <w:szCs w:val="22"/>
        </w:rPr>
        <w:t>proteinurija</w:t>
      </w:r>
      <w:proofErr w:type="spellEnd"/>
      <w:r w:rsidRPr="004F572A">
        <w:rPr>
          <w:rFonts w:eastAsia="Calibri"/>
          <w:sz w:val="22"/>
          <w:szCs w:val="22"/>
        </w:rPr>
        <w:t xml:space="preserve">, vėmimas, nugaros skausmas, </w:t>
      </w:r>
      <w:proofErr w:type="spellStart"/>
      <w:r w:rsidRPr="004F572A">
        <w:rPr>
          <w:rFonts w:eastAsia="Calibri"/>
          <w:sz w:val="22"/>
          <w:szCs w:val="22"/>
        </w:rPr>
        <w:t>febrilinė</w:t>
      </w:r>
      <w:proofErr w:type="spellEnd"/>
      <w:r w:rsidRPr="004F572A">
        <w:rPr>
          <w:rFonts w:eastAsia="Calibri"/>
          <w:sz w:val="22"/>
          <w:szCs w:val="22"/>
        </w:rPr>
        <w:t xml:space="preserve"> </w:t>
      </w:r>
      <w:proofErr w:type="spellStart"/>
      <w:r w:rsidRPr="004F572A">
        <w:rPr>
          <w:rFonts w:eastAsia="Calibri"/>
          <w:sz w:val="22"/>
          <w:szCs w:val="22"/>
        </w:rPr>
        <w:t>neutropenija</w:t>
      </w:r>
      <w:proofErr w:type="spellEnd"/>
      <w:r w:rsidRPr="004F572A">
        <w:rPr>
          <w:rFonts w:eastAsia="Calibri"/>
          <w:sz w:val="22"/>
          <w:szCs w:val="22"/>
        </w:rPr>
        <w:t xml:space="preserve">, hipertenzija, vidurių užkietėjimas, viduriavimas, sumažėjęs </w:t>
      </w:r>
      <w:proofErr w:type="spellStart"/>
      <w:r w:rsidRPr="004F572A">
        <w:rPr>
          <w:rFonts w:eastAsia="Calibri"/>
          <w:sz w:val="22"/>
          <w:szCs w:val="22"/>
        </w:rPr>
        <w:t>neutrofilų</w:t>
      </w:r>
      <w:proofErr w:type="spellEnd"/>
      <w:r w:rsidRPr="004F572A">
        <w:rPr>
          <w:rFonts w:eastAsia="Calibri"/>
          <w:sz w:val="22"/>
          <w:szCs w:val="22"/>
        </w:rPr>
        <w:t xml:space="preserve"> skaičius ir </w:t>
      </w:r>
      <w:proofErr w:type="spellStart"/>
      <w:r w:rsidRPr="004F572A">
        <w:rPr>
          <w:rFonts w:eastAsia="Calibri"/>
          <w:sz w:val="22"/>
          <w:szCs w:val="22"/>
        </w:rPr>
        <w:t>pireksija</w:t>
      </w:r>
      <w:proofErr w:type="spellEnd"/>
      <w:r w:rsidRPr="004F572A">
        <w:rPr>
          <w:rFonts w:eastAsia="Calibri"/>
          <w:sz w:val="22"/>
          <w:szCs w:val="22"/>
        </w:rPr>
        <w:t>.</w:t>
      </w:r>
    </w:p>
    <w:p w14:paraId="0D88536F" w14:textId="77777777" w:rsidR="00623DA4" w:rsidRPr="004F572A" w:rsidRDefault="00623DA4" w:rsidP="004F1C95">
      <w:pPr>
        <w:widowControl w:val="0"/>
        <w:tabs>
          <w:tab w:val="clear" w:pos="567"/>
        </w:tabs>
        <w:rPr>
          <w:rFonts w:eastAsia="Calibri"/>
          <w:sz w:val="22"/>
          <w:szCs w:val="22"/>
        </w:rPr>
      </w:pPr>
    </w:p>
    <w:p w14:paraId="1356A801" w14:textId="0CE00FCA" w:rsidR="004F1C95" w:rsidRPr="004F572A" w:rsidRDefault="00217A1D" w:rsidP="004F1C95">
      <w:pPr>
        <w:widowControl w:val="0"/>
        <w:tabs>
          <w:tab w:val="clear" w:pos="567"/>
        </w:tabs>
        <w:rPr>
          <w:rFonts w:eastAsia="Calibri"/>
          <w:sz w:val="22"/>
          <w:szCs w:val="22"/>
        </w:rPr>
      </w:pPr>
      <w:r>
        <w:rPr>
          <w:rFonts w:eastAsia="Calibri"/>
          <w:sz w:val="22"/>
          <w:szCs w:val="22"/>
        </w:rPr>
        <w:t xml:space="preserve">Tyrimo Nr. </w:t>
      </w:r>
      <w:r w:rsidR="004F1C95" w:rsidRPr="004F572A">
        <w:rPr>
          <w:rFonts w:eastAsia="Calibri"/>
          <w:sz w:val="22"/>
          <w:szCs w:val="22"/>
        </w:rPr>
        <w:t>231 metu dažniausiai (≥</w:t>
      </w:r>
      <w:r w:rsidR="00115D7F">
        <w:rPr>
          <w:rFonts w:eastAsia="Calibri"/>
          <w:sz w:val="22"/>
          <w:szCs w:val="22"/>
        </w:rPr>
        <w:t> </w:t>
      </w:r>
      <w:r w:rsidR="004F1C95" w:rsidRPr="004F572A">
        <w:rPr>
          <w:rFonts w:eastAsia="Calibri"/>
          <w:sz w:val="22"/>
          <w:szCs w:val="22"/>
        </w:rPr>
        <w:t>15</w:t>
      </w:r>
      <w:r w:rsidR="00115D7F">
        <w:rPr>
          <w:rFonts w:eastAsia="Calibri"/>
          <w:sz w:val="22"/>
          <w:szCs w:val="22"/>
        </w:rPr>
        <w:t> </w:t>
      </w:r>
      <w:r w:rsidR="004F1C95" w:rsidRPr="004F572A">
        <w:rPr>
          <w:rFonts w:eastAsia="Calibri"/>
          <w:sz w:val="22"/>
          <w:szCs w:val="22"/>
        </w:rPr>
        <w:t xml:space="preserve">%) </w:t>
      </w:r>
      <w:r>
        <w:rPr>
          <w:rFonts w:eastAsia="Calibri"/>
          <w:sz w:val="22"/>
          <w:szCs w:val="22"/>
        </w:rPr>
        <w:t>pasireiškusios</w:t>
      </w:r>
      <w:r w:rsidR="00623DA4" w:rsidRPr="004F572A">
        <w:rPr>
          <w:rFonts w:eastAsia="Calibri"/>
          <w:sz w:val="22"/>
          <w:szCs w:val="22"/>
        </w:rPr>
        <w:t xml:space="preserve"> nepageidaujamos reakcijos buvo </w:t>
      </w:r>
      <w:proofErr w:type="spellStart"/>
      <w:r w:rsidR="004F1C95" w:rsidRPr="004F572A">
        <w:rPr>
          <w:rFonts w:eastAsia="Calibri"/>
          <w:sz w:val="22"/>
          <w:szCs w:val="22"/>
        </w:rPr>
        <w:t>hipotirozė</w:t>
      </w:r>
      <w:proofErr w:type="spellEnd"/>
      <w:r w:rsidR="004F1C95" w:rsidRPr="004F572A">
        <w:rPr>
          <w:rFonts w:eastAsia="Calibri"/>
          <w:sz w:val="22"/>
          <w:szCs w:val="22"/>
        </w:rPr>
        <w:t xml:space="preserve">, hipertenzija, </w:t>
      </w:r>
      <w:proofErr w:type="spellStart"/>
      <w:r w:rsidR="004F1C95" w:rsidRPr="004F572A">
        <w:rPr>
          <w:rFonts w:eastAsia="Calibri"/>
          <w:sz w:val="22"/>
          <w:szCs w:val="22"/>
        </w:rPr>
        <w:t>proteinurija</w:t>
      </w:r>
      <w:proofErr w:type="spellEnd"/>
      <w:r w:rsidR="004F1C95" w:rsidRPr="004F572A">
        <w:rPr>
          <w:rFonts w:eastAsia="Calibri"/>
          <w:sz w:val="22"/>
          <w:szCs w:val="22"/>
        </w:rPr>
        <w:t>, sumažėjęs apetitas, viduriavimas ir trombocitų skaičiaus sumažėjimas.</w:t>
      </w:r>
    </w:p>
    <w:p w14:paraId="0EC2A79E" w14:textId="77777777" w:rsidR="00623DA4" w:rsidRPr="004F572A" w:rsidRDefault="00623DA4" w:rsidP="004F1C95">
      <w:pPr>
        <w:widowControl w:val="0"/>
        <w:tabs>
          <w:tab w:val="clear" w:pos="567"/>
        </w:tabs>
        <w:rPr>
          <w:rFonts w:eastAsia="Calibri"/>
          <w:sz w:val="22"/>
          <w:szCs w:val="22"/>
        </w:rPr>
      </w:pPr>
    </w:p>
    <w:p w14:paraId="7E77D8FE" w14:textId="22FAE8D3" w:rsidR="004F1C95" w:rsidRPr="004F572A" w:rsidRDefault="004F1C95" w:rsidP="004F1C95">
      <w:pPr>
        <w:widowControl w:val="0"/>
        <w:tabs>
          <w:tab w:val="clear" w:pos="567"/>
        </w:tabs>
        <w:rPr>
          <w:rFonts w:eastAsia="Calibri"/>
          <w:sz w:val="22"/>
          <w:szCs w:val="22"/>
          <w:u w:val="single"/>
        </w:rPr>
      </w:pPr>
      <w:r w:rsidRPr="004F572A">
        <w:rPr>
          <w:rFonts w:eastAsia="Calibri"/>
          <w:sz w:val="22"/>
          <w:szCs w:val="22"/>
          <w:u w:val="single"/>
        </w:rPr>
        <w:t>Kitos ypatingos populiacijos</w:t>
      </w:r>
    </w:p>
    <w:p w14:paraId="165298F7" w14:textId="77777777" w:rsidR="00623DA4" w:rsidRPr="004F572A" w:rsidRDefault="00623DA4" w:rsidP="004F1C95">
      <w:pPr>
        <w:widowControl w:val="0"/>
        <w:tabs>
          <w:tab w:val="clear" w:pos="567"/>
        </w:tabs>
        <w:rPr>
          <w:rFonts w:eastAsia="Calibri"/>
          <w:i/>
          <w:iCs/>
          <w:sz w:val="22"/>
          <w:szCs w:val="22"/>
        </w:rPr>
      </w:pPr>
    </w:p>
    <w:p w14:paraId="655739BD" w14:textId="0ADB78A0" w:rsidR="00623DA4" w:rsidRPr="004F572A" w:rsidRDefault="004F1C95" w:rsidP="004F1C95">
      <w:pPr>
        <w:widowControl w:val="0"/>
        <w:tabs>
          <w:tab w:val="clear" w:pos="567"/>
        </w:tabs>
        <w:rPr>
          <w:rFonts w:eastAsia="Calibri"/>
          <w:i/>
          <w:iCs/>
          <w:sz w:val="22"/>
          <w:szCs w:val="22"/>
          <w:u w:val="single"/>
        </w:rPr>
      </w:pPr>
      <w:r w:rsidRPr="004F572A">
        <w:rPr>
          <w:rFonts w:eastAsia="Calibri"/>
          <w:i/>
          <w:iCs/>
          <w:sz w:val="22"/>
          <w:szCs w:val="22"/>
          <w:u w:val="single"/>
        </w:rPr>
        <w:t xml:space="preserve">Senyvi </w:t>
      </w:r>
      <w:r w:rsidR="00623DA4" w:rsidRPr="004F572A">
        <w:rPr>
          <w:rFonts w:eastAsia="Calibri"/>
          <w:i/>
          <w:iCs/>
          <w:sz w:val="22"/>
          <w:szCs w:val="22"/>
          <w:u w:val="single"/>
        </w:rPr>
        <w:t>pacientai</w:t>
      </w:r>
    </w:p>
    <w:p w14:paraId="45DB5BE0" w14:textId="77777777" w:rsidR="00623DA4" w:rsidRPr="004F572A" w:rsidRDefault="00623DA4" w:rsidP="004F1C95">
      <w:pPr>
        <w:widowControl w:val="0"/>
        <w:tabs>
          <w:tab w:val="clear" w:pos="567"/>
        </w:tabs>
        <w:rPr>
          <w:rFonts w:eastAsia="Calibri"/>
          <w:i/>
          <w:iCs/>
          <w:sz w:val="22"/>
          <w:szCs w:val="22"/>
        </w:rPr>
      </w:pPr>
    </w:p>
    <w:p w14:paraId="56CC9609" w14:textId="20AF53C4" w:rsidR="004F1C95" w:rsidRPr="004F572A" w:rsidRDefault="004F1C95" w:rsidP="004F1C95">
      <w:pPr>
        <w:widowControl w:val="0"/>
        <w:tabs>
          <w:tab w:val="clear" w:pos="567"/>
        </w:tabs>
        <w:rPr>
          <w:rFonts w:eastAsia="Calibri"/>
          <w:i/>
          <w:iCs/>
          <w:sz w:val="22"/>
          <w:szCs w:val="22"/>
        </w:rPr>
      </w:pPr>
      <w:r w:rsidRPr="004F572A">
        <w:rPr>
          <w:rFonts w:eastAsia="Calibri"/>
          <w:i/>
          <w:iCs/>
          <w:sz w:val="22"/>
          <w:szCs w:val="22"/>
        </w:rPr>
        <w:t>DSK</w:t>
      </w:r>
    </w:p>
    <w:p w14:paraId="3FB71220" w14:textId="77777777" w:rsidR="00623DA4" w:rsidRPr="004F572A" w:rsidRDefault="00623DA4" w:rsidP="004F1C95">
      <w:pPr>
        <w:widowControl w:val="0"/>
        <w:tabs>
          <w:tab w:val="clear" w:pos="567"/>
        </w:tabs>
        <w:rPr>
          <w:rFonts w:eastAsia="Calibri"/>
          <w:sz w:val="22"/>
          <w:szCs w:val="22"/>
        </w:rPr>
      </w:pPr>
    </w:p>
    <w:p w14:paraId="01A4CA97" w14:textId="3B132CA8" w:rsidR="004F1C95" w:rsidRPr="004F572A" w:rsidRDefault="00217A1D" w:rsidP="004F1C95">
      <w:pPr>
        <w:widowControl w:val="0"/>
        <w:tabs>
          <w:tab w:val="clear" w:pos="567"/>
        </w:tabs>
        <w:rPr>
          <w:rFonts w:eastAsia="Calibri"/>
          <w:sz w:val="22"/>
          <w:szCs w:val="22"/>
        </w:rPr>
      </w:pPr>
      <w:r w:rsidRPr="00217A1D">
        <w:rPr>
          <w:rFonts w:eastAsia="Calibri"/>
          <w:sz w:val="22"/>
          <w:szCs w:val="22"/>
        </w:rPr>
        <w:t>Buvo didesnė tikimybė, kad</w:t>
      </w:r>
      <w:r>
        <w:rPr>
          <w:rFonts w:eastAsia="Calibri"/>
          <w:sz w:val="22"/>
          <w:szCs w:val="22"/>
        </w:rPr>
        <w:t xml:space="preserve"> </w:t>
      </w:r>
      <w:r w:rsidR="004F1C95" w:rsidRPr="004F572A">
        <w:rPr>
          <w:rFonts w:eastAsia="Calibri"/>
          <w:sz w:val="22"/>
          <w:szCs w:val="22"/>
        </w:rPr>
        <w:t>≥</w:t>
      </w:r>
      <w:r w:rsidR="00623DA4" w:rsidRPr="004F572A">
        <w:rPr>
          <w:rFonts w:eastAsia="Calibri"/>
          <w:sz w:val="22"/>
          <w:szCs w:val="22"/>
        </w:rPr>
        <w:t> </w:t>
      </w:r>
      <w:r w:rsidR="004F1C95" w:rsidRPr="004F572A">
        <w:rPr>
          <w:rFonts w:eastAsia="Calibri"/>
          <w:sz w:val="22"/>
          <w:szCs w:val="22"/>
        </w:rPr>
        <w:t>75</w:t>
      </w:r>
      <w:r w:rsidR="00115D7F">
        <w:rPr>
          <w:rFonts w:eastAsia="Calibri"/>
          <w:sz w:val="22"/>
          <w:szCs w:val="22"/>
        </w:rPr>
        <w:t> </w:t>
      </w:r>
      <w:r w:rsidR="004F1C95" w:rsidRPr="004F572A">
        <w:rPr>
          <w:rFonts w:eastAsia="Calibri"/>
          <w:sz w:val="22"/>
          <w:szCs w:val="22"/>
        </w:rPr>
        <w:t>metų pacienta</w:t>
      </w:r>
      <w:r>
        <w:rPr>
          <w:rFonts w:eastAsia="Calibri"/>
          <w:sz w:val="22"/>
          <w:szCs w:val="22"/>
        </w:rPr>
        <w:t>ms pasireikš</w:t>
      </w:r>
      <w:r w:rsidR="004F1C95" w:rsidRPr="004F572A">
        <w:rPr>
          <w:rFonts w:eastAsia="Calibri"/>
          <w:sz w:val="22"/>
          <w:szCs w:val="22"/>
        </w:rPr>
        <w:t xml:space="preserve"> 3</w:t>
      </w:r>
      <w:r w:rsidR="00115D7F">
        <w:rPr>
          <w:rFonts w:eastAsia="Calibri"/>
          <w:sz w:val="22"/>
          <w:szCs w:val="22"/>
        </w:rPr>
        <w:noBreakHyphen/>
      </w:r>
      <w:r w:rsidR="004F1C95" w:rsidRPr="004F572A">
        <w:rPr>
          <w:rFonts w:eastAsia="Calibri"/>
          <w:sz w:val="22"/>
          <w:szCs w:val="22"/>
        </w:rPr>
        <w:t>iojo ar 4</w:t>
      </w:r>
      <w:r w:rsidR="00115D7F">
        <w:rPr>
          <w:rFonts w:eastAsia="Calibri"/>
          <w:sz w:val="22"/>
          <w:szCs w:val="22"/>
        </w:rPr>
        <w:noBreakHyphen/>
      </w:r>
      <w:r w:rsidR="004F1C95" w:rsidRPr="004F572A">
        <w:rPr>
          <w:rFonts w:eastAsia="Calibri"/>
          <w:sz w:val="22"/>
          <w:szCs w:val="22"/>
        </w:rPr>
        <w:t>ojo laipsnio hipertenzij</w:t>
      </w:r>
      <w:r>
        <w:rPr>
          <w:rFonts w:eastAsia="Calibri"/>
          <w:sz w:val="22"/>
          <w:szCs w:val="22"/>
        </w:rPr>
        <w:t>a</w:t>
      </w:r>
      <w:r w:rsidR="004F1C95" w:rsidRPr="004F572A">
        <w:rPr>
          <w:rFonts w:eastAsia="Calibri"/>
          <w:sz w:val="22"/>
          <w:szCs w:val="22"/>
        </w:rPr>
        <w:t xml:space="preserve">, </w:t>
      </w:r>
      <w:proofErr w:type="spellStart"/>
      <w:r w:rsidR="004F1C95" w:rsidRPr="004F572A">
        <w:rPr>
          <w:rFonts w:eastAsia="Calibri"/>
          <w:sz w:val="22"/>
          <w:szCs w:val="22"/>
        </w:rPr>
        <w:t>proteinurij</w:t>
      </w:r>
      <w:r>
        <w:rPr>
          <w:rFonts w:eastAsia="Calibri"/>
          <w:sz w:val="22"/>
          <w:szCs w:val="22"/>
        </w:rPr>
        <w:t>a</w:t>
      </w:r>
      <w:proofErr w:type="spellEnd"/>
      <w:r w:rsidR="004F1C95" w:rsidRPr="004F572A">
        <w:rPr>
          <w:rFonts w:eastAsia="Calibri"/>
          <w:sz w:val="22"/>
          <w:szCs w:val="22"/>
        </w:rPr>
        <w:t xml:space="preserve">, </w:t>
      </w:r>
      <w:r w:rsidR="00623DA4" w:rsidRPr="004F572A">
        <w:rPr>
          <w:rFonts w:eastAsia="Calibri"/>
          <w:sz w:val="22"/>
          <w:szCs w:val="22"/>
        </w:rPr>
        <w:t>apetito sumažėjim</w:t>
      </w:r>
      <w:r>
        <w:rPr>
          <w:rFonts w:eastAsia="Calibri"/>
          <w:sz w:val="22"/>
          <w:szCs w:val="22"/>
        </w:rPr>
        <w:t>as</w:t>
      </w:r>
      <w:r w:rsidR="004F1C95" w:rsidRPr="004F572A">
        <w:rPr>
          <w:rFonts w:eastAsia="Calibri"/>
          <w:sz w:val="22"/>
          <w:szCs w:val="22"/>
        </w:rPr>
        <w:t xml:space="preserve"> ir dehidratacij</w:t>
      </w:r>
      <w:r>
        <w:rPr>
          <w:rFonts w:eastAsia="Calibri"/>
          <w:sz w:val="22"/>
          <w:szCs w:val="22"/>
        </w:rPr>
        <w:t>a</w:t>
      </w:r>
      <w:r w:rsidR="004F1C95" w:rsidRPr="004F572A">
        <w:rPr>
          <w:rFonts w:eastAsia="Calibri"/>
          <w:sz w:val="22"/>
          <w:szCs w:val="22"/>
        </w:rPr>
        <w:t>.</w:t>
      </w:r>
    </w:p>
    <w:p w14:paraId="296C23A1" w14:textId="77777777" w:rsidR="00623DA4" w:rsidRPr="004F572A" w:rsidRDefault="00623DA4" w:rsidP="004F1C95">
      <w:pPr>
        <w:widowControl w:val="0"/>
        <w:tabs>
          <w:tab w:val="clear" w:pos="567"/>
        </w:tabs>
        <w:rPr>
          <w:rFonts w:eastAsia="Calibri"/>
          <w:i/>
          <w:iCs/>
          <w:sz w:val="22"/>
          <w:szCs w:val="22"/>
        </w:rPr>
      </w:pPr>
    </w:p>
    <w:p w14:paraId="29FCA4E0" w14:textId="6D3F1DEE" w:rsidR="004F1C95" w:rsidRPr="004F572A" w:rsidRDefault="004F1C95" w:rsidP="004F1C95">
      <w:pPr>
        <w:widowControl w:val="0"/>
        <w:tabs>
          <w:tab w:val="clear" w:pos="567"/>
        </w:tabs>
        <w:rPr>
          <w:rFonts w:eastAsia="Calibri"/>
          <w:i/>
          <w:iCs/>
          <w:sz w:val="22"/>
          <w:szCs w:val="22"/>
        </w:rPr>
      </w:pPr>
      <w:r w:rsidRPr="004F572A">
        <w:rPr>
          <w:rFonts w:eastAsia="Calibri"/>
          <w:i/>
          <w:iCs/>
          <w:sz w:val="22"/>
          <w:szCs w:val="22"/>
        </w:rPr>
        <w:t>HCK</w:t>
      </w:r>
    </w:p>
    <w:p w14:paraId="5C4DEAAF" w14:textId="6B8088F6" w:rsidR="004F1C95" w:rsidRPr="004F572A" w:rsidRDefault="00217A1D" w:rsidP="004F1C95">
      <w:pPr>
        <w:widowControl w:val="0"/>
        <w:tabs>
          <w:tab w:val="clear" w:pos="567"/>
        </w:tabs>
        <w:rPr>
          <w:rFonts w:eastAsia="Calibri"/>
          <w:sz w:val="22"/>
          <w:szCs w:val="22"/>
        </w:rPr>
      </w:pPr>
      <w:r w:rsidRPr="00217A1D">
        <w:rPr>
          <w:rFonts w:eastAsia="Calibri"/>
          <w:sz w:val="22"/>
          <w:szCs w:val="22"/>
        </w:rPr>
        <w:t>Vyresniems kaip</w:t>
      </w:r>
      <w:r w:rsidR="00115D7F">
        <w:rPr>
          <w:rFonts w:eastAsia="Calibri"/>
          <w:sz w:val="22"/>
          <w:szCs w:val="22"/>
        </w:rPr>
        <w:t xml:space="preserve"> </w:t>
      </w:r>
      <w:r w:rsidR="00623DA4" w:rsidRPr="004F572A">
        <w:rPr>
          <w:rFonts w:eastAsia="Calibri"/>
          <w:sz w:val="22"/>
          <w:szCs w:val="22"/>
        </w:rPr>
        <w:t>75</w:t>
      </w:r>
      <w:r w:rsidR="00115D7F">
        <w:rPr>
          <w:rFonts w:eastAsia="Calibri"/>
          <w:sz w:val="22"/>
          <w:szCs w:val="22"/>
        </w:rPr>
        <w:t> </w:t>
      </w:r>
      <w:r w:rsidR="00623DA4" w:rsidRPr="004F572A">
        <w:rPr>
          <w:rFonts w:eastAsia="Calibri"/>
          <w:sz w:val="22"/>
          <w:szCs w:val="22"/>
        </w:rPr>
        <w:t xml:space="preserve">metų </w:t>
      </w:r>
      <w:r>
        <w:rPr>
          <w:rFonts w:eastAsia="Calibri"/>
          <w:sz w:val="22"/>
          <w:szCs w:val="22"/>
        </w:rPr>
        <w:t xml:space="preserve">amžiaus </w:t>
      </w:r>
      <w:r w:rsidR="00623DA4" w:rsidRPr="004F572A">
        <w:rPr>
          <w:rFonts w:eastAsia="Calibri"/>
          <w:sz w:val="22"/>
          <w:szCs w:val="22"/>
        </w:rPr>
        <w:t>pacienta</w:t>
      </w:r>
      <w:r>
        <w:rPr>
          <w:rFonts w:eastAsia="Calibri"/>
          <w:sz w:val="22"/>
          <w:szCs w:val="22"/>
        </w:rPr>
        <w:t>ms</w:t>
      </w:r>
      <w:r w:rsidR="00623DA4" w:rsidRPr="004F572A">
        <w:rPr>
          <w:rFonts w:eastAsia="Calibri"/>
          <w:sz w:val="22"/>
          <w:szCs w:val="22"/>
        </w:rPr>
        <w:t xml:space="preserve"> yra </w:t>
      </w:r>
      <w:r>
        <w:rPr>
          <w:rFonts w:eastAsia="Calibri"/>
          <w:sz w:val="22"/>
          <w:szCs w:val="22"/>
        </w:rPr>
        <w:t>didesnė</w:t>
      </w:r>
      <w:r w:rsidR="00623DA4" w:rsidRPr="004F572A">
        <w:rPr>
          <w:rFonts w:eastAsia="Calibri"/>
          <w:sz w:val="22"/>
          <w:szCs w:val="22"/>
        </w:rPr>
        <w:t xml:space="preserve"> hipertenzij</w:t>
      </w:r>
      <w:r>
        <w:rPr>
          <w:rFonts w:eastAsia="Calibri"/>
          <w:sz w:val="22"/>
          <w:szCs w:val="22"/>
        </w:rPr>
        <w:t>os</w:t>
      </w:r>
      <w:r w:rsidR="00623DA4" w:rsidRPr="004F572A">
        <w:rPr>
          <w:rFonts w:eastAsia="Calibri"/>
          <w:sz w:val="22"/>
          <w:szCs w:val="22"/>
        </w:rPr>
        <w:t>,</w:t>
      </w:r>
      <w:r w:rsidR="004F1C95" w:rsidRPr="004F572A">
        <w:rPr>
          <w:rFonts w:eastAsia="Calibri"/>
          <w:sz w:val="22"/>
          <w:szCs w:val="22"/>
        </w:rPr>
        <w:t xml:space="preserve"> </w:t>
      </w:r>
      <w:proofErr w:type="spellStart"/>
      <w:r w:rsidR="004F1C95" w:rsidRPr="004F572A">
        <w:rPr>
          <w:rFonts w:eastAsia="Calibri"/>
          <w:sz w:val="22"/>
          <w:szCs w:val="22"/>
        </w:rPr>
        <w:t>proteinurij</w:t>
      </w:r>
      <w:r>
        <w:rPr>
          <w:rFonts w:eastAsia="Calibri"/>
          <w:sz w:val="22"/>
          <w:szCs w:val="22"/>
        </w:rPr>
        <w:t>os</w:t>
      </w:r>
      <w:proofErr w:type="spellEnd"/>
      <w:r w:rsidR="004F1C95" w:rsidRPr="004F572A">
        <w:rPr>
          <w:rFonts w:eastAsia="Calibri"/>
          <w:sz w:val="22"/>
          <w:szCs w:val="22"/>
        </w:rPr>
        <w:t>, apetito</w:t>
      </w:r>
      <w:r w:rsidR="00623DA4" w:rsidRPr="004F572A">
        <w:rPr>
          <w:rFonts w:eastAsia="Calibri"/>
          <w:sz w:val="22"/>
          <w:szCs w:val="22"/>
        </w:rPr>
        <w:t xml:space="preserve"> sumažėjim</w:t>
      </w:r>
      <w:r>
        <w:rPr>
          <w:rFonts w:eastAsia="Calibri"/>
          <w:sz w:val="22"/>
          <w:szCs w:val="22"/>
        </w:rPr>
        <w:t>o</w:t>
      </w:r>
      <w:r w:rsidR="00623DA4" w:rsidRPr="004F572A">
        <w:rPr>
          <w:rFonts w:eastAsia="Calibri"/>
          <w:sz w:val="22"/>
          <w:szCs w:val="22"/>
        </w:rPr>
        <w:t xml:space="preserve">, </w:t>
      </w:r>
      <w:proofErr w:type="spellStart"/>
      <w:r w:rsidR="004F1C95" w:rsidRPr="004F572A">
        <w:rPr>
          <w:rFonts w:eastAsia="Calibri"/>
          <w:sz w:val="22"/>
          <w:szCs w:val="22"/>
        </w:rPr>
        <w:t>astenij</w:t>
      </w:r>
      <w:r>
        <w:rPr>
          <w:rFonts w:eastAsia="Calibri"/>
          <w:sz w:val="22"/>
          <w:szCs w:val="22"/>
        </w:rPr>
        <w:t>os</w:t>
      </w:r>
      <w:proofErr w:type="spellEnd"/>
      <w:r w:rsidR="004F1C95" w:rsidRPr="004F572A">
        <w:rPr>
          <w:rFonts w:eastAsia="Calibri"/>
          <w:sz w:val="22"/>
          <w:szCs w:val="22"/>
        </w:rPr>
        <w:t>, dehidra</w:t>
      </w:r>
      <w:r w:rsidR="00623DA4" w:rsidRPr="004F572A">
        <w:rPr>
          <w:rFonts w:eastAsia="Calibri"/>
          <w:sz w:val="22"/>
          <w:szCs w:val="22"/>
        </w:rPr>
        <w:t>tacij</w:t>
      </w:r>
      <w:r>
        <w:rPr>
          <w:rFonts w:eastAsia="Calibri"/>
          <w:sz w:val="22"/>
          <w:szCs w:val="22"/>
        </w:rPr>
        <w:t>os</w:t>
      </w:r>
      <w:r w:rsidR="004F1C95" w:rsidRPr="004F572A">
        <w:rPr>
          <w:rFonts w:eastAsia="Calibri"/>
          <w:sz w:val="22"/>
          <w:szCs w:val="22"/>
        </w:rPr>
        <w:t xml:space="preserve">, </w:t>
      </w:r>
      <w:r w:rsidR="00623DA4" w:rsidRPr="004F572A">
        <w:rPr>
          <w:rFonts w:eastAsia="Calibri"/>
          <w:sz w:val="22"/>
          <w:szCs w:val="22"/>
        </w:rPr>
        <w:t>svaigul</w:t>
      </w:r>
      <w:r>
        <w:rPr>
          <w:rFonts w:eastAsia="Calibri"/>
          <w:sz w:val="22"/>
          <w:szCs w:val="22"/>
        </w:rPr>
        <w:t>io</w:t>
      </w:r>
      <w:r w:rsidR="004F1C95" w:rsidRPr="004F572A">
        <w:rPr>
          <w:rFonts w:eastAsia="Calibri"/>
          <w:sz w:val="22"/>
          <w:szCs w:val="22"/>
        </w:rPr>
        <w:t xml:space="preserve">, </w:t>
      </w:r>
      <w:r w:rsidR="00623DA4" w:rsidRPr="004F572A">
        <w:rPr>
          <w:rFonts w:eastAsia="Calibri"/>
          <w:sz w:val="22"/>
          <w:szCs w:val="22"/>
        </w:rPr>
        <w:t>bendr</w:t>
      </w:r>
      <w:r>
        <w:rPr>
          <w:rFonts w:eastAsia="Calibri"/>
          <w:sz w:val="22"/>
          <w:szCs w:val="22"/>
        </w:rPr>
        <w:t>o</w:t>
      </w:r>
      <w:r w:rsidR="00623DA4" w:rsidRPr="004F572A">
        <w:rPr>
          <w:rFonts w:eastAsia="Calibri"/>
          <w:sz w:val="22"/>
          <w:szCs w:val="22"/>
        </w:rPr>
        <w:t xml:space="preserve"> negalavim</w:t>
      </w:r>
      <w:r>
        <w:rPr>
          <w:rFonts w:eastAsia="Calibri"/>
          <w:sz w:val="22"/>
          <w:szCs w:val="22"/>
        </w:rPr>
        <w:t>o</w:t>
      </w:r>
      <w:r w:rsidR="004F1C95" w:rsidRPr="004F572A">
        <w:rPr>
          <w:rFonts w:eastAsia="Calibri"/>
          <w:sz w:val="22"/>
          <w:szCs w:val="22"/>
        </w:rPr>
        <w:t>, periferin</w:t>
      </w:r>
      <w:r>
        <w:rPr>
          <w:rFonts w:eastAsia="Calibri"/>
          <w:sz w:val="22"/>
          <w:szCs w:val="22"/>
        </w:rPr>
        <w:t>ės</w:t>
      </w:r>
      <w:r w:rsidR="004F1C95" w:rsidRPr="004F572A">
        <w:rPr>
          <w:rFonts w:eastAsia="Calibri"/>
          <w:sz w:val="22"/>
          <w:szCs w:val="22"/>
        </w:rPr>
        <w:t xml:space="preserve"> edem</w:t>
      </w:r>
      <w:r>
        <w:rPr>
          <w:rFonts w:eastAsia="Calibri"/>
          <w:sz w:val="22"/>
          <w:szCs w:val="22"/>
        </w:rPr>
        <w:t>os</w:t>
      </w:r>
      <w:r w:rsidR="004F1C95" w:rsidRPr="004F572A">
        <w:rPr>
          <w:rFonts w:eastAsia="Calibri"/>
          <w:sz w:val="22"/>
          <w:szCs w:val="22"/>
        </w:rPr>
        <w:t>, niežėjim</w:t>
      </w:r>
      <w:r>
        <w:rPr>
          <w:rFonts w:eastAsia="Calibri"/>
          <w:sz w:val="22"/>
          <w:szCs w:val="22"/>
        </w:rPr>
        <w:t>o</w:t>
      </w:r>
      <w:r w:rsidR="004F1C95" w:rsidRPr="004F572A">
        <w:rPr>
          <w:rFonts w:eastAsia="Calibri"/>
          <w:sz w:val="22"/>
          <w:szCs w:val="22"/>
        </w:rPr>
        <w:t xml:space="preserve"> ir </w:t>
      </w:r>
      <w:proofErr w:type="spellStart"/>
      <w:r w:rsidR="004F1C95" w:rsidRPr="004F572A">
        <w:rPr>
          <w:rFonts w:eastAsia="Calibri"/>
          <w:sz w:val="22"/>
          <w:szCs w:val="22"/>
        </w:rPr>
        <w:t>hepatin</w:t>
      </w:r>
      <w:r>
        <w:rPr>
          <w:rFonts w:eastAsia="Calibri"/>
          <w:sz w:val="22"/>
          <w:szCs w:val="22"/>
        </w:rPr>
        <w:t>ės</w:t>
      </w:r>
      <w:proofErr w:type="spellEnd"/>
      <w:r w:rsidR="004F1C95" w:rsidRPr="004F572A">
        <w:rPr>
          <w:rFonts w:eastAsia="Calibri"/>
          <w:sz w:val="22"/>
          <w:szCs w:val="22"/>
        </w:rPr>
        <w:t xml:space="preserve"> </w:t>
      </w:r>
      <w:proofErr w:type="spellStart"/>
      <w:r w:rsidR="004F1C95" w:rsidRPr="004F572A">
        <w:rPr>
          <w:rFonts w:eastAsia="Calibri"/>
          <w:sz w:val="22"/>
          <w:szCs w:val="22"/>
        </w:rPr>
        <w:t>encefalopatij</w:t>
      </w:r>
      <w:r>
        <w:rPr>
          <w:rFonts w:eastAsia="Calibri"/>
          <w:sz w:val="22"/>
          <w:szCs w:val="22"/>
        </w:rPr>
        <w:t>os</w:t>
      </w:r>
      <w:proofErr w:type="spellEnd"/>
      <w:r>
        <w:rPr>
          <w:rFonts w:eastAsia="Calibri"/>
          <w:sz w:val="22"/>
          <w:szCs w:val="22"/>
        </w:rPr>
        <w:t xml:space="preserve"> tikimybė.</w:t>
      </w:r>
      <w:r w:rsidR="004F1C95" w:rsidRPr="004F572A">
        <w:rPr>
          <w:rFonts w:eastAsia="Calibri"/>
          <w:sz w:val="22"/>
          <w:szCs w:val="22"/>
        </w:rPr>
        <w:t xml:space="preserve"> </w:t>
      </w:r>
      <w:proofErr w:type="spellStart"/>
      <w:r w:rsidR="004F1C95" w:rsidRPr="004F572A">
        <w:rPr>
          <w:rFonts w:eastAsia="Calibri"/>
          <w:sz w:val="22"/>
          <w:szCs w:val="22"/>
        </w:rPr>
        <w:t>Hepatinė</w:t>
      </w:r>
      <w:r>
        <w:rPr>
          <w:rFonts w:eastAsia="Calibri"/>
          <w:sz w:val="22"/>
          <w:szCs w:val="22"/>
        </w:rPr>
        <w:t>s</w:t>
      </w:r>
      <w:proofErr w:type="spellEnd"/>
      <w:r w:rsidR="004F1C95" w:rsidRPr="004F572A">
        <w:rPr>
          <w:rFonts w:eastAsia="Calibri"/>
          <w:sz w:val="22"/>
          <w:szCs w:val="22"/>
        </w:rPr>
        <w:t xml:space="preserve"> </w:t>
      </w:r>
      <w:proofErr w:type="spellStart"/>
      <w:r w:rsidR="004F1C95" w:rsidRPr="004F572A">
        <w:rPr>
          <w:rFonts w:eastAsia="Calibri"/>
          <w:sz w:val="22"/>
          <w:szCs w:val="22"/>
        </w:rPr>
        <w:t>encefalopatijos</w:t>
      </w:r>
      <w:proofErr w:type="spellEnd"/>
      <w:r w:rsidR="004F1C95" w:rsidRPr="004F572A">
        <w:rPr>
          <w:rFonts w:eastAsia="Calibri"/>
          <w:sz w:val="22"/>
          <w:szCs w:val="22"/>
        </w:rPr>
        <w:t xml:space="preserve"> dažnis </w:t>
      </w:r>
      <w:r>
        <w:rPr>
          <w:rFonts w:eastAsia="Calibri"/>
          <w:sz w:val="22"/>
          <w:szCs w:val="22"/>
        </w:rPr>
        <w:t xml:space="preserve">tarp </w:t>
      </w:r>
      <w:r w:rsidR="004F1C95" w:rsidRPr="004F572A">
        <w:rPr>
          <w:rFonts w:eastAsia="Calibri"/>
          <w:sz w:val="22"/>
          <w:szCs w:val="22"/>
        </w:rPr>
        <w:t>≥</w:t>
      </w:r>
      <w:r w:rsidR="00E234A6" w:rsidRPr="004F572A">
        <w:rPr>
          <w:rFonts w:eastAsia="Calibri"/>
          <w:sz w:val="22"/>
          <w:szCs w:val="22"/>
        </w:rPr>
        <w:t> </w:t>
      </w:r>
      <w:r w:rsidR="004F1C95" w:rsidRPr="004F572A">
        <w:rPr>
          <w:rFonts w:eastAsia="Calibri"/>
          <w:sz w:val="22"/>
          <w:szCs w:val="22"/>
        </w:rPr>
        <w:t>75</w:t>
      </w:r>
      <w:r w:rsidR="00115D7F">
        <w:rPr>
          <w:rFonts w:eastAsia="Calibri"/>
          <w:sz w:val="22"/>
          <w:szCs w:val="22"/>
        </w:rPr>
        <w:t> </w:t>
      </w:r>
      <w:r w:rsidR="004F1C95" w:rsidRPr="004F572A">
        <w:rPr>
          <w:rFonts w:eastAsia="Calibri"/>
          <w:sz w:val="22"/>
          <w:szCs w:val="22"/>
        </w:rPr>
        <w:t xml:space="preserve">metų </w:t>
      </w:r>
      <w:r>
        <w:rPr>
          <w:rFonts w:eastAsia="Calibri"/>
          <w:sz w:val="22"/>
          <w:szCs w:val="22"/>
        </w:rPr>
        <w:t>amžiaus pacientų</w:t>
      </w:r>
      <w:r w:rsidR="004F1C95" w:rsidRPr="004F572A">
        <w:rPr>
          <w:rFonts w:eastAsia="Calibri"/>
          <w:sz w:val="22"/>
          <w:szCs w:val="22"/>
        </w:rPr>
        <w:t xml:space="preserve"> buvo daugiau kaip du kartus didesnis (17,2</w:t>
      </w:r>
      <w:r w:rsidR="00E234A6" w:rsidRPr="004F572A">
        <w:rPr>
          <w:rFonts w:eastAsia="Calibri"/>
          <w:sz w:val="22"/>
          <w:szCs w:val="22"/>
        </w:rPr>
        <w:t> </w:t>
      </w:r>
      <w:r w:rsidR="004F1C95" w:rsidRPr="004F572A">
        <w:rPr>
          <w:rFonts w:eastAsia="Calibri"/>
          <w:sz w:val="22"/>
          <w:szCs w:val="22"/>
        </w:rPr>
        <w:t>%), palyginti su &lt;</w:t>
      </w:r>
      <w:r w:rsidR="00E234A6" w:rsidRPr="004F572A">
        <w:rPr>
          <w:rFonts w:eastAsia="Calibri"/>
          <w:sz w:val="22"/>
          <w:szCs w:val="22"/>
        </w:rPr>
        <w:t> </w:t>
      </w:r>
      <w:r w:rsidR="004F1C95" w:rsidRPr="004F572A">
        <w:rPr>
          <w:rFonts w:eastAsia="Calibri"/>
          <w:sz w:val="22"/>
          <w:szCs w:val="22"/>
        </w:rPr>
        <w:t>75</w:t>
      </w:r>
      <w:r w:rsidR="00115D7F">
        <w:rPr>
          <w:rFonts w:eastAsia="Calibri"/>
          <w:sz w:val="22"/>
          <w:szCs w:val="22"/>
        </w:rPr>
        <w:t> </w:t>
      </w:r>
      <w:r w:rsidR="004F1C95" w:rsidRPr="004F572A">
        <w:rPr>
          <w:rFonts w:eastAsia="Calibri"/>
          <w:sz w:val="22"/>
          <w:szCs w:val="22"/>
        </w:rPr>
        <w:t>metų amžiaus asmenimis (7,1</w:t>
      </w:r>
      <w:r w:rsidR="00E234A6" w:rsidRPr="004F572A">
        <w:rPr>
          <w:rFonts w:eastAsia="Calibri"/>
          <w:sz w:val="22"/>
          <w:szCs w:val="22"/>
        </w:rPr>
        <w:t> </w:t>
      </w:r>
      <w:r w:rsidR="004F1C95" w:rsidRPr="004F572A">
        <w:rPr>
          <w:rFonts w:eastAsia="Calibri"/>
          <w:sz w:val="22"/>
          <w:szCs w:val="22"/>
        </w:rPr>
        <w:t xml:space="preserve">%). </w:t>
      </w:r>
      <w:r>
        <w:rPr>
          <w:rFonts w:eastAsia="Calibri"/>
          <w:sz w:val="22"/>
          <w:szCs w:val="22"/>
        </w:rPr>
        <w:t xml:space="preserve">Pastebėta tendencija, kad </w:t>
      </w:r>
      <w:proofErr w:type="spellStart"/>
      <w:r>
        <w:rPr>
          <w:rFonts w:eastAsia="Calibri"/>
          <w:sz w:val="22"/>
          <w:szCs w:val="22"/>
        </w:rPr>
        <w:t>h</w:t>
      </w:r>
      <w:r w:rsidR="004F1C95" w:rsidRPr="004F572A">
        <w:rPr>
          <w:rFonts w:eastAsia="Calibri"/>
          <w:sz w:val="22"/>
          <w:szCs w:val="22"/>
        </w:rPr>
        <w:t>epatinė</w:t>
      </w:r>
      <w:proofErr w:type="spellEnd"/>
      <w:r w:rsidR="004F1C95" w:rsidRPr="004F572A">
        <w:rPr>
          <w:rFonts w:eastAsia="Calibri"/>
          <w:sz w:val="22"/>
          <w:szCs w:val="22"/>
        </w:rPr>
        <w:t xml:space="preserve"> </w:t>
      </w:r>
      <w:proofErr w:type="spellStart"/>
      <w:r w:rsidR="004F1C95" w:rsidRPr="004F572A">
        <w:rPr>
          <w:rFonts w:eastAsia="Calibri"/>
          <w:sz w:val="22"/>
          <w:szCs w:val="22"/>
        </w:rPr>
        <w:t>ence</w:t>
      </w:r>
      <w:r w:rsidR="00D63E87">
        <w:rPr>
          <w:rFonts w:eastAsia="Calibri"/>
          <w:sz w:val="22"/>
          <w:szCs w:val="22"/>
        </w:rPr>
        <w:t>fa</w:t>
      </w:r>
      <w:r w:rsidR="004F1C95" w:rsidRPr="004F572A">
        <w:rPr>
          <w:rFonts w:eastAsia="Calibri"/>
          <w:sz w:val="22"/>
          <w:szCs w:val="22"/>
        </w:rPr>
        <w:t>lopatija</w:t>
      </w:r>
      <w:proofErr w:type="spellEnd"/>
      <w:r w:rsidR="004F1C95" w:rsidRPr="004F572A">
        <w:rPr>
          <w:rFonts w:eastAsia="Calibri"/>
          <w:sz w:val="22"/>
          <w:szCs w:val="22"/>
        </w:rPr>
        <w:t xml:space="preserve"> </w:t>
      </w:r>
      <w:r w:rsidR="00E234A6" w:rsidRPr="004F572A">
        <w:rPr>
          <w:rFonts w:eastAsia="Calibri"/>
          <w:sz w:val="22"/>
          <w:szCs w:val="22"/>
        </w:rPr>
        <w:t xml:space="preserve">buvo </w:t>
      </w:r>
      <w:r>
        <w:rPr>
          <w:rFonts w:eastAsia="Calibri"/>
          <w:sz w:val="22"/>
          <w:szCs w:val="22"/>
        </w:rPr>
        <w:t xml:space="preserve">susijusi su </w:t>
      </w:r>
      <w:r w:rsidR="004F1C95" w:rsidRPr="004F572A">
        <w:rPr>
          <w:rFonts w:eastAsia="Calibri"/>
          <w:sz w:val="22"/>
          <w:szCs w:val="22"/>
        </w:rPr>
        <w:t xml:space="preserve">nepalankiomis ligos charakteristikomis arba su kitų vaistinių preparatų vartojimu. </w:t>
      </w:r>
      <w:r w:rsidRPr="00217A1D">
        <w:rPr>
          <w:rFonts w:eastAsia="Calibri"/>
          <w:sz w:val="22"/>
          <w:szCs w:val="22"/>
        </w:rPr>
        <w:t>Arterinės tromboembolijos atvejai šioje amžiaus grupėje taip pat buvo registruojami dažniau.</w:t>
      </w:r>
    </w:p>
    <w:p w14:paraId="1FF2403A" w14:textId="77777777" w:rsidR="007641F3" w:rsidRPr="004F572A" w:rsidRDefault="007641F3" w:rsidP="004F1C95">
      <w:pPr>
        <w:widowControl w:val="0"/>
        <w:tabs>
          <w:tab w:val="clear" w:pos="567"/>
        </w:tabs>
        <w:rPr>
          <w:rFonts w:eastAsia="Calibri"/>
          <w:i/>
          <w:iCs/>
          <w:sz w:val="22"/>
          <w:szCs w:val="22"/>
        </w:rPr>
      </w:pPr>
    </w:p>
    <w:p w14:paraId="34312197" w14:textId="6E391BF4" w:rsidR="004F1C95" w:rsidRPr="004F572A" w:rsidRDefault="004F1C95" w:rsidP="004F1C95">
      <w:pPr>
        <w:widowControl w:val="0"/>
        <w:tabs>
          <w:tab w:val="clear" w:pos="567"/>
        </w:tabs>
        <w:rPr>
          <w:rFonts w:eastAsia="Calibri"/>
          <w:i/>
          <w:iCs/>
          <w:sz w:val="22"/>
          <w:szCs w:val="22"/>
        </w:rPr>
      </w:pPr>
      <w:r w:rsidRPr="004F572A">
        <w:rPr>
          <w:rFonts w:eastAsia="Calibri"/>
          <w:i/>
          <w:iCs/>
          <w:sz w:val="22"/>
          <w:szCs w:val="22"/>
        </w:rPr>
        <w:t>EK</w:t>
      </w:r>
    </w:p>
    <w:p w14:paraId="5BE27020" w14:textId="12BCA2CF" w:rsidR="004F1C95" w:rsidRPr="004F572A" w:rsidRDefault="007641F3" w:rsidP="004F1C95">
      <w:pPr>
        <w:widowControl w:val="0"/>
        <w:tabs>
          <w:tab w:val="clear" w:pos="567"/>
        </w:tabs>
        <w:rPr>
          <w:rFonts w:eastAsia="Calibri"/>
          <w:sz w:val="22"/>
          <w:szCs w:val="22"/>
        </w:rPr>
      </w:pPr>
      <w:r w:rsidRPr="004F572A">
        <w:rPr>
          <w:rFonts w:eastAsia="Calibri"/>
          <w:sz w:val="22"/>
          <w:szCs w:val="22"/>
        </w:rPr>
        <w:t>≥</w:t>
      </w:r>
      <w:r w:rsidR="007E577A" w:rsidRPr="004F572A">
        <w:rPr>
          <w:rFonts w:eastAsia="Calibri"/>
          <w:sz w:val="22"/>
          <w:szCs w:val="22"/>
        </w:rPr>
        <w:t> </w:t>
      </w:r>
      <w:r w:rsidRPr="004F572A">
        <w:rPr>
          <w:rFonts w:eastAsia="Calibri"/>
          <w:sz w:val="22"/>
          <w:szCs w:val="22"/>
        </w:rPr>
        <w:t>75</w:t>
      </w:r>
      <w:r w:rsidR="00115D7F">
        <w:rPr>
          <w:rFonts w:eastAsia="Calibri"/>
          <w:sz w:val="22"/>
          <w:szCs w:val="22"/>
        </w:rPr>
        <w:t> </w:t>
      </w:r>
      <w:r w:rsidRPr="004F572A">
        <w:rPr>
          <w:rFonts w:eastAsia="Calibri"/>
          <w:sz w:val="22"/>
          <w:szCs w:val="22"/>
        </w:rPr>
        <w:t>metų pacienta</w:t>
      </w:r>
      <w:r w:rsidR="00217A1D">
        <w:rPr>
          <w:rFonts w:eastAsia="Calibri"/>
          <w:sz w:val="22"/>
          <w:szCs w:val="22"/>
        </w:rPr>
        <w:t>ms</w:t>
      </w:r>
      <w:r w:rsidRPr="004F572A">
        <w:rPr>
          <w:rFonts w:eastAsia="Calibri"/>
          <w:sz w:val="22"/>
          <w:szCs w:val="22"/>
        </w:rPr>
        <w:t xml:space="preserve"> </w:t>
      </w:r>
      <w:r w:rsidR="00217A1D">
        <w:rPr>
          <w:rFonts w:eastAsia="Calibri"/>
          <w:sz w:val="22"/>
          <w:szCs w:val="22"/>
        </w:rPr>
        <w:t xml:space="preserve">dažniau pasireiškė </w:t>
      </w:r>
      <w:r w:rsidR="004F1C95" w:rsidRPr="004F572A">
        <w:rPr>
          <w:rFonts w:eastAsia="Calibri"/>
          <w:sz w:val="22"/>
          <w:szCs w:val="22"/>
        </w:rPr>
        <w:t>šlapimo takų infekcij</w:t>
      </w:r>
      <w:r w:rsidR="00217A1D">
        <w:rPr>
          <w:rFonts w:eastAsia="Calibri"/>
          <w:sz w:val="22"/>
          <w:szCs w:val="22"/>
        </w:rPr>
        <w:t>os</w:t>
      </w:r>
      <w:r w:rsidR="004F1C95" w:rsidRPr="004F572A">
        <w:rPr>
          <w:rFonts w:eastAsia="Calibri"/>
          <w:sz w:val="22"/>
          <w:szCs w:val="22"/>
        </w:rPr>
        <w:t xml:space="preserve"> ir ≥</w:t>
      </w:r>
      <w:r w:rsidR="007E577A" w:rsidRPr="004F572A">
        <w:rPr>
          <w:rFonts w:eastAsia="Calibri"/>
          <w:sz w:val="22"/>
          <w:szCs w:val="22"/>
        </w:rPr>
        <w:t> </w:t>
      </w:r>
      <w:r w:rsidR="004F1C95" w:rsidRPr="004F572A">
        <w:rPr>
          <w:rFonts w:eastAsia="Calibri"/>
          <w:sz w:val="22"/>
          <w:szCs w:val="22"/>
        </w:rPr>
        <w:t>3</w:t>
      </w:r>
      <w:r w:rsidR="00115D7F">
        <w:rPr>
          <w:rFonts w:eastAsia="Calibri"/>
          <w:sz w:val="22"/>
          <w:szCs w:val="22"/>
        </w:rPr>
        <w:t> </w:t>
      </w:r>
      <w:r w:rsidR="004F1C95" w:rsidRPr="004F572A">
        <w:rPr>
          <w:rFonts w:eastAsia="Calibri"/>
          <w:sz w:val="22"/>
          <w:szCs w:val="22"/>
        </w:rPr>
        <w:t>laipsnio hipertenzij</w:t>
      </w:r>
      <w:r w:rsidR="00217A1D">
        <w:rPr>
          <w:rFonts w:eastAsia="Calibri"/>
          <w:sz w:val="22"/>
          <w:szCs w:val="22"/>
        </w:rPr>
        <w:t>a</w:t>
      </w:r>
      <w:r w:rsidR="004F1C95" w:rsidRPr="004F572A">
        <w:rPr>
          <w:rFonts w:eastAsia="Calibri"/>
          <w:sz w:val="22"/>
          <w:szCs w:val="22"/>
        </w:rPr>
        <w:t xml:space="preserve"> (≥</w:t>
      </w:r>
      <w:r w:rsidRPr="004F572A">
        <w:rPr>
          <w:rFonts w:eastAsia="Calibri"/>
          <w:sz w:val="22"/>
          <w:szCs w:val="22"/>
        </w:rPr>
        <w:t> </w:t>
      </w:r>
      <w:r w:rsidR="004F1C95" w:rsidRPr="004F572A">
        <w:rPr>
          <w:rFonts w:eastAsia="Calibri"/>
          <w:sz w:val="22"/>
          <w:szCs w:val="22"/>
        </w:rPr>
        <w:t>10</w:t>
      </w:r>
      <w:r w:rsidRPr="004F572A">
        <w:rPr>
          <w:rFonts w:eastAsia="Calibri"/>
          <w:sz w:val="22"/>
          <w:szCs w:val="22"/>
        </w:rPr>
        <w:t> </w:t>
      </w:r>
      <w:r w:rsidR="004F1C95" w:rsidRPr="004F572A">
        <w:rPr>
          <w:rFonts w:eastAsia="Calibri"/>
          <w:sz w:val="22"/>
          <w:szCs w:val="22"/>
        </w:rPr>
        <w:t>% padidėj</w:t>
      </w:r>
      <w:r w:rsidR="00217A1D">
        <w:rPr>
          <w:rFonts w:eastAsia="Calibri"/>
          <w:sz w:val="22"/>
          <w:szCs w:val="22"/>
        </w:rPr>
        <w:t>o</w:t>
      </w:r>
      <w:r w:rsidR="004F1C95" w:rsidRPr="004F572A">
        <w:rPr>
          <w:rFonts w:eastAsia="Calibri"/>
          <w:sz w:val="22"/>
          <w:szCs w:val="22"/>
        </w:rPr>
        <w:t>, palyginti su &lt;</w:t>
      </w:r>
      <w:r w:rsidRPr="004F572A">
        <w:rPr>
          <w:rFonts w:eastAsia="Calibri"/>
          <w:sz w:val="22"/>
          <w:szCs w:val="22"/>
        </w:rPr>
        <w:t> </w:t>
      </w:r>
      <w:r w:rsidR="004F1C95" w:rsidRPr="004F572A">
        <w:rPr>
          <w:rFonts w:eastAsia="Calibri"/>
          <w:sz w:val="22"/>
          <w:szCs w:val="22"/>
        </w:rPr>
        <w:t>65</w:t>
      </w:r>
      <w:r w:rsidR="00115D7F">
        <w:rPr>
          <w:rFonts w:eastAsia="Calibri"/>
          <w:sz w:val="22"/>
          <w:szCs w:val="22"/>
        </w:rPr>
        <w:t> </w:t>
      </w:r>
      <w:r w:rsidR="004F1C95" w:rsidRPr="004F572A">
        <w:rPr>
          <w:rFonts w:eastAsia="Calibri"/>
          <w:sz w:val="22"/>
          <w:szCs w:val="22"/>
        </w:rPr>
        <w:t>metų pacientais).</w:t>
      </w:r>
    </w:p>
    <w:p w14:paraId="42188294" w14:textId="77777777" w:rsidR="007641F3" w:rsidRPr="004F572A" w:rsidRDefault="007641F3" w:rsidP="004F1C95">
      <w:pPr>
        <w:widowControl w:val="0"/>
        <w:tabs>
          <w:tab w:val="clear" w:pos="567"/>
        </w:tabs>
        <w:rPr>
          <w:rFonts w:eastAsia="Calibri"/>
          <w:i/>
          <w:iCs/>
          <w:sz w:val="22"/>
          <w:szCs w:val="22"/>
        </w:rPr>
      </w:pPr>
    </w:p>
    <w:p w14:paraId="18F46667" w14:textId="7F823AD9" w:rsidR="004F1C95" w:rsidRPr="004F572A" w:rsidRDefault="004F1C95" w:rsidP="004F1C95">
      <w:pPr>
        <w:widowControl w:val="0"/>
        <w:tabs>
          <w:tab w:val="clear" w:pos="567"/>
        </w:tabs>
        <w:rPr>
          <w:rFonts w:eastAsia="Calibri"/>
          <w:i/>
          <w:iCs/>
          <w:sz w:val="22"/>
          <w:szCs w:val="22"/>
          <w:u w:val="single"/>
        </w:rPr>
      </w:pPr>
      <w:r w:rsidRPr="004F572A">
        <w:rPr>
          <w:rFonts w:eastAsia="Calibri"/>
          <w:i/>
          <w:iCs/>
          <w:sz w:val="22"/>
          <w:szCs w:val="22"/>
          <w:u w:val="single"/>
        </w:rPr>
        <w:t>Lytis</w:t>
      </w:r>
    </w:p>
    <w:p w14:paraId="264A9B88" w14:textId="77777777" w:rsidR="007641F3" w:rsidRPr="004F572A" w:rsidRDefault="007641F3" w:rsidP="004F1C95">
      <w:pPr>
        <w:widowControl w:val="0"/>
        <w:tabs>
          <w:tab w:val="clear" w:pos="567"/>
        </w:tabs>
        <w:rPr>
          <w:rFonts w:eastAsia="Calibri"/>
          <w:i/>
          <w:iCs/>
          <w:sz w:val="22"/>
          <w:szCs w:val="22"/>
        </w:rPr>
      </w:pPr>
    </w:p>
    <w:p w14:paraId="73092AAC" w14:textId="41564966" w:rsidR="004F1C95" w:rsidRPr="004F572A" w:rsidRDefault="004F1C95" w:rsidP="004F1C95">
      <w:pPr>
        <w:widowControl w:val="0"/>
        <w:tabs>
          <w:tab w:val="clear" w:pos="567"/>
        </w:tabs>
        <w:rPr>
          <w:rFonts w:eastAsia="Calibri"/>
          <w:i/>
          <w:iCs/>
          <w:sz w:val="22"/>
          <w:szCs w:val="22"/>
        </w:rPr>
      </w:pPr>
      <w:r w:rsidRPr="004F572A">
        <w:rPr>
          <w:rFonts w:eastAsia="Calibri"/>
          <w:i/>
          <w:iCs/>
          <w:sz w:val="22"/>
          <w:szCs w:val="22"/>
        </w:rPr>
        <w:t>DSK</w:t>
      </w:r>
    </w:p>
    <w:p w14:paraId="2DDF30B7" w14:textId="77777777" w:rsidR="007641F3" w:rsidRPr="004F572A" w:rsidRDefault="007641F3" w:rsidP="004F1C95">
      <w:pPr>
        <w:widowControl w:val="0"/>
        <w:tabs>
          <w:tab w:val="clear" w:pos="567"/>
        </w:tabs>
        <w:rPr>
          <w:rFonts w:eastAsia="Calibri"/>
          <w:sz w:val="22"/>
          <w:szCs w:val="22"/>
        </w:rPr>
      </w:pPr>
    </w:p>
    <w:p w14:paraId="41B6FD99" w14:textId="406F34CA" w:rsidR="004F1C95" w:rsidRPr="004F572A" w:rsidRDefault="004F1C95" w:rsidP="004F1C95">
      <w:pPr>
        <w:widowControl w:val="0"/>
        <w:tabs>
          <w:tab w:val="clear" w:pos="567"/>
        </w:tabs>
        <w:rPr>
          <w:rFonts w:eastAsia="Calibri"/>
          <w:sz w:val="22"/>
          <w:szCs w:val="22"/>
        </w:rPr>
      </w:pPr>
      <w:r w:rsidRPr="004F572A">
        <w:rPr>
          <w:rFonts w:eastAsia="Calibri"/>
          <w:sz w:val="22"/>
          <w:szCs w:val="22"/>
        </w:rPr>
        <w:t xml:space="preserve">Moterims </w:t>
      </w:r>
      <w:r w:rsidR="00217A1D">
        <w:rPr>
          <w:rFonts w:eastAsia="Calibri"/>
          <w:sz w:val="22"/>
          <w:szCs w:val="22"/>
        </w:rPr>
        <w:t>dažniau pasireiškė</w:t>
      </w:r>
      <w:r w:rsidRPr="004F572A">
        <w:rPr>
          <w:rFonts w:eastAsia="Calibri"/>
          <w:sz w:val="22"/>
          <w:szCs w:val="22"/>
        </w:rPr>
        <w:t xml:space="preserve"> hipertenzij</w:t>
      </w:r>
      <w:r w:rsidR="00217A1D">
        <w:rPr>
          <w:rFonts w:eastAsia="Calibri"/>
          <w:sz w:val="22"/>
          <w:szCs w:val="22"/>
        </w:rPr>
        <w:t>a</w:t>
      </w:r>
      <w:r w:rsidRPr="004F572A">
        <w:rPr>
          <w:rFonts w:eastAsia="Calibri"/>
          <w:sz w:val="22"/>
          <w:szCs w:val="22"/>
        </w:rPr>
        <w:t xml:space="preserve"> (įskaitant 3</w:t>
      </w:r>
      <w:r w:rsidR="00115D7F">
        <w:rPr>
          <w:rFonts w:eastAsia="Calibri"/>
          <w:sz w:val="22"/>
          <w:szCs w:val="22"/>
        </w:rPr>
        <w:noBreakHyphen/>
      </w:r>
      <w:r w:rsidRPr="004F572A">
        <w:rPr>
          <w:rFonts w:eastAsia="Calibri"/>
          <w:sz w:val="22"/>
          <w:szCs w:val="22"/>
        </w:rPr>
        <w:t>iojo ar 4</w:t>
      </w:r>
      <w:r w:rsidR="00115D7F">
        <w:rPr>
          <w:rFonts w:eastAsia="Calibri"/>
          <w:sz w:val="22"/>
          <w:szCs w:val="22"/>
        </w:rPr>
        <w:noBreakHyphen/>
      </w:r>
      <w:r w:rsidRPr="004F572A">
        <w:rPr>
          <w:rFonts w:eastAsia="Calibri"/>
          <w:sz w:val="22"/>
          <w:szCs w:val="22"/>
        </w:rPr>
        <w:t xml:space="preserve">ojo laipsnio hipertenziją), </w:t>
      </w:r>
      <w:proofErr w:type="spellStart"/>
      <w:r w:rsidRPr="004F572A">
        <w:rPr>
          <w:rFonts w:eastAsia="Calibri"/>
          <w:sz w:val="22"/>
          <w:szCs w:val="22"/>
        </w:rPr>
        <w:t>proteinurij</w:t>
      </w:r>
      <w:r w:rsidR="00A96E2C">
        <w:rPr>
          <w:rFonts w:eastAsia="Calibri"/>
          <w:sz w:val="22"/>
          <w:szCs w:val="22"/>
        </w:rPr>
        <w:t>a</w:t>
      </w:r>
      <w:proofErr w:type="spellEnd"/>
      <w:r w:rsidRPr="004F572A">
        <w:rPr>
          <w:rFonts w:eastAsia="Calibri"/>
          <w:sz w:val="22"/>
          <w:szCs w:val="22"/>
        </w:rPr>
        <w:t xml:space="preserve"> ir DPE,</w:t>
      </w:r>
      <w:r w:rsidR="007641F3" w:rsidRPr="004F572A">
        <w:rPr>
          <w:rFonts w:eastAsia="Calibri"/>
          <w:sz w:val="22"/>
          <w:szCs w:val="22"/>
        </w:rPr>
        <w:t xml:space="preserve"> </w:t>
      </w:r>
      <w:r w:rsidRPr="004F572A">
        <w:rPr>
          <w:rFonts w:eastAsia="Calibri"/>
          <w:sz w:val="22"/>
          <w:szCs w:val="22"/>
        </w:rPr>
        <w:t xml:space="preserve">vyrams </w:t>
      </w:r>
      <w:r w:rsidR="00217A1D">
        <w:rPr>
          <w:rFonts w:eastAsia="Calibri"/>
          <w:sz w:val="22"/>
          <w:szCs w:val="22"/>
        </w:rPr>
        <w:t>dažniau pasireiškė</w:t>
      </w:r>
      <w:r w:rsidRPr="004F572A">
        <w:rPr>
          <w:rFonts w:eastAsia="Calibri"/>
          <w:sz w:val="22"/>
          <w:szCs w:val="22"/>
        </w:rPr>
        <w:t xml:space="preserve"> </w:t>
      </w:r>
      <w:r w:rsidR="00217A1D">
        <w:rPr>
          <w:rFonts w:eastAsia="Calibri"/>
          <w:sz w:val="22"/>
          <w:szCs w:val="22"/>
        </w:rPr>
        <w:t xml:space="preserve">sumažėjusi </w:t>
      </w:r>
      <w:r w:rsidRPr="004F572A">
        <w:rPr>
          <w:rFonts w:eastAsia="Calibri"/>
          <w:sz w:val="22"/>
          <w:szCs w:val="22"/>
        </w:rPr>
        <w:t>širdies išstūmimo frakcij</w:t>
      </w:r>
      <w:r w:rsidR="00217A1D">
        <w:rPr>
          <w:rFonts w:eastAsia="Calibri"/>
          <w:sz w:val="22"/>
          <w:szCs w:val="22"/>
        </w:rPr>
        <w:t>a</w:t>
      </w:r>
      <w:r w:rsidR="007641F3" w:rsidRPr="004F572A">
        <w:rPr>
          <w:rFonts w:eastAsia="Calibri"/>
          <w:sz w:val="22"/>
          <w:szCs w:val="22"/>
        </w:rPr>
        <w:t xml:space="preserve"> </w:t>
      </w:r>
      <w:r w:rsidRPr="004F572A">
        <w:rPr>
          <w:rFonts w:eastAsia="Calibri"/>
          <w:sz w:val="22"/>
          <w:szCs w:val="22"/>
        </w:rPr>
        <w:t>ir virškinimo trakto perforacij</w:t>
      </w:r>
      <w:r w:rsidR="00217A1D">
        <w:rPr>
          <w:rFonts w:eastAsia="Calibri"/>
          <w:sz w:val="22"/>
          <w:szCs w:val="22"/>
        </w:rPr>
        <w:t>a</w:t>
      </w:r>
      <w:r w:rsidRPr="004F572A">
        <w:rPr>
          <w:rFonts w:eastAsia="Calibri"/>
          <w:sz w:val="22"/>
          <w:szCs w:val="22"/>
        </w:rPr>
        <w:t xml:space="preserve"> bei fistulių </w:t>
      </w:r>
      <w:r w:rsidR="00217A1D">
        <w:rPr>
          <w:rFonts w:eastAsia="Calibri"/>
          <w:sz w:val="22"/>
          <w:szCs w:val="22"/>
        </w:rPr>
        <w:t>susidarymas</w:t>
      </w:r>
      <w:r w:rsidRPr="004F572A">
        <w:rPr>
          <w:rFonts w:eastAsia="Calibri"/>
          <w:sz w:val="22"/>
          <w:szCs w:val="22"/>
        </w:rPr>
        <w:t>.</w:t>
      </w:r>
    </w:p>
    <w:p w14:paraId="155D0AC5" w14:textId="77777777" w:rsidR="007641F3" w:rsidRPr="004F572A" w:rsidRDefault="007641F3" w:rsidP="004F1C95">
      <w:pPr>
        <w:widowControl w:val="0"/>
        <w:tabs>
          <w:tab w:val="clear" w:pos="567"/>
        </w:tabs>
        <w:rPr>
          <w:rFonts w:eastAsia="Calibri"/>
          <w:i/>
          <w:iCs/>
          <w:sz w:val="22"/>
          <w:szCs w:val="22"/>
        </w:rPr>
      </w:pPr>
    </w:p>
    <w:p w14:paraId="242BACD4" w14:textId="1EBEB61C" w:rsidR="004F1C95" w:rsidRPr="004F572A" w:rsidRDefault="004F1C95" w:rsidP="004F1C95">
      <w:pPr>
        <w:widowControl w:val="0"/>
        <w:tabs>
          <w:tab w:val="clear" w:pos="567"/>
        </w:tabs>
        <w:rPr>
          <w:rFonts w:eastAsia="Calibri"/>
          <w:i/>
          <w:iCs/>
          <w:sz w:val="22"/>
          <w:szCs w:val="22"/>
        </w:rPr>
      </w:pPr>
      <w:r w:rsidRPr="004F572A">
        <w:rPr>
          <w:rFonts w:eastAsia="Calibri"/>
          <w:i/>
          <w:iCs/>
          <w:sz w:val="22"/>
          <w:szCs w:val="22"/>
        </w:rPr>
        <w:t>HCK</w:t>
      </w:r>
    </w:p>
    <w:p w14:paraId="6150E22B" w14:textId="25B584AF" w:rsidR="003E3675" w:rsidRPr="004F572A" w:rsidRDefault="004F1C95" w:rsidP="004F1C95">
      <w:pPr>
        <w:widowControl w:val="0"/>
        <w:tabs>
          <w:tab w:val="clear" w:pos="567"/>
        </w:tabs>
        <w:rPr>
          <w:rFonts w:eastAsia="Calibri"/>
          <w:sz w:val="22"/>
          <w:szCs w:val="22"/>
        </w:rPr>
      </w:pPr>
      <w:r w:rsidRPr="004F572A">
        <w:rPr>
          <w:rFonts w:eastAsia="Calibri"/>
          <w:sz w:val="22"/>
          <w:szCs w:val="22"/>
        </w:rPr>
        <w:t xml:space="preserve">Moterims </w:t>
      </w:r>
      <w:r w:rsidR="00217A1D" w:rsidRPr="00217A1D">
        <w:rPr>
          <w:rFonts w:eastAsia="Calibri"/>
          <w:sz w:val="22"/>
          <w:szCs w:val="22"/>
        </w:rPr>
        <w:t>nustatytas didesnis</w:t>
      </w:r>
      <w:r w:rsidR="00217A1D">
        <w:rPr>
          <w:rFonts w:eastAsia="Calibri"/>
          <w:sz w:val="22"/>
          <w:szCs w:val="22"/>
        </w:rPr>
        <w:t xml:space="preserve"> </w:t>
      </w:r>
      <w:r w:rsidR="007641F3" w:rsidRPr="004F572A">
        <w:rPr>
          <w:rFonts w:eastAsia="Calibri"/>
          <w:sz w:val="22"/>
          <w:szCs w:val="22"/>
        </w:rPr>
        <w:t>hipertenzijos</w:t>
      </w:r>
      <w:r w:rsidRPr="004F572A">
        <w:rPr>
          <w:rFonts w:eastAsia="Calibri"/>
          <w:sz w:val="22"/>
          <w:szCs w:val="22"/>
        </w:rPr>
        <w:t xml:space="preserve">, nuovargio, QT intervalo </w:t>
      </w:r>
      <w:r w:rsidR="00102B5C" w:rsidRPr="004F572A">
        <w:rPr>
          <w:rFonts w:eastAsia="Calibri"/>
          <w:sz w:val="22"/>
          <w:szCs w:val="22"/>
        </w:rPr>
        <w:t xml:space="preserve">EKG </w:t>
      </w:r>
      <w:r w:rsidRPr="004F572A">
        <w:rPr>
          <w:rFonts w:eastAsia="Calibri"/>
          <w:sz w:val="22"/>
          <w:szCs w:val="22"/>
        </w:rPr>
        <w:t xml:space="preserve">pailgėjimo ir </w:t>
      </w:r>
      <w:proofErr w:type="spellStart"/>
      <w:r w:rsidRPr="004F572A">
        <w:rPr>
          <w:rFonts w:eastAsia="Calibri"/>
          <w:sz w:val="22"/>
          <w:szCs w:val="22"/>
        </w:rPr>
        <w:t>alopecijos</w:t>
      </w:r>
      <w:proofErr w:type="spellEnd"/>
      <w:r w:rsidRPr="004F572A">
        <w:rPr>
          <w:rFonts w:eastAsia="Calibri"/>
          <w:sz w:val="22"/>
          <w:szCs w:val="22"/>
        </w:rPr>
        <w:t xml:space="preserve"> (plaukų </w:t>
      </w:r>
      <w:r w:rsidR="00102B5C">
        <w:rPr>
          <w:rFonts w:eastAsia="Calibri"/>
          <w:sz w:val="22"/>
          <w:szCs w:val="22"/>
        </w:rPr>
        <w:t>nu</w:t>
      </w:r>
      <w:r w:rsidRPr="004F572A">
        <w:rPr>
          <w:rFonts w:eastAsia="Calibri"/>
          <w:sz w:val="22"/>
          <w:szCs w:val="22"/>
        </w:rPr>
        <w:t xml:space="preserve">slinkimo) </w:t>
      </w:r>
      <w:r w:rsidR="00102B5C">
        <w:rPr>
          <w:rFonts w:eastAsia="Calibri"/>
          <w:sz w:val="22"/>
          <w:szCs w:val="22"/>
        </w:rPr>
        <w:t>dažnis</w:t>
      </w:r>
      <w:r w:rsidRPr="004F572A">
        <w:rPr>
          <w:rFonts w:eastAsia="Calibri"/>
          <w:sz w:val="22"/>
          <w:szCs w:val="22"/>
        </w:rPr>
        <w:t xml:space="preserve">. Vyrams </w:t>
      </w:r>
      <w:r w:rsidR="00102B5C" w:rsidRPr="00102B5C">
        <w:rPr>
          <w:rFonts w:eastAsia="Calibri"/>
          <w:sz w:val="22"/>
          <w:szCs w:val="22"/>
        </w:rPr>
        <w:t>dažniau nei</w:t>
      </w:r>
      <w:r w:rsidR="00D63E87">
        <w:rPr>
          <w:rFonts w:eastAsia="Calibri"/>
          <w:sz w:val="22"/>
          <w:szCs w:val="22"/>
        </w:rPr>
        <w:t xml:space="preserve"> </w:t>
      </w:r>
      <w:r w:rsidRPr="004F572A">
        <w:rPr>
          <w:rFonts w:eastAsia="Calibri"/>
          <w:sz w:val="22"/>
          <w:szCs w:val="22"/>
        </w:rPr>
        <w:t xml:space="preserve">moterims </w:t>
      </w:r>
      <w:r w:rsidR="00102B5C">
        <w:rPr>
          <w:rFonts w:eastAsia="Calibri"/>
          <w:sz w:val="22"/>
          <w:szCs w:val="22"/>
        </w:rPr>
        <w:t xml:space="preserve">registruota </w:t>
      </w:r>
      <w:proofErr w:type="spellStart"/>
      <w:r w:rsidRPr="004F572A">
        <w:rPr>
          <w:rFonts w:eastAsia="Calibri"/>
          <w:sz w:val="22"/>
          <w:szCs w:val="22"/>
        </w:rPr>
        <w:t>disfonij</w:t>
      </w:r>
      <w:r w:rsidR="00102B5C">
        <w:rPr>
          <w:rFonts w:eastAsia="Calibri"/>
          <w:sz w:val="22"/>
          <w:szCs w:val="22"/>
        </w:rPr>
        <w:t>a</w:t>
      </w:r>
      <w:proofErr w:type="spellEnd"/>
      <w:r w:rsidRPr="004F572A">
        <w:rPr>
          <w:rFonts w:eastAsia="Calibri"/>
          <w:sz w:val="22"/>
          <w:szCs w:val="22"/>
        </w:rPr>
        <w:t xml:space="preserve"> (12,3</w:t>
      </w:r>
      <w:r w:rsidR="007E577A" w:rsidRPr="004F572A">
        <w:rPr>
          <w:rFonts w:eastAsia="Calibri"/>
          <w:sz w:val="22"/>
          <w:szCs w:val="22"/>
        </w:rPr>
        <w:t> </w:t>
      </w:r>
      <w:r w:rsidRPr="004F572A">
        <w:rPr>
          <w:rFonts w:eastAsia="Calibri"/>
          <w:sz w:val="22"/>
          <w:szCs w:val="22"/>
        </w:rPr>
        <w:t>%), svorio sumažėjim</w:t>
      </w:r>
      <w:r w:rsidR="00102B5C">
        <w:rPr>
          <w:rFonts w:eastAsia="Calibri"/>
          <w:sz w:val="22"/>
          <w:szCs w:val="22"/>
        </w:rPr>
        <w:t>as</w:t>
      </w:r>
      <w:r w:rsidRPr="004F572A">
        <w:rPr>
          <w:rFonts w:eastAsia="Calibri"/>
          <w:sz w:val="22"/>
          <w:szCs w:val="22"/>
        </w:rPr>
        <w:t xml:space="preserve"> ir </w:t>
      </w:r>
      <w:r w:rsidR="00102B5C">
        <w:rPr>
          <w:rFonts w:eastAsia="Calibri"/>
          <w:sz w:val="22"/>
          <w:szCs w:val="22"/>
        </w:rPr>
        <w:t xml:space="preserve">sumažėjęs </w:t>
      </w:r>
      <w:r w:rsidRPr="004F572A">
        <w:rPr>
          <w:rFonts w:eastAsia="Calibri"/>
          <w:sz w:val="22"/>
          <w:szCs w:val="22"/>
        </w:rPr>
        <w:t>trombocitų kieki</w:t>
      </w:r>
      <w:r w:rsidR="00102B5C">
        <w:rPr>
          <w:rFonts w:eastAsia="Calibri"/>
          <w:sz w:val="22"/>
          <w:szCs w:val="22"/>
        </w:rPr>
        <w:t>s</w:t>
      </w:r>
      <w:r w:rsidRPr="004F572A">
        <w:rPr>
          <w:rFonts w:eastAsia="Calibri"/>
          <w:sz w:val="22"/>
          <w:szCs w:val="22"/>
        </w:rPr>
        <w:t xml:space="preserve">. Kepenų nepakankamumo </w:t>
      </w:r>
      <w:r w:rsidR="00102B5C">
        <w:rPr>
          <w:rFonts w:eastAsia="Calibri"/>
          <w:sz w:val="22"/>
          <w:szCs w:val="22"/>
        </w:rPr>
        <w:t>atvejai registruoti</w:t>
      </w:r>
      <w:r w:rsidRPr="004F572A">
        <w:rPr>
          <w:rFonts w:eastAsia="Calibri"/>
          <w:sz w:val="22"/>
          <w:szCs w:val="22"/>
        </w:rPr>
        <w:t xml:space="preserve"> tik pacientams vyrams.</w:t>
      </w:r>
    </w:p>
    <w:p w14:paraId="10E534C2" w14:textId="77777777" w:rsidR="003E3675" w:rsidRPr="004F572A" w:rsidRDefault="003E3675" w:rsidP="000928CA">
      <w:pPr>
        <w:widowControl w:val="0"/>
        <w:tabs>
          <w:tab w:val="clear" w:pos="567"/>
        </w:tabs>
        <w:rPr>
          <w:rFonts w:eastAsia="Calibri"/>
          <w:sz w:val="22"/>
          <w:szCs w:val="22"/>
        </w:rPr>
      </w:pPr>
    </w:p>
    <w:p w14:paraId="459856F8" w14:textId="77777777" w:rsidR="007E577A" w:rsidRPr="00E27691" w:rsidRDefault="007E577A" w:rsidP="007E577A">
      <w:pPr>
        <w:widowControl w:val="0"/>
        <w:tabs>
          <w:tab w:val="clear" w:pos="567"/>
        </w:tabs>
        <w:rPr>
          <w:rFonts w:eastAsia="Calibri"/>
          <w:i/>
          <w:iCs/>
          <w:sz w:val="22"/>
          <w:szCs w:val="22"/>
          <w:u w:val="single"/>
        </w:rPr>
      </w:pPr>
      <w:r w:rsidRPr="00E27691">
        <w:rPr>
          <w:rFonts w:eastAsia="Calibri"/>
          <w:i/>
          <w:iCs/>
          <w:sz w:val="22"/>
          <w:szCs w:val="22"/>
          <w:u w:val="single"/>
        </w:rPr>
        <w:t xml:space="preserve">Etninė kilmė </w:t>
      </w:r>
    </w:p>
    <w:p w14:paraId="315CC32D" w14:textId="77777777" w:rsidR="007E577A" w:rsidRPr="004F572A" w:rsidRDefault="007E577A" w:rsidP="007E577A">
      <w:pPr>
        <w:widowControl w:val="0"/>
        <w:tabs>
          <w:tab w:val="clear" w:pos="567"/>
        </w:tabs>
        <w:rPr>
          <w:rFonts w:eastAsia="Calibri"/>
          <w:i/>
          <w:iCs/>
          <w:sz w:val="22"/>
          <w:szCs w:val="22"/>
        </w:rPr>
      </w:pPr>
    </w:p>
    <w:p w14:paraId="03976B19" w14:textId="004D5259" w:rsidR="007E577A" w:rsidRPr="004F572A" w:rsidRDefault="007E577A" w:rsidP="007E577A">
      <w:pPr>
        <w:widowControl w:val="0"/>
        <w:tabs>
          <w:tab w:val="clear" w:pos="567"/>
        </w:tabs>
        <w:rPr>
          <w:rFonts w:eastAsia="Calibri"/>
          <w:i/>
          <w:iCs/>
          <w:sz w:val="22"/>
          <w:szCs w:val="22"/>
        </w:rPr>
      </w:pPr>
      <w:r w:rsidRPr="004F572A">
        <w:rPr>
          <w:rFonts w:eastAsia="Calibri"/>
          <w:i/>
          <w:iCs/>
          <w:sz w:val="22"/>
          <w:szCs w:val="22"/>
        </w:rPr>
        <w:t>DSK</w:t>
      </w:r>
    </w:p>
    <w:p w14:paraId="1177E810" w14:textId="77777777" w:rsidR="007E577A" w:rsidRPr="004F572A" w:rsidRDefault="007E577A" w:rsidP="007E577A">
      <w:pPr>
        <w:widowControl w:val="0"/>
        <w:tabs>
          <w:tab w:val="clear" w:pos="567"/>
        </w:tabs>
        <w:rPr>
          <w:rFonts w:eastAsia="Calibri"/>
          <w:sz w:val="22"/>
          <w:szCs w:val="22"/>
        </w:rPr>
      </w:pPr>
    </w:p>
    <w:p w14:paraId="62F4584D" w14:textId="5A0026A1" w:rsidR="007E577A" w:rsidRPr="004F572A" w:rsidRDefault="00102B5C" w:rsidP="007E577A">
      <w:pPr>
        <w:widowControl w:val="0"/>
        <w:tabs>
          <w:tab w:val="clear" w:pos="567"/>
        </w:tabs>
        <w:rPr>
          <w:rFonts w:eastAsia="Calibri"/>
          <w:sz w:val="22"/>
          <w:szCs w:val="22"/>
        </w:rPr>
      </w:pPr>
      <w:r w:rsidRPr="00102B5C">
        <w:rPr>
          <w:rFonts w:eastAsia="Calibri"/>
          <w:sz w:val="22"/>
          <w:szCs w:val="22"/>
        </w:rPr>
        <w:t>Azijiečių kilmės pacientams</w:t>
      </w:r>
      <w:r>
        <w:rPr>
          <w:rFonts w:eastAsia="Calibri"/>
          <w:sz w:val="22"/>
          <w:szCs w:val="22"/>
        </w:rPr>
        <w:t xml:space="preserve"> </w:t>
      </w:r>
      <w:r w:rsidR="007E577A" w:rsidRPr="004F572A">
        <w:rPr>
          <w:rFonts w:eastAsia="Calibri"/>
          <w:sz w:val="22"/>
          <w:szCs w:val="22"/>
        </w:rPr>
        <w:t xml:space="preserve">dažniau (≥ 10 % skirtumas) nei europidams pasireiškė periferinė edema, hipertenzija, nuovargis, DPE, </w:t>
      </w:r>
      <w:proofErr w:type="spellStart"/>
      <w:r w:rsidR="007E577A" w:rsidRPr="004F572A">
        <w:rPr>
          <w:rFonts w:eastAsia="Calibri"/>
          <w:sz w:val="22"/>
          <w:szCs w:val="22"/>
        </w:rPr>
        <w:t>proteinurija</w:t>
      </w:r>
      <w:proofErr w:type="spellEnd"/>
      <w:r w:rsidR="007E577A" w:rsidRPr="004F572A">
        <w:rPr>
          <w:rFonts w:eastAsia="Calibri"/>
          <w:sz w:val="22"/>
          <w:szCs w:val="22"/>
        </w:rPr>
        <w:t xml:space="preserve">, stomatitas, </w:t>
      </w:r>
      <w:proofErr w:type="spellStart"/>
      <w:r w:rsidR="007E577A" w:rsidRPr="004F572A">
        <w:rPr>
          <w:rFonts w:eastAsia="Calibri"/>
          <w:sz w:val="22"/>
          <w:szCs w:val="22"/>
        </w:rPr>
        <w:t>trombocitopenija</w:t>
      </w:r>
      <w:proofErr w:type="spellEnd"/>
      <w:r w:rsidR="007E577A" w:rsidRPr="004F572A">
        <w:rPr>
          <w:rFonts w:eastAsia="Calibri"/>
          <w:sz w:val="22"/>
          <w:szCs w:val="22"/>
        </w:rPr>
        <w:t xml:space="preserve"> ir </w:t>
      </w:r>
      <w:proofErr w:type="spellStart"/>
      <w:r w:rsidR="007E577A" w:rsidRPr="004F572A">
        <w:rPr>
          <w:rFonts w:eastAsia="Calibri"/>
          <w:sz w:val="22"/>
          <w:szCs w:val="22"/>
        </w:rPr>
        <w:t>mialgija</w:t>
      </w:r>
      <w:proofErr w:type="spellEnd"/>
      <w:r w:rsidR="007E577A" w:rsidRPr="004F572A">
        <w:rPr>
          <w:rFonts w:eastAsia="Calibri"/>
          <w:sz w:val="22"/>
          <w:szCs w:val="22"/>
        </w:rPr>
        <w:t xml:space="preserve">, o europidams </w:t>
      </w:r>
      <w:r w:rsidRPr="004F572A">
        <w:rPr>
          <w:rFonts w:eastAsia="Calibri"/>
          <w:sz w:val="22"/>
          <w:szCs w:val="22"/>
        </w:rPr>
        <w:t xml:space="preserve">pacientams </w:t>
      </w:r>
      <w:r w:rsidR="007E577A" w:rsidRPr="004F572A">
        <w:rPr>
          <w:rFonts w:eastAsia="Calibri"/>
          <w:sz w:val="22"/>
          <w:szCs w:val="22"/>
        </w:rPr>
        <w:t xml:space="preserve">dažniau pasireiškė viduriavimas, svorio kritimas, pykinimas, vėmimas, vidurių užkietėjimas, </w:t>
      </w:r>
      <w:proofErr w:type="spellStart"/>
      <w:r w:rsidR="007E577A" w:rsidRPr="004F572A">
        <w:rPr>
          <w:rFonts w:eastAsia="Calibri"/>
          <w:sz w:val="22"/>
          <w:szCs w:val="22"/>
        </w:rPr>
        <w:t>astenija</w:t>
      </w:r>
      <w:proofErr w:type="spellEnd"/>
      <w:r w:rsidR="007E577A" w:rsidRPr="004F572A">
        <w:rPr>
          <w:rFonts w:eastAsia="Calibri"/>
          <w:sz w:val="22"/>
          <w:szCs w:val="22"/>
        </w:rPr>
        <w:t xml:space="preserve">, pilvo skausmas, galūnių skausmas ir burnos sausmė. Didesnei daliai </w:t>
      </w:r>
      <w:r w:rsidRPr="00102B5C">
        <w:rPr>
          <w:rFonts w:eastAsia="Calibri"/>
          <w:sz w:val="22"/>
          <w:szCs w:val="22"/>
        </w:rPr>
        <w:t>azijiečių kilmės pacientų</w:t>
      </w:r>
      <w:r>
        <w:rPr>
          <w:rFonts w:eastAsia="Calibri"/>
          <w:sz w:val="22"/>
          <w:szCs w:val="22"/>
        </w:rPr>
        <w:t xml:space="preserve"> </w:t>
      </w:r>
      <w:proofErr w:type="spellStart"/>
      <w:r w:rsidR="007E577A" w:rsidRPr="004F572A">
        <w:rPr>
          <w:rFonts w:eastAsia="Calibri"/>
          <w:sz w:val="22"/>
          <w:szCs w:val="22"/>
        </w:rPr>
        <w:t>lenvatinibo</w:t>
      </w:r>
      <w:proofErr w:type="spellEnd"/>
      <w:r w:rsidR="007E577A" w:rsidRPr="004F572A">
        <w:rPr>
          <w:rFonts w:eastAsia="Calibri"/>
          <w:sz w:val="22"/>
          <w:szCs w:val="22"/>
        </w:rPr>
        <w:t xml:space="preserve"> dozė buvo sumažinta, – laiko mediana iki pirmojo dozės mažinimo ir vidutinė vartojama paros dozė buvo mažesnė </w:t>
      </w:r>
      <w:r w:rsidRPr="00102B5C">
        <w:rPr>
          <w:rFonts w:eastAsia="Calibri"/>
          <w:sz w:val="22"/>
          <w:szCs w:val="22"/>
        </w:rPr>
        <w:t>azijiečių kilmės pacientams</w:t>
      </w:r>
      <w:r>
        <w:rPr>
          <w:rFonts w:eastAsia="Calibri"/>
          <w:sz w:val="22"/>
          <w:szCs w:val="22"/>
        </w:rPr>
        <w:t xml:space="preserve"> </w:t>
      </w:r>
      <w:r w:rsidR="007E577A" w:rsidRPr="004F572A">
        <w:rPr>
          <w:rFonts w:eastAsia="Calibri"/>
          <w:sz w:val="22"/>
          <w:szCs w:val="22"/>
        </w:rPr>
        <w:t>nei europidams.</w:t>
      </w:r>
    </w:p>
    <w:p w14:paraId="1C8DC776" w14:textId="77777777" w:rsidR="007E577A" w:rsidRPr="004F572A" w:rsidRDefault="007E577A" w:rsidP="007E577A">
      <w:pPr>
        <w:widowControl w:val="0"/>
        <w:tabs>
          <w:tab w:val="clear" w:pos="567"/>
        </w:tabs>
        <w:rPr>
          <w:rFonts w:eastAsia="Calibri"/>
          <w:i/>
          <w:iCs/>
          <w:sz w:val="22"/>
          <w:szCs w:val="22"/>
        </w:rPr>
      </w:pPr>
    </w:p>
    <w:p w14:paraId="52EC60FB" w14:textId="6C949E67" w:rsidR="007E577A" w:rsidRPr="004F572A" w:rsidRDefault="007E577A" w:rsidP="007E577A">
      <w:pPr>
        <w:widowControl w:val="0"/>
        <w:tabs>
          <w:tab w:val="clear" w:pos="567"/>
        </w:tabs>
        <w:rPr>
          <w:rFonts w:eastAsia="Calibri"/>
          <w:i/>
          <w:iCs/>
          <w:sz w:val="22"/>
          <w:szCs w:val="22"/>
        </w:rPr>
      </w:pPr>
      <w:r w:rsidRPr="004F572A">
        <w:rPr>
          <w:rFonts w:eastAsia="Calibri"/>
          <w:i/>
          <w:iCs/>
          <w:sz w:val="22"/>
          <w:szCs w:val="22"/>
        </w:rPr>
        <w:t>HCK</w:t>
      </w:r>
    </w:p>
    <w:p w14:paraId="0A923C20" w14:textId="77777777" w:rsidR="007E577A" w:rsidRPr="004F572A" w:rsidRDefault="007E577A" w:rsidP="007E577A">
      <w:pPr>
        <w:widowControl w:val="0"/>
        <w:tabs>
          <w:tab w:val="clear" w:pos="567"/>
        </w:tabs>
        <w:rPr>
          <w:rFonts w:eastAsia="Calibri"/>
          <w:sz w:val="22"/>
          <w:szCs w:val="22"/>
        </w:rPr>
      </w:pPr>
    </w:p>
    <w:p w14:paraId="5151634F" w14:textId="78E3F209" w:rsidR="007E577A" w:rsidRPr="004F572A" w:rsidRDefault="00102B5C" w:rsidP="007E577A">
      <w:pPr>
        <w:widowControl w:val="0"/>
        <w:tabs>
          <w:tab w:val="clear" w:pos="567"/>
        </w:tabs>
        <w:rPr>
          <w:rFonts w:eastAsia="Calibri"/>
          <w:sz w:val="22"/>
          <w:szCs w:val="22"/>
        </w:rPr>
      </w:pPr>
      <w:r w:rsidRPr="00102B5C">
        <w:rPr>
          <w:rFonts w:eastAsia="Calibri"/>
          <w:sz w:val="22"/>
          <w:szCs w:val="22"/>
        </w:rPr>
        <w:t>Azijiečių kilmės pacientams</w:t>
      </w:r>
      <w:r>
        <w:rPr>
          <w:rFonts w:eastAsia="Calibri"/>
          <w:sz w:val="22"/>
          <w:szCs w:val="22"/>
        </w:rPr>
        <w:t xml:space="preserve"> </w:t>
      </w:r>
      <w:r w:rsidR="007E577A" w:rsidRPr="004F572A">
        <w:rPr>
          <w:rFonts w:eastAsia="Calibri"/>
          <w:sz w:val="22"/>
          <w:szCs w:val="22"/>
        </w:rPr>
        <w:t xml:space="preserve">dažniau nei europidams pasireiškė </w:t>
      </w:r>
      <w:proofErr w:type="spellStart"/>
      <w:r w:rsidR="007E577A" w:rsidRPr="004F572A">
        <w:rPr>
          <w:rFonts w:eastAsia="Calibri"/>
          <w:sz w:val="22"/>
          <w:szCs w:val="22"/>
        </w:rPr>
        <w:t>proteinurija</w:t>
      </w:r>
      <w:proofErr w:type="spellEnd"/>
      <w:r w:rsidR="007E577A" w:rsidRPr="004F572A">
        <w:rPr>
          <w:rFonts w:eastAsia="Calibri"/>
          <w:sz w:val="22"/>
          <w:szCs w:val="22"/>
        </w:rPr>
        <w:t xml:space="preserve">, sumažėjęs </w:t>
      </w:r>
      <w:proofErr w:type="spellStart"/>
      <w:r w:rsidR="007E577A" w:rsidRPr="004F572A">
        <w:rPr>
          <w:rFonts w:eastAsia="Calibri"/>
          <w:sz w:val="22"/>
          <w:szCs w:val="22"/>
        </w:rPr>
        <w:t>neutrofilų</w:t>
      </w:r>
      <w:proofErr w:type="spellEnd"/>
      <w:r w:rsidR="007E577A" w:rsidRPr="004F572A">
        <w:rPr>
          <w:rFonts w:eastAsia="Calibri"/>
          <w:sz w:val="22"/>
          <w:szCs w:val="22"/>
        </w:rPr>
        <w:t xml:space="preserve"> kiekis, sumažėjęs trombocitų kiekis, sumažėjęs baltųjų kraujo ląstelių kiekis ir DPE, o europidams dažniau </w:t>
      </w:r>
      <w:r>
        <w:rPr>
          <w:rFonts w:eastAsia="Calibri"/>
          <w:sz w:val="22"/>
          <w:szCs w:val="22"/>
        </w:rPr>
        <w:t>reg</w:t>
      </w:r>
      <w:r w:rsidR="00D63E87">
        <w:rPr>
          <w:rFonts w:eastAsia="Calibri"/>
          <w:sz w:val="22"/>
          <w:szCs w:val="22"/>
        </w:rPr>
        <w:t>i</w:t>
      </w:r>
      <w:r>
        <w:rPr>
          <w:rFonts w:eastAsia="Calibri"/>
          <w:sz w:val="22"/>
          <w:szCs w:val="22"/>
        </w:rPr>
        <w:t>struotas</w:t>
      </w:r>
      <w:r w:rsidRPr="004F572A">
        <w:rPr>
          <w:rFonts w:eastAsia="Calibri"/>
          <w:sz w:val="22"/>
          <w:szCs w:val="22"/>
        </w:rPr>
        <w:t xml:space="preserve"> </w:t>
      </w:r>
      <w:r w:rsidR="007E577A" w:rsidRPr="004F572A">
        <w:rPr>
          <w:rFonts w:eastAsia="Calibri"/>
          <w:sz w:val="22"/>
          <w:szCs w:val="22"/>
        </w:rPr>
        <w:t xml:space="preserve">nuovargis, </w:t>
      </w:r>
      <w:proofErr w:type="spellStart"/>
      <w:r w:rsidR="007E577A" w:rsidRPr="004F572A">
        <w:rPr>
          <w:rFonts w:eastAsia="Calibri"/>
          <w:sz w:val="22"/>
          <w:szCs w:val="22"/>
        </w:rPr>
        <w:t>hepatinė</w:t>
      </w:r>
      <w:proofErr w:type="spellEnd"/>
      <w:r w:rsidR="007E577A" w:rsidRPr="004F572A">
        <w:rPr>
          <w:rFonts w:eastAsia="Calibri"/>
          <w:sz w:val="22"/>
          <w:szCs w:val="22"/>
        </w:rPr>
        <w:t xml:space="preserve"> </w:t>
      </w:r>
      <w:proofErr w:type="spellStart"/>
      <w:r w:rsidR="007E577A" w:rsidRPr="004F572A">
        <w:rPr>
          <w:rFonts w:eastAsia="Calibri"/>
          <w:sz w:val="22"/>
          <w:szCs w:val="22"/>
        </w:rPr>
        <w:t>encefalopatija</w:t>
      </w:r>
      <w:proofErr w:type="spellEnd"/>
      <w:r w:rsidR="007E577A" w:rsidRPr="004F572A">
        <w:rPr>
          <w:rFonts w:eastAsia="Calibri"/>
          <w:sz w:val="22"/>
          <w:szCs w:val="22"/>
        </w:rPr>
        <w:t xml:space="preserve">, ūminis inkstų pakenkimas, nerimas, </w:t>
      </w:r>
      <w:proofErr w:type="spellStart"/>
      <w:r w:rsidR="007E577A" w:rsidRPr="004F572A">
        <w:rPr>
          <w:rFonts w:eastAsia="Calibri"/>
          <w:sz w:val="22"/>
          <w:szCs w:val="22"/>
        </w:rPr>
        <w:t>astenija</w:t>
      </w:r>
      <w:proofErr w:type="spellEnd"/>
      <w:r w:rsidR="007E577A" w:rsidRPr="004F572A">
        <w:rPr>
          <w:rFonts w:eastAsia="Calibri"/>
          <w:sz w:val="22"/>
          <w:szCs w:val="22"/>
        </w:rPr>
        <w:t xml:space="preserve">, pykinimas, </w:t>
      </w:r>
      <w:proofErr w:type="spellStart"/>
      <w:r w:rsidR="007E577A" w:rsidRPr="004F572A">
        <w:rPr>
          <w:rFonts w:eastAsia="Calibri"/>
          <w:sz w:val="22"/>
          <w:szCs w:val="22"/>
        </w:rPr>
        <w:t>trombocitopenija</w:t>
      </w:r>
      <w:proofErr w:type="spellEnd"/>
      <w:r w:rsidR="007E577A" w:rsidRPr="004F572A">
        <w:rPr>
          <w:rFonts w:eastAsia="Calibri"/>
          <w:sz w:val="22"/>
          <w:szCs w:val="22"/>
        </w:rPr>
        <w:t xml:space="preserve"> ir vėmimas.</w:t>
      </w:r>
    </w:p>
    <w:p w14:paraId="725F10E3" w14:textId="77777777" w:rsidR="00233592" w:rsidRPr="004F572A" w:rsidRDefault="00233592" w:rsidP="007E577A">
      <w:pPr>
        <w:widowControl w:val="0"/>
        <w:tabs>
          <w:tab w:val="clear" w:pos="567"/>
        </w:tabs>
        <w:rPr>
          <w:rFonts w:eastAsia="Calibri"/>
          <w:i/>
          <w:iCs/>
          <w:sz w:val="22"/>
          <w:szCs w:val="22"/>
        </w:rPr>
      </w:pPr>
    </w:p>
    <w:p w14:paraId="3A5BBDA5" w14:textId="1230BA12" w:rsidR="007E577A" w:rsidRPr="004F572A" w:rsidRDefault="007E577A" w:rsidP="007E577A">
      <w:pPr>
        <w:widowControl w:val="0"/>
        <w:tabs>
          <w:tab w:val="clear" w:pos="567"/>
        </w:tabs>
        <w:rPr>
          <w:rFonts w:eastAsia="Calibri"/>
          <w:i/>
          <w:iCs/>
          <w:sz w:val="22"/>
          <w:szCs w:val="22"/>
        </w:rPr>
      </w:pPr>
      <w:r w:rsidRPr="004F572A">
        <w:rPr>
          <w:rFonts w:eastAsia="Calibri"/>
          <w:i/>
          <w:iCs/>
          <w:sz w:val="22"/>
          <w:szCs w:val="22"/>
        </w:rPr>
        <w:t>EK</w:t>
      </w:r>
    </w:p>
    <w:p w14:paraId="61CD8FDD" w14:textId="77777777" w:rsidR="00233592" w:rsidRPr="004F572A" w:rsidRDefault="00233592" w:rsidP="007E577A">
      <w:pPr>
        <w:widowControl w:val="0"/>
        <w:tabs>
          <w:tab w:val="clear" w:pos="567"/>
        </w:tabs>
        <w:rPr>
          <w:rFonts w:eastAsia="Calibri"/>
          <w:sz w:val="22"/>
          <w:szCs w:val="22"/>
        </w:rPr>
      </w:pPr>
    </w:p>
    <w:p w14:paraId="6C8724A7" w14:textId="56F2E3EF" w:rsidR="007E577A" w:rsidRPr="004F572A" w:rsidRDefault="007D7675" w:rsidP="007E577A">
      <w:pPr>
        <w:widowControl w:val="0"/>
        <w:tabs>
          <w:tab w:val="clear" w:pos="567"/>
        </w:tabs>
        <w:rPr>
          <w:rFonts w:eastAsia="Calibri"/>
          <w:sz w:val="22"/>
          <w:szCs w:val="22"/>
        </w:rPr>
      </w:pPr>
      <w:r w:rsidRPr="007D7675">
        <w:rPr>
          <w:rFonts w:eastAsia="Calibri"/>
          <w:sz w:val="22"/>
          <w:szCs w:val="22"/>
        </w:rPr>
        <w:t>Azijiečių kilmės pacientams</w:t>
      </w:r>
      <w:r>
        <w:rPr>
          <w:rFonts w:eastAsia="Calibri"/>
          <w:sz w:val="22"/>
          <w:szCs w:val="22"/>
        </w:rPr>
        <w:t xml:space="preserve"> </w:t>
      </w:r>
      <w:r w:rsidR="007E577A" w:rsidRPr="004F572A">
        <w:rPr>
          <w:rFonts w:eastAsia="Calibri"/>
          <w:sz w:val="22"/>
          <w:szCs w:val="22"/>
        </w:rPr>
        <w:t>dažniau (≥</w:t>
      </w:r>
      <w:r w:rsidR="0038103D" w:rsidRPr="004F572A">
        <w:rPr>
          <w:rFonts w:eastAsia="Calibri"/>
          <w:sz w:val="22"/>
          <w:szCs w:val="22"/>
        </w:rPr>
        <w:t> </w:t>
      </w:r>
      <w:r w:rsidR="007E577A" w:rsidRPr="004F572A">
        <w:rPr>
          <w:rFonts w:eastAsia="Calibri"/>
          <w:sz w:val="22"/>
          <w:szCs w:val="22"/>
        </w:rPr>
        <w:t>10</w:t>
      </w:r>
      <w:r w:rsidR="0038103D" w:rsidRPr="004F572A">
        <w:rPr>
          <w:rFonts w:eastAsia="Calibri"/>
          <w:sz w:val="22"/>
          <w:szCs w:val="22"/>
        </w:rPr>
        <w:t> </w:t>
      </w:r>
      <w:r w:rsidR="007E577A" w:rsidRPr="004F572A">
        <w:rPr>
          <w:rFonts w:eastAsia="Calibri"/>
          <w:sz w:val="22"/>
          <w:szCs w:val="22"/>
        </w:rPr>
        <w:t xml:space="preserve">% skirtumas) nei europidams pasireiškė anemija, </w:t>
      </w:r>
      <w:r w:rsidR="00BC3939">
        <w:rPr>
          <w:rFonts w:eastAsia="Calibri"/>
          <w:sz w:val="22"/>
          <w:szCs w:val="22"/>
        </w:rPr>
        <w:t>bendras negalavimas</w:t>
      </w:r>
      <w:r w:rsidR="007E577A" w:rsidRPr="004F572A">
        <w:rPr>
          <w:rFonts w:eastAsia="Calibri"/>
          <w:sz w:val="22"/>
          <w:szCs w:val="22"/>
        </w:rPr>
        <w:t xml:space="preserve">, sumažėjęs </w:t>
      </w:r>
      <w:proofErr w:type="spellStart"/>
      <w:r w:rsidR="007E577A" w:rsidRPr="004F572A">
        <w:rPr>
          <w:rFonts w:eastAsia="Calibri"/>
          <w:sz w:val="22"/>
          <w:szCs w:val="22"/>
        </w:rPr>
        <w:t>neutrofilų</w:t>
      </w:r>
      <w:proofErr w:type="spellEnd"/>
      <w:r w:rsidR="007E577A" w:rsidRPr="004F572A">
        <w:rPr>
          <w:rFonts w:eastAsia="Calibri"/>
          <w:sz w:val="22"/>
          <w:szCs w:val="22"/>
        </w:rPr>
        <w:t xml:space="preserve"> skaičius, stomatitas, sumažėjęs trombocitų skaičius, </w:t>
      </w:r>
      <w:proofErr w:type="spellStart"/>
      <w:r w:rsidR="007E577A" w:rsidRPr="004F572A">
        <w:rPr>
          <w:rFonts w:eastAsia="Calibri"/>
          <w:sz w:val="22"/>
          <w:szCs w:val="22"/>
        </w:rPr>
        <w:t>proteinurija</w:t>
      </w:r>
      <w:proofErr w:type="spellEnd"/>
      <w:r w:rsidR="007E577A" w:rsidRPr="004F572A">
        <w:rPr>
          <w:rFonts w:eastAsia="Calibri"/>
          <w:sz w:val="22"/>
          <w:szCs w:val="22"/>
        </w:rPr>
        <w:t xml:space="preserve"> ir </w:t>
      </w:r>
      <w:r w:rsidR="00BC3939">
        <w:rPr>
          <w:rFonts w:eastAsia="Calibri"/>
          <w:sz w:val="22"/>
          <w:szCs w:val="22"/>
        </w:rPr>
        <w:t>D</w:t>
      </w:r>
      <w:r w:rsidR="007E577A" w:rsidRPr="004F572A">
        <w:rPr>
          <w:rFonts w:eastAsia="Calibri"/>
          <w:sz w:val="22"/>
          <w:szCs w:val="22"/>
        </w:rPr>
        <w:t xml:space="preserve">PE, o europidams dažniau pasireiškė gleivinės uždegimas, pilvo skausmas, viduriavimas, šlapimo takų infekcija, svorio mažėjimas, </w:t>
      </w:r>
      <w:proofErr w:type="spellStart"/>
      <w:r w:rsidR="007E577A" w:rsidRPr="004F572A">
        <w:rPr>
          <w:rFonts w:eastAsia="Calibri"/>
          <w:sz w:val="22"/>
          <w:szCs w:val="22"/>
        </w:rPr>
        <w:t>hipomagnezemija</w:t>
      </w:r>
      <w:proofErr w:type="spellEnd"/>
      <w:r w:rsidR="007E577A" w:rsidRPr="004F572A">
        <w:rPr>
          <w:rFonts w:eastAsia="Calibri"/>
          <w:sz w:val="22"/>
          <w:szCs w:val="22"/>
        </w:rPr>
        <w:t>, svaig</w:t>
      </w:r>
      <w:r w:rsidR="00BC3939">
        <w:rPr>
          <w:rFonts w:eastAsia="Calibri"/>
          <w:sz w:val="22"/>
          <w:szCs w:val="22"/>
        </w:rPr>
        <w:t>uly</w:t>
      </w:r>
      <w:r w:rsidR="007E577A" w:rsidRPr="004F572A">
        <w:rPr>
          <w:rFonts w:eastAsia="Calibri"/>
          <w:sz w:val="22"/>
          <w:szCs w:val="22"/>
        </w:rPr>
        <w:t xml:space="preserve">s, </w:t>
      </w:r>
      <w:proofErr w:type="spellStart"/>
      <w:r w:rsidR="007E577A" w:rsidRPr="004F572A">
        <w:rPr>
          <w:rFonts w:eastAsia="Calibri"/>
          <w:sz w:val="22"/>
          <w:szCs w:val="22"/>
        </w:rPr>
        <w:t>astenija</w:t>
      </w:r>
      <w:proofErr w:type="spellEnd"/>
      <w:r w:rsidR="007E577A" w:rsidRPr="004F572A">
        <w:rPr>
          <w:rFonts w:eastAsia="Calibri"/>
          <w:sz w:val="22"/>
          <w:szCs w:val="22"/>
        </w:rPr>
        <w:t xml:space="preserve"> ir nuovargis.</w:t>
      </w:r>
    </w:p>
    <w:p w14:paraId="4283CEBA" w14:textId="77777777" w:rsidR="0038103D" w:rsidRPr="004F572A" w:rsidRDefault="0038103D" w:rsidP="007E577A">
      <w:pPr>
        <w:widowControl w:val="0"/>
        <w:tabs>
          <w:tab w:val="clear" w:pos="567"/>
        </w:tabs>
        <w:rPr>
          <w:rFonts w:eastAsia="Calibri"/>
          <w:i/>
          <w:iCs/>
          <w:sz w:val="22"/>
          <w:szCs w:val="22"/>
        </w:rPr>
      </w:pPr>
    </w:p>
    <w:p w14:paraId="3EF080D1" w14:textId="77777777" w:rsidR="0038103D" w:rsidRPr="004F572A" w:rsidRDefault="007E577A" w:rsidP="007E577A">
      <w:pPr>
        <w:widowControl w:val="0"/>
        <w:tabs>
          <w:tab w:val="clear" w:pos="567"/>
        </w:tabs>
        <w:rPr>
          <w:rFonts w:eastAsia="Calibri"/>
          <w:i/>
          <w:iCs/>
          <w:sz w:val="22"/>
          <w:szCs w:val="22"/>
          <w:u w:val="single"/>
        </w:rPr>
      </w:pPr>
      <w:r w:rsidRPr="004F572A">
        <w:rPr>
          <w:rFonts w:eastAsia="Calibri"/>
          <w:i/>
          <w:iCs/>
          <w:sz w:val="22"/>
          <w:szCs w:val="22"/>
          <w:u w:val="single"/>
        </w:rPr>
        <w:t xml:space="preserve">Hipertenzija pradinio įvertinimo metu </w:t>
      </w:r>
    </w:p>
    <w:p w14:paraId="01DB10A8" w14:textId="77777777" w:rsidR="0038103D" w:rsidRPr="004F572A" w:rsidRDefault="0038103D" w:rsidP="007E577A">
      <w:pPr>
        <w:widowControl w:val="0"/>
        <w:tabs>
          <w:tab w:val="clear" w:pos="567"/>
        </w:tabs>
        <w:rPr>
          <w:rFonts w:eastAsia="Calibri"/>
          <w:i/>
          <w:iCs/>
          <w:sz w:val="22"/>
          <w:szCs w:val="22"/>
        </w:rPr>
      </w:pPr>
    </w:p>
    <w:p w14:paraId="1795FFF9" w14:textId="2B8AAB51" w:rsidR="007E577A" w:rsidRPr="004F572A" w:rsidRDefault="007E577A" w:rsidP="007E577A">
      <w:pPr>
        <w:widowControl w:val="0"/>
        <w:tabs>
          <w:tab w:val="clear" w:pos="567"/>
        </w:tabs>
        <w:rPr>
          <w:rFonts w:eastAsia="Calibri"/>
          <w:i/>
          <w:iCs/>
          <w:sz w:val="22"/>
          <w:szCs w:val="22"/>
        </w:rPr>
      </w:pPr>
      <w:r w:rsidRPr="004F572A">
        <w:rPr>
          <w:rFonts w:eastAsia="Calibri"/>
          <w:i/>
          <w:iCs/>
          <w:sz w:val="22"/>
          <w:szCs w:val="22"/>
        </w:rPr>
        <w:t>DSK</w:t>
      </w:r>
    </w:p>
    <w:p w14:paraId="76D5A634" w14:textId="007DD812" w:rsidR="003E3675" w:rsidRPr="004F572A" w:rsidRDefault="007E577A" w:rsidP="007E577A">
      <w:pPr>
        <w:widowControl w:val="0"/>
        <w:tabs>
          <w:tab w:val="clear" w:pos="567"/>
        </w:tabs>
        <w:rPr>
          <w:rFonts w:eastAsia="Calibri"/>
          <w:sz w:val="22"/>
          <w:szCs w:val="22"/>
        </w:rPr>
      </w:pPr>
      <w:r w:rsidRPr="004F572A">
        <w:rPr>
          <w:rFonts w:eastAsia="Calibri"/>
          <w:sz w:val="22"/>
          <w:szCs w:val="22"/>
        </w:rPr>
        <w:t>Pacientams, kuriems pradinio įvertinimo metu buvo hipertenzija, dažniau nustatyta 3</w:t>
      </w:r>
      <w:r w:rsidR="00115D7F">
        <w:rPr>
          <w:rFonts w:eastAsia="Calibri"/>
          <w:sz w:val="22"/>
          <w:szCs w:val="22"/>
        </w:rPr>
        <w:noBreakHyphen/>
      </w:r>
      <w:r w:rsidRPr="004F572A">
        <w:rPr>
          <w:rFonts w:eastAsia="Calibri"/>
          <w:sz w:val="22"/>
          <w:szCs w:val="22"/>
        </w:rPr>
        <w:t>iojo ar 4</w:t>
      </w:r>
      <w:r w:rsidR="00115D7F">
        <w:rPr>
          <w:rFonts w:eastAsia="Calibri"/>
          <w:sz w:val="22"/>
          <w:szCs w:val="22"/>
        </w:rPr>
        <w:noBreakHyphen/>
      </w:r>
      <w:r w:rsidRPr="004F572A">
        <w:rPr>
          <w:rFonts w:eastAsia="Calibri"/>
          <w:sz w:val="22"/>
          <w:szCs w:val="22"/>
        </w:rPr>
        <w:t xml:space="preserve">ojo laipsnio hipertenzija, </w:t>
      </w:r>
      <w:proofErr w:type="spellStart"/>
      <w:r w:rsidRPr="004F572A">
        <w:rPr>
          <w:rFonts w:eastAsia="Calibri"/>
          <w:sz w:val="22"/>
          <w:szCs w:val="22"/>
        </w:rPr>
        <w:t>proteinurija</w:t>
      </w:r>
      <w:proofErr w:type="spellEnd"/>
      <w:r w:rsidRPr="004F572A">
        <w:rPr>
          <w:rFonts w:eastAsia="Calibri"/>
          <w:sz w:val="22"/>
          <w:szCs w:val="22"/>
        </w:rPr>
        <w:t xml:space="preserve">, viduriavimas ir dehidratacija, taip pat jiems </w:t>
      </w:r>
      <w:r w:rsidR="007D7675">
        <w:rPr>
          <w:rFonts w:eastAsia="Calibri"/>
          <w:sz w:val="22"/>
          <w:szCs w:val="22"/>
        </w:rPr>
        <w:t>nustatyti</w:t>
      </w:r>
      <w:r w:rsidR="007D7675" w:rsidRPr="004F572A">
        <w:rPr>
          <w:rFonts w:eastAsia="Calibri"/>
          <w:sz w:val="22"/>
          <w:szCs w:val="22"/>
        </w:rPr>
        <w:t xml:space="preserve"> </w:t>
      </w:r>
      <w:r w:rsidRPr="004F572A">
        <w:rPr>
          <w:rFonts w:eastAsia="Calibri"/>
          <w:sz w:val="22"/>
          <w:szCs w:val="22"/>
        </w:rPr>
        <w:t xml:space="preserve">sunkesni dehidratacijos, </w:t>
      </w:r>
      <w:proofErr w:type="spellStart"/>
      <w:r w:rsidRPr="004F572A">
        <w:rPr>
          <w:rFonts w:eastAsia="Calibri"/>
          <w:sz w:val="22"/>
          <w:szCs w:val="22"/>
        </w:rPr>
        <w:t>hipotenzijos</w:t>
      </w:r>
      <w:proofErr w:type="spellEnd"/>
      <w:r w:rsidRPr="004F572A">
        <w:rPr>
          <w:rFonts w:eastAsia="Calibri"/>
          <w:sz w:val="22"/>
          <w:szCs w:val="22"/>
        </w:rPr>
        <w:t xml:space="preserve">, plaučių embolijos, piktybinės pleuros </w:t>
      </w:r>
      <w:proofErr w:type="spellStart"/>
      <w:r w:rsidRPr="004F572A">
        <w:rPr>
          <w:rFonts w:eastAsia="Calibri"/>
          <w:sz w:val="22"/>
          <w:szCs w:val="22"/>
        </w:rPr>
        <w:t>efuzijos</w:t>
      </w:r>
      <w:proofErr w:type="spellEnd"/>
      <w:r w:rsidRPr="004F572A">
        <w:rPr>
          <w:rFonts w:eastAsia="Calibri"/>
          <w:sz w:val="22"/>
          <w:szCs w:val="22"/>
        </w:rPr>
        <w:t>, prieširdžių virpėjimo ir virškinimo trakto simptomų (pilvo skausmo, viduriavimo, vėmimo) atvejai.</w:t>
      </w:r>
    </w:p>
    <w:p w14:paraId="3672616B" w14:textId="77777777" w:rsidR="0038103D" w:rsidRPr="004F572A" w:rsidRDefault="0038103D" w:rsidP="007E577A">
      <w:pPr>
        <w:widowControl w:val="0"/>
        <w:tabs>
          <w:tab w:val="clear" w:pos="567"/>
        </w:tabs>
        <w:rPr>
          <w:rFonts w:eastAsia="Calibri"/>
          <w:sz w:val="22"/>
          <w:szCs w:val="22"/>
        </w:rPr>
      </w:pPr>
    </w:p>
    <w:p w14:paraId="060B0511" w14:textId="77777777" w:rsidR="0038103D" w:rsidRPr="004F572A" w:rsidRDefault="0038103D" w:rsidP="0038103D">
      <w:pPr>
        <w:widowControl w:val="0"/>
        <w:tabs>
          <w:tab w:val="clear" w:pos="567"/>
        </w:tabs>
        <w:rPr>
          <w:rFonts w:eastAsia="Calibri"/>
          <w:i/>
          <w:iCs/>
          <w:sz w:val="22"/>
          <w:szCs w:val="22"/>
          <w:u w:val="single"/>
        </w:rPr>
      </w:pPr>
      <w:r w:rsidRPr="004F572A">
        <w:rPr>
          <w:rFonts w:eastAsia="Calibri"/>
          <w:i/>
          <w:iCs/>
          <w:sz w:val="22"/>
          <w:szCs w:val="22"/>
          <w:u w:val="single"/>
        </w:rPr>
        <w:t xml:space="preserve">Sutrikusi kepenų funkcija </w:t>
      </w:r>
    </w:p>
    <w:p w14:paraId="4EE32E08" w14:textId="77777777" w:rsidR="0038103D" w:rsidRPr="004F572A" w:rsidRDefault="0038103D" w:rsidP="0038103D">
      <w:pPr>
        <w:widowControl w:val="0"/>
        <w:tabs>
          <w:tab w:val="clear" w:pos="567"/>
        </w:tabs>
        <w:rPr>
          <w:rFonts w:eastAsia="Calibri"/>
          <w:i/>
          <w:iCs/>
          <w:sz w:val="22"/>
          <w:szCs w:val="22"/>
        </w:rPr>
      </w:pPr>
    </w:p>
    <w:p w14:paraId="2505CCCD" w14:textId="6FCE0D5A" w:rsidR="0038103D" w:rsidRPr="004F572A" w:rsidRDefault="0038103D" w:rsidP="0038103D">
      <w:pPr>
        <w:widowControl w:val="0"/>
        <w:tabs>
          <w:tab w:val="clear" w:pos="567"/>
        </w:tabs>
        <w:rPr>
          <w:rFonts w:eastAsia="Calibri"/>
          <w:i/>
          <w:iCs/>
          <w:sz w:val="22"/>
          <w:szCs w:val="22"/>
        </w:rPr>
      </w:pPr>
      <w:r w:rsidRPr="004F572A">
        <w:rPr>
          <w:rFonts w:eastAsia="Calibri"/>
          <w:i/>
          <w:iCs/>
          <w:sz w:val="22"/>
          <w:szCs w:val="22"/>
        </w:rPr>
        <w:t>DSK</w:t>
      </w:r>
    </w:p>
    <w:p w14:paraId="7EC2FDAE" w14:textId="77777777" w:rsidR="0038103D" w:rsidRPr="004F572A" w:rsidRDefault="0038103D" w:rsidP="0038103D">
      <w:pPr>
        <w:widowControl w:val="0"/>
        <w:tabs>
          <w:tab w:val="clear" w:pos="567"/>
        </w:tabs>
        <w:rPr>
          <w:rFonts w:eastAsia="Calibri"/>
          <w:sz w:val="22"/>
          <w:szCs w:val="22"/>
        </w:rPr>
      </w:pPr>
    </w:p>
    <w:p w14:paraId="6A8EAA30" w14:textId="2BAB75A7" w:rsidR="0038103D" w:rsidRPr="004F572A" w:rsidRDefault="0038103D" w:rsidP="0038103D">
      <w:pPr>
        <w:widowControl w:val="0"/>
        <w:tabs>
          <w:tab w:val="clear" w:pos="567"/>
        </w:tabs>
        <w:rPr>
          <w:rFonts w:eastAsia="Calibri"/>
          <w:sz w:val="22"/>
          <w:szCs w:val="22"/>
        </w:rPr>
      </w:pPr>
      <w:r w:rsidRPr="004F572A">
        <w:rPr>
          <w:rFonts w:eastAsia="Calibri"/>
          <w:sz w:val="22"/>
          <w:szCs w:val="22"/>
        </w:rPr>
        <w:t>Pacientams, kuriems pradinio įvertinimo metu buvo sutrikusi kepenų funkcija, dažniau pasireiškė hipertenzija ir DPE, taip pat dažniau pasireiškė 3</w:t>
      </w:r>
      <w:r w:rsidR="00115D7F">
        <w:rPr>
          <w:rFonts w:eastAsia="Calibri"/>
          <w:sz w:val="22"/>
          <w:szCs w:val="22"/>
        </w:rPr>
        <w:noBreakHyphen/>
      </w:r>
      <w:r w:rsidRPr="004F572A">
        <w:rPr>
          <w:rFonts w:eastAsia="Calibri"/>
          <w:sz w:val="22"/>
          <w:szCs w:val="22"/>
        </w:rPr>
        <w:t>iojo ar 4</w:t>
      </w:r>
      <w:r w:rsidR="00115D7F">
        <w:rPr>
          <w:rFonts w:eastAsia="Calibri"/>
          <w:sz w:val="22"/>
          <w:szCs w:val="22"/>
        </w:rPr>
        <w:noBreakHyphen/>
      </w:r>
      <w:r w:rsidRPr="004F572A">
        <w:rPr>
          <w:rFonts w:eastAsia="Calibri"/>
          <w:sz w:val="22"/>
          <w:szCs w:val="22"/>
        </w:rPr>
        <w:t xml:space="preserve">ojo laipsnio hipertenzija, </w:t>
      </w:r>
      <w:proofErr w:type="spellStart"/>
      <w:r w:rsidRPr="004F572A">
        <w:rPr>
          <w:rFonts w:eastAsia="Calibri"/>
          <w:sz w:val="22"/>
          <w:szCs w:val="22"/>
        </w:rPr>
        <w:t>astenija</w:t>
      </w:r>
      <w:proofErr w:type="spellEnd"/>
      <w:r w:rsidRPr="004F572A">
        <w:rPr>
          <w:rFonts w:eastAsia="Calibri"/>
          <w:sz w:val="22"/>
          <w:szCs w:val="22"/>
        </w:rPr>
        <w:t xml:space="preserve">, nuovargis ir </w:t>
      </w:r>
      <w:proofErr w:type="spellStart"/>
      <w:r w:rsidRPr="004F572A">
        <w:rPr>
          <w:rFonts w:eastAsia="Calibri"/>
          <w:sz w:val="22"/>
          <w:szCs w:val="22"/>
        </w:rPr>
        <w:t>hipokalcemija</w:t>
      </w:r>
      <w:proofErr w:type="spellEnd"/>
      <w:r w:rsidRPr="004F572A">
        <w:rPr>
          <w:rFonts w:eastAsia="Calibri"/>
          <w:sz w:val="22"/>
          <w:szCs w:val="22"/>
        </w:rPr>
        <w:t xml:space="preserve"> nei pacientams, kurių kepenų funkcija buvo normali.</w:t>
      </w:r>
    </w:p>
    <w:p w14:paraId="00E8E3F4" w14:textId="77777777" w:rsidR="0038103D" w:rsidRPr="004F572A" w:rsidRDefault="0038103D" w:rsidP="0038103D">
      <w:pPr>
        <w:widowControl w:val="0"/>
        <w:tabs>
          <w:tab w:val="clear" w:pos="567"/>
        </w:tabs>
        <w:rPr>
          <w:rFonts w:eastAsia="Calibri"/>
          <w:i/>
          <w:iCs/>
          <w:sz w:val="22"/>
          <w:szCs w:val="22"/>
        </w:rPr>
      </w:pPr>
    </w:p>
    <w:p w14:paraId="7E23EBD8" w14:textId="198AE7BC" w:rsidR="0038103D" w:rsidRPr="004F572A" w:rsidRDefault="0038103D" w:rsidP="0038103D">
      <w:pPr>
        <w:widowControl w:val="0"/>
        <w:tabs>
          <w:tab w:val="clear" w:pos="567"/>
        </w:tabs>
        <w:rPr>
          <w:rFonts w:eastAsia="Calibri"/>
          <w:i/>
          <w:iCs/>
          <w:sz w:val="22"/>
          <w:szCs w:val="22"/>
        </w:rPr>
      </w:pPr>
      <w:r w:rsidRPr="004F572A">
        <w:rPr>
          <w:rFonts w:eastAsia="Calibri"/>
          <w:i/>
          <w:iCs/>
          <w:sz w:val="22"/>
          <w:szCs w:val="22"/>
        </w:rPr>
        <w:t>HCK</w:t>
      </w:r>
    </w:p>
    <w:p w14:paraId="4E74EB99" w14:textId="77777777" w:rsidR="0038103D" w:rsidRPr="004F572A" w:rsidRDefault="0038103D" w:rsidP="0038103D">
      <w:pPr>
        <w:widowControl w:val="0"/>
        <w:tabs>
          <w:tab w:val="clear" w:pos="567"/>
        </w:tabs>
        <w:rPr>
          <w:rFonts w:eastAsia="Calibri"/>
          <w:sz w:val="22"/>
          <w:szCs w:val="22"/>
        </w:rPr>
      </w:pPr>
    </w:p>
    <w:p w14:paraId="431BB9B3" w14:textId="3F1F2CC1" w:rsidR="0038103D" w:rsidRPr="004F572A" w:rsidRDefault="0038103D" w:rsidP="0038103D">
      <w:pPr>
        <w:widowControl w:val="0"/>
        <w:tabs>
          <w:tab w:val="clear" w:pos="567"/>
        </w:tabs>
        <w:rPr>
          <w:rFonts w:eastAsia="Calibri"/>
          <w:sz w:val="22"/>
          <w:szCs w:val="22"/>
        </w:rPr>
      </w:pPr>
      <w:r w:rsidRPr="004F572A">
        <w:rPr>
          <w:rFonts w:eastAsia="Calibri"/>
          <w:sz w:val="22"/>
          <w:szCs w:val="22"/>
        </w:rPr>
        <w:t>Pacientai, kurių kepenų funkcija gydymo pradžioje įvertinta 6</w:t>
      </w:r>
      <w:r w:rsidR="00115D7F">
        <w:rPr>
          <w:rFonts w:eastAsia="Calibri"/>
          <w:sz w:val="22"/>
          <w:szCs w:val="22"/>
        </w:rPr>
        <w:t> </w:t>
      </w:r>
      <w:r w:rsidRPr="004F572A">
        <w:rPr>
          <w:rFonts w:eastAsia="Calibri"/>
          <w:sz w:val="22"/>
          <w:szCs w:val="22"/>
        </w:rPr>
        <w:t xml:space="preserve">balais pagal </w:t>
      </w:r>
      <w:proofErr w:type="spellStart"/>
      <w:r w:rsidRPr="000D1CAE">
        <w:rPr>
          <w:rFonts w:eastAsia="Calibri"/>
          <w:i/>
          <w:sz w:val="22"/>
          <w:szCs w:val="22"/>
        </w:rPr>
        <w:t>Child-Pugh</w:t>
      </w:r>
      <w:proofErr w:type="spellEnd"/>
      <w:r w:rsidRPr="004F572A">
        <w:rPr>
          <w:rFonts w:eastAsia="Calibri"/>
          <w:sz w:val="22"/>
          <w:szCs w:val="22"/>
        </w:rPr>
        <w:t xml:space="preserve"> (CP) (REFLECT tyrime tokių pacientų buvo apie 20 %) dažniau buvo </w:t>
      </w:r>
      <w:r w:rsidR="007D7675">
        <w:rPr>
          <w:rFonts w:eastAsia="Calibri"/>
          <w:sz w:val="22"/>
          <w:szCs w:val="22"/>
        </w:rPr>
        <w:t xml:space="preserve">registruojamas </w:t>
      </w:r>
      <w:r w:rsidRPr="004F572A">
        <w:rPr>
          <w:rFonts w:eastAsia="Calibri"/>
          <w:sz w:val="22"/>
          <w:szCs w:val="22"/>
        </w:rPr>
        <w:t>sumažėj</w:t>
      </w:r>
      <w:r w:rsidR="007D7675">
        <w:rPr>
          <w:rFonts w:eastAsia="Calibri"/>
          <w:sz w:val="22"/>
          <w:szCs w:val="22"/>
        </w:rPr>
        <w:t>ęs</w:t>
      </w:r>
      <w:r w:rsidRPr="004F572A">
        <w:rPr>
          <w:rFonts w:eastAsia="Calibri"/>
          <w:sz w:val="22"/>
          <w:szCs w:val="22"/>
        </w:rPr>
        <w:t xml:space="preserve"> apetit</w:t>
      </w:r>
      <w:r w:rsidR="007D7675">
        <w:rPr>
          <w:rFonts w:eastAsia="Calibri"/>
          <w:sz w:val="22"/>
          <w:szCs w:val="22"/>
        </w:rPr>
        <w:t>as</w:t>
      </w:r>
      <w:r w:rsidRPr="004F572A">
        <w:rPr>
          <w:rFonts w:eastAsia="Calibri"/>
          <w:sz w:val="22"/>
          <w:szCs w:val="22"/>
        </w:rPr>
        <w:t>, nuovargi</w:t>
      </w:r>
      <w:r w:rsidR="007D7675">
        <w:rPr>
          <w:rFonts w:eastAsia="Calibri"/>
          <w:sz w:val="22"/>
          <w:szCs w:val="22"/>
        </w:rPr>
        <w:t>s</w:t>
      </w:r>
      <w:r w:rsidRPr="004F572A">
        <w:rPr>
          <w:rFonts w:eastAsia="Calibri"/>
          <w:sz w:val="22"/>
          <w:szCs w:val="22"/>
        </w:rPr>
        <w:t xml:space="preserve">, </w:t>
      </w:r>
      <w:proofErr w:type="spellStart"/>
      <w:r w:rsidRPr="004F572A">
        <w:rPr>
          <w:rFonts w:eastAsia="Calibri"/>
          <w:sz w:val="22"/>
          <w:szCs w:val="22"/>
        </w:rPr>
        <w:t>proteinurij</w:t>
      </w:r>
      <w:r w:rsidR="007D7675">
        <w:rPr>
          <w:rFonts w:eastAsia="Calibri"/>
          <w:sz w:val="22"/>
          <w:szCs w:val="22"/>
        </w:rPr>
        <w:t>a</w:t>
      </w:r>
      <w:proofErr w:type="spellEnd"/>
      <w:r w:rsidRPr="004F572A">
        <w:rPr>
          <w:rFonts w:eastAsia="Calibri"/>
          <w:sz w:val="22"/>
          <w:szCs w:val="22"/>
        </w:rPr>
        <w:t xml:space="preserve">, </w:t>
      </w:r>
      <w:proofErr w:type="spellStart"/>
      <w:r w:rsidRPr="004F572A">
        <w:rPr>
          <w:rFonts w:eastAsia="Calibri"/>
          <w:sz w:val="22"/>
          <w:szCs w:val="22"/>
        </w:rPr>
        <w:t>hepatinė</w:t>
      </w:r>
      <w:proofErr w:type="spellEnd"/>
      <w:r w:rsidRPr="004F572A">
        <w:rPr>
          <w:rFonts w:eastAsia="Calibri"/>
          <w:sz w:val="22"/>
          <w:szCs w:val="22"/>
        </w:rPr>
        <w:t xml:space="preserve"> </w:t>
      </w:r>
      <w:proofErr w:type="spellStart"/>
      <w:r w:rsidRPr="004F572A">
        <w:rPr>
          <w:rFonts w:eastAsia="Calibri"/>
          <w:sz w:val="22"/>
          <w:szCs w:val="22"/>
        </w:rPr>
        <w:t>encefalopatij</w:t>
      </w:r>
      <w:r w:rsidR="007D7675">
        <w:rPr>
          <w:rFonts w:eastAsia="Calibri"/>
          <w:sz w:val="22"/>
          <w:szCs w:val="22"/>
        </w:rPr>
        <w:t>a</w:t>
      </w:r>
      <w:proofErr w:type="spellEnd"/>
      <w:r w:rsidRPr="004F572A">
        <w:rPr>
          <w:rFonts w:eastAsia="Calibri"/>
          <w:sz w:val="22"/>
          <w:szCs w:val="22"/>
        </w:rPr>
        <w:t xml:space="preserve"> ir kepenų nepakankamum</w:t>
      </w:r>
      <w:r w:rsidR="007D7675">
        <w:rPr>
          <w:rFonts w:eastAsia="Calibri"/>
          <w:sz w:val="22"/>
          <w:szCs w:val="22"/>
        </w:rPr>
        <w:t>as</w:t>
      </w:r>
      <w:r w:rsidRPr="004F572A">
        <w:rPr>
          <w:rFonts w:eastAsia="Calibri"/>
          <w:sz w:val="22"/>
          <w:szCs w:val="22"/>
        </w:rPr>
        <w:t xml:space="preserve">, palyginti su pacientais, kurių CP balas gydymo pradžioje buvo 5. Pacientams, kurių CP balas buvo 6, taip pat dažniau buvo </w:t>
      </w:r>
      <w:r w:rsidR="007D7675">
        <w:rPr>
          <w:rFonts w:eastAsia="Calibri"/>
          <w:sz w:val="22"/>
          <w:szCs w:val="22"/>
        </w:rPr>
        <w:t xml:space="preserve">registruojama </w:t>
      </w:r>
      <w:r w:rsidRPr="004F572A">
        <w:rPr>
          <w:rFonts w:eastAsia="Calibri"/>
          <w:sz w:val="22"/>
          <w:szCs w:val="22"/>
        </w:rPr>
        <w:t>toksinio poveikio kepenims ir kraujavimo atvejų, palyginti su 5 CP balais įvertintais pacientais.</w:t>
      </w:r>
    </w:p>
    <w:p w14:paraId="2173A980" w14:textId="77777777" w:rsidR="0038103D" w:rsidRPr="004F572A" w:rsidRDefault="0038103D" w:rsidP="0038103D">
      <w:pPr>
        <w:widowControl w:val="0"/>
        <w:tabs>
          <w:tab w:val="clear" w:pos="567"/>
        </w:tabs>
        <w:rPr>
          <w:rFonts w:eastAsia="Calibri"/>
          <w:i/>
          <w:iCs/>
          <w:sz w:val="22"/>
          <w:szCs w:val="22"/>
        </w:rPr>
      </w:pPr>
    </w:p>
    <w:p w14:paraId="709C2CA9" w14:textId="77777777" w:rsidR="0038103D" w:rsidRPr="004F572A" w:rsidRDefault="0038103D" w:rsidP="0038103D">
      <w:pPr>
        <w:widowControl w:val="0"/>
        <w:tabs>
          <w:tab w:val="clear" w:pos="567"/>
        </w:tabs>
        <w:rPr>
          <w:rFonts w:eastAsia="Calibri"/>
          <w:i/>
          <w:iCs/>
          <w:sz w:val="22"/>
          <w:szCs w:val="22"/>
          <w:u w:val="single"/>
        </w:rPr>
      </w:pPr>
      <w:r w:rsidRPr="004F572A">
        <w:rPr>
          <w:rFonts w:eastAsia="Calibri"/>
          <w:i/>
          <w:iCs/>
          <w:sz w:val="22"/>
          <w:szCs w:val="22"/>
          <w:u w:val="single"/>
        </w:rPr>
        <w:lastRenderedPageBreak/>
        <w:t xml:space="preserve">Sutrikusi inkstų funkcija </w:t>
      </w:r>
    </w:p>
    <w:p w14:paraId="327F7DB6" w14:textId="77777777" w:rsidR="0038103D" w:rsidRPr="004F572A" w:rsidRDefault="0038103D" w:rsidP="0038103D">
      <w:pPr>
        <w:widowControl w:val="0"/>
        <w:tabs>
          <w:tab w:val="clear" w:pos="567"/>
        </w:tabs>
        <w:rPr>
          <w:rFonts w:eastAsia="Calibri"/>
          <w:i/>
          <w:iCs/>
          <w:sz w:val="22"/>
          <w:szCs w:val="22"/>
        </w:rPr>
      </w:pPr>
    </w:p>
    <w:p w14:paraId="19AFE82A" w14:textId="326A4901" w:rsidR="0038103D" w:rsidRPr="004F572A" w:rsidRDefault="0038103D" w:rsidP="0038103D">
      <w:pPr>
        <w:widowControl w:val="0"/>
        <w:tabs>
          <w:tab w:val="clear" w:pos="567"/>
        </w:tabs>
        <w:rPr>
          <w:rFonts w:eastAsia="Calibri"/>
          <w:i/>
          <w:iCs/>
          <w:sz w:val="22"/>
          <w:szCs w:val="22"/>
        </w:rPr>
      </w:pPr>
      <w:r w:rsidRPr="004F572A">
        <w:rPr>
          <w:rFonts w:eastAsia="Calibri"/>
          <w:i/>
          <w:iCs/>
          <w:sz w:val="22"/>
          <w:szCs w:val="22"/>
        </w:rPr>
        <w:t>DSK</w:t>
      </w:r>
    </w:p>
    <w:p w14:paraId="739629A2" w14:textId="77777777" w:rsidR="0038103D" w:rsidRPr="004F572A" w:rsidRDefault="0038103D" w:rsidP="0038103D">
      <w:pPr>
        <w:widowControl w:val="0"/>
        <w:tabs>
          <w:tab w:val="clear" w:pos="567"/>
        </w:tabs>
        <w:rPr>
          <w:rFonts w:eastAsia="Calibri"/>
          <w:sz w:val="22"/>
          <w:szCs w:val="22"/>
        </w:rPr>
      </w:pPr>
    </w:p>
    <w:p w14:paraId="661665F7" w14:textId="2BB4E584" w:rsidR="0038103D" w:rsidRPr="004F572A" w:rsidRDefault="0038103D" w:rsidP="0038103D">
      <w:pPr>
        <w:widowControl w:val="0"/>
        <w:tabs>
          <w:tab w:val="clear" w:pos="567"/>
        </w:tabs>
        <w:rPr>
          <w:rFonts w:eastAsia="Calibri"/>
          <w:sz w:val="22"/>
          <w:szCs w:val="22"/>
        </w:rPr>
      </w:pPr>
      <w:r w:rsidRPr="004F572A">
        <w:rPr>
          <w:rFonts w:eastAsia="Calibri"/>
          <w:sz w:val="22"/>
          <w:szCs w:val="22"/>
        </w:rPr>
        <w:t xml:space="preserve">Pacientams, kuriems pradinio įvertinimo metu buvo sutrikusi inkstų funkcija, dažniau </w:t>
      </w:r>
      <w:r w:rsidR="007D7675">
        <w:rPr>
          <w:rFonts w:eastAsia="Calibri"/>
          <w:sz w:val="22"/>
          <w:szCs w:val="22"/>
        </w:rPr>
        <w:t>nustatyta</w:t>
      </w:r>
      <w:r w:rsidR="007D7675" w:rsidRPr="004F572A">
        <w:rPr>
          <w:rFonts w:eastAsia="Calibri"/>
          <w:sz w:val="22"/>
          <w:szCs w:val="22"/>
        </w:rPr>
        <w:t xml:space="preserve"> </w:t>
      </w:r>
      <w:r w:rsidRPr="004F572A">
        <w:rPr>
          <w:rFonts w:eastAsia="Calibri"/>
          <w:sz w:val="22"/>
          <w:szCs w:val="22"/>
        </w:rPr>
        <w:t>3</w:t>
      </w:r>
      <w:r w:rsidR="00115D7F">
        <w:rPr>
          <w:rFonts w:eastAsia="Calibri"/>
          <w:sz w:val="22"/>
          <w:szCs w:val="22"/>
        </w:rPr>
        <w:noBreakHyphen/>
      </w:r>
      <w:r w:rsidRPr="004F572A">
        <w:rPr>
          <w:rFonts w:eastAsia="Calibri"/>
          <w:sz w:val="22"/>
          <w:szCs w:val="22"/>
        </w:rPr>
        <w:t>iojo ar 4</w:t>
      </w:r>
      <w:r w:rsidR="00115D7F">
        <w:rPr>
          <w:rFonts w:eastAsia="Calibri"/>
          <w:sz w:val="22"/>
          <w:szCs w:val="22"/>
        </w:rPr>
        <w:noBreakHyphen/>
      </w:r>
      <w:r w:rsidRPr="004F572A">
        <w:rPr>
          <w:rFonts w:eastAsia="Calibri"/>
          <w:sz w:val="22"/>
          <w:szCs w:val="22"/>
        </w:rPr>
        <w:t xml:space="preserve">ojo laipsnio hipertenzija, </w:t>
      </w:r>
      <w:proofErr w:type="spellStart"/>
      <w:r w:rsidRPr="004F572A">
        <w:rPr>
          <w:rFonts w:eastAsia="Calibri"/>
          <w:sz w:val="22"/>
          <w:szCs w:val="22"/>
        </w:rPr>
        <w:t>proteinurija</w:t>
      </w:r>
      <w:proofErr w:type="spellEnd"/>
      <w:r w:rsidRPr="004F572A">
        <w:rPr>
          <w:rFonts w:eastAsia="Calibri"/>
          <w:sz w:val="22"/>
          <w:szCs w:val="22"/>
        </w:rPr>
        <w:t xml:space="preserve">, nuovargis, stomatitas, periferinė edema, </w:t>
      </w:r>
      <w:proofErr w:type="spellStart"/>
      <w:r w:rsidRPr="004F572A">
        <w:rPr>
          <w:rFonts w:eastAsia="Calibri"/>
          <w:sz w:val="22"/>
          <w:szCs w:val="22"/>
        </w:rPr>
        <w:t>trombocitopenija</w:t>
      </w:r>
      <w:proofErr w:type="spellEnd"/>
      <w:r w:rsidRPr="004F572A">
        <w:rPr>
          <w:rFonts w:eastAsia="Calibri"/>
          <w:sz w:val="22"/>
          <w:szCs w:val="22"/>
        </w:rPr>
        <w:t xml:space="preserve">, dehidratacija, pailgėjęs elektrokardiogramos QT intervalas, </w:t>
      </w:r>
      <w:proofErr w:type="spellStart"/>
      <w:r w:rsidRPr="004F572A">
        <w:rPr>
          <w:rFonts w:eastAsia="Calibri"/>
          <w:sz w:val="22"/>
          <w:szCs w:val="22"/>
        </w:rPr>
        <w:t>hipotirozė</w:t>
      </w:r>
      <w:proofErr w:type="spellEnd"/>
      <w:r w:rsidRPr="004F572A">
        <w:rPr>
          <w:rFonts w:eastAsia="Calibri"/>
          <w:sz w:val="22"/>
          <w:szCs w:val="22"/>
        </w:rPr>
        <w:t xml:space="preserve">, </w:t>
      </w:r>
      <w:proofErr w:type="spellStart"/>
      <w:r w:rsidRPr="004F572A">
        <w:rPr>
          <w:rFonts w:eastAsia="Calibri"/>
          <w:sz w:val="22"/>
          <w:szCs w:val="22"/>
        </w:rPr>
        <w:t>hiponatremija</w:t>
      </w:r>
      <w:proofErr w:type="spellEnd"/>
      <w:r w:rsidRPr="004F572A">
        <w:rPr>
          <w:rFonts w:eastAsia="Calibri"/>
          <w:sz w:val="22"/>
          <w:szCs w:val="22"/>
        </w:rPr>
        <w:t>, padidėjęs skydliaukę stimuliuojančio hormono kiekis kraujyje, plaučių uždegimas, palyginti su tiriamaisiais, kurių inkstų funkcija buvo normali. Šiems pacientams taip pat dažniau nustatytos inkstų reakcijos ir polinkis į dažnesnes kepenų reakcijas.</w:t>
      </w:r>
    </w:p>
    <w:p w14:paraId="018E55CB" w14:textId="77777777" w:rsidR="0038103D" w:rsidRPr="004F572A" w:rsidRDefault="0038103D" w:rsidP="0038103D">
      <w:pPr>
        <w:widowControl w:val="0"/>
        <w:tabs>
          <w:tab w:val="clear" w:pos="567"/>
        </w:tabs>
        <w:rPr>
          <w:rFonts w:eastAsia="Calibri"/>
          <w:i/>
          <w:iCs/>
          <w:sz w:val="22"/>
          <w:szCs w:val="22"/>
        </w:rPr>
      </w:pPr>
    </w:p>
    <w:p w14:paraId="4B44C154" w14:textId="12D1469B" w:rsidR="0038103D" w:rsidRPr="004F572A" w:rsidRDefault="0038103D" w:rsidP="0038103D">
      <w:pPr>
        <w:widowControl w:val="0"/>
        <w:tabs>
          <w:tab w:val="clear" w:pos="567"/>
        </w:tabs>
        <w:rPr>
          <w:rFonts w:eastAsia="Calibri"/>
          <w:sz w:val="22"/>
          <w:szCs w:val="22"/>
        </w:rPr>
      </w:pPr>
      <w:r w:rsidRPr="004F572A">
        <w:rPr>
          <w:rFonts w:eastAsia="Calibri"/>
          <w:i/>
          <w:iCs/>
          <w:sz w:val="22"/>
          <w:szCs w:val="22"/>
        </w:rPr>
        <w:t>HCK</w:t>
      </w:r>
    </w:p>
    <w:p w14:paraId="1470ADBC" w14:textId="77777777" w:rsidR="0038103D" w:rsidRPr="004F572A" w:rsidRDefault="0038103D" w:rsidP="007E577A">
      <w:pPr>
        <w:widowControl w:val="0"/>
        <w:tabs>
          <w:tab w:val="clear" w:pos="567"/>
        </w:tabs>
        <w:rPr>
          <w:rFonts w:eastAsia="Calibri"/>
          <w:sz w:val="22"/>
          <w:szCs w:val="22"/>
        </w:rPr>
      </w:pPr>
    </w:p>
    <w:p w14:paraId="297D5ED4" w14:textId="6FFF6CA0" w:rsidR="0038103D" w:rsidRPr="004F572A" w:rsidRDefault="0038103D" w:rsidP="0038103D">
      <w:pPr>
        <w:widowControl w:val="0"/>
        <w:tabs>
          <w:tab w:val="clear" w:pos="567"/>
        </w:tabs>
        <w:rPr>
          <w:rFonts w:eastAsia="Calibri"/>
          <w:sz w:val="22"/>
          <w:szCs w:val="22"/>
        </w:rPr>
      </w:pPr>
      <w:r w:rsidRPr="004F572A">
        <w:rPr>
          <w:rFonts w:eastAsia="Calibri"/>
          <w:sz w:val="22"/>
          <w:szCs w:val="22"/>
        </w:rPr>
        <w:t>Pacientai, kuriems</w:t>
      </w:r>
      <w:r w:rsidR="005C2979" w:rsidRPr="004F572A">
        <w:rPr>
          <w:rFonts w:eastAsia="Calibri"/>
          <w:sz w:val="22"/>
          <w:szCs w:val="22"/>
        </w:rPr>
        <w:t xml:space="preserve"> </w:t>
      </w:r>
      <w:r w:rsidR="007D7675">
        <w:rPr>
          <w:rFonts w:eastAsia="Calibri"/>
          <w:sz w:val="22"/>
          <w:szCs w:val="22"/>
        </w:rPr>
        <w:t>gydymo pradžioje diagnozuotas</w:t>
      </w:r>
      <w:r w:rsidR="005C2979" w:rsidRPr="004F572A">
        <w:rPr>
          <w:rFonts w:eastAsia="Calibri"/>
          <w:sz w:val="22"/>
          <w:szCs w:val="22"/>
        </w:rPr>
        <w:t xml:space="preserve"> inkstų </w:t>
      </w:r>
      <w:r w:rsidR="007D7675">
        <w:rPr>
          <w:rFonts w:eastAsia="Calibri"/>
          <w:sz w:val="22"/>
          <w:szCs w:val="22"/>
        </w:rPr>
        <w:t>nepakankamumas</w:t>
      </w:r>
      <w:r w:rsidRPr="004F572A">
        <w:rPr>
          <w:rFonts w:eastAsia="Calibri"/>
          <w:sz w:val="22"/>
          <w:szCs w:val="22"/>
        </w:rPr>
        <w:t xml:space="preserve">, dažniau patyrė nuovargį, jiems dažniau buvo </w:t>
      </w:r>
      <w:r w:rsidR="007D7675">
        <w:rPr>
          <w:rFonts w:eastAsia="Calibri"/>
          <w:sz w:val="22"/>
          <w:szCs w:val="22"/>
        </w:rPr>
        <w:t>diagnozuojama</w:t>
      </w:r>
      <w:r w:rsidR="005C2979" w:rsidRPr="004F572A">
        <w:rPr>
          <w:rFonts w:eastAsia="Calibri"/>
          <w:sz w:val="22"/>
          <w:szCs w:val="22"/>
        </w:rPr>
        <w:t xml:space="preserve"> </w:t>
      </w:r>
      <w:proofErr w:type="spellStart"/>
      <w:r w:rsidRPr="004F572A">
        <w:rPr>
          <w:rFonts w:eastAsia="Calibri"/>
          <w:sz w:val="22"/>
          <w:szCs w:val="22"/>
        </w:rPr>
        <w:t>hipotirozė</w:t>
      </w:r>
      <w:proofErr w:type="spellEnd"/>
      <w:r w:rsidRPr="004F572A">
        <w:rPr>
          <w:rFonts w:eastAsia="Calibri"/>
          <w:sz w:val="22"/>
          <w:szCs w:val="22"/>
        </w:rPr>
        <w:t>, dehidra</w:t>
      </w:r>
      <w:r w:rsidR="007D7675">
        <w:rPr>
          <w:rFonts w:eastAsia="Calibri"/>
          <w:sz w:val="22"/>
          <w:szCs w:val="22"/>
        </w:rPr>
        <w:t>ta</w:t>
      </w:r>
      <w:r w:rsidRPr="004F572A">
        <w:rPr>
          <w:rFonts w:eastAsia="Calibri"/>
          <w:sz w:val="22"/>
          <w:szCs w:val="22"/>
        </w:rPr>
        <w:t xml:space="preserve">cija, viduriavimas, sumažėjęs apetitas, </w:t>
      </w:r>
      <w:proofErr w:type="spellStart"/>
      <w:r w:rsidRPr="004F572A">
        <w:rPr>
          <w:rFonts w:eastAsia="Calibri"/>
          <w:sz w:val="22"/>
          <w:szCs w:val="22"/>
        </w:rPr>
        <w:t>proteinurija</w:t>
      </w:r>
      <w:proofErr w:type="spellEnd"/>
      <w:r w:rsidRPr="004F572A">
        <w:rPr>
          <w:rFonts w:eastAsia="Calibri"/>
          <w:sz w:val="22"/>
          <w:szCs w:val="22"/>
        </w:rPr>
        <w:t xml:space="preserve"> ir </w:t>
      </w:r>
      <w:proofErr w:type="spellStart"/>
      <w:r w:rsidRPr="004F572A">
        <w:rPr>
          <w:rFonts w:eastAsia="Calibri"/>
          <w:sz w:val="22"/>
          <w:szCs w:val="22"/>
        </w:rPr>
        <w:t>hepatinė</w:t>
      </w:r>
      <w:proofErr w:type="spellEnd"/>
      <w:r w:rsidRPr="004F572A">
        <w:rPr>
          <w:rFonts w:eastAsia="Calibri"/>
          <w:sz w:val="22"/>
          <w:szCs w:val="22"/>
        </w:rPr>
        <w:t xml:space="preserve"> </w:t>
      </w:r>
      <w:proofErr w:type="spellStart"/>
      <w:r w:rsidRPr="004F572A">
        <w:rPr>
          <w:rFonts w:eastAsia="Calibri"/>
          <w:sz w:val="22"/>
          <w:szCs w:val="22"/>
        </w:rPr>
        <w:t>encefalopatija</w:t>
      </w:r>
      <w:proofErr w:type="spellEnd"/>
      <w:r w:rsidRPr="004F572A">
        <w:rPr>
          <w:rFonts w:eastAsia="Calibri"/>
          <w:sz w:val="22"/>
          <w:szCs w:val="22"/>
        </w:rPr>
        <w:t xml:space="preserve">. Šiems pacientams taip pat dažniau pasireiškė inkstų reakcijos ir arterinės tromboembolijos </w:t>
      </w:r>
      <w:r w:rsidR="007D7675">
        <w:rPr>
          <w:rFonts w:eastAsia="Calibri"/>
          <w:sz w:val="22"/>
          <w:szCs w:val="22"/>
        </w:rPr>
        <w:t>epizodų</w:t>
      </w:r>
      <w:r w:rsidRPr="004F572A">
        <w:rPr>
          <w:rFonts w:eastAsia="Calibri"/>
          <w:sz w:val="22"/>
          <w:szCs w:val="22"/>
        </w:rPr>
        <w:t>.</w:t>
      </w:r>
    </w:p>
    <w:p w14:paraId="72C08AA5" w14:textId="77777777" w:rsidR="005C2979" w:rsidRPr="004F572A" w:rsidRDefault="005C2979" w:rsidP="0038103D">
      <w:pPr>
        <w:widowControl w:val="0"/>
        <w:tabs>
          <w:tab w:val="clear" w:pos="567"/>
        </w:tabs>
        <w:rPr>
          <w:rFonts w:eastAsia="Calibri"/>
          <w:sz w:val="22"/>
          <w:szCs w:val="22"/>
        </w:rPr>
      </w:pPr>
    </w:p>
    <w:p w14:paraId="2862F2B1" w14:textId="77777777" w:rsidR="005C2979" w:rsidRPr="00E27691" w:rsidRDefault="0038103D" w:rsidP="0038103D">
      <w:pPr>
        <w:widowControl w:val="0"/>
        <w:tabs>
          <w:tab w:val="clear" w:pos="567"/>
        </w:tabs>
        <w:rPr>
          <w:rFonts w:eastAsia="Calibri"/>
          <w:i/>
          <w:iCs/>
          <w:sz w:val="22"/>
          <w:szCs w:val="22"/>
          <w:u w:val="single"/>
        </w:rPr>
      </w:pPr>
      <w:r w:rsidRPr="00E27691">
        <w:rPr>
          <w:rFonts w:eastAsia="Calibri"/>
          <w:i/>
          <w:iCs/>
          <w:sz w:val="22"/>
          <w:szCs w:val="22"/>
          <w:u w:val="single"/>
        </w:rPr>
        <w:t>Pacientai, kurių kūno svoris yra &lt;</w:t>
      </w:r>
      <w:r w:rsidR="005C2979" w:rsidRPr="00E27691">
        <w:rPr>
          <w:rFonts w:eastAsia="Calibri"/>
          <w:i/>
          <w:iCs/>
          <w:sz w:val="22"/>
          <w:szCs w:val="22"/>
          <w:u w:val="single"/>
        </w:rPr>
        <w:t> </w:t>
      </w:r>
      <w:r w:rsidRPr="00E27691">
        <w:rPr>
          <w:rFonts w:eastAsia="Calibri"/>
          <w:i/>
          <w:iCs/>
          <w:sz w:val="22"/>
          <w:szCs w:val="22"/>
          <w:u w:val="single"/>
        </w:rPr>
        <w:t>60</w:t>
      </w:r>
      <w:r w:rsidR="005C2979" w:rsidRPr="00E27691">
        <w:rPr>
          <w:rFonts w:eastAsia="Calibri"/>
          <w:i/>
          <w:iCs/>
          <w:sz w:val="22"/>
          <w:szCs w:val="22"/>
          <w:u w:val="single"/>
        </w:rPr>
        <w:t> </w:t>
      </w:r>
      <w:r w:rsidRPr="00E27691">
        <w:rPr>
          <w:rFonts w:eastAsia="Calibri"/>
          <w:i/>
          <w:iCs/>
          <w:sz w:val="22"/>
          <w:szCs w:val="22"/>
          <w:u w:val="single"/>
        </w:rPr>
        <w:t xml:space="preserve">kg </w:t>
      </w:r>
    </w:p>
    <w:p w14:paraId="2105983C" w14:textId="77777777" w:rsidR="005C2979" w:rsidRPr="004F572A" w:rsidRDefault="005C2979" w:rsidP="0038103D">
      <w:pPr>
        <w:widowControl w:val="0"/>
        <w:tabs>
          <w:tab w:val="clear" w:pos="567"/>
        </w:tabs>
        <w:rPr>
          <w:rFonts w:eastAsia="Calibri"/>
          <w:i/>
          <w:iCs/>
          <w:sz w:val="22"/>
          <w:szCs w:val="22"/>
        </w:rPr>
      </w:pPr>
    </w:p>
    <w:p w14:paraId="49ABBCE9" w14:textId="77054A70" w:rsidR="0038103D" w:rsidRPr="004F572A" w:rsidRDefault="0038103D" w:rsidP="0038103D">
      <w:pPr>
        <w:widowControl w:val="0"/>
        <w:tabs>
          <w:tab w:val="clear" w:pos="567"/>
        </w:tabs>
        <w:rPr>
          <w:rFonts w:eastAsia="Calibri"/>
          <w:i/>
          <w:iCs/>
          <w:sz w:val="22"/>
          <w:szCs w:val="22"/>
        </w:rPr>
      </w:pPr>
      <w:r w:rsidRPr="004F572A">
        <w:rPr>
          <w:rFonts w:eastAsia="Calibri"/>
          <w:i/>
          <w:iCs/>
          <w:sz w:val="22"/>
          <w:szCs w:val="22"/>
        </w:rPr>
        <w:t>DSK</w:t>
      </w:r>
    </w:p>
    <w:p w14:paraId="2416CEDC" w14:textId="77777777" w:rsidR="005C2979" w:rsidRPr="004F572A" w:rsidRDefault="005C2979" w:rsidP="0038103D">
      <w:pPr>
        <w:widowControl w:val="0"/>
        <w:tabs>
          <w:tab w:val="clear" w:pos="567"/>
        </w:tabs>
        <w:rPr>
          <w:rFonts w:eastAsia="Calibri"/>
          <w:sz w:val="22"/>
          <w:szCs w:val="22"/>
        </w:rPr>
      </w:pPr>
    </w:p>
    <w:p w14:paraId="5C7B24F0" w14:textId="1A90571C" w:rsidR="0038103D" w:rsidRPr="004F572A" w:rsidRDefault="0038103D" w:rsidP="0038103D">
      <w:pPr>
        <w:widowControl w:val="0"/>
        <w:tabs>
          <w:tab w:val="clear" w:pos="567"/>
        </w:tabs>
        <w:rPr>
          <w:rFonts w:eastAsia="Calibri"/>
          <w:sz w:val="22"/>
          <w:szCs w:val="22"/>
        </w:rPr>
      </w:pPr>
      <w:r w:rsidRPr="004F572A">
        <w:rPr>
          <w:rFonts w:eastAsia="Calibri"/>
          <w:sz w:val="22"/>
          <w:szCs w:val="22"/>
        </w:rPr>
        <w:t>Pacienta</w:t>
      </w:r>
      <w:r w:rsidR="00801C54">
        <w:rPr>
          <w:rFonts w:eastAsia="Calibri"/>
          <w:sz w:val="22"/>
          <w:szCs w:val="22"/>
        </w:rPr>
        <w:t>ms</w:t>
      </w:r>
      <w:r w:rsidRPr="004F572A">
        <w:rPr>
          <w:rFonts w:eastAsia="Calibri"/>
          <w:sz w:val="22"/>
          <w:szCs w:val="22"/>
        </w:rPr>
        <w:t>, kurių kūno svoris yra mažas (&lt;</w:t>
      </w:r>
      <w:r w:rsidR="005C2979" w:rsidRPr="004F572A">
        <w:rPr>
          <w:rFonts w:eastAsia="Calibri"/>
          <w:sz w:val="22"/>
          <w:szCs w:val="22"/>
        </w:rPr>
        <w:t> </w:t>
      </w:r>
      <w:r w:rsidRPr="004F572A">
        <w:rPr>
          <w:rFonts w:eastAsia="Calibri"/>
          <w:sz w:val="22"/>
          <w:szCs w:val="22"/>
        </w:rPr>
        <w:t>60</w:t>
      </w:r>
      <w:r w:rsidR="005C2979" w:rsidRPr="004F572A">
        <w:rPr>
          <w:rFonts w:eastAsia="Calibri"/>
          <w:sz w:val="22"/>
          <w:szCs w:val="22"/>
        </w:rPr>
        <w:t> </w:t>
      </w:r>
      <w:r w:rsidRPr="004F572A">
        <w:rPr>
          <w:rFonts w:eastAsia="Calibri"/>
          <w:sz w:val="22"/>
          <w:szCs w:val="22"/>
        </w:rPr>
        <w:t xml:space="preserve">kg), </w:t>
      </w:r>
      <w:r w:rsidR="00801C54">
        <w:rPr>
          <w:rFonts w:eastAsia="Calibri"/>
          <w:sz w:val="22"/>
          <w:szCs w:val="22"/>
        </w:rPr>
        <w:t>dažniau nustatyta</w:t>
      </w:r>
      <w:r w:rsidRPr="004F572A">
        <w:rPr>
          <w:rFonts w:eastAsia="Calibri"/>
          <w:sz w:val="22"/>
          <w:szCs w:val="22"/>
        </w:rPr>
        <w:t xml:space="preserve"> DPE, </w:t>
      </w:r>
      <w:proofErr w:type="spellStart"/>
      <w:r w:rsidRPr="004F572A">
        <w:rPr>
          <w:rFonts w:eastAsia="Calibri"/>
          <w:sz w:val="22"/>
          <w:szCs w:val="22"/>
        </w:rPr>
        <w:t>proteinurij</w:t>
      </w:r>
      <w:r w:rsidR="00801C54">
        <w:rPr>
          <w:rFonts w:eastAsia="Calibri"/>
          <w:sz w:val="22"/>
          <w:szCs w:val="22"/>
        </w:rPr>
        <w:t>a</w:t>
      </w:r>
      <w:proofErr w:type="spellEnd"/>
      <w:r w:rsidRPr="004F572A">
        <w:rPr>
          <w:rFonts w:eastAsia="Calibri"/>
          <w:sz w:val="22"/>
          <w:szCs w:val="22"/>
        </w:rPr>
        <w:t>, 3</w:t>
      </w:r>
      <w:r w:rsidR="00115D7F">
        <w:rPr>
          <w:rFonts w:eastAsia="Calibri"/>
          <w:sz w:val="22"/>
          <w:szCs w:val="22"/>
        </w:rPr>
        <w:noBreakHyphen/>
      </w:r>
      <w:r w:rsidRPr="004F572A">
        <w:rPr>
          <w:rFonts w:eastAsia="Calibri"/>
          <w:sz w:val="22"/>
          <w:szCs w:val="22"/>
        </w:rPr>
        <w:t>iojo ar 4</w:t>
      </w:r>
      <w:r w:rsidR="00115D7F">
        <w:rPr>
          <w:rFonts w:eastAsia="Calibri"/>
          <w:sz w:val="22"/>
          <w:szCs w:val="22"/>
        </w:rPr>
        <w:noBreakHyphen/>
      </w:r>
      <w:r w:rsidRPr="004F572A">
        <w:rPr>
          <w:rFonts w:eastAsia="Calibri"/>
          <w:sz w:val="22"/>
          <w:szCs w:val="22"/>
        </w:rPr>
        <w:t xml:space="preserve">ojo laipsnio </w:t>
      </w:r>
      <w:proofErr w:type="spellStart"/>
      <w:r w:rsidRPr="004F572A">
        <w:rPr>
          <w:rFonts w:eastAsia="Calibri"/>
          <w:sz w:val="22"/>
          <w:szCs w:val="22"/>
        </w:rPr>
        <w:t>hipokalcemij</w:t>
      </w:r>
      <w:r w:rsidR="00801C54">
        <w:rPr>
          <w:rFonts w:eastAsia="Calibri"/>
          <w:sz w:val="22"/>
          <w:szCs w:val="22"/>
        </w:rPr>
        <w:t>a</w:t>
      </w:r>
      <w:proofErr w:type="spellEnd"/>
      <w:r w:rsidRPr="004F572A">
        <w:rPr>
          <w:rFonts w:eastAsia="Calibri"/>
          <w:sz w:val="22"/>
          <w:szCs w:val="22"/>
        </w:rPr>
        <w:t xml:space="preserve"> ir </w:t>
      </w:r>
      <w:proofErr w:type="spellStart"/>
      <w:r w:rsidRPr="004F572A">
        <w:rPr>
          <w:rFonts w:eastAsia="Calibri"/>
          <w:sz w:val="22"/>
          <w:szCs w:val="22"/>
        </w:rPr>
        <w:t>hiponatremij</w:t>
      </w:r>
      <w:r w:rsidR="00801C54">
        <w:rPr>
          <w:rFonts w:eastAsia="Calibri"/>
          <w:sz w:val="22"/>
          <w:szCs w:val="22"/>
        </w:rPr>
        <w:t>a</w:t>
      </w:r>
      <w:proofErr w:type="spellEnd"/>
      <w:r w:rsidR="00801C54">
        <w:rPr>
          <w:rFonts w:eastAsia="Calibri"/>
          <w:sz w:val="22"/>
          <w:szCs w:val="22"/>
        </w:rPr>
        <w:t xml:space="preserve">, </w:t>
      </w:r>
      <w:r w:rsidR="005C2979" w:rsidRPr="004F572A">
        <w:rPr>
          <w:rFonts w:eastAsia="Calibri"/>
          <w:sz w:val="22"/>
          <w:szCs w:val="22"/>
        </w:rPr>
        <w:t>taip pat dažn</w:t>
      </w:r>
      <w:r w:rsidR="00801C54">
        <w:rPr>
          <w:rFonts w:eastAsia="Calibri"/>
          <w:sz w:val="22"/>
          <w:szCs w:val="22"/>
        </w:rPr>
        <w:t>esnio</w:t>
      </w:r>
      <w:r w:rsidR="005C2979" w:rsidRPr="004F572A">
        <w:rPr>
          <w:rFonts w:eastAsia="Calibri"/>
          <w:sz w:val="22"/>
          <w:szCs w:val="22"/>
        </w:rPr>
        <w:t xml:space="preserve"> </w:t>
      </w:r>
      <w:r w:rsidRPr="004F572A">
        <w:rPr>
          <w:rFonts w:eastAsia="Calibri"/>
          <w:sz w:val="22"/>
          <w:szCs w:val="22"/>
        </w:rPr>
        <w:t>3</w:t>
      </w:r>
      <w:r w:rsidR="00115D7F">
        <w:rPr>
          <w:rFonts w:eastAsia="Calibri"/>
          <w:sz w:val="22"/>
          <w:szCs w:val="22"/>
        </w:rPr>
        <w:noBreakHyphen/>
      </w:r>
      <w:r w:rsidRPr="004F572A">
        <w:rPr>
          <w:rFonts w:eastAsia="Calibri"/>
          <w:sz w:val="22"/>
          <w:szCs w:val="22"/>
        </w:rPr>
        <w:t>iojo ar 4</w:t>
      </w:r>
      <w:r w:rsidR="00115D7F">
        <w:rPr>
          <w:rFonts w:eastAsia="Calibri"/>
          <w:sz w:val="22"/>
          <w:szCs w:val="22"/>
        </w:rPr>
        <w:noBreakHyphen/>
      </w:r>
      <w:r w:rsidRPr="004F572A">
        <w:rPr>
          <w:rFonts w:eastAsia="Calibri"/>
          <w:sz w:val="22"/>
          <w:szCs w:val="22"/>
        </w:rPr>
        <w:t>ojo laipsnio apetito sumažėjim</w:t>
      </w:r>
      <w:r w:rsidR="00801C54">
        <w:rPr>
          <w:rFonts w:eastAsia="Calibri"/>
          <w:sz w:val="22"/>
          <w:szCs w:val="22"/>
        </w:rPr>
        <w:t>o tendencija</w:t>
      </w:r>
      <w:r w:rsidRPr="004F572A">
        <w:rPr>
          <w:rFonts w:eastAsia="Calibri"/>
          <w:sz w:val="22"/>
          <w:szCs w:val="22"/>
        </w:rPr>
        <w:t>.</w:t>
      </w:r>
    </w:p>
    <w:p w14:paraId="7A55C1F1" w14:textId="77777777" w:rsidR="005C2979" w:rsidRPr="004F572A" w:rsidRDefault="005C2979" w:rsidP="0038103D">
      <w:pPr>
        <w:widowControl w:val="0"/>
        <w:tabs>
          <w:tab w:val="clear" w:pos="567"/>
        </w:tabs>
        <w:rPr>
          <w:rFonts w:eastAsia="Calibri"/>
          <w:sz w:val="22"/>
          <w:szCs w:val="22"/>
        </w:rPr>
      </w:pPr>
    </w:p>
    <w:p w14:paraId="44CDCC0E" w14:textId="77777777" w:rsidR="000928CA" w:rsidRPr="004F572A" w:rsidRDefault="000928CA" w:rsidP="000928CA">
      <w:pPr>
        <w:jc w:val="both"/>
        <w:rPr>
          <w:sz w:val="22"/>
          <w:szCs w:val="22"/>
        </w:rPr>
      </w:pPr>
      <w:r w:rsidRPr="004F572A">
        <w:rPr>
          <w:sz w:val="22"/>
          <w:szCs w:val="22"/>
          <w:u w:val="single"/>
        </w:rPr>
        <w:t>Pranešimas apie įtariamas nepageidaujamas reakcijas</w:t>
      </w:r>
    </w:p>
    <w:p w14:paraId="2619FFA4" w14:textId="5D84A49C" w:rsidR="000928CA" w:rsidRPr="004F572A" w:rsidRDefault="000928CA" w:rsidP="000928CA">
      <w:pPr>
        <w:rPr>
          <w:sz w:val="22"/>
          <w:szCs w:val="22"/>
        </w:rPr>
      </w:pPr>
      <w:r w:rsidRPr="004F572A">
        <w:rPr>
          <w:sz w:val="22"/>
          <w:szCs w:val="22"/>
        </w:rPr>
        <w:t xml:space="preserve">Svarbu pranešti apie įtariamas nepageidaujamas reakcijas, pastebėtas po vaistinio preparato registracijos, nes tai leidžia nuolat stebėti vaistinio preparato naudos ir rizikos santykį. </w:t>
      </w:r>
      <w:r w:rsidR="00A87F00" w:rsidRPr="004F572A">
        <w:rPr>
          <w:rFonts w:eastAsia="Times New Roman"/>
          <w:snapToGrid w:val="0"/>
          <w:color w:val="auto"/>
          <w:sz w:val="22"/>
          <w:lang w:eastAsia="en-US"/>
        </w:rPr>
        <w:t xml:space="preserve">Sveikatos priežiūros ar farmacijos specialistai turi pranešti apie bet kokias įtariamas nepageidaujamas reakcijas, </w:t>
      </w:r>
      <w:r w:rsidR="00B83E27" w:rsidRPr="004F572A">
        <w:rPr>
          <w:rFonts w:eastAsia="Times New Roman"/>
          <w:snapToGrid w:val="0"/>
          <w:color w:val="auto"/>
          <w:sz w:val="22"/>
          <w:lang w:eastAsia="en-US"/>
        </w:rPr>
        <w:t xml:space="preserve">užpildę ir pateikę pranešimo formą Valstybinės vaistų kontrolės tarnybos prie Lietuvos Respublikos sveikatos apsaugos ministerijos tinklalapyje </w:t>
      </w:r>
      <w:r w:rsidR="00B83E27" w:rsidRPr="00E27691">
        <w:rPr>
          <w:rFonts w:eastAsia="Times New Roman"/>
          <w:snapToGrid w:val="0"/>
          <w:color w:val="000000" w:themeColor="text1"/>
          <w:sz w:val="22"/>
          <w:lang w:eastAsia="en-US"/>
        </w:rPr>
        <w:t xml:space="preserve">https://vvkt.lrv.lt/lt/ nurodytais </w:t>
      </w:r>
      <w:r w:rsidR="00B83E27" w:rsidRPr="004F572A">
        <w:rPr>
          <w:rFonts w:eastAsia="Times New Roman"/>
          <w:snapToGrid w:val="0"/>
          <w:color w:val="auto"/>
          <w:sz w:val="22"/>
          <w:lang w:eastAsia="en-US"/>
        </w:rPr>
        <w:t>būdais.</w:t>
      </w:r>
    </w:p>
    <w:p w14:paraId="4E710627" w14:textId="77777777" w:rsidR="000928CA" w:rsidRPr="004F572A" w:rsidRDefault="000928CA" w:rsidP="000928CA">
      <w:pPr>
        <w:rPr>
          <w:sz w:val="22"/>
          <w:szCs w:val="22"/>
        </w:rPr>
      </w:pPr>
    </w:p>
    <w:p w14:paraId="6105DC42" w14:textId="77777777" w:rsidR="000928CA" w:rsidRPr="004F572A" w:rsidRDefault="000928CA" w:rsidP="000928CA">
      <w:pPr>
        <w:pStyle w:val="Antrat4"/>
        <w:rPr>
          <w:rFonts w:ascii="Times New Roman" w:hAnsi="Times New Roman"/>
          <w:sz w:val="22"/>
          <w:szCs w:val="22"/>
          <w:lang w:val="lt-LT"/>
        </w:rPr>
      </w:pPr>
      <w:r w:rsidRPr="004F572A">
        <w:rPr>
          <w:rFonts w:ascii="Times New Roman" w:hAnsi="Times New Roman" w:cs="Times New Roman"/>
          <w:sz w:val="22"/>
          <w:szCs w:val="22"/>
          <w:lang w:val="lt-LT"/>
        </w:rPr>
        <w:t xml:space="preserve">4.9 </w:t>
      </w:r>
      <w:r w:rsidRPr="004F572A">
        <w:rPr>
          <w:rFonts w:ascii="Times New Roman" w:hAnsi="Times New Roman" w:cs="Times New Roman"/>
          <w:sz w:val="22"/>
          <w:szCs w:val="22"/>
          <w:lang w:val="lt-LT"/>
        </w:rPr>
        <w:tab/>
        <w:t>Perdozavimas</w:t>
      </w:r>
    </w:p>
    <w:p w14:paraId="38DFC4DE" w14:textId="77777777" w:rsidR="000928CA" w:rsidRPr="004F572A" w:rsidRDefault="000928CA" w:rsidP="000928CA">
      <w:pPr>
        <w:rPr>
          <w:sz w:val="22"/>
          <w:szCs w:val="22"/>
        </w:rPr>
      </w:pPr>
    </w:p>
    <w:p w14:paraId="062045EE" w14:textId="716B605A" w:rsidR="003350E6" w:rsidRPr="004F572A" w:rsidRDefault="003350E6" w:rsidP="003350E6">
      <w:pPr>
        <w:rPr>
          <w:sz w:val="22"/>
          <w:szCs w:val="22"/>
        </w:rPr>
      </w:pPr>
      <w:r w:rsidRPr="004F572A">
        <w:rPr>
          <w:sz w:val="22"/>
          <w:szCs w:val="22"/>
        </w:rPr>
        <w:t xml:space="preserve">Didžiausios kliniškai tirtos </w:t>
      </w:r>
      <w:proofErr w:type="spellStart"/>
      <w:r w:rsidRPr="004F572A">
        <w:rPr>
          <w:sz w:val="22"/>
          <w:szCs w:val="22"/>
        </w:rPr>
        <w:t>lenvatinibo</w:t>
      </w:r>
      <w:proofErr w:type="spellEnd"/>
      <w:r w:rsidRPr="004F572A">
        <w:rPr>
          <w:sz w:val="22"/>
          <w:szCs w:val="22"/>
        </w:rPr>
        <w:t xml:space="preserve"> dozės buvo 32 mg ir 40 mg</w:t>
      </w:r>
      <w:r w:rsidR="00801C54">
        <w:rPr>
          <w:sz w:val="22"/>
          <w:szCs w:val="22"/>
        </w:rPr>
        <w:t xml:space="preserve"> per parą</w:t>
      </w:r>
      <w:r w:rsidRPr="004F572A">
        <w:rPr>
          <w:sz w:val="22"/>
          <w:szCs w:val="22"/>
        </w:rPr>
        <w:t>. Klinikinių tyrimų metu per klaidą netyčia buvo pavartotos 40</w:t>
      </w:r>
      <w:r w:rsidR="00115D7F">
        <w:rPr>
          <w:sz w:val="22"/>
          <w:szCs w:val="22"/>
        </w:rPr>
        <w:noBreakHyphen/>
      </w:r>
      <w:r w:rsidRPr="004F572A">
        <w:rPr>
          <w:sz w:val="22"/>
          <w:szCs w:val="22"/>
        </w:rPr>
        <w:t xml:space="preserve">48 mg vienkartinės dozės. Dažniausiai nustatytos nepageidaujamos reakcijos į vaistinį preparatą pavartojus šias dozes buvo hipertenzija, pykinimas, viduriavimas, nuovargis, stomatitas, </w:t>
      </w:r>
      <w:proofErr w:type="spellStart"/>
      <w:r w:rsidRPr="004F572A">
        <w:rPr>
          <w:sz w:val="22"/>
          <w:szCs w:val="22"/>
        </w:rPr>
        <w:t>proteinurija</w:t>
      </w:r>
      <w:proofErr w:type="spellEnd"/>
      <w:r w:rsidRPr="004F572A">
        <w:rPr>
          <w:sz w:val="22"/>
          <w:szCs w:val="22"/>
        </w:rPr>
        <w:t xml:space="preserve">, galvos skausmas ir DPE pasunkėjimas. Taip pat nustatyti </w:t>
      </w:r>
      <w:proofErr w:type="spellStart"/>
      <w:r w:rsidRPr="004F572A">
        <w:rPr>
          <w:sz w:val="22"/>
          <w:szCs w:val="22"/>
        </w:rPr>
        <w:t>lenvatinibo</w:t>
      </w:r>
      <w:proofErr w:type="spellEnd"/>
      <w:r w:rsidRPr="004F572A">
        <w:rPr>
          <w:sz w:val="22"/>
          <w:szCs w:val="22"/>
        </w:rPr>
        <w:t xml:space="preserve"> perdozavimo atvejai, vartojus vienkartines dozes, 6</w:t>
      </w:r>
      <w:r w:rsidR="00115D7F">
        <w:rPr>
          <w:sz w:val="22"/>
          <w:szCs w:val="22"/>
        </w:rPr>
        <w:noBreakHyphen/>
      </w:r>
      <w:r w:rsidRPr="004F572A">
        <w:rPr>
          <w:sz w:val="22"/>
          <w:szCs w:val="22"/>
        </w:rPr>
        <w:t>10</w:t>
      </w:r>
      <w:r w:rsidR="00115D7F">
        <w:rPr>
          <w:sz w:val="22"/>
          <w:szCs w:val="22"/>
        </w:rPr>
        <w:t> </w:t>
      </w:r>
      <w:r w:rsidRPr="004F572A">
        <w:rPr>
          <w:sz w:val="22"/>
          <w:szCs w:val="22"/>
        </w:rPr>
        <w:t xml:space="preserve">kartų viršijančias rekomenduojamą paros dozę. Šie atvejai buvo susiję su nepageidaujamomis reakcijomis, atitinkančiomis žinomus </w:t>
      </w:r>
      <w:proofErr w:type="spellStart"/>
      <w:r w:rsidRPr="004F572A">
        <w:rPr>
          <w:sz w:val="22"/>
          <w:szCs w:val="22"/>
        </w:rPr>
        <w:t>lenvatinibo</w:t>
      </w:r>
      <w:proofErr w:type="spellEnd"/>
      <w:r w:rsidRPr="004F572A">
        <w:rPr>
          <w:sz w:val="22"/>
          <w:szCs w:val="22"/>
        </w:rPr>
        <w:t xml:space="preserve"> saugumo duomenis (t. y., inkstų ir širdies nepakankamumas), arba buvo be nepageidaujamų reakcijų.</w:t>
      </w:r>
    </w:p>
    <w:p w14:paraId="6CBAB2F5" w14:textId="77777777" w:rsidR="003350E6" w:rsidRPr="004F572A" w:rsidRDefault="003350E6" w:rsidP="003350E6">
      <w:pPr>
        <w:rPr>
          <w:sz w:val="22"/>
          <w:szCs w:val="22"/>
        </w:rPr>
      </w:pPr>
    </w:p>
    <w:p w14:paraId="1F276426" w14:textId="6C394937" w:rsidR="003350E6" w:rsidRPr="004F572A" w:rsidRDefault="003350E6" w:rsidP="003350E6">
      <w:pPr>
        <w:rPr>
          <w:sz w:val="22"/>
          <w:szCs w:val="22"/>
          <w:u w:val="single"/>
        </w:rPr>
      </w:pPr>
      <w:r w:rsidRPr="004F572A">
        <w:rPr>
          <w:sz w:val="22"/>
          <w:szCs w:val="22"/>
          <w:u w:val="single"/>
        </w:rPr>
        <w:t>Simptomai ir jų gydymas</w:t>
      </w:r>
    </w:p>
    <w:p w14:paraId="5F1A4254" w14:textId="77777777" w:rsidR="003350E6" w:rsidRPr="004F572A" w:rsidRDefault="003350E6" w:rsidP="003350E6">
      <w:pPr>
        <w:rPr>
          <w:sz w:val="22"/>
          <w:szCs w:val="22"/>
        </w:rPr>
      </w:pPr>
    </w:p>
    <w:p w14:paraId="748706EE" w14:textId="63EBA436" w:rsidR="003350E6" w:rsidRPr="004F572A" w:rsidRDefault="003350E6" w:rsidP="003350E6">
      <w:pPr>
        <w:rPr>
          <w:sz w:val="22"/>
          <w:szCs w:val="22"/>
        </w:rPr>
      </w:pPr>
      <w:r w:rsidRPr="004F572A">
        <w:rPr>
          <w:sz w:val="22"/>
          <w:szCs w:val="22"/>
        </w:rPr>
        <w:t xml:space="preserve">Specialaus priešnuodžio perdozavus </w:t>
      </w:r>
      <w:proofErr w:type="spellStart"/>
      <w:r w:rsidRPr="004F572A">
        <w:rPr>
          <w:sz w:val="22"/>
          <w:szCs w:val="22"/>
        </w:rPr>
        <w:t>lenvatinibo</w:t>
      </w:r>
      <w:proofErr w:type="spellEnd"/>
      <w:r w:rsidRPr="004F572A">
        <w:rPr>
          <w:sz w:val="22"/>
          <w:szCs w:val="22"/>
        </w:rPr>
        <w:t xml:space="preserve"> nėra. Įtarus perdozavimą, </w:t>
      </w:r>
      <w:r w:rsidR="00801C54">
        <w:rPr>
          <w:sz w:val="22"/>
          <w:szCs w:val="22"/>
        </w:rPr>
        <w:t xml:space="preserve">reikia atidėti </w:t>
      </w:r>
      <w:proofErr w:type="spellStart"/>
      <w:r w:rsidRPr="004F572A">
        <w:rPr>
          <w:sz w:val="22"/>
          <w:szCs w:val="22"/>
        </w:rPr>
        <w:t>lenvatinibo</w:t>
      </w:r>
      <w:proofErr w:type="spellEnd"/>
      <w:r w:rsidRPr="004F572A">
        <w:rPr>
          <w:sz w:val="22"/>
          <w:szCs w:val="22"/>
        </w:rPr>
        <w:t xml:space="preserve"> vartojim</w:t>
      </w:r>
      <w:r w:rsidR="00801C54">
        <w:rPr>
          <w:sz w:val="22"/>
          <w:szCs w:val="22"/>
        </w:rPr>
        <w:t>ą</w:t>
      </w:r>
      <w:r w:rsidRPr="004F572A">
        <w:rPr>
          <w:sz w:val="22"/>
          <w:szCs w:val="22"/>
        </w:rPr>
        <w:t xml:space="preserve"> ir taik</w:t>
      </w:r>
      <w:r w:rsidR="00801C54">
        <w:rPr>
          <w:sz w:val="22"/>
          <w:szCs w:val="22"/>
        </w:rPr>
        <w:t>yti</w:t>
      </w:r>
      <w:r w:rsidRPr="004F572A">
        <w:rPr>
          <w:sz w:val="22"/>
          <w:szCs w:val="22"/>
        </w:rPr>
        <w:t xml:space="preserve"> </w:t>
      </w:r>
      <w:r w:rsidR="00801C54">
        <w:rPr>
          <w:sz w:val="22"/>
          <w:szCs w:val="22"/>
        </w:rPr>
        <w:t>atitinkamą</w:t>
      </w:r>
      <w:r w:rsidRPr="004F572A">
        <w:rPr>
          <w:sz w:val="22"/>
          <w:szCs w:val="22"/>
        </w:rPr>
        <w:t xml:space="preserve"> palaikom</w:t>
      </w:r>
      <w:r w:rsidR="00801C54">
        <w:rPr>
          <w:sz w:val="22"/>
          <w:szCs w:val="22"/>
        </w:rPr>
        <w:t>ąjį</w:t>
      </w:r>
      <w:r w:rsidRPr="004F572A">
        <w:rPr>
          <w:sz w:val="22"/>
          <w:szCs w:val="22"/>
        </w:rPr>
        <w:t xml:space="preserve"> gydym</w:t>
      </w:r>
      <w:r w:rsidR="00801C54">
        <w:rPr>
          <w:sz w:val="22"/>
          <w:szCs w:val="22"/>
        </w:rPr>
        <w:t>ą</w:t>
      </w:r>
      <w:r w:rsidRPr="004F572A">
        <w:rPr>
          <w:sz w:val="22"/>
          <w:szCs w:val="22"/>
        </w:rPr>
        <w:t>.</w:t>
      </w:r>
    </w:p>
    <w:p w14:paraId="5BAD0D13" w14:textId="77777777" w:rsidR="003350E6" w:rsidRPr="004F572A" w:rsidRDefault="003350E6" w:rsidP="000928CA">
      <w:pPr>
        <w:rPr>
          <w:sz w:val="22"/>
          <w:szCs w:val="22"/>
        </w:rPr>
      </w:pPr>
    </w:p>
    <w:p w14:paraId="36F0D480" w14:textId="77777777" w:rsidR="000928CA" w:rsidRPr="004F572A" w:rsidRDefault="000928CA" w:rsidP="000928CA">
      <w:pPr>
        <w:rPr>
          <w:sz w:val="22"/>
          <w:szCs w:val="22"/>
        </w:rPr>
      </w:pPr>
    </w:p>
    <w:p w14:paraId="501505D2" w14:textId="77777777" w:rsidR="000928CA" w:rsidRPr="004F572A" w:rsidRDefault="000928CA" w:rsidP="000928CA">
      <w:pPr>
        <w:pStyle w:val="Antrat3"/>
        <w:spacing w:before="0" w:after="0"/>
        <w:rPr>
          <w:rFonts w:ascii="Times New Roman" w:hAnsi="Times New Roman"/>
          <w:sz w:val="22"/>
          <w:szCs w:val="22"/>
          <w:lang w:val="lt-LT"/>
        </w:rPr>
      </w:pPr>
      <w:r w:rsidRPr="004F572A">
        <w:rPr>
          <w:rFonts w:ascii="Times New Roman" w:hAnsi="Times New Roman" w:cs="Times New Roman"/>
          <w:sz w:val="22"/>
          <w:szCs w:val="22"/>
          <w:lang w:val="lt-LT"/>
        </w:rPr>
        <w:t>5.</w:t>
      </w:r>
      <w:r w:rsidRPr="004F572A">
        <w:rPr>
          <w:rFonts w:ascii="Times New Roman" w:hAnsi="Times New Roman" w:cs="Times New Roman"/>
          <w:sz w:val="22"/>
          <w:szCs w:val="22"/>
          <w:lang w:val="lt-LT"/>
        </w:rPr>
        <w:tab/>
        <w:t>FARMAKOLOGINĖS SAVYBĖS</w:t>
      </w:r>
    </w:p>
    <w:p w14:paraId="518D2287" w14:textId="77777777" w:rsidR="000928CA" w:rsidRPr="004F572A" w:rsidRDefault="000928CA" w:rsidP="000928CA">
      <w:pPr>
        <w:rPr>
          <w:sz w:val="22"/>
          <w:szCs w:val="22"/>
        </w:rPr>
      </w:pPr>
    </w:p>
    <w:p w14:paraId="2E727BB2" w14:textId="5E77691D" w:rsidR="000928CA" w:rsidRPr="004F572A" w:rsidRDefault="000928CA" w:rsidP="00172CCE">
      <w:pPr>
        <w:pStyle w:val="Antrat4"/>
        <w:ind w:left="540" w:hanging="540"/>
        <w:rPr>
          <w:rFonts w:ascii="Times New Roman" w:hAnsi="Times New Roman"/>
          <w:sz w:val="22"/>
          <w:szCs w:val="22"/>
          <w:lang w:val="lt-LT"/>
        </w:rPr>
      </w:pPr>
      <w:r w:rsidRPr="004F572A">
        <w:rPr>
          <w:rFonts w:ascii="Times New Roman" w:hAnsi="Times New Roman" w:cs="Times New Roman"/>
          <w:sz w:val="22"/>
          <w:szCs w:val="22"/>
          <w:lang w:val="lt-LT"/>
        </w:rPr>
        <w:t>5.1</w:t>
      </w:r>
      <w:r w:rsidRPr="004F572A">
        <w:rPr>
          <w:rFonts w:ascii="Times New Roman" w:hAnsi="Times New Roman" w:cs="Times New Roman"/>
          <w:sz w:val="22"/>
          <w:szCs w:val="22"/>
          <w:lang w:val="lt-LT"/>
        </w:rPr>
        <w:tab/>
      </w:r>
      <w:proofErr w:type="spellStart"/>
      <w:r w:rsidRPr="004F572A">
        <w:rPr>
          <w:rFonts w:ascii="Times New Roman" w:hAnsi="Times New Roman" w:cs="Times New Roman"/>
          <w:sz w:val="22"/>
          <w:szCs w:val="22"/>
          <w:lang w:val="lt-LT"/>
        </w:rPr>
        <w:t>Farmakodinaminės</w:t>
      </w:r>
      <w:proofErr w:type="spellEnd"/>
      <w:r w:rsidRPr="004F572A">
        <w:rPr>
          <w:rFonts w:ascii="Times New Roman" w:hAnsi="Times New Roman" w:cs="Times New Roman"/>
          <w:sz w:val="22"/>
          <w:szCs w:val="22"/>
          <w:lang w:val="lt-LT"/>
        </w:rPr>
        <w:t xml:space="preserve"> savybės</w:t>
      </w:r>
    </w:p>
    <w:p w14:paraId="79002FA8" w14:textId="77777777" w:rsidR="000928CA" w:rsidRPr="004F572A" w:rsidRDefault="000928CA" w:rsidP="000928CA">
      <w:pPr>
        <w:rPr>
          <w:sz w:val="22"/>
          <w:szCs w:val="22"/>
        </w:rPr>
      </w:pPr>
    </w:p>
    <w:p w14:paraId="2BBABC08" w14:textId="2A04B54B" w:rsidR="00F26B59" w:rsidRPr="004F572A" w:rsidRDefault="00F26B59" w:rsidP="00F26B59">
      <w:pPr>
        <w:widowControl w:val="0"/>
        <w:tabs>
          <w:tab w:val="clear" w:pos="567"/>
        </w:tabs>
        <w:rPr>
          <w:sz w:val="22"/>
          <w:szCs w:val="22"/>
        </w:rPr>
      </w:pPr>
      <w:proofErr w:type="spellStart"/>
      <w:r w:rsidRPr="004F572A">
        <w:rPr>
          <w:sz w:val="22"/>
          <w:szCs w:val="22"/>
        </w:rPr>
        <w:t>Farmakoterapinė</w:t>
      </w:r>
      <w:proofErr w:type="spellEnd"/>
      <w:r w:rsidRPr="004F572A">
        <w:rPr>
          <w:sz w:val="22"/>
          <w:szCs w:val="22"/>
        </w:rPr>
        <w:t xml:space="preserve"> grupė – </w:t>
      </w:r>
      <w:proofErr w:type="spellStart"/>
      <w:r w:rsidRPr="004F572A">
        <w:rPr>
          <w:sz w:val="22"/>
          <w:szCs w:val="22"/>
        </w:rPr>
        <w:t>antinavikiniai</w:t>
      </w:r>
      <w:proofErr w:type="spellEnd"/>
      <w:r w:rsidRPr="004F572A">
        <w:rPr>
          <w:sz w:val="22"/>
          <w:szCs w:val="22"/>
        </w:rPr>
        <w:t xml:space="preserve"> vaistiniai preparatai, baltymų </w:t>
      </w:r>
      <w:proofErr w:type="spellStart"/>
      <w:r w:rsidRPr="004F572A">
        <w:rPr>
          <w:sz w:val="22"/>
          <w:szCs w:val="22"/>
        </w:rPr>
        <w:t>kinazės</w:t>
      </w:r>
      <w:proofErr w:type="spellEnd"/>
      <w:r w:rsidRPr="004F572A">
        <w:rPr>
          <w:sz w:val="22"/>
          <w:szCs w:val="22"/>
        </w:rPr>
        <w:t xml:space="preserve"> inhibitoriai, ATC kodas – L01EX08</w:t>
      </w:r>
    </w:p>
    <w:p w14:paraId="09234E28" w14:textId="77777777" w:rsidR="00F26B59" w:rsidRPr="004F572A" w:rsidRDefault="00F26B59" w:rsidP="00F26B59">
      <w:pPr>
        <w:widowControl w:val="0"/>
        <w:tabs>
          <w:tab w:val="clear" w:pos="567"/>
        </w:tabs>
        <w:rPr>
          <w:sz w:val="22"/>
          <w:szCs w:val="22"/>
        </w:rPr>
      </w:pPr>
    </w:p>
    <w:p w14:paraId="7131DA8D" w14:textId="6207A84C" w:rsidR="001C37D6" w:rsidRPr="004F572A" w:rsidRDefault="00F26B59" w:rsidP="00F26B59">
      <w:pPr>
        <w:widowControl w:val="0"/>
        <w:tabs>
          <w:tab w:val="clear" w:pos="567"/>
        </w:tabs>
        <w:rPr>
          <w:rFonts w:eastAsia="Calibri"/>
          <w:sz w:val="22"/>
          <w:szCs w:val="22"/>
        </w:rPr>
      </w:pPr>
      <w:proofErr w:type="spellStart"/>
      <w:r w:rsidRPr="004F572A">
        <w:rPr>
          <w:sz w:val="22"/>
          <w:szCs w:val="22"/>
        </w:rPr>
        <w:lastRenderedPageBreak/>
        <w:t>Lenvatinibas</w:t>
      </w:r>
      <w:proofErr w:type="spellEnd"/>
      <w:r w:rsidRPr="004F572A">
        <w:rPr>
          <w:sz w:val="22"/>
          <w:szCs w:val="22"/>
        </w:rPr>
        <w:t xml:space="preserve"> yra </w:t>
      </w:r>
      <w:proofErr w:type="spellStart"/>
      <w:r w:rsidRPr="004F572A">
        <w:rPr>
          <w:sz w:val="22"/>
          <w:szCs w:val="22"/>
        </w:rPr>
        <w:t>multikinazės</w:t>
      </w:r>
      <w:proofErr w:type="spellEnd"/>
      <w:r w:rsidRPr="004F572A">
        <w:rPr>
          <w:sz w:val="22"/>
          <w:szCs w:val="22"/>
        </w:rPr>
        <w:t xml:space="preserve"> inhibitorius, kuriam </w:t>
      </w:r>
      <w:proofErr w:type="spellStart"/>
      <w:r w:rsidRPr="004F572A">
        <w:rPr>
          <w:i/>
          <w:iCs/>
          <w:sz w:val="22"/>
          <w:szCs w:val="22"/>
        </w:rPr>
        <w:t>in</w:t>
      </w:r>
      <w:proofErr w:type="spellEnd"/>
      <w:r w:rsidRPr="004F572A">
        <w:rPr>
          <w:i/>
          <w:iCs/>
          <w:sz w:val="22"/>
          <w:szCs w:val="22"/>
        </w:rPr>
        <w:t xml:space="preserve"> </w:t>
      </w:r>
      <w:proofErr w:type="spellStart"/>
      <w:r w:rsidRPr="004F572A">
        <w:rPr>
          <w:i/>
          <w:iCs/>
          <w:sz w:val="22"/>
          <w:szCs w:val="22"/>
        </w:rPr>
        <w:t>vitro</w:t>
      </w:r>
      <w:proofErr w:type="spellEnd"/>
      <w:r w:rsidRPr="004F572A">
        <w:rPr>
          <w:i/>
          <w:iCs/>
          <w:sz w:val="22"/>
          <w:szCs w:val="22"/>
        </w:rPr>
        <w:t xml:space="preserve"> </w:t>
      </w:r>
      <w:r w:rsidRPr="004F572A">
        <w:rPr>
          <w:sz w:val="22"/>
          <w:szCs w:val="22"/>
        </w:rPr>
        <w:t xml:space="preserve">ir </w:t>
      </w:r>
      <w:proofErr w:type="spellStart"/>
      <w:r w:rsidRPr="004F572A">
        <w:rPr>
          <w:i/>
          <w:iCs/>
          <w:sz w:val="22"/>
          <w:szCs w:val="22"/>
        </w:rPr>
        <w:t>in</w:t>
      </w:r>
      <w:proofErr w:type="spellEnd"/>
      <w:r w:rsidRPr="004F572A">
        <w:rPr>
          <w:i/>
          <w:iCs/>
          <w:sz w:val="22"/>
          <w:szCs w:val="22"/>
        </w:rPr>
        <w:t xml:space="preserve"> </w:t>
      </w:r>
      <w:proofErr w:type="spellStart"/>
      <w:r w:rsidRPr="004F572A">
        <w:rPr>
          <w:i/>
          <w:iCs/>
          <w:sz w:val="22"/>
          <w:szCs w:val="22"/>
        </w:rPr>
        <w:t>vivo</w:t>
      </w:r>
      <w:proofErr w:type="spellEnd"/>
      <w:r w:rsidRPr="004F572A">
        <w:rPr>
          <w:i/>
          <w:iCs/>
          <w:sz w:val="22"/>
          <w:szCs w:val="22"/>
        </w:rPr>
        <w:t xml:space="preserve"> </w:t>
      </w:r>
      <w:r w:rsidR="0094547A" w:rsidRPr="004F572A">
        <w:rPr>
          <w:sz w:val="22"/>
          <w:szCs w:val="22"/>
        </w:rPr>
        <w:t xml:space="preserve">daugiausia </w:t>
      </w:r>
      <w:r w:rsidR="0021794D" w:rsidRPr="004F572A">
        <w:rPr>
          <w:sz w:val="22"/>
          <w:szCs w:val="22"/>
        </w:rPr>
        <w:t xml:space="preserve">nustatytos </w:t>
      </w:r>
      <w:proofErr w:type="spellStart"/>
      <w:r w:rsidRPr="004F572A">
        <w:rPr>
          <w:sz w:val="22"/>
          <w:szCs w:val="22"/>
        </w:rPr>
        <w:t>antiangiogeninės</w:t>
      </w:r>
      <w:proofErr w:type="spellEnd"/>
      <w:r w:rsidRPr="004F572A">
        <w:rPr>
          <w:sz w:val="22"/>
          <w:szCs w:val="22"/>
        </w:rPr>
        <w:t xml:space="preserve"> savybės, naudojant </w:t>
      </w:r>
      <w:proofErr w:type="spellStart"/>
      <w:r w:rsidRPr="004F572A">
        <w:rPr>
          <w:i/>
          <w:iCs/>
          <w:sz w:val="22"/>
          <w:szCs w:val="22"/>
        </w:rPr>
        <w:t>in</w:t>
      </w:r>
      <w:proofErr w:type="spellEnd"/>
      <w:r w:rsidRPr="004F572A">
        <w:rPr>
          <w:i/>
          <w:iCs/>
          <w:sz w:val="22"/>
          <w:szCs w:val="22"/>
        </w:rPr>
        <w:t xml:space="preserve"> </w:t>
      </w:r>
      <w:proofErr w:type="spellStart"/>
      <w:r w:rsidRPr="004F572A">
        <w:rPr>
          <w:i/>
          <w:iCs/>
          <w:sz w:val="22"/>
          <w:szCs w:val="22"/>
        </w:rPr>
        <w:t>vitro</w:t>
      </w:r>
      <w:proofErr w:type="spellEnd"/>
      <w:r w:rsidRPr="004F572A">
        <w:rPr>
          <w:i/>
          <w:iCs/>
          <w:sz w:val="22"/>
          <w:szCs w:val="22"/>
        </w:rPr>
        <w:t xml:space="preserve"> </w:t>
      </w:r>
      <w:r w:rsidRPr="004F572A">
        <w:rPr>
          <w:sz w:val="22"/>
          <w:szCs w:val="22"/>
        </w:rPr>
        <w:t>modelius taip pat nustatytas tiesioginis navikų augimo slopinimas.</w:t>
      </w:r>
    </w:p>
    <w:p w14:paraId="29604A16" w14:textId="77777777" w:rsidR="00F26B59" w:rsidRPr="004F572A" w:rsidRDefault="00F26B59" w:rsidP="000928CA">
      <w:pPr>
        <w:widowControl w:val="0"/>
        <w:tabs>
          <w:tab w:val="clear" w:pos="567"/>
        </w:tabs>
        <w:rPr>
          <w:rFonts w:eastAsia="Calibri"/>
          <w:sz w:val="22"/>
          <w:szCs w:val="22"/>
        </w:rPr>
      </w:pPr>
    </w:p>
    <w:p w14:paraId="06C29948" w14:textId="77777777" w:rsidR="00607CEE" w:rsidRPr="004F572A" w:rsidRDefault="00607CEE" w:rsidP="00607CEE">
      <w:pPr>
        <w:widowControl w:val="0"/>
        <w:tabs>
          <w:tab w:val="clear" w:pos="567"/>
        </w:tabs>
        <w:rPr>
          <w:rFonts w:eastAsia="Calibri"/>
          <w:sz w:val="22"/>
          <w:szCs w:val="22"/>
          <w:u w:val="single"/>
        </w:rPr>
      </w:pPr>
      <w:r w:rsidRPr="004F572A">
        <w:rPr>
          <w:rFonts w:eastAsia="Calibri"/>
          <w:sz w:val="22"/>
          <w:szCs w:val="22"/>
          <w:u w:val="single"/>
        </w:rPr>
        <w:t>Veikimo mechanizmas</w:t>
      </w:r>
    </w:p>
    <w:p w14:paraId="4C79CCAC" w14:textId="77777777" w:rsidR="0021794D" w:rsidRDefault="0021794D" w:rsidP="00607CEE">
      <w:pPr>
        <w:widowControl w:val="0"/>
        <w:tabs>
          <w:tab w:val="clear" w:pos="567"/>
        </w:tabs>
        <w:rPr>
          <w:rFonts w:eastAsia="Calibri"/>
          <w:sz w:val="22"/>
          <w:szCs w:val="22"/>
        </w:rPr>
      </w:pPr>
    </w:p>
    <w:p w14:paraId="727F13D4" w14:textId="1A7188CE" w:rsidR="00607CEE" w:rsidRPr="004F572A" w:rsidRDefault="00607CEE" w:rsidP="00607CEE">
      <w:pPr>
        <w:widowControl w:val="0"/>
        <w:tabs>
          <w:tab w:val="clear" w:pos="567"/>
        </w:tabs>
        <w:rPr>
          <w:rFonts w:eastAsia="Calibri"/>
          <w:sz w:val="22"/>
          <w:szCs w:val="22"/>
        </w:rPr>
      </w:pPr>
      <w:proofErr w:type="spellStart"/>
      <w:r w:rsidRPr="004F572A">
        <w:rPr>
          <w:rFonts w:eastAsia="Calibri"/>
          <w:sz w:val="22"/>
          <w:szCs w:val="22"/>
        </w:rPr>
        <w:t>Lenvatinibas</w:t>
      </w:r>
      <w:proofErr w:type="spellEnd"/>
      <w:r w:rsidRPr="004F572A">
        <w:rPr>
          <w:rFonts w:eastAsia="Calibri"/>
          <w:sz w:val="22"/>
          <w:szCs w:val="22"/>
        </w:rPr>
        <w:t xml:space="preserve"> yra receptoriaus </w:t>
      </w:r>
      <w:proofErr w:type="spellStart"/>
      <w:r w:rsidRPr="004F572A">
        <w:rPr>
          <w:rFonts w:eastAsia="Calibri"/>
          <w:sz w:val="22"/>
          <w:szCs w:val="22"/>
        </w:rPr>
        <w:t>tirozino</w:t>
      </w:r>
      <w:proofErr w:type="spellEnd"/>
      <w:r w:rsidRPr="004F572A">
        <w:rPr>
          <w:rFonts w:eastAsia="Calibri"/>
          <w:sz w:val="22"/>
          <w:szCs w:val="22"/>
        </w:rPr>
        <w:t xml:space="preserve"> </w:t>
      </w:r>
      <w:proofErr w:type="spellStart"/>
      <w:r w:rsidRPr="004F572A">
        <w:rPr>
          <w:rFonts w:eastAsia="Calibri"/>
          <w:sz w:val="22"/>
          <w:szCs w:val="22"/>
        </w:rPr>
        <w:t>kinazės</w:t>
      </w:r>
      <w:proofErr w:type="spellEnd"/>
      <w:r w:rsidRPr="004F572A">
        <w:rPr>
          <w:rFonts w:eastAsia="Calibri"/>
          <w:sz w:val="22"/>
          <w:szCs w:val="22"/>
        </w:rPr>
        <w:t xml:space="preserve"> (RTK) inhibitorius, kuris selektyviai slopina kraujagyslių </w:t>
      </w:r>
      <w:proofErr w:type="spellStart"/>
      <w:r w:rsidRPr="004F572A">
        <w:rPr>
          <w:rFonts w:eastAsia="Calibri"/>
          <w:sz w:val="22"/>
          <w:szCs w:val="22"/>
        </w:rPr>
        <w:t>endotelio</w:t>
      </w:r>
      <w:proofErr w:type="spellEnd"/>
      <w:r w:rsidRPr="004F572A">
        <w:rPr>
          <w:rFonts w:eastAsia="Calibri"/>
          <w:sz w:val="22"/>
          <w:szCs w:val="22"/>
        </w:rPr>
        <w:t xml:space="preserve"> augimo faktoriaus (angl. </w:t>
      </w:r>
      <w:proofErr w:type="spellStart"/>
      <w:r w:rsidRPr="004F572A">
        <w:rPr>
          <w:rFonts w:eastAsia="Calibri"/>
          <w:i/>
          <w:iCs/>
          <w:sz w:val="22"/>
          <w:szCs w:val="22"/>
        </w:rPr>
        <w:t>vascular</w:t>
      </w:r>
      <w:proofErr w:type="spellEnd"/>
      <w:r w:rsidRPr="004F572A">
        <w:rPr>
          <w:rFonts w:eastAsia="Calibri"/>
          <w:i/>
          <w:iCs/>
          <w:sz w:val="22"/>
          <w:szCs w:val="22"/>
        </w:rPr>
        <w:t xml:space="preserve"> </w:t>
      </w:r>
      <w:proofErr w:type="spellStart"/>
      <w:r w:rsidRPr="004F572A">
        <w:rPr>
          <w:rFonts w:eastAsia="Calibri"/>
          <w:i/>
          <w:iCs/>
          <w:sz w:val="22"/>
          <w:szCs w:val="22"/>
        </w:rPr>
        <w:t>endothelial</w:t>
      </w:r>
      <w:proofErr w:type="spellEnd"/>
      <w:r w:rsidRPr="004F572A">
        <w:rPr>
          <w:rFonts w:eastAsia="Calibri"/>
          <w:i/>
          <w:iCs/>
          <w:sz w:val="22"/>
          <w:szCs w:val="22"/>
        </w:rPr>
        <w:t xml:space="preserve"> </w:t>
      </w:r>
      <w:proofErr w:type="spellStart"/>
      <w:r w:rsidRPr="004F572A">
        <w:rPr>
          <w:rFonts w:eastAsia="Calibri"/>
          <w:i/>
          <w:iCs/>
          <w:sz w:val="22"/>
          <w:szCs w:val="22"/>
        </w:rPr>
        <w:t>growth</w:t>
      </w:r>
      <w:proofErr w:type="spellEnd"/>
      <w:r w:rsidRPr="004F572A">
        <w:rPr>
          <w:rFonts w:eastAsia="Calibri"/>
          <w:i/>
          <w:iCs/>
          <w:sz w:val="22"/>
          <w:szCs w:val="22"/>
        </w:rPr>
        <w:t xml:space="preserve"> </w:t>
      </w:r>
      <w:proofErr w:type="spellStart"/>
      <w:r w:rsidRPr="004F572A">
        <w:rPr>
          <w:rFonts w:eastAsia="Calibri"/>
          <w:i/>
          <w:iCs/>
          <w:sz w:val="22"/>
          <w:szCs w:val="22"/>
        </w:rPr>
        <w:t>factor</w:t>
      </w:r>
      <w:proofErr w:type="spellEnd"/>
      <w:r w:rsidRPr="004F572A">
        <w:rPr>
          <w:rFonts w:eastAsia="Calibri"/>
          <w:i/>
          <w:iCs/>
          <w:sz w:val="22"/>
          <w:szCs w:val="22"/>
        </w:rPr>
        <w:t xml:space="preserve">, </w:t>
      </w:r>
      <w:r w:rsidRPr="004F572A">
        <w:rPr>
          <w:rFonts w:eastAsia="Calibri"/>
          <w:sz w:val="22"/>
          <w:szCs w:val="22"/>
        </w:rPr>
        <w:t xml:space="preserve">VEGF) receptorių VEGFR1 (FLT1), VEGFR2 (KDR) ir VEGFR3 (FLT4) </w:t>
      </w:r>
      <w:proofErr w:type="spellStart"/>
      <w:r w:rsidRPr="004F572A">
        <w:rPr>
          <w:rFonts w:eastAsia="Calibri"/>
          <w:sz w:val="22"/>
          <w:szCs w:val="22"/>
        </w:rPr>
        <w:t>kinazės</w:t>
      </w:r>
      <w:proofErr w:type="spellEnd"/>
      <w:r w:rsidRPr="004F572A">
        <w:rPr>
          <w:rFonts w:eastAsia="Calibri"/>
          <w:sz w:val="22"/>
          <w:szCs w:val="22"/>
        </w:rPr>
        <w:t xml:space="preserve"> veiklą, kartu su kitais </w:t>
      </w:r>
      <w:proofErr w:type="spellStart"/>
      <w:r w:rsidRPr="004F572A">
        <w:rPr>
          <w:rFonts w:eastAsia="Calibri"/>
          <w:sz w:val="22"/>
          <w:szCs w:val="22"/>
        </w:rPr>
        <w:t>proangiogenin</w:t>
      </w:r>
      <w:r w:rsidR="0021794D">
        <w:rPr>
          <w:rFonts w:eastAsia="Calibri"/>
          <w:sz w:val="22"/>
          <w:szCs w:val="22"/>
        </w:rPr>
        <w:t>ias</w:t>
      </w:r>
      <w:proofErr w:type="spellEnd"/>
      <w:r w:rsidRPr="004F572A">
        <w:rPr>
          <w:rFonts w:eastAsia="Calibri"/>
          <w:sz w:val="22"/>
          <w:szCs w:val="22"/>
        </w:rPr>
        <w:t xml:space="preserve"> ir </w:t>
      </w:r>
      <w:proofErr w:type="spellStart"/>
      <w:r w:rsidRPr="004F572A">
        <w:rPr>
          <w:rFonts w:eastAsia="Calibri"/>
          <w:sz w:val="22"/>
          <w:szCs w:val="22"/>
        </w:rPr>
        <w:t>onkogenini</w:t>
      </w:r>
      <w:r w:rsidR="0021794D">
        <w:rPr>
          <w:rFonts w:eastAsia="Calibri"/>
          <w:sz w:val="22"/>
          <w:szCs w:val="22"/>
        </w:rPr>
        <w:t>ais</w:t>
      </w:r>
      <w:proofErr w:type="spellEnd"/>
      <w:r w:rsidR="0021794D">
        <w:rPr>
          <w:rFonts w:eastAsia="Calibri"/>
          <w:sz w:val="22"/>
          <w:szCs w:val="22"/>
        </w:rPr>
        <w:t xml:space="preserve"> su ekspozicijos</w:t>
      </w:r>
      <w:r w:rsidRPr="004F572A">
        <w:rPr>
          <w:rFonts w:eastAsia="Calibri"/>
          <w:sz w:val="22"/>
          <w:szCs w:val="22"/>
        </w:rPr>
        <w:t xml:space="preserve"> keliu susijusiais RTK, įskaitant fibroblastų augimo faktoriaus (angl. </w:t>
      </w:r>
      <w:proofErr w:type="spellStart"/>
      <w:r w:rsidRPr="004F572A">
        <w:rPr>
          <w:rFonts w:eastAsia="Calibri"/>
          <w:i/>
          <w:iCs/>
          <w:sz w:val="22"/>
          <w:szCs w:val="22"/>
        </w:rPr>
        <w:t>fibroblast</w:t>
      </w:r>
      <w:proofErr w:type="spellEnd"/>
      <w:r w:rsidRPr="004F572A">
        <w:rPr>
          <w:rFonts w:eastAsia="Calibri"/>
          <w:i/>
          <w:iCs/>
          <w:sz w:val="22"/>
          <w:szCs w:val="22"/>
        </w:rPr>
        <w:t xml:space="preserve"> </w:t>
      </w:r>
      <w:proofErr w:type="spellStart"/>
      <w:r w:rsidRPr="004F572A">
        <w:rPr>
          <w:rFonts w:eastAsia="Calibri"/>
          <w:i/>
          <w:iCs/>
          <w:sz w:val="22"/>
          <w:szCs w:val="22"/>
        </w:rPr>
        <w:t>growth</w:t>
      </w:r>
      <w:proofErr w:type="spellEnd"/>
      <w:r w:rsidRPr="004F572A">
        <w:rPr>
          <w:rFonts w:eastAsia="Calibri"/>
          <w:i/>
          <w:iCs/>
          <w:sz w:val="22"/>
          <w:szCs w:val="22"/>
        </w:rPr>
        <w:t xml:space="preserve"> </w:t>
      </w:r>
      <w:proofErr w:type="spellStart"/>
      <w:r w:rsidRPr="004F572A">
        <w:rPr>
          <w:rFonts w:eastAsia="Calibri"/>
          <w:i/>
          <w:iCs/>
          <w:sz w:val="22"/>
          <w:szCs w:val="22"/>
        </w:rPr>
        <w:t>factor</w:t>
      </w:r>
      <w:proofErr w:type="spellEnd"/>
      <w:r w:rsidRPr="004F572A">
        <w:rPr>
          <w:rFonts w:eastAsia="Calibri"/>
          <w:i/>
          <w:iCs/>
          <w:sz w:val="22"/>
          <w:szCs w:val="22"/>
        </w:rPr>
        <w:t xml:space="preserve">, </w:t>
      </w:r>
      <w:r w:rsidRPr="004F572A">
        <w:rPr>
          <w:rFonts w:eastAsia="Calibri"/>
          <w:sz w:val="22"/>
          <w:szCs w:val="22"/>
        </w:rPr>
        <w:t xml:space="preserve">FGF) receptorius FGFR1, 2, 3 ir 4, trombocitų </w:t>
      </w:r>
      <w:r w:rsidR="0021794D">
        <w:rPr>
          <w:rFonts w:eastAsia="Calibri"/>
          <w:sz w:val="22"/>
          <w:szCs w:val="22"/>
        </w:rPr>
        <w:t>išskirto</w:t>
      </w:r>
      <w:r w:rsidRPr="004F572A">
        <w:rPr>
          <w:rFonts w:eastAsia="Calibri"/>
          <w:sz w:val="22"/>
          <w:szCs w:val="22"/>
        </w:rPr>
        <w:t xml:space="preserve"> augimo faktoriaus (angl. </w:t>
      </w:r>
      <w:proofErr w:type="spellStart"/>
      <w:r w:rsidRPr="004F572A">
        <w:rPr>
          <w:rFonts w:eastAsia="Calibri"/>
          <w:i/>
          <w:iCs/>
          <w:sz w:val="22"/>
          <w:szCs w:val="22"/>
        </w:rPr>
        <w:t>platelet</w:t>
      </w:r>
      <w:proofErr w:type="spellEnd"/>
      <w:r w:rsidRPr="004F572A">
        <w:rPr>
          <w:rFonts w:eastAsia="Calibri"/>
          <w:i/>
          <w:iCs/>
          <w:sz w:val="22"/>
          <w:szCs w:val="22"/>
        </w:rPr>
        <w:t xml:space="preserve"> </w:t>
      </w:r>
      <w:proofErr w:type="spellStart"/>
      <w:r w:rsidRPr="004F572A">
        <w:rPr>
          <w:rFonts w:eastAsia="Calibri"/>
          <w:i/>
          <w:iCs/>
          <w:sz w:val="22"/>
          <w:szCs w:val="22"/>
        </w:rPr>
        <w:t>derived</w:t>
      </w:r>
      <w:proofErr w:type="spellEnd"/>
      <w:r w:rsidRPr="004F572A">
        <w:rPr>
          <w:rFonts w:eastAsia="Calibri"/>
          <w:i/>
          <w:iCs/>
          <w:sz w:val="22"/>
          <w:szCs w:val="22"/>
        </w:rPr>
        <w:t xml:space="preserve"> </w:t>
      </w:r>
      <w:proofErr w:type="spellStart"/>
      <w:r w:rsidRPr="004F572A">
        <w:rPr>
          <w:rFonts w:eastAsia="Calibri"/>
          <w:i/>
          <w:iCs/>
          <w:sz w:val="22"/>
          <w:szCs w:val="22"/>
        </w:rPr>
        <w:t>growth</w:t>
      </w:r>
      <w:proofErr w:type="spellEnd"/>
      <w:r w:rsidRPr="004F572A">
        <w:rPr>
          <w:rFonts w:eastAsia="Calibri"/>
          <w:i/>
          <w:iCs/>
          <w:sz w:val="22"/>
          <w:szCs w:val="22"/>
        </w:rPr>
        <w:t xml:space="preserve"> </w:t>
      </w:r>
      <w:proofErr w:type="spellStart"/>
      <w:r w:rsidRPr="004F572A">
        <w:rPr>
          <w:rFonts w:eastAsia="Calibri"/>
          <w:i/>
          <w:iCs/>
          <w:sz w:val="22"/>
          <w:szCs w:val="22"/>
        </w:rPr>
        <w:t>factor</w:t>
      </w:r>
      <w:proofErr w:type="spellEnd"/>
      <w:r w:rsidRPr="004F572A">
        <w:rPr>
          <w:rFonts w:eastAsia="Calibri"/>
          <w:sz w:val="22"/>
          <w:szCs w:val="22"/>
        </w:rPr>
        <w:t xml:space="preserve">, PDGF) </w:t>
      </w:r>
      <w:r w:rsidR="0021794D">
        <w:rPr>
          <w:rFonts w:eastAsia="Calibri"/>
          <w:sz w:val="22"/>
          <w:szCs w:val="22"/>
        </w:rPr>
        <w:t xml:space="preserve">receptorius </w:t>
      </w:r>
      <w:r w:rsidRPr="004F572A">
        <w:rPr>
          <w:rFonts w:eastAsia="Calibri"/>
          <w:sz w:val="22"/>
          <w:szCs w:val="22"/>
        </w:rPr>
        <w:t>PDGFRα, KIT ir RET.</w:t>
      </w:r>
    </w:p>
    <w:p w14:paraId="7059FF26" w14:textId="77777777" w:rsidR="00607CEE" w:rsidRPr="004F572A" w:rsidRDefault="00607CEE" w:rsidP="00607CEE">
      <w:pPr>
        <w:widowControl w:val="0"/>
        <w:tabs>
          <w:tab w:val="clear" w:pos="567"/>
        </w:tabs>
        <w:rPr>
          <w:rFonts w:eastAsia="Calibri"/>
          <w:sz w:val="22"/>
          <w:szCs w:val="22"/>
        </w:rPr>
      </w:pPr>
    </w:p>
    <w:p w14:paraId="1028A075" w14:textId="05B65440" w:rsidR="00607CEE" w:rsidRPr="004F572A" w:rsidRDefault="00607CEE" w:rsidP="00607CEE">
      <w:pPr>
        <w:widowControl w:val="0"/>
        <w:tabs>
          <w:tab w:val="clear" w:pos="567"/>
        </w:tabs>
        <w:rPr>
          <w:rFonts w:eastAsia="Calibri"/>
          <w:sz w:val="22"/>
          <w:szCs w:val="22"/>
        </w:rPr>
      </w:pPr>
      <w:r w:rsidRPr="004F572A">
        <w:rPr>
          <w:rFonts w:eastAsia="Calibri"/>
          <w:sz w:val="22"/>
          <w:szCs w:val="22"/>
        </w:rPr>
        <w:t xml:space="preserve">Be to, </w:t>
      </w:r>
      <w:proofErr w:type="spellStart"/>
      <w:r w:rsidRPr="004F572A">
        <w:rPr>
          <w:rFonts w:eastAsia="Calibri"/>
          <w:sz w:val="22"/>
          <w:szCs w:val="22"/>
        </w:rPr>
        <w:t>lenvatinibui</w:t>
      </w:r>
      <w:proofErr w:type="spellEnd"/>
      <w:r w:rsidRPr="004F572A">
        <w:rPr>
          <w:rFonts w:eastAsia="Calibri"/>
          <w:sz w:val="22"/>
          <w:szCs w:val="22"/>
        </w:rPr>
        <w:t xml:space="preserve"> būdingas selektyvus, tiesioginis </w:t>
      </w:r>
      <w:proofErr w:type="spellStart"/>
      <w:r w:rsidRPr="004F572A">
        <w:rPr>
          <w:rFonts w:eastAsia="Calibri"/>
          <w:sz w:val="22"/>
          <w:szCs w:val="22"/>
        </w:rPr>
        <w:t>hepatoceliulines</w:t>
      </w:r>
      <w:proofErr w:type="spellEnd"/>
      <w:r w:rsidRPr="004F572A">
        <w:rPr>
          <w:rFonts w:eastAsia="Calibri"/>
          <w:sz w:val="22"/>
          <w:szCs w:val="22"/>
        </w:rPr>
        <w:t xml:space="preserve"> ląsteles veikiantis </w:t>
      </w:r>
      <w:proofErr w:type="spellStart"/>
      <w:r w:rsidRPr="004F572A">
        <w:rPr>
          <w:rFonts w:eastAsia="Calibri"/>
          <w:sz w:val="22"/>
          <w:szCs w:val="22"/>
        </w:rPr>
        <w:t>antiproliferacinis</w:t>
      </w:r>
      <w:proofErr w:type="spellEnd"/>
      <w:r w:rsidRPr="004F572A">
        <w:rPr>
          <w:rFonts w:eastAsia="Calibri"/>
          <w:sz w:val="22"/>
          <w:szCs w:val="22"/>
        </w:rPr>
        <w:t xml:space="preserve"> aktyvumas, kuris priklauso nuo aktyvintų FGFR receptorių signalų; </w:t>
      </w:r>
      <w:r w:rsidR="0021794D">
        <w:rPr>
          <w:rFonts w:eastAsia="Calibri"/>
          <w:sz w:val="22"/>
          <w:szCs w:val="22"/>
        </w:rPr>
        <w:t>manoma, kad šį poveikį lemia</w:t>
      </w:r>
      <w:r w:rsidR="00482000" w:rsidRPr="004F572A">
        <w:rPr>
          <w:rFonts w:eastAsia="Calibri"/>
          <w:sz w:val="22"/>
          <w:szCs w:val="22"/>
        </w:rPr>
        <w:t xml:space="preserve"> </w:t>
      </w:r>
      <w:proofErr w:type="spellStart"/>
      <w:r w:rsidRPr="004F572A">
        <w:rPr>
          <w:rFonts w:eastAsia="Calibri"/>
          <w:sz w:val="22"/>
          <w:szCs w:val="22"/>
        </w:rPr>
        <w:t>lenvatinibo</w:t>
      </w:r>
      <w:proofErr w:type="spellEnd"/>
      <w:r w:rsidRPr="004F572A">
        <w:rPr>
          <w:rFonts w:eastAsia="Calibri"/>
          <w:sz w:val="22"/>
          <w:szCs w:val="22"/>
        </w:rPr>
        <w:t xml:space="preserve"> sukeliam</w:t>
      </w:r>
      <w:r w:rsidR="0021794D">
        <w:rPr>
          <w:rFonts w:eastAsia="Calibri"/>
          <w:sz w:val="22"/>
          <w:szCs w:val="22"/>
        </w:rPr>
        <w:t>as</w:t>
      </w:r>
      <w:r w:rsidR="00482000" w:rsidRPr="004F572A">
        <w:rPr>
          <w:rFonts w:eastAsia="Calibri"/>
          <w:sz w:val="22"/>
          <w:szCs w:val="22"/>
        </w:rPr>
        <w:t xml:space="preserve"> </w:t>
      </w:r>
      <w:r w:rsidRPr="004F572A">
        <w:rPr>
          <w:rFonts w:eastAsia="Calibri"/>
          <w:sz w:val="22"/>
          <w:szCs w:val="22"/>
        </w:rPr>
        <w:t>FGFR signalo slopinim</w:t>
      </w:r>
      <w:r w:rsidR="0021794D">
        <w:rPr>
          <w:rFonts w:eastAsia="Calibri"/>
          <w:sz w:val="22"/>
          <w:szCs w:val="22"/>
        </w:rPr>
        <w:t>as</w:t>
      </w:r>
      <w:r w:rsidRPr="004F572A">
        <w:rPr>
          <w:rFonts w:eastAsia="Calibri"/>
          <w:sz w:val="22"/>
          <w:szCs w:val="22"/>
        </w:rPr>
        <w:t>.</w:t>
      </w:r>
    </w:p>
    <w:p w14:paraId="1C7AFAE2" w14:textId="77777777" w:rsidR="00482000" w:rsidRPr="004F572A" w:rsidRDefault="00482000" w:rsidP="00607CEE">
      <w:pPr>
        <w:widowControl w:val="0"/>
        <w:tabs>
          <w:tab w:val="clear" w:pos="567"/>
        </w:tabs>
        <w:rPr>
          <w:rFonts w:eastAsia="Calibri"/>
          <w:sz w:val="22"/>
          <w:szCs w:val="22"/>
        </w:rPr>
      </w:pPr>
    </w:p>
    <w:p w14:paraId="01A06679" w14:textId="11ABB52C" w:rsidR="00607CEE" w:rsidRPr="004F572A" w:rsidRDefault="00607CEE" w:rsidP="00607CEE">
      <w:pPr>
        <w:widowControl w:val="0"/>
        <w:tabs>
          <w:tab w:val="clear" w:pos="567"/>
        </w:tabs>
        <w:rPr>
          <w:rFonts w:eastAsia="Calibri"/>
          <w:sz w:val="22"/>
          <w:szCs w:val="22"/>
        </w:rPr>
      </w:pPr>
      <w:proofErr w:type="spellStart"/>
      <w:r w:rsidRPr="004F572A">
        <w:rPr>
          <w:rFonts w:eastAsia="Calibri"/>
          <w:sz w:val="22"/>
          <w:szCs w:val="22"/>
        </w:rPr>
        <w:t>Singeniniuose</w:t>
      </w:r>
      <w:proofErr w:type="spellEnd"/>
      <w:r w:rsidRPr="004F572A">
        <w:rPr>
          <w:rFonts w:eastAsia="Calibri"/>
          <w:sz w:val="22"/>
          <w:szCs w:val="22"/>
        </w:rPr>
        <w:t xml:space="preserve"> pelių navikų modeliuose </w:t>
      </w:r>
      <w:proofErr w:type="spellStart"/>
      <w:r w:rsidRPr="004F572A">
        <w:rPr>
          <w:rFonts w:eastAsia="Calibri"/>
          <w:sz w:val="22"/>
          <w:szCs w:val="22"/>
        </w:rPr>
        <w:t>lenvatinibas</w:t>
      </w:r>
      <w:proofErr w:type="spellEnd"/>
      <w:r w:rsidRPr="004F572A">
        <w:rPr>
          <w:rFonts w:eastAsia="Calibri"/>
          <w:sz w:val="22"/>
          <w:szCs w:val="22"/>
        </w:rPr>
        <w:t xml:space="preserve"> </w:t>
      </w:r>
      <w:r w:rsidR="008B464B" w:rsidRPr="004F572A">
        <w:rPr>
          <w:rFonts w:eastAsia="Calibri"/>
          <w:sz w:val="22"/>
          <w:szCs w:val="22"/>
        </w:rPr>
        <w:t>su</w:t>
      </w:r>
      <w:r w:rsidRPr="004F572A">
        <w:rPr>
          <w:rFonts w:eastAsia="Calibri"/>
          <w:sz w:val="22"/>
          <w:szCs w:val="22"/>
        </w:rPr>
        <w:t>mažino su naviku susijusi</w:t>
      </w:r>
      <w:r w:rsidR="00503CAA">
        <w:rPr>
          <w:rFonts w:eastAsia="Calibri"/>
          <w:sz w:val="22"/>
          <w:szCs w:val="22"/>
        </w:rPr>
        <w:t>ų</w:t>
      </w:r>
      <w:r w:rsidRPr="004F572A">
        <w:rPr>
          <w:rFonts w:eastAsia="Calibri"/>
          <w:sz w:val="22"/>
          <w:szCs w:val="22"/>
        </w:rPr>
        <w:t xml:space="preserve"> </w:t>
      </w:r>
      <w:proofErr w:type="spellStart"/>
      <w:r w:rsidRPr="004F572A">
        <w:rPr>
          <w:rFonts w:eastAsia="Calibri"/>
          <w:sz w:val="22"/>
          <w:szCs w:val="22"/>
        </w:rPr>
        <w:t>makrofagų</w:t>
      </w:r>
      <w:proofErr w:type="spellEnd"/>
      <w:r w:rsidRPr="004F572A">
        <w:rPr>
          <w:rFonts w:eastAsia="Calibri"/>
          <w:sz w:val="22"/>
          <w:szCs w:val="22"/>
        </w:rPr>
        <w:t xml:space="preserve"> skaičių, padidino aktyvuotų </w:t>
      </w:r>
      <w:proofErr w:type="spellStart"/>
      <w:r w:rsidRPr="004F572A">
        <w:rPr>
          <w:rFonts w:eastAsia="Calibri"/>
          <w:sz w:val="22"/>
          <w:szCs w:val="22"/>
        </w:rPr>
        <w:t>citotoksinių</w:t>
      </w:r>
      <w:proofErr w:type="spellEnd"/>
      <w:r w:rsidRPr="004F572A">
        <w:rPr>
          <w:rFonts w:eastAsia="Calibri"/>
          <w:sz w:val="22"/>
          <w:szCs w:val="22"/>
        </w:rPr>
        <w:t xml:space="preserve"> T ląstelių skaičių ir </w:t>
      </w:r>
      <w:r w:rsidR="0021794D">
        <w:rPr>
          <w:rFonts w:eastAsia="Calibri"/>
          <w:sz w:val="22"/>
          <w:szCs w:val="22"/>
        </w:rPr>
        <w:t>pasižymėjo</w:t>
      </w:r>
      <w:r w:rsidR="0021794D" w:rsidRPr="004F572A">
        <w:rPr>
          <w:rFonts w:eastAsia="Calibri"/>
          <w:sz w:val="22"/>
          <w:szCs w:val="22"/>
        </w:rPr>
        <w:t xml:space="preserve"> </w:t>
      </w:r>
      <w:r w:rsidRPr="004F572A">
        <w:rPr>
          <w:rFonts w:eastAsia="Calibri"/>
          <w:sz w:val="22"/>
          <w:szCs w:val="22"/>
        </w:rPr>
        <w:t>didesn</w:t>
      </w:r>
      <w:r w:rsidR="0021794D">
        <w:rPr>
          <w:rFonts w:eastAsia="Calibri"/>
          <w:sz w:val="22"/>
          <w:szCs w:val="22"/>
        </w:rPr>
        <w:t>iu</w:t>
      </w:r>
      <w:r w:rsidRPr="004F572A">
        <w:rPr>
          <w:rFonts w:eastAsia="Calibri"/>
          <w:sz w:val="22"/>
          <w:szCs w:val="22"/>
        </w:rPr>
        <w:t xml:space="preserve"> </w:t>
      </w:r>
      <w:proofErr w:type="spellStart"/>
      <w:r w:rsidR="0021794D">
        <w:rPr>
          <w:rFonts w:eastAsia="Calibri"/>
          <w:sz w:val="22"/>
          <w:szCs w:val="22"/>
        </w:rPr>
        <w:t>prieš</w:t>
      </w:r>
      <w:r w:rsidR="008B464B" w:rsidRPr="004F572A">
        <w:rPr>
          <w:rFonts w:eastAsia="Calibri"/>
          <w:sz w:val="22"/>
          <w:szCs w:val="22"/>
        </w:rPr>
        <w:t>navikin</w:t>
      </w:r>
      <w:r w:rsidR="0021794D">
        <w:rPr>
          <w:rFonts w:eastAsia="Calibri"/>
          <w:sz w:val="22"/>
          <w:szCs w:val="22"/>
        </w:rPr>
        <w:t>iu</w:t>
      </w:r>
      <w:proofErr w:type="spellEnd"/>
      <w:r w:rsidRPr="004F572A">
        <w:rPr>
          <w:rFonts w:eastAsia="Calibri"/>
          <w:sz w:val="22"/>
          <w:szCs w:val="22"/>
        </w:rPr>
        <w:t xml:space="preserve"> aktyvum</w:t>
      </w:r>
      <w:r w:rsidR="0021794D">
        <w:rPr>
          <w:rFonts w:eastAsia="Calibri"/>
          <w:sz w:val="22"/>
          <w:szCs w:val="22"/>
        </w:rPr>
        <w:t>u</w:t>
      </w:r>
      <w:r w:rsidRPr="004F572A">
        <w:rPr>
          <w:rFonts w:eastAsia="Calibri"/>
          <w:sz w:val="22"/>
          <w:szCs w:val="22"/>
        </w:rPr>
        <w:t xml:space="preserve"> vartoja</w:t>
      </w:r>
      <w:r w:rsidR="0021794D">
        <w:rPr>
          <w:rFonts w:eastAsia="Calibri"/>
          <w:sz w:val="22"/>
          <w:szCs w:val="22"/>
        </w:rPr>
        <w:t>mas</w:t>
      </w:r>
      <w:r w:rsidRPr="004F572A">
        <w:rPr>
          <w:rFonts w:eastAsia="Calibri"/>
          <w:sz w:val="22"/>
          <w:szCs w:val="22"/>
        </w:rPr>
        <w:t xml:space="preserve"> kartu su anti-PD-1 </w:t>
      </w:r>
      <w:proofErr w:type="spellStart"/>
      <w:r w:rsidRPr="004F572A">
        <w:rPr>
          <w:rFonts w:eastAsia="Calibri"/>
          <w:sz w:val="22"/>
          <w:szCs w:val="22"/>
        </w:rPr>
        <w:t>monokloniniu</w:t>
      </w:r>
      <w:proofErr w:type="spellEnd"/>
      <w:r w:rsidRPr="004F572A">
        <w:rPr>
          <w:rFonts w:eastAsia="Calibri"/>
          <w:sz w:val="22"/>
          <w:szCs w:val="22"/>
        </w:rPr>
        <w:t xml:space="preserve"> antikūnu, palyginti su gydymu bet kuri</w:t>
      </w:r>
      <w:r w:rsidR="0021794D">
        <w:rPr>
          <w:rFonts w:eastAsia="Calibri"/>
          <w:sz w:val="22"/>
          <w:szCs w:val="22"/>
        </w:rPr>
        <w:t>uo</w:t>
      </w:r>
      <w:r w:rsidRPr="004F572A">
        <w:rPr>
          <w:rFonts w:eastAsia="Calibri"/>
          <w:sz w:val="22"/>
          <w:szCs w:val="22"/>
        </w:rPr>
        <w:t xml:space="preserve"> iš šių </w:t>
      </w:r>
      <w:r w:rsidR="0021794D">
        <w:rPr>
          <w:rFonts w:eastAsia="Calibri"/>
          <w:sz w:val="22"/>
          <w:szCs w:val="22"/>
        </w:rPr>
        <w:t>vaistinių preparatų atskirai</w:t>
      </w:r>
      <w:r w:rsidRPr="004F572A">
        <w:rPr>
          <w:rFonts w:eastAsia="Calibri"/>
          <w:sz w:val="22"/>
          <w:szCs w:val="22"/>
        </w:rPr>
        <w:t>.</w:t>
      </w:r>
    </w:p>
    <w:p w14:paraId="6C8D0877" w14:textId="77777777" w:rsidR="008B464B" w:rsidRPr="004F572A" w:rsidRDefault="008B464B" w:rsidP="00607CEE">
      <w:pPr>
        <w:widowControl w:val="0"/>
        <w:tabs>
          <w:tab w:val="clear" w:pos="567"/>
        </w:tabs>
        <w:rPr>
          <w:rFonts w:eastAsia="Calibri"/>
          <w:sz w:val="22"/>
          <w:szCs w:val="22"/>
        </w:rPr>
      </w:pPr>
    </w:p>
    <w:p w14:paraId="0187EBC1" w14:textId="56BDCEA2" w:rsidR="00607CEE" w:rsidRPr="004F572A" w:rsidRDefault="00607CEE" w:rsidP="00607CEE">
      <w:pPr>
        <w:widowControl w:val="0"/>
        <w:tabs>
          <w:tab w:val="clear" w:pos="567"/>
        </w:tabs>
        <w:rPr>
          <w:rFonts w:eastAsia="Calibri"/>
          <w:sz w:val="22"/>
          <w:szCs w:val="22"/>
        </w:rPr>
      </w:pPr>
      <w:r w:rsidRPr="004F572A">
        <w:rPr>
          <w:rFonts w:eastAsia="Calibri"/>
          <w:sz w:val="22"/>
          <w:szCs w:val="22"/>
        </w:rPr>
        <w:t xml:space="preserve">Nors vartojant </w:t>
      </w:r>
      <w:proofErr w:type="spellStart"/>
      <w:r w:rsidRPr="004F572A">
        <w:rPr>
          <w:rFonts w:eastAsia="Calibri"/>
          <w:sz w:val="22"/>
          <w:szCs w:val="22"/>
        </w:rPr>
        <w:t>lenvatinib</w:t>
      </w:r>
      <w:r w:rsidR="008B464B" w:rsidRPr="004F572A">
        <w:rPr>
          <w:rFonts w:eastAsia="Calibri"/>
          <w:sz w:val="22"/>
          <w:szCs w:val="22"/>
        </w:rPr>
        <w:t>o</w:t>
      </w:r>
      <w:proofErr w:type="spellEnd"/>
      <w:r w:rsidRPr="004F572A">
        <w:rPr>
          <w:rFonts w:eastAsia="Calibri"/>
          <w:sz w:val="22"/>
          <w:szCs w:val="22"/>
        </w:rPr>
        <w:t xml:space="preserve"> tiesiogiai neištirta, </w:t>
      </w:r>
      <w:r w:rsidR="0021794D">
        <w:rPr>
          <w:rFonts w:eastAsia="Calibri"/>
          <w:sz w:val="22"/>
          <w:szCs w:val="22"/>
        </w:rPr>
        <w:t>teigiama</w:t>
      </w:r>
      <w:r w:rsidRPr="004F572A">
        <w:rPr>
          <w:rFonts w:eastAsia="Calibri"/>
          <w:sz w:val="22"/>
          <w:szCs w:val="22"/>
        </w:rPr>
        <w:t xml:space="preserve">, kad hipertenzijos veikimo mechanizmas (VM) yra susijęs su VEGFR2 slopinimu kraujagyslių </w:t>
      </w:r>
      <w:proofErr w:type="spellStart"/>
      <w:r w:rsidRPr="004F572A">
        <w:rPr>
          <w:rFonts w:eastAsia="Calibri"/>
          <w:sz w:val="22"/>
          <w:szCs w:val="22"/>
        </w:rPr>
        <w:t>endotelio</w:t>
      </w:r>
      <w:proofErr w:type="spellEnd"/>
      <w:r w:rsidRPr="004F572A">
        <w:rPr>
          <w:rFonts w:eastAsia="Calibri"/>
          <w:sz w:val="22"/>
          <w:szCs w:val="22"/>
        </w:rPr>
        <w:t xml:space="preserve"> ląstelėse. Panašiai, nors tiesiogiai neištirta, </w:t>
      </w:r>
      <w:r w:rsidR="0021794D">
        <w:rPr>
          <w:rFonts w:eastAsia="Calibri"/>
          <w:sz w:val="22"/>
          <w:szCs w:val="22"/>
        </w:rPr>
        <w:t>teigiama</w:t>
      </w:r>
      <w:r w:rsidRPr="004F572A">
        <w:rPr>
          <w:rFonts w:eastAsia="Calibri"/>
          <w:sz w:val="22"/>
          <w:szCs w:val="22"/>
        </w:rPr>
        <w:t xml:space="preserve">, kad </w:t>
      </w:r>
      <w:proofErr w:type="spellStart"/>
      <w:r w:rsidRPr="004F572A">
        <w:rPr>
          <w:rFonts w:eastAsia="Calibri"/>
          <w:sz w:val="22"/>
          <w:szCs w:val="22"/>
        </w:rPr>
        <w:t>proteinurijos</w:t>
      </w:r>
      <w:proofErr w:type="spellEnd"/>
      <w:r w:rsidRPr="004F572A">
        <w:rPr>
          <w:rFonts w:eastAsia="Calibri"/>
          <w:sz w:val="22"/>
          <w:szCs w:val="22"/>
        </w:rPr>
        <w:t xml:space="preserve"> VM yra susijęs su VEGFR1 ir VEGFR2 </w:t>
      </w:r>
      <w:r w:rsidR="0021794D">
        <w:rPr>
          <w:rFonts w:eastAsia="Calibri"/>
          <w:sz w:val="22"/>
          <w:szCs w:val="22"/>
        </w:rPr>
        <w:t>kiekio</w:t>
      </w:r>
      <w:r w:rsidRPr="004F572A">
        <w:rPr>
          <w:rFonts w:eastAsia="Calibri"/>
          <w:sz w:val="22"/>
          <w:szCs w:val="22"/>
        </w:rPr>
        <w:t xml:space="preserve"> mažėjimu </w:t>
      </w:r>
      <w:proofErr w:type="spellStart"/>
      <w:r w:rsidRPr="004F572A">
        <w:rPr>
          <w:rFonts w:eastAsia="Calibri"/>
          <w:sz w:val="22"/>
          <w:szCs w:val="22"/>
        </w:rPr>
        <w:t>glomerulų</w:t>
      </w:r>
      <w:proofErr w:type="spellEnd"/>
      <w:r w:rsidRPr="004F572A">
        <w:rPr>
          <w:rFonts w:eastAsia="Calibri"/>
          <w:sz w:val="22"/>
          <w:szCs w:val="22"/>
        </w:rPr>
        <w:t xml:space="preserve"> </w:t>
      </w:r>
      <w:proofErr w:type="spellStart"/>
      <w:r w:rsidRPr="004F572A">
        <w:rPr>
          <w:rFonts w:eastAsia="Calibri"/>
          <w:sz w:val="22"/>
          <w:szCs w:val="22"/>
        </w:rPr>
        <w:t>podocituose</w:t>
      </w:r>
      <w:proofErr w:type="spellEnd"/>
      <w:r w:rsidRPr="004F572A">
        <w:rPr>
          <w:rFonts w:eastAsia="Calibri"/>
          <w:sz w:val="22"/>
          <w:szCs w:val="22"/>
        </w:rPr>
        <w:t>.</w:t>
      </w:r>
    </w:p>
    <w:p w14:paraId="22E28728" w14:textId="77777777" w:rsidR="008B464B" w:rsidRPr="004F572A" w:rsidRDefault="008B464B" w:rsidP="00607CEE">
      <w:pPr>
        <w:widowControl w:val="0"/>
        <w:tabs>
          <w:tab w:val="clear" w:pos="567"/>
        </w:tabs>
        <w:rPr>
          <w:rFonts w:eastAsia="Calibri"/>
          <w:sz w:val="22"/>
          <w:szCs w:val="22"/>
        </w:rPr>
      </w:pPr>
    </w:p>
    <w:p w14:paraId="11C7E788" w14:textId="5F398C47" w:rsidR="008B464B" w:rsidRDefault="00607CEE" w:rsidP="00607CEE">
      <w:pPr>
        <w:widowControl w:val="0"/>
        <w:tabs>
          <w:tab w:val="clear" w:pos="567"/>
        </w:tabs>
        <w:rPr>
          <w:rFonts w:eastAsia="Calibri"/>
          <w:sz w:val="22"/>
          <w:szCs w:val="22"/>
        </w:rPr>
      </w:pPr>
      <w:proofErr w:type="spellStart"/>
      <w:r w:rsidRPr="004F572A">
        <w:rPr>
          <w:rFonts w:eastAsia="Calibri"/>
          <w:sz w:val="22"/>
          <w:szCs w:val="22"/>
        </w:rPr>
        <w:t>Hipotirozės</w:t>
      </w:r>
      <w:proofErr w:type="spellEnd"/>
      <w:r w:rsidRPr="004F572A">
        <w:rPr>
          <w:rFonts w:eastAsia="Calibri"/>
          <w:sz w:val="22"/>
          <w:szCs w:val="22"/>
        </w:rPr>
        <w:t xml:space="preserve"> veikimo mechanizmas nėra </w:t>
      </w:r>
      <w:r w:rsidR="00B83E94" w:rsidRPr="004F572A">
        <w:rPr>
          <w:rFonts w:eastAsia="Calibri"/>
          <w:sz w:val="22"/>
          <w:szCs w:val="22"/>
        </w:rPr>
        <w:t>visiškai</w:t>
      </w:r>
      <w:r w:rsidRPr="004F572A">
        <w:rPr>
          <w:rFonts w:eastAsia="Calibri"/>
          <w:sz w:val="22"/>
          <w:szCs w:val="22"/>
        </w:rPr>
        <w:t xml:space="preserve"> iš</w:t>
      </w:r>
      <w:r w:rsidR="00B83E94" w:rsidRPr="004F572A">
        <w:rPr>
          <w:rFonts w:eastAsia="Calibri"/>
          <w:sz w:val="22"/>
          <w:szCs w:val="22"/>
        </w:rPr>
        <w:t>si</w:t>
      </w:r>
      <w:r w:rsidRPr="004F572A">
        <w:rPr>
          <w:rFonts w:eastAsia="Calibri"/>
          <w:sz w:val="22"/>
          <w:szCs w:val="22"/>
        </w:rPr>
        <w:t xml:space="preserve">aiškintas. </w:t>
      </w:r>
    </w:p>
    <w:p w14:paraId="12F83BE5" w14:textId="77777777" w:rsidR="0021794D" w:rsidRPr="004F572A" w:rsidRDefault="0021794D" w:rsidP="00607CEE">
      <w:pPr>
        <w:widowControl w:val="0"/>
        <w:tabs>
          <w:tab w:val="clear" w:pos="567"/>
        </w:tabs>
        <w:rPr>
          <w:rFonts w:eastAsia="Calibri"/>
          <w:sz w:val="22"/>
          <w:szCs w:val="22"/>
        </w:rPr>
      </w:pPr>
    </w:p>
    <w:p w14:paraId="024F275B" w14:textId="6767BCEE" w:rsidR="0094547A" w:rsidRPr="004F572A" w:rsidRDefault="00607CEE" w:rsidP="00607CEE">
      <w:pPr>
        <w:widowControl w:val="0"/>
        <w:tabs>
          <w:tab w:val="clear" w:pos="567"/>
        </w:tabs>
        <w:rPr>
          <w:rFonts w:eastAsia="Calibri"/>
          <w:sz w:val="22"/>
          <w:szCs w:val="22"/>
          <w:u w:val="single"/>
        </w:rPr>
      </w:pPr>
      <w:r w:rsidRPr="004F572A">
        <w:rPr>
          <w:rFonts w:eastAsia="Calibri"/>
          <w:sz w:val="22"/>
          <w:szCs w:val="22"/>
          <w:u w:val="single"/>
        </w:rPr>
        <w:t>Klinikinis veiksmingumas</w:t>
      </w:r>
    </w:p>
    <w:p w14:paraId="3419C572" w14:textId="77777777" w:rsidR="0094547A" w:rsidRPr="004F572A" w:rsidRDefault="0094547A" w:rsidP="000928CA">
      <w:pPr>
        <w:widowControl w:val="0"/>
        <w:tabs>
          <w:tab w:val="clear" w:pos="567"/>
        </w:tabs>
        <w:rPr>
          <w:rFonts w:eastAsia="Calibri"/>
          <w:sz w:val="22"/>
          <w:szCs w:val="22"/>
        </w:rPr>
      </w:pPr>
    </w:p>
    <w:p w14:paraId="6C95B8B8" w14:textId="4AAD0CB8" w:rsidR="006F6DDD" w:rsidRPr="004F572A" w:rsidRDefault="0021794D" w:rsidP="006F6DDD">
      <w:pPr>
        <w:widowControl w:val="0"/>
        <w:tabs>
          <w:tab w:val="clear" w:pos="567"/>
        </w:tabs>
        <w:rPr>
          <w:rFonts w:eastAsia="Calibri"/>
          <w:i/>
          <w:iCs/>
          <w:sz w:val="22"/>
          <w:szCs w:val="22"/>
          <w:u w:val="single"/>
        </w:rPr>
      </w:pPr>
      <w:r>
        <w:rPr>
          <w:rFonts w:eastAsia="Calibri"/>
          <w:i/>
          <w:iCs/>
          <w:sz w:val="22"/>
          <w:szCs w:val="22"/>
          <w:u w:val="single"/>
        </w:rPr>
        <w:t>D</w:t>
      </w:r>
      <w:r w:rsidR="006F6DDD" w:rsidRPr="004F572A">
        <w:rPr>
          <w:rFonts w:eastAsia="Calibri"/>
          <w:i/>
          <w:iCs/>
          <w:sz w:val="22"/>
          <w:szCs w:val="22"/>
          <w:u w:val="single"/>
        </w:rPr>
        <w:t>iferencijuotas skydliaukės vėžys</w:t>
      </w:r>
      <w:r>
        <w:rPr>
          <w:rFonts w:eastAsia="Calibri"/>
          <w:i/>
          <w:iCs/>
          <w:sz w:val="22"/>
          <w:szCs w:val="22"/>
          <w:u w:val="single"/>
        </w:rPr>
        <w:t>, nepaveikiamas</w:t>
      </w:r>
      <w:r w:rsidRPr="0021794D">
        <w:rPr>
          <w:rFonts w:eastAsia="Calibri"/>
          <w:i/>
          <w:iCs/>
          <w:sz w:val="22"/>
          <w:szCs w:val="22"/>
          <w:u w:val="single"/>
        </w:rPr>
        <w:t xml:space="preserve"> </w:t>
      </w:r>
      <w:r>
        <w:rPr>
          <w:rFonts w:eastAsia="Calibri"/>
          <w:i/>
          <w:iCs/>
          <w:sz w:val="22"/>
          <w:szCs w:val="22"/>
          <w:u w:val="single"/>
        </w:rPr>
        <w:t>g</w:t>
      </w:r>
      <w:r w:rsidRPr="004F572A">
        <w:rPr>
          <w:rFonts w:eastAsia="Calibri"/>
          <w:i/>
          <w:iCs/>
          <w:sz w:val="22"/>
          <w:szCs w:val="22"/>
          <w:u w:val="single"/>
        </w:rPr>
        <w:t>ydym</w:t>
      </w:r>
      <w:r>
        <w:rPr>
          <w:rFonts w:eastAsia="Calibri"/>
          <w:i/>
          <w:iCs/>
          <w:sz w:val="22"/>
          <w:szCs w:val="22"/>
          <w:u w:val="single"/>
        </w:rPr>
        <w:t>o</w:t>
      </w:r>
      <w:r w:rsidRPr="004F572A">
        <w:rPr>
          <w:rFonts w:eastAsia="Calibri"/>
          <w:i/>
          <w:iCs/>
          <w:sz w:val="22"/>
          <w:szCs w:val="22"/>
          <w:u w:val="single"/>
        </w:rPr>
        <w:t xml:space="preserve"> radioaktyviuoju jodu</w:t>
      </w:r>
    </w:p>
    <w:p w14:paraId="76B7D7D4" w14:textId="01147D23" w:rsidR="006F6DDD" w:rsidRPr="004F572A" w:rsidRDefault="006F6DDD" w:rsidP="006F6DDD">
      <w:pPr>
        <w:widowControl w:val="0"/>
        <w:tabs>
          <w:tab w:val="clear" w:pos="567"/>
        </w:tabs>
        <w:rPr>
          <w:rFonts w:eastAsia="Calibri"/>
          <w:i/>
          <w:iCs/>
          <w:sz w:val="22"/>
          <w:szCs w:val="22"/>
          <w:u w:val="single"/>
        </w:rPr>
      </w:pPr>
    </w:p>
    <w:p w14:paraId="05DFCCBE" w14:textId="7E86B318" w:rsidR="006F6DDD" w:rsidRPr="004F572A" w:rsidRDefault="0021794D" w:rsidP="006F6DDD">
      <w:pPr>
        <w:widowControl w:val="0"/>
        <w:tabs>
          <w:tab w:val="clear" w:pos="567"/>
        </w:tabs>
        <w:rPr>
          <w:rFonts w:eastAsia="Calibri"/>
          <w:sz w:val="22"/>
          <w:szCs w:val="22"/>
        </w:rPr>
      </w:pPr>
      <w:r>
        <w:rPr>
          <w:rFonts w:eastAsia="Calibri"/>
          <w:sz w:val="22"/>
          <w:szCs w:val="22"/>
        </w:rPr>
        <w:t>T</w:t>
      </w:r>
      <w:r w:rsidRPr="004F572A">
        <w:rPr>
          <w:rFonts w:eastAsia="Calibri"/>
          <w:sz w:val="22"/>
          <w:szCs w:val="22"/>
        </w:rPr>
        <w:t xml:space="preserve">yrimas </w:t>
      </w:r>
      <w:r w:rsidR="006F6DDD" w:rsidRPr="004F572A">
        <w:rPr>
          <w:rFonts w:eastAsia="Calibri"/>
          <w:sz w:val="22"/>
          <w:szCs w:val="22"/>
        </w:rPr>
        <w:t xml:space="preserve">SELECT buvo </w:t>
      </w:r>
      <w:proofErr w:type="spellStart"/>
      <w:r w:rsidR="006F6DDD" w:rsidRPr="004F572A">
        <w:rPr>
          <w:rFonts w:eastAsia="Calibri"/>
          <w:sz w:val="22"/>
          <w:szCs w:val="22"/>
        </w:rPr>
        <w:t>daugiacentris</w:t>
      </w:r>
      <w:proofErr w:type="spellEnd"/>
      <w:r w:rsidR="006F6DDD" w:rsidRPr="004F572A">
        <w:rPr>
          <w:rFonts w:eastAsia="Calibri"/>
          <w:sz w:val="22"/>
          <w:szCs w:val="22"/>
        </w:rPr>
        <w:t xml:space="preserve">, atsitiktinių imčių, dvigubai </w:t>
      </w:r>
      <w:r w:rsidR="00503CAA">
        <w:rPr>
          <w:rFonts w:eastAsia="Calibri"/>
          <w:sz w:val="22"/>
          <w:szCs w:val="22"/>
        </w:rPr>
        <w:t>koduotas</w:t>
      </w:r>
      <w:r w:rsidR="006F6DDD" w:rsidRPr="004F572A">
        <w:rPr>
          <w:rFonts w:eastAsia="Calibri"/>
          <w:sz w:val="22"/>
          <w:szCs w:val="22"/>
        </w:rPr>
        <w:t xml:space="preserve">, placebu kontroliuojamas tyrimas, kuriame dalyvavo </w:t>
      </w:r>
      <w:r w:rsidR="004735E8" w:rsidRPr="004F572A">
        <w:rPr>
          <w:rFonts w:eastAsia="Calibri"/>
          <w:sz w:val="22"/>
          <w:szCs w:val="22"/>
        </w:rPr>
        <w:t xml:space="preserve">392 pacientai </w:t>
      </w:r>
      <w:r w:rsidR="006F6DDD" w:rsidRPr="004F572A">
        <w:rPr>
          <w:rFonts w:eastAsia="Calibri"/>
          <w:sz w:val="22"/>
          <w:szCs w:val="22"/>
        </w:rPr>
        <w:t>sergantys diferencijuotu skydliaukės vėžiu</w:t>
      </w:r>
      <w:r>
        <w:rPr>
          <w:rFonts w:eastAsia="Calibri"/>
          <w:sz w:val="22"/>
          <w:szCs w:val="22"/>
        </w:rPr>
        <w:t>, nepaveikiamu</w:t>
      </w:r>
      <w:r w:rsidRPr="0021794D">
        <w:rPr>
          <w:rFonts w:eastAsia="Calibri"/>
          <w:sz w:val="22"/>
          <w:szCs w:val="22"/>
        </w:rPr>
        <w:t xml:space="preserve"> </w:t>
      </w:r>
      <w:r w:rsidRPr="004F572A">
        <w:rPr>
          <w:rFonts w:eastAsia="Calibri"/>
          <w:sz w:val="22"/>
          <w:szCs w:val="22"/>
        </w:rPr>
        <w:t>gydym</w:t>
      </w:r>
      <w:r>
        <w:rPr>
          <w:rFonts w:eastAsia="Calibri"/>
          <w:sz w:val="22"/>
          <w:szCs w:val="22"/>
        </w:rPr>
        <w:t>o</w:t>
      </w:r>
      <w:r w:rsidRPr="004F572A">
        <w:rPr>
          <w:rFonts w:eastAsia="Calibri"/>
          <w:sz w:val="22"/>
          <w:szCs w:val="22"/>
        </w:rPr>
        <w:t xml:space="preserve"> radioaktyviuoju jodu</w:t>
      </w:r>
      <w:r>
        <w:rPr>
          <w:rFonts w:eastAsia="Calibri"/>
          <w:sz w:val="22"/>
          <w:szCs w:val="22"/>
        </w:rPr>
        <w:t>, kuriems</w:t>
      </w:r>
      <w:r w:rsidR="004735E8" w:rsidRPr="004F572A">
        <w:rPr>
          <w:rFonts w:eastAsia="Calibri"/>
          <w:sz w:val="22"/>
          <w:szCs w:val="22"/>
        </w:rPr>
        <w:t xml:space="preserve"> </w:t>
      </w:r>
      <w:r w:rsidR="006F6DDD" w:rsidRPr="004F572A">
        <w:rPr>
          <w:rFonts w:eastAsia="Calibri"/>
          <w:sz w:val="22"/>
          <w:szCs w:val="22"/>
        </w:rPr>
        <w:t xml:space="preserve">nepriklausomais, centralizuotai analizuotais, </w:t>
      </w:r>
      <w:proofErr w:type="spellStart"/>
      <w:r w:rsidR="006F6DDD" w:rsidRPr="004F572A">
        <w:rPr>
          <w:rFonts w:eastAsia="Calibri"/>
          <w:sz w:val="22"/>
          <w:szCs w:val="22"/>
        </w:rPr>
        <w:t>radiografiniais</w:t>
      </w:r>
      <w:proofErr w:type="spellEnd"/>
      <w:r w:rsidR="006F6DDD" w:rsidRPr="004F572A">
        <w:rPr>
          <w:rFonts w:eastAsia="Calibri"/>
          <w:sz w:val="22"/>
          <w:szCs w:val="22"/>
        </w:rPr>
        <w:t xml:space="preserve"> duomenimis patvirtintas ligos progresavimas per 12</w:t>
      </w:r>
      <w:r w:rsidR="00115D7F">
        <w:rPr>
          <w:rFonts w:eastAsia="Calibri"/>
          <w:sz w:val="22"/>
          <w:szCs w:val="22"/>
        </w:rPr>
        <w:t> </w:t>
      </w:r>
      <w:r w:rsidR="006F6DDD" w:rsidRPr="004F572A">
        <w:rPr>
          <w:rFonts w:eastAsia="Calibri"/>
          <w:sz w:val="22"/>
          <w:szCs w:val="22"/>
        </w:rPr>
        <w:t>mėnesių (+</w:t>
      </w:r>
      <w:r w:rsidR="00115D7F">
        <w:rPr>
          <w:rFonts w:eastAsia="Calibri"/>
          <w:sz w:val="22"/>
          <w:szCs w:val="22"/>
        </w:rPr>
        <w:t> </w:t>
      </w:r>
      <w:r w:rsidR="006F6DDD" w:rsidRPr="004F572A">
        <w:rPr>
          <w:rFonts w:eastAsia="Calibri"/>
          <w:sz w:val="22"/>
          <w:szCs w:val="22"/>
        </w:rPr>
        <w:t>1</w:t>
      </w:r>
      <w:r w:rsidR="00115D7F">
        <w:rPr>
          <w:rFonts w:eastAsia="Calibri"/>
          <w:sz w:val="22"/>
          <w:szCs w:val="22"/>
        </w:rPr>
        <w:t> </w:t>
      </w:r>
      <w:r w:rsidR="006F6DDD" w:rsidRPr="004F572A">
        <w:rPr>
          <w:rFonts w:eastAsia="Calibri"/>
          <w:sz w:val="22"/>
          <w:szCs w:val="22"/>
        </w:rPr>
        <w:t xml:space="preserve">mėnesio langas) iki įtraukimo į tyrimą. </w:t>
      </w:r>
      <w:proofErr w:type="spellStart"/>
      <w:r w:rsidRPr="0021794D">
        <w:rPr>
          <w:rFonts w:eastAsia="Calibri"/>
          <w:sz w:val="22"/>
          <w:szCs w:val="22"/>
        </w:rPr>
        <w:t>Nepaveikiamumas</w:t>
      </w:r>
      <w:proofErr w:type="spellEnd"/>
      <w:r w:rsidRPr="0021794D">
        <w:rPr>
          <w:rFonts w:eastAsia="Calibri"/>
          <w:sz w:val="22"/>
          <w:szCs w:val="22"/>
        </w:rPr>
        <w:t xml:space="preserve"> gydymo </w:t>
      </w:r>
      <w:r w:rsidR="004735E8" w:rsidRPr="004F572A">
        <w:rPr>
          <w:rFonts w:eastAsia="Calibri"/>
          <w:sz w:val="22"/>
          <w:szCs w:val="22"/>
        </w:rPr>
        <w:t xml:space="preserve">radioaktyviuoju jodu </w:t>
      </w:r>
      <w:r w:rsidR="006F6DDD" w:rsidRPr="004F572A">
        <w:rPr>
          <w:rFonts w:eastAsia="Calibri"/>
          <w:sz w:val="22"/>
          <w:szCs w:val="22"/>
        </w:rPr>
        <w:t xml:space="preserve">buvo apibrėžiamas kaip vienas ar keli įvertinami </w:t>
      </w:r>
      <w:r>
        <w:rPr>
          <w:rFonts w:eastAsia="Calibri"/>
          <w:sz w:val="22"/>
          <w:szCs w:val="22"/>
        </w:rPr>
        <w:t>pakitimai</w:t>
      </w:r>
      <w:r w:rsidRPr="004F572A">
        <w:rPr>
          <w:rFonts w:eastAsia="Calibri"/>
          <w:sz w:val="22"/>
          <w:szCs w:val="22"/>
        </w:rPr>
        <w:t xml:space="preserve"> </w:t>
      </w:r>
      <w:r w:rsidR="006F6DDD" w:rsidRPr="004F572A">
        <w:rPr>
          <w:rFonts w:eastAsia="Calibri"/>
          <w:sz w:val="22"/>
          <w:szCs w:val="22"/>
        </w:rPr>
        <w:t>su nepakankamu jodo pasisavinimu arba su ligos progresavimu nepaisant gydymo radioaktyviuoju jodu (RAJ), arba nustatytas bendras &gt;</w:t>
      </w:r>
      <w:r w:rsidR="004735E8" w:rsidRPr="004F572A">
        <w:rPr>
          <w:rFonts w:eastAsia="Calibri"/>
          <w:sz w:val="22"/>
          <w:szCs w:val="22"/>
        </w:rPr>
        <w:t> </w:t>
      </w:r>
      <w:r w:rsidR="006F6DDD" w:rsidRPr="004F572A">
        <w:rPr>
          <w:rFonts w:eastAsia="Calibri"/>
          <w:sz w:val="22"/>
          <w:szCs w:val="22"/>
        </w:rPr>
        <w:t>600</w:t>
      </w:r>
      <w:r w:rsidR="004735E8" w:rsidRPr="004F572A">
        <w:rPr>
          <w:rFonts w:eastAsia="Calibri"/>
          <w:sz w:val="22"/>
          <w:szCs w:val="22"/>
        </w:rPr>
        <w:t> </w:t>
      </w:r>
      <w:proofErr w:type="spellStart"/>
      <w:r w:rsidR="006F6DDD" w:rsidRPr="004F572A">
        <w:rPr>
          <w:rFonts w:eastAsia="Calibri"/>
          <w:sz w:val="22"/>
          <w:szCs w:val="22"/>
        </w:rPr>
        <w:t>mCi</w:t>
      </w:r>
      <w:proofErr w:type="spellEnd"/>
      <w:r w:rsidR="006F6DDD" w:rsidRPr="004F572A">
        <w:rPr>
          <w:rFonts w:eastAsia="Calibri"/>
          <w:sz w:val="22"/>
          <w:szCs w:val="22"/>
        </w:rPr>
        <w:t xml:space="preserve"> arba 22</w:t>
      </w:r>
      <w:r w:rsidR="004735E8" w:rsidRPr="004F572A">
        <w:rPr>
          <w:rFonts w:eastAsia="Calibri"/>
          <w:sz w:val="22"/>
          <w:szCs w:val="22"/>
        </w:rPr>
        <w:t> </w:t>
      </w:r>
      <w:proofErr w:type="spellStart"/>
      <w:r w:rsidR="006F6DDD" w:rsidRPr="004F572A">
        <w:rPr>
          <w:rFonts w:eastAsia="Calibri"/>
          <w:sz w:val="22"/>
          <w:szCs w:val="22"/>
        </w:rPr>
        <w:t>GBq</w:t>
      </w:r>
      <w:proofErr w:type="spellEnd"/>
      <w:r w:rsidR="006F6DDD" w:rsidRPr="004F572A">
        <w:rPr>
          <w:rFonts w:eastAsia="Calibri"/>
          <w:sz w:val="22"/>
          <w:szCs w:val="22"/>
        </w:rPr>
        <w:t xml:space="preserve"> RAJ aktyvumas, paskutinę dozę vartojus likus mažiausiai 6 mėnesiams iki įtraukimo į tyrimą. Atsitiktinės imtys buvo </w:t>
      </w:r>
      <w:proofErr w:type="spellStart"/>
      <w:r w:rsidR="006F6DDD" w:rsidRPr="004F572A">
        <w:rPr>
          <w:rFonts w:eastAsia="Calibri"/>
          <w:sz w:val="22"/>
          <w:szCs w:val="22"/>
        </w:rPr>
        <w:t>stratifikuojamos</w:t>
      </w:r>
      <w:proofErr w:type="spellEnd"/>
      <w:r w:rsidR="006F6DDD" w:rsidRPr="004F572A">
        <w:rPr>
          <w:rFonts w:eastAsia="Calibri"/>
          <w:sz w:val="22"/>
          <w:szCs w:val="22"/>
        </w:rPr>
        <w:t xml:space="preserve"> pagal geografinį regioną (Europa, Šiaurės Amerika ir kiti), prieš tai taikytą VEGF/VEGFR veikiantį gydymą (pacientams prieš tai galėjo būti neskirtas nė vienas (0) arba skirtas 1 VEGF/VEGFR veikiantis gydymas) ir amžių (≤</w:t>
      </w:r>
      <w:r w:rsidR="004735E8" w:rsidRPr="004F572A">
        <w:rPr>
          <w:rFonts w:eastAsia="Calibri"/>
          <w:sz w:val="22"/>
          <w:szCs w:val="22"/>
        </w:rPr>
        <w:t> </w:t>
      </w:r>
      <w:r w:rsidR="006F6DDD" w:rsidRPr="004F572A">
        <w:rPr>
          <w:rFonts w:eastAsia="Calibri"/>
          <w:sz w:val="22"/>
          <w:szCs w:val="22"/>
        </w:rPr>
        <w:t>65</w:t>
      </w:r>
      <w:r w:rsidR="00115D7F">
        <w:rPr>
          <w:rFonts w:eastAsia="Calibri"/>
          <w:sz w:val="22"/>
          <w:szCs w:val="22"/>
        </w:rPr>
        <w:t> </w:t>
      </w:r>
      <w:r w:rsidR="006F6DDD" w:rsidRPr="004F572A">
        <w:rPr>
          <w:rFonts w:eastAsia="Calibri"/>
          <w:sz w:val="22"/>
          <w:szCs w:val="22"/>
        </w:rPr>
        <w:t>metai arba &gt;</w:t>
      </w:r>
      <w:r w:rsidR="004735E8" w:rsidRPr="004F572A">
        <w:rPr>
          <w:rFonts w:eastAsia="Calibri"/>
          <w:sz w:val="22"/>
          <w:szCs w:val="22"/>
        </w:rPr>
        <w:t> </w:t>
      </w:r>
      <w:r w:rsidR="006F6DDD" w:rsidRPr="004F572A">
        <w:rPr>
          <w:rFonts w:eastAsia="Calibri"/>
          <w:sz w:val="22"/>
          <w:szCs w:val="22"/>
        </w:rPr>
        <w:t>65</w:t>
      </w:r>
      <w:r w:rsidR="00115D7F">
        <w:rPr>
          <w:rFonts w:eastAsia="Calibri"/>
          <w:sz w:val="22"/>
          <w:szCs w:val="22"/>
        </w:rPr>
        <w:t> </w:t>
      </w:r>
      <w:r w:rsidR="006F6DDD" w:rsidRPr="004F572A">
        <w:rPr>
          <w:rFonts w:eastAsia="Calibri"/>
          <w:sz w:val="22"/>
          <w:szCs w:val="22"/>
        </w:rPr>
        <w:t>metai). Pagrindinė veiksmingumo pasekmių vertin</w:t>
      </w:r>
      <w:r>
        <w:rPr>
          <w:rFonts w:eastAsia="Calibri"/>
          <w:sz w:val="22"/>
          <w:szCs w:val="22"/>
        </w:rPr>
        <w:t>imo priemonė</w:t>
      </w:r>
      <w:r w:rsidR="006F6DDD" w:rsidRPr="004F572A">
        <w:rPr>
          <w:rFonts w:eastAsia="Calibri"/>
          <w:sz w:val="22"/>
          <w:szCs w:val="22"/>
        </w:rPr>
        <w:t xml:space="preserve"> buvo išgyvenamumo ligai neprogresuojant (ILN) trukmė, kuri buvo vertinama atliekant </w:t>
      </w:r>
      <w:r w:rsidR="00503CAA">
        <w:rPr>
          <w:rFonts w:eastAsia="Calibri"/>
          <w:sz w:val="22"/>
          <w:szCs w:val="22"/>
        </w:rPr>
        <w:t>koduotą</w:t>
      </w:r>
      <w:r w:rsidR="006F6DDD" w:rsidRPr="004F572A">
        <w:rPr>
          <w:rFonts w:eastAsia="Calibri"/>
          <w:sz w:val="22"/>
          <w:szCs w:val="22"/>
        </w:rPr>
        <w:t xml:space="preserve">, nepriklausomą radiologinę analizę naudojant </w:t>
      </w:r>
      <w:proofErr w:type="spellStart"/>
      <w:r w:rsidR="006F6DDD" w:rsidRPr="004F572A">
        <w:rPr>
          <w:rFonts w:eastAsia="Calibri"/>
          <w:sz w:val="22"/>
          <w:szCs w:val="22"/>
        </w:rPr>
        <w:t>solidinių</w:t>
      </w:r>
      <w:proofErr w:type="spellEnd"/>
      <w:r w:rsidR="006F6DDD" w:rsidRPr="004F572A">
        <w:rPr>
          <w:rFonts w:eastAsia="Calibri"/>
          <w:sz w:val="22"/>
          <w:szCs w:val="22"/>
        </w:rPr>
        <w:t xml:space="preserve"> navikų atsako vertinimo kriterijus (angl. </w:t>
      </w:r>
      <w:proofErr w:type="spellStart"/>
      <w:r w:rsidR="006F6DDD" w:rsidRPr="004F572A">
        <w:rPr>
          <w:rFonts w:eastAsia="Calibri"/>
          <w:i/>
          <w:iCs/>
          <w:sz w:val="22"/>
          <w:szCs w:val="22"/>
        </w:rPr>
        <w:t>Response</w:t>
      </w:r>
      <w:proofErr w:type="spellEnd"/>
      <w:r w:rsidR="006F6DDD" w:rsidRPr="004F572A">
        <w:rPr>
          <w:rFonts w:eastAsia="Calibri"/>
          <w:i/>
          <w:iCs/>
          <w:sz w:val="22"/>
          <w:szCs w:val="22"/>
        </w:rPr>
        <w:t xml:space="preserve"> </w:t>
      </w:r>
      <w:proofErr w:type="spellStart"/>
      <w:r w:rsidR="006F6DDD" w:rsidRPr="004F572A">
        <w:rPr>
          <w:rFonts w:eastAsia="Calibri"/>
          <w:i/>
          <w:iCs/>
          <w:sz w:val="22"/>
          <w:szCs w:val="22"/>
        </w:rPr>
        <w:t>Evaluation</w:t>
      </w:r>
      <w:proofErr w:type="spellEnd"/>
      <w:r w:rsidR="006F6DDD" w:rsidRPr="004F572A">
        <w:rPr>
          <w:rFonts w:eastAsia="Calibri"/>
          <w:i/>
          <w:iCs/>
          <w:sz w:val="22"/>
          <w:szCs w:val="22"/>
        </w:rPr>
        <w:t xml:space="preserve"> </w:t>
      </w:r>
      <w:proofErr w:type="spellStart"/>
      <w:r w:rsidR="006F6DDD" w:rsidRPr="004F572A">
        <w:rPr>
          <w:rFonts w:eastAsia="Calibri"/>
          <w:i/>
          <w:iCs/>
          <w:sz w:val="22"/>
          <w:szCs w:val="22"/>
        </w:rPr>
        <w:t>Criteria</w:t>
      </w:r>
      <w:proofErr w:type="spellEnd"/>
      <w:r w:rsidR="006F6DDD" w:rsidRPr="004F572A">
        <w:rPr>
          <w:rFonts w:eastAsia="Calibri"/>
          <w:i/>
          <w:iCs/>
          <w:sz w:val="22"/>
          <w:szCs w:val="22"/>
        </w:rPr>
        <w:t xml:space="preserve"> </w:t>
      </w:r>
      <w:proofErr w:type="spellStart"/>
      <w:r w:rsidR="006F6DDD" w:rsidRPr="004F572A">
        <w:rPr>
          <w:rFonts w:eastAsia="Calibri"/>
          <w:i/>
          <w:iCs/>
          <w:sz w:val="22"/>
          <w:szCs w:val="22"/>
        </w:rPr>
        <w:t>in</w:t>
      </w:r>
      <w:proofErr w:type="spellEnd"/>
      <w:r w:rsidR="006F6DDD" w:rsidRPr="004F572A">
        <w:rPr>
          <w:rFonts w:eastAsia="Calibri"/>
          <w:i/>
          <w:iCs/>
          <w:sz w:val="22"/>
          <w:szCs w:val="22"/>
        </w:rPr>
        <w:t xml:space="preserve"> </w:t>
      </w:r>
      <w:proofErr w:type="spellStart"/>
      <w:r w:rsidR="006F6DDD" w:rsidRPr="004F572A">
        <w:rPr>
          <w:rFonts w:eastAsia="Calibri"/>
          <w:i/>
          <w:iCs/>
          <w:sz w:val="22"/>
          <w:szCs w:val="22"/>
        </w:rPr>
        <w:t>Solid</w:t>
      </w:r>
      <w:proofErr w:type="spellEnd"/>
      <w:r w:rsidR="006F6DDD" w:rsidRPr="004F572A">
        <w:rPr>
          <w:rFonts w:eastAsia="Calibri"/>
          <w:i/>
          <w:iCs/>
          <w:sz w:val="22"/>
          <w:szCs w:val="22"/>
        </w:rPr>
        <w:t xml:space="preserve"> </w:t>
      </w:r>
      <w:proofErr w:type="spellStart"/>
      <w:r w:rsidR="006F6DDD" w:rsidRPr="004F572A">
        <w:rPr>
          <w:rFonts w:eastAsia="Calibri"/>
          <w:i/>
          <w:iCs/>
          <w:sz w:val="22"/>
          <w:szCs w:val="22"/>
        </w:rPr>
        <w:t>Tumours</w:t>
      </w:r>
      <w:proofErr w:type="spellEnd"/>
      <w:r w:rsidR="006F6DDD" w:rsidRPr="004F572A">
        <w:rPr>
          <w:rFonts w:eastAsia="Calibri"/>
          <w:sz w:val="22"/>
          <w:szCs w:val="22"/>
        </w:rPr>
        <w:t xml:space="preserve">, RECIST) 1.1. </w:t>
      </w:r>
      <w:r>
        <w:rPr>
          <w:rFonts w:eastAsia="Calibri"/>
          <w:sz w:val="22"/>
          <w:szCs w:val="22"/>
        </w:rPr>
        <w:t>Tarp a</w:t>
      </w:r>
      <w:r w:rsidR="004735E8" w:rsidRPr="004F572A">
        <w:rPr>
          <w:rFonts w:eastAsia="Calibri"/>
          <w:sz w:val="22"/>
          <w:szCs w:val="22"/>
        </w:rPr>
        <w:t>ntraeil</w:t>
      </w:r>
      <w:r>
        <w:rPr>
          <w:rFonts w:eastAsia="Calibri"/>
          <w:sz w:val="22"/>
          <w:szCs w:val="22"/>
        </w:rPr>
        <w:t>ių</w:t>
      </w:r>
      <w:r w:rsidR="006F6DDD" w:rsidRPr="004F572A">
        <w:rPr>
          <w:rFonts w:eastAsia="Calibri"/>
          <w:sz w:val="22"/>
          <w:szCs w:val="22"/>
        </w:rPr>
        <w:t xml:space="preserve"> veiksmingumo pasekmių </w:t>
      </w:r>
      <w:r w:rsidR="004735E8" w:rsidRPr="004F572A">
        <w:rPr>
          <w:rFonts w:eastAsia="Calibri"/>
          <w:sz w:val="22"/>
          <w:szCs w:val="22"/>
        </w:rPr>
        <w:t>vertin</w:t>
      </w:r>
      <w:r>
        <w:rPr>
          <w:rFonts w:eastAsia="Calibri"/>
          <w:sz w:val="22"/>
          <w:szCs w:val="22"/>
        </w:rPr>
        <w:t>i</w:t>
      </w:r>
      <w:r w:rsidR="004735E8" w:rsidRPr="004F572A">
        <w:rPr>
          <w:rFonts w:eastAsia="Calibri"/>
          <w:sz w:val="22"/>
          <w:szCs w:val="22"/>
        </w:rPr>
        <w:t>mo</w:t>
      </w:r>
      <w:r>
        <w:rPr>
          <w:rFonts w:eastAsia="Calibri"/>
          <w:sz w:val="22"/>
          <w:szCs w:val="22"/>
        </w:rPr>
        <w:t xml:space="preserve"> priemonių</w:t>
      </w:r>
      <w:r w:rsidR="006F6DDD" w:rsidRPr="004F572A">
        <w:rPr>
          <w:rFonts w:eastAsia="Calibri"/>
          <w:sz w:val="22"/>
          <w:szCs w:val="22"/>
        </w:rPr>
        <w:t xml:space="preserve"> buvo bendras atsako į gydymą dažnis ir bendras išgyvenamumas. Placebo grupės pacientai patvirtinto ligos progresavimo metu galėjo rinktis gydymą </w:t>
      </w:r>
      <w:proofErr w:type="spellStart"/>
      <w:r w:rsidR="006F6DDD" w:rsidRPr="004F572A">
        <w:rPr>
          <w:rFonts w:eastAsia="Calibri"/>
          <w:sz w:val="22"/>
          <w:szCs w:val="22"/>
        </w:rPr>
        <w:t>lenvatinibu</w:t>
      </w:r>
      <w:proofErr w:type="spellEnd"/>
      <w:r w:rsidR="006F6DDD" w:rsidRPr="004F572A">
        <w:rPr>
          <w:rFonts w:eastAsia="Calibri"/>
          <w:sz w:val="22"/>
          <w:szCs w:val="22"/>
        </w:rPr>
        <w:t>.</w:t>
      </w:r>
    </w:p>
    <w:p w14:paraId="19217945" w14:textId="77777777" w:rsidR="004735E8" w:rsidRPr="004F572A" w:rsidRDefault="004735E8" w:rsidP="006F6DDD">
      <w:pPr>
        <w:widowControl w:val="0"/>
        <w:tabs>
          <w:tab w:val="clear" w:pos="567"/>
        </w:tabs>
        <w:rPr>
          <w:rFonts w:eastAsia="Calibri"/>
          <w:sz w:val="22"/>
          <w:szCs w:val="22"/>
        </w:rPr>
      </w:pPr>
    </w:p>
    <w:p w14:paraId="4CB767A7" w14:textId="7BBABC22" w:rsidR="00010AC1" w:rsidRPr="004F572A" w:rsidRDefault="006F6DDD" w:rsidP="00010AC1">
      <w:pPr>
        <w:widowControl w:val="0"/>
        <w:tabs>
          <w:tab w:val="clear" w:pos="567"/>
        </w:tabs>
        <w:rPr>
          <w:rFonts w:eastAsia="Calibri"/>
          <w:sz w:val="22"/>
          <w:szCs w:val="22"/>
        </w:rPr>
      </w:pPr>
      <w:r w:rsidRPr="004F572A">
        <w:rPr>
          <w:rFonts w:eastAsia="Calibri"/>
          <w:sz w:val="22"/>
          <w:szCs w:val="22"/>
        </w:rPr>
        <w:t>Kriterijus atitinkantiems pacientams, kurių ligą buvo galima vertinti pagal RECIST 1.1, atsitiktinių imčių būdu buvo skirta vartoti 24</w:t>
      </w:r>
      <w:r w:rsidR="004735E8" w:rsidRPr="004F572A">
        <w:rPr>
          <w:rFonts w:eastAsia="Calibri"/>
          <w:sz w:val="22"/>
          <w:szCs w:val="22"/>
        </w:rPr>
        <w:t> </w:t>
      </w:r>
      <w:r w:rsidRPr="004F572A">
        <w:rPr>
          <w:rFonts w:eastAsia="Calibri"/>
          <w:sz w:val="22"/>
          <w:szCs w:val="22"/>
        </w:rPr>
        <w:t xml:space="preserve">mg </w:t>
      </w:r>
      <w:proofErr w:type="spellStart"/>
      <w:r w:rsidRPr="004F572A">
        <w:rPr>
          <w:rFonts w:eastAsia="Calibri"/>
          <w:sz w:val="22"/>
          <w:szCs w:val="22"/>
        </w:rPr>
        <w:t>lenvatinibo</w:t>
      </w:r>
      <w:proofErr w:type="spellEnd"/>
      <w:r w:rsidRPr="004F572A">
        <w:rPr>
          <w:rFonts w:eastAsia="Calibri"/>
          <w:sz w:val="22"/>
          <w:szCs w:val="22"/>
        </w:rPr>
        <w:t xml:space="preserve"> kartą per parą (n</w:t>
      </w:r>
      <w:r w:rsidR="00115D7F">
        <w:rPr>
          <w:rFonts w:eastAsia="Calibri"/>
          <w:sz w:val="22"/>
          <w:szCs w:val="22"/>
        </w:rPr>
        <w:t> </w:t>
      </w:r>
      <w:r w:rsidRPr="004F572A">
        <w:rPr>
          <w:rFonts w:eastAsia="Calibri"/>
          <w:sz w:val="22"/>
          <w:szCs w:val="22"/>
        </w:rPr>
        <w:t>=</w:t>
      </w:r>
      <w:r w:rsidR="00115D7F">
        <w:rPr>
          <w:rFonts w:eastAsia="Calibri"/>
          <w:sz w:val="22"/>
          <w:szCs w:val="22"/>
        </w:rPr>
        <w:t> </w:t>
      </w:r>
      <w:r w:rsidRPr="004F572A">
        <w:rPr>
          <w:rFonts w:eastAsia="Calibri"/>
          <w:sz w:val="22"/>
          <w:szCs w:val="22"/>
        </w:rPr>
        <w:t>261) arba placeb</w:t>
      </w:r>
      <w:r w:rsidR="004735E8" w:rsidRPr="004F572A">
        <w:rPr>
          <w:rFonts w:eastAsia="Calibri"/>
          <w:sz w:val="22"/>
          <w:szCs w:val="22"/>
        </w:rPr>
        <w:t>o</w:t>
      </w:r>
      <w:r w:rsidRPr="004F572A">
        <w:rPr>
          <w:rFonts w:eastAsia="Calibri"/>
          <w:sz w:val="22"/>
          <w:szCs w:val="22"/>
        </w:rPr>
        <w:t xml:space="preserve"> (n</w:t>
      </w:r>
      <w:r w:rsidR="00115D7F">
        <w:rPr>
          <w:rFonts w:eastAsia="Calibri"/>
          <w:sz w:val="22"/>
          <w:szCs w:val="22"/>
        </w:rPr>
        <w:t> </w:t>
      </w:r>
      <w:r w:rsidRPr="004F572A">
        <w:rPr>
          <w:rFonts w:eastAsia="Calibri"/>
          <w:sz w:val="22"/>
          <w:szCs w:val="22"/>
        </w:rPr>
        <w:t>=</w:t>
      </w:r>
      <w:r w:rsidR="00115D7F">
        <w:rPr>
          <w:rFonts w:eastAsia="Calibri"/>
          <w:sz w:val="22"/>
          <w:szCs w:val="22"/>
        </w:rPr>
        <w:t> </w:t>
      </w:r>
      <w:r w:rsidRPr="004F572A">
        <w:rPr>
          <w:rFonts w:eastAsia="Calibri"/>
          <w:sz w:val="22"/>
          <w:szCs w:val="22"/>
        </w:rPr>
        <w:t>131). Abiejose gydymo grupėse pradinės demografinės ir su liga susijusios charakteristikos buvo proporcingos. Iš 392 atsitiktinių imčių būdu atrinktų pacientų 76,3</w:t>
      </w:r>
      <w:r w:rsidR="004735E8" w:rsidRPr="004F572A">
        <w:rPr>
          <w:rFonts w:eastAsia="Calibri"/>
          <w:sz w:val="22"/>
          <w:szCs w:val="22"/>
        </w:rPr>
        <w:t> </w:t>
      </w:r>
      <w:r w:rsidRPr="004F572A">
        <w:rPr>
          <w:rFonts w:eastAsia="Calibri"/>
          <w:sz w:val="22"/>
          <w:szCs w:val="22"/>
        </w:rPr>
        <w:t>% VEGF/VEGFR veikiantis gydymas prieš tai nebuvo taikytas, 49,0</w:t>
      </w:r>
      <w:r w:rsidR="004735E8" w:rsidRPr="004F572A">
        <w:rPr>
          <w:rFonts w:eastAsia="Calibri"/>
          <w:sz w:val="22"/>
          <w:szCs w:val="22"/>
        </w:rPr>
        <w:t> </w:t>
      </w:r>
      <w:r w:rsidRPr="004F572A">
        <w:rPr>
          <w:rFonts w:eastAsia="Calibri"/>
          <w:sz w:val="22"/>
          <w:szCs w:val="22"/>
        </w:rPr>
        <w:t>% pacientų buvo moterys, 49,7</w:t>
      </w:r>
      <w:r w:rsidR="004735E8" w:rsidRPr="004F572A">
        <w:rPr>
          <w:rFonts w:eastAsia="Calibri"/>
          <w:sz w:val="22"/>
          <w:szCs w:val="22"/>
        </w:rPr>
        <w:t> </w:t>
      </w:r>
      <w:r w:rsidRPr="004F572A">
        <w:rPr>
          <w:rFonts w:eastAsia="Calibri"/>
          <w:sz w:val="22"/>
          <w:szCs w:val="22"/>
        </w:rPr>
        <w:t>% buvo europiečiai, amžiaus mediana buvo 63</w:t>
      </w:r>
      <w:r w:rsidR="00115D7F">
        <w:rPr>
          <w:rFonts w:eastAsia="Calibri"/>
          <w:sz w:val="22"/>
          <w:szCs w:val="22"/>
        </w:rPr>
        <w:t> </w:t>
      </w:r>
      <w:r w:rsidRPr="004F572A">
        <w:rPr>
          <w:rFonts w:eastAsia="Calibri"/>
          <w:sz w:val="22"/>
          <w:szCs w:val="22"/>
        </w:rPr>
        <w:t xml:space="preserve">metai. </w:t>
      </w:r>
      <w:proofErr w:type="spellStart"/>
      <w:r w:rsidRPr="004F572A">
        <w:rPr>
          <w:rFonts w:eastAsia="Calibri"/>
          <w:sz w:val="22"/>
          <w:szCs w:val="22"/>
        </w:rPr>
        <w:t>Histologiškai</w:t>
      </w:r>
      <w:proofErr w:type="spellEnd"/>
      <w:r w:rsidRPr="004F572A">
        <w:rPr>
          <w:rFonts w:eastAsia="Calibri"/>
          <w:sz w:val="22"/>
          <w:szCs w:val="22"/>
        </w:rPr>
        <w:t xml:space="preserve"> 66,1</w:t>
      </w:r>
      <w:r w:rsidR="004735E8" w:rsidRPr="004F572A">
        <w:rPr>
          <w:rFonts w:eastAsia="Calibri"/>
          <w:sz w:val="22"/>
          <w:szCs w:val="22"/>
        </w:rPr>
        <w:t> </w:t>
      </w:r>
      <w:r w:rsidRPr="004F572A">
        <w:rPr>
          <w:rFonts w:eastAsia="Calibri"/>
          <w:sz w:val="22"/>
          <w:szCs w:val="22"/>
        </w:rPr>
        <w:t xml:space="preserve">% buvo patvirtinta </w:t>
      </w:r>
      <w:proofErr w:type="spellStart"/>
      <w:r w:rsidRPr="004F572A">
        <w:rPr>
          <w:rFonts w:eastAsia="Calibri"/>
          <w:sz w:val="22"/>
          <w:szCs w:val="22"/>
        </w:rPr>
        <w:t>papilinio</w:t>
      </w:r>
      <w:proofErr w:type="spellEnd"/>
      <w:r w:rsidRPr="004F572A">
        <w:rPr>
          <w:rFonts w:eastAsia="Calibri"/>
          <w:sz w:val="22"/>
          <w:szCs w:val="22"/>
        </w:rPr>
        <w:t xml:space="preserve"> skydliaukės vėžio diagnozė, </w:t>
      </w:r>
      <w:r w:rsidRPr="004F572A">
        <w:rPr>
          <w:rFonts w:eastAsia="Calibri"/>
          <w:sz w:val="22"/>
          <w:szCs w:val="22"/>
        </w:rPr>
        <w:lastRenderedPageBreak/>
        <w:t>33,9</w:t>
      </w:r>
      <w:r w:rsidR="004735E8" w:rsidRPr="004F572A">
        <w:rPr>
          <w:rFonts w:eastAsia="Calibri"/>
          <w:sz w:val="22"/>
          <w:szCs w:val="22"/>
        </w:rPr>
        <w:t> </w:t>
      </w:r>
      <w:r w:rsidRPr="004F572A">
        <w:rPr>
          <w:rFonts w:eastAsia="Calibri"/>
          <w:sz w:val="22"/>
          <w:szCs w:val="22"/>
        </w:rPr>
        <w:t xml:space="preserve">% nustatytas folikulinis skydliaukės vėžys, </w:t>
      </w:r>
      <w:r w:rsidR="0021794D">
        <w:rPr>
          <w:rFonts w:eastAsia="Calibri"/>
          <w:sz w:val="22"/>
          <w:szCs w:val="22"/>
        </w:rPr>
        <w:t>kuris apėmė</w:t>
      </w:r>
      <w:r w:rsidRPr="004F572A">
        <w:rPr>
          <w:rFonts w:eastAsia="Calibri"/>
          <w:sz w:val="22"/>
          <w:szCs w:val="22"/>
        </w:rPr>
        <w:t xml:space="preserve"> </w:t>
      </w:r>
      <w:proofErr w:type="spellStart"/>
      <w:r w:rsidRPr="004F572A">
        <w:rPr>
          <w:rFonts w:eastAsia="Calibri"/>
          <w:i/>
          <w:iCs/>
          <w:sz w:val="22"/>
          <w:szCs w:val="22"/>
        </w:rPr>
        <w:t>Hürthle</w:t>
      </w:r>
      <w:proofErr w:type="spellEnd"/>
      <w:r w:rsidRPr="004F572A">
        <w:rPr>
          <w:rFonts w:eastAsia="Calibri"/>
          <w:i/>
          <w:iCs/>
          <w:sz w:val="22"/>
          <w:szCs w:val="22"/>
        </w:rPr>
        <w:t xml:space="preserve"> </w:t>
      </w:r>
      <w:r w:rsidRPr="004F572A">
        <w:rPr>
          <w:rFonts w:eastAsia="Calibri"/>
          <w:sz w:val="22"/>
          <w:szCs w:val="22"/>
        </w:rPr>
        <w:t>ląstel</w:t>
      </w:r>
      <w:r w:rsidR="0021794D">
        <w:rPr>
          <w:rFonts w:eastAsia="Calibri"/>
          <w:sz w:val="22"/>
          <w:szCs w:val="22"/>
        </w:rPr>
        <w:t>es</w:t>
      </w:r>
      <w:r w:rsidRPr="004F572A">
        <w:rPr>
          <w:rFonts w:eastAsia="Calibri"/>
          <w:sz w:val="22"/>
          <w:szCs w:val="22"/>
        </w:rPr>
        <w:t xml:space="preserve"> </w:t>
      </w:r>
      <w:r w:rsidR="0021794D" w:rsidRPr="004F572A">
        <w:rPr>
          <w:rFonts w:eastAsia="Calibri"/>
          <w:sz w:val="22"/>
          <w:szCs w:val="22"/>
        </w:rPr>
        <w:t xml:space="preserve">14,8 % </w:t>
      </w:r>
      <w:r w:rsidRPr="004F572A">
        <w:rPr>
          <w:rFonts w:eastAsia="Calibri"/>
          <w:sz w:val="22"/>
          <w:szCs w:val="22"/>
        </w:rPr>
        <w:t xml:space="preserve">ir </w:t>
      </w:r>
      <w:r w:rsidR="0021794D" w:rsidRPr="004F572A">
        <w:rPr>
          <w:rFonts w:eastAsia="Calibri"/>
          <w:sz w:val="22"/>
          <w:szCs w:val="22"/>
        </w:rPr>
        <w:t>skaidri</w:t>
      </w:r>
      <w:r w:rsidR="0021794D">
        <w:rPr>
          <w:rFonts w:eastAsia="Calibri"/>
          <w:sz w:val="22"/>
          <w:szCs w:val="22"/>
        </w:rPr>
        <w:t>ąsias</w:t>
      </w:r>
      <w:r w:rsidR="0021794D" w:rsidRPr="004F572A">
        <w:rPr>
          <w:rFonts w:eastAsia="Calibri"/>
          <w:sz w:val="22"/>
          <w:szCs w:val="22"/>
        </w:rPr>
        <w:t xml:space="preserve"> ląstel</w:t>
      </w:r>
      <w:r w:rsidR="0021794D">
        <w:rPr>
          <w:rFonts w:eastAsia="Calibri"/>
          <w:sz w:val="22"/>
          <w:szCs w:val="22"/>
        </w:rPr>
        <w:t>es</w:t>
      </w:r>
      <w:r w:rsidR="0021794D" w:rsidRPr="004F572A">
        <w:rPr>
          <w:rFonts w:eastAsia="Calibri"/>
          <w:sz w:val="22"/>
          <w:szCs w:val="22"/>
        </w:rPr>
        <w:t xml:space="preserve"> </w:t>
      </w:r>
      <w:r w:rsidR="004735E8" w:rsidRPr="004F572A">
        <w:rPr>
          <w:rFonts w:eastAsia="Calibri"/>
          <w:sz w:val="22"/>
          <w:szCs w:val="22"/>
        </w:rPr>
        <w:t>3,8 %</w:t>
      </w:r>
      <w:r w:rsidRPr="004F572A">
        <w:rPr>
          <w:rFonts w:eastAsia="Calibri"/>
          <w:sz w:val="22"/>
          <w:szCs w:val="22"/>
        </w:rPr>
        <w:t>. Metastaz</w:t>
      </w:r>
      <w:r w:rsidR="0021794D">
        <w:rPr>
          <w:rFonts w:eastAsia="Calibri"/>
          <w:sz w:val="22"/>
          <w:szCs w:val="22"/>
        </w:rPr>
        <w:t>ės</w:t>
      </w:r>
      <w:r w:rsidRPr="004F572A">
        <w:rPr>
          <w:rFonts w:eastAsia="Calibri"/>
          <w:sz w:val="22"/>
          <w:szCs w:val="22"/>
        </w:rPr>
        <w:t xml:space="preserve"> aptikt</w:t>
      </w:r>
      <w:r w:rsidR="0021794D">
        <w:rPr>
          <w:rFonts w:eastAsia="Calibri"/>
          <w:sz w:val="22"/>
          <w:szCs w:val="22"/>
        </w:rPr>
        <w:t>os</w:t>
      </w:r>
      <w:r w:rsidRPr="004F572A">
        <w:rPr>
          <w:rFonts w:eastAsia="Calibri"/>
          <w:sz w:val="22"/>
          <w:szCs w:val="22"/>
        </w:rPr>
        <w:t xml:space="preserve"> 99</w:t>
      </w:r>
      <w:r w:rsidR="00115D7F">
        <w:rPr>
          <w:rFonts w:eastAsia="Calibri"/>
          <w:sz w:val="22"/>
          <w:szCs w:val="22"/>
        </w:rPr>
        <w:t> </w:t>
      </w:r>
      <w:r w:rsidRPr="004F572A">
        <w:rPr>
          <w:rFonts w:eastAsia="Calibri"/>
          <w:sz w:val="22"/>
          <w:szCs w:val="22"/>
        </w:rPr>
        <w:t>% pacientų: plaučiuose – 89,3</w:t>
      </w:r>
      <w:r w:rsidR="00EB22C4" w:rsidRPr="004F572A">
        <w:rPr>
          <w:rFonts w:eastAsia="Calibri"/>
          <w:sz w:val="22"/>
          <w:szCs w:val="22"/>
        </w:rPr>
        <w:t> </w:t>
      </w:r>
      <w:r w:rsidRPr="004F572A">
        <w:rPr>
          <w:rFonts w:eastAsia="Calibri"/>
          <w:sz w:val="22"/>
          <w:szCs w:val="22"/>
        </w:rPr>
        <w:t>%, limfmazgiuose – 51,5</w:t>
      </w:r>
      <w:r w:rsidR="00EB22C4" w:rsidRPr="004F572A">
        <w:rPr>
          <w:rFonts w:eastAsia="Calibri"/>
          <w:sz w:val="22"/>
          <w:szCs w:val="22"/>
        </w:rPr>
        <w:t> </w:t>
      </w:r>
      <w:r w:rsidRPr="004F572A">
        <w:rPr>
          <w:rFonts w:eastAsia="Calibri"/>
          <w:sz w:val="22"/>
          <w:szCs w:val="22"/>
        </w:rPr>
        <w:t>%, kauluose – 38,8</w:t>
      </w:r>
      <w:r w:rsidR="00EB22C4" w:rsidRPr="004F572A">
        <w:rPr>
          <w:rFonts w:eastAsia="Calibri"/>
          <w:sz w:val="22"/>
          <w:szCs w:val="22"/>
        </w:rPr>
        <w:t> </w:t>
      </w:r>
      <w:r w:rsidRPr="004F572A">
        <w:rPr>
          <w:rFonts w:eastAsia="Calibri"/>
          <w:sz w:val="22"/>
          <w:szCs w:val="22"/>
        </w:rPr>
        <w:t>%, kepenyse – 18,1</w:t>
      </w:r>
      <w:r w:rsidR="00EB22C4" w:rsidRPr="004F572A">
        <w:rPr>
          <w:rFonts w:eastAsia="Calibri"/>
          <w:sz w:val="22"/>
          <w:szCs w:val="22"/>
        </w:rPr>
        <w:t> </w:t>
      </w:r>
      <w:r w:rsidRPr="004F572A">
        <w:rPr>
          <w:rFonts w:eastAsia="Calibri"/>
          <w:sz w:val="22"/>
          <w:szCs w:val="22"/>
        </w:rPr>
        <w:t>%, pleuroje – 16,3</w:t>
      </w:r>
      <w:r w:rsidR="00EB22C4" w:rsidRPr="004F572A">
        <w:rPr>
          <w:rFonts w:eastAsia="Calibri"/>
          <w:sz w:val="22"/>
          <w:szCs w:val="22"/>
        </w:rPr>
        <w:t> </w:t>
      </w:r>
      <w:r w:rsidRPr="004F572A">
        <w:rPr>
          <w:rFonts w:eastAsia="Calibri"/>
          <w:sz w:val="22"/>
          <w:szCs w:val="22"/>
        </w:rPr>
        <w:t>%, galvos smegenyse – 4,1</w:t>
      </w:r>
      <w:r w:rsidR="00EB22C4" w:rsidRPr="004F572A">
        <w:rPr>
          <w:rFonts w:eastAsia="Calibri"/>
          <w:sz w:val="22"/>
          <w:szCs w:val="22"/>
        </w:rPr>
        <w:t> </w:t>
      </w:r>
      <w:r w:rsidRPr="004F572A">
        <w:rPr>
          <w:rFonts w:eastAsia="Calibri"/>
          <w:sz w:val="22"/>
          <w:szCs w:val="22"/>
        </w:rPr>
        <w:t>%. Daugum</w:t>
      </w:r>
      <w:r w:rsidR="0021794D">
        <w:rPr>
          <w:rFonts w:eastAsia="Calibri"/>
          <w:sz w:val="22"/>
          <w:szCs w:val="22"/>
        </w:rPr>
        <w:t>ai</w:t>
      </w:r>
      <w:r w:rsidR="00010AC1" w:rsidRPr="004F572A">
        <w:rPr>
          <w:rFonts w:eastAsia="Calibri"/>
          <w:sz w:val="22"/>
          <w:szCs w:val="22"/>
        </w:rPr>
        <w:t xml:space="preserve"> pacientų</w:t>
      </w:r>
      <w:r w:rsidRPr="004F572A">
        <w:rPr>
          <w:rFonts w:eastAsia="Calibri"/>
          <w:sz w:val="22"/>
          <w:szCs w:val="22"/>
        </w:rPr>
        <w:t xml:space="preserve"> </w:t>
      </w:r>
      <w:r w:rsidR="0021794D">
        <w:rPr>
          <w:rFonts w:eastAsia="Calibri"/>
          <w:sz w:val="22"/>
          <w:szCs w:val="22"/>
        </w:rPr>
        <w:t xml:space="preserve">nustatyta 0 balų </w:t>
      </w:r>
      <w:r w:rsidR="00010AC1" w:rsidRPr="004F572A">
        <w:rPr>
          <w:rFonts w:eastAsia="Calibri"/>
          <w:sz w:val="22"/>
          <w:szCs w:val="22"/>
        </w:rPr>
        <w:t>funkcinė būklė pagal ECOG klasifikaciją</w:t>
      </w:r>
      <w:r w:rsidRPr="004F572A">
        <w:rPr>
          <w:rFonts w:eastAsia="Calibri"/>
          <w:sz w:val="22"/>
          <w:szCs w:val="22"/>
        </w:rPr>
        <w:t>; 42,1</w:t>
      </w:r>
      <w:r w:rsidR="00010AC1" w:rsidRPr="004F572A">
        <w:rPr>
          <w:rFonts w:eastAsia="Calibri"/>
          <w:sz w:val="22"/>
          <w:szCs w:val="22"/>
        </w:rPr>
        <w:t> </w:t>
      </w:r>
      <w:r w:rsidRPr="004F572A">
        <w:rPr>
          <w:rFonts w:eastAsia="Calibri"/>
          <w:sz w:val="22"/>
          <w:szCs w:val="22"/>
        </w:rPr>
        <w:t xml:space="preserve">% </w:t>
      </w:r>
      <w:r w:rsidR="0021794D">
        <w:rPr>
          <w:rFonts w:eastAsia="Calibri"/>
          <w:sz w:val="22"/>
          <w:szCs w:val="22"/>
        </w:rPr>
        <w:t xml:space="preserve">nustatyta </w:t>
      </w:r>
      <w:r w:rsidRPr="004F572A">
        <w:rPr>
          <w:rFonts w:eastAsia="Calibri"/>
          <w:sz w:val="22"/>
          <w:szCs w:val="22"/>
        </w:rPr>
        <w:t>1 bal</w:t>
      </w:r>
      <w:r w:rsidR="0021794D">
        <w:rPr>
          <w:rFonts w:eastAsia="Calibri"/>
          <w:sz w:val="22"/>
          <w:szCs w:val="22"/>
        </w:rPr>
        <w:t>o būklė</w:t>
      </w:r>
      <w:r w:rsidR="00010AC1" w:rsidRPr="004F572A">
        <w:rPr>
          <w:rFonts w:eastAsia="Calibri"/>
          <w:sz w:val="22"/>
          <w:szCs w:val="22"/>
        </w:rPr>
        <w:t>,</w:t>
      </w:r>
      <w:r w:rsidRPr="004F572A">
        <w:rPr>
          <w:rFonts w:eastAsia="Calibri"/>
          <w:sz w:val="22"/>
          <w:szCs w:val="22"/>
        </w:rPr>
        <w:t xml:space="preserve"> </w:t>
      </w:r>
      <w:r w:rsidR="00010AC1" w:rsidRPr="004F572A">
        <w:rPr>
          <w:rFonts w:eastAsia="Calibri"/>
          <w:sz w:val="22"/>
          <w:szCs w:val="22"/>
        </w:rPr>
        <w:t>3,9 % –</w:t>
      </w:r>
      <w:r w:rsidR="00503CAA">
        <w:rPr>
          <w:rFonts w:eastAsia="Calibri"/>
          <w:sz w:val="22"/>
          <w:szCs w:val="22"/>
        </w:rPr>
        <w:t xml:space="preserve"> </w:t>
      </w:r>
      <w:r w:rsidR="00010AC1" w:rsidRPr="004F572A">
        <w:rPr>
          <w:rFonts w:eastAsia="Calibri"/>
          <w:sz w:val="22"/>
          <w:szCs w:val="22"/>
        </w:rPr>
        <w:t>daugiau ne</w:t>
      </w:r>
      <w:r w:rsidR="0021794D">
        <w:rPr>
          <w:rFonts w:eastAsia="Calibri"/>
          <w:sz w:val="22"/>
          <w:szCs w:val="22"/>
        </w:rPr>
        <w:t>i</w:t>
      </w:r>
      <w:r w:rsidR="00010AC1" w:rsidRPr="004F572A">
        <w:rPr>
          <w:rFonts w:eastAsia="Calibri"/>
          <w:sz w:val="22"/>
          <w:szCs w:val="22"/>
        </w:rPr>
        <w:t xml:space="preserve"> 1</w:t>
      </w:r>
      <w:r w:rsidR="00115D7F">
        <w:rPr>
          <w:rFonts w:eastAsia="Calibri"/>
          <w:sz w:val="22"/>
          <w:szCs w:val="22"/>
        </w:rPr>
        <w:t> </w:t>
      </w:r>
      <w:r w:rsidR="00010AC1" w:rsidRPr="004F572A">
        <w:rPr>
          <w:rFonts w:eastAsia="Calibri"/>
          <w:sz w:val="22"/>
          <w:szCs w:val="22"/>
        </w:rPr>
        <w:t>bal</w:t>
      </w:r>
      <w:r w:rsidR="0021794D">
        <w:rPr>
          <w:rFonts w:eastAsia="Calibri"/>
          <w:sz w:val="22"/>
          <w:szCs w:val="22"/>
        </w:rPr>
        <w:t>o būklė</w:t>
      </w:r>
      <w:r w:rsidR="00010AC1" w:rsidRPr="004F572A">
        <w:rPr>
          <w:rFonts w:eastAsia="Calibri"/>
          <w:sz w:val="22"/>
          <w:szCs w:val="22"/>
        </w:rPr>
        <w:t>. Bendro RAJ aktyvumo, skirto prieš įtraukiant į tyrimą, mediana buvo 350 </w:t>
      </w:r>
      <w:proofErr w:type="spellStart"/>
      <w:r w:rsidR="00010AC1" w:rsidRPr="004F572A">
        <w:rPr>
          <w:rFonts w:eastAsia="Calibri"/>
          <w:sz w:val="22"/>
          <w:szCs w:val="22"/>
        </w:rPr>
        <w:t>mCi</w:t>
      </w:r>
      <w:proofErr w:type="spellEnd"/>
      <w:r w:rsidR="00010AC1" w:rsidRPr="004F572A">
        <w:rPr>
          <w:rFonts w:eastAsia="Calibri"/>
          <w:sz w:val="22"/>
          <w:szCs w:val="22"/>
        </w:rPr>
        <w:t xml:space="preserve"> (12,95 </w:t>
      </w:r>
      <w:proofErr w:type="spellStart"/>
      <w:r w:rsidR="00010AC1" w:rsidRPr="004F572A">
        <w:rPr>
          <w:rFonts w:eastAsia="Calibri"/>
          <w:sz w:val="22"/>
          <w:szCs w:val="22"/>
        </w:rPr>
        <w:t>GBq</w:t>
      </w:r>
      <w:proofErr w:type="spellEnd"/>
      <w:r w:rsidR="00010AC1" w:rsidRPr="004F572A">
        <w:rPr>
          <w:rFonts w:eastAsia="Calibri"/>
          <w:sz w:val="22"/>
          <w:szCs w:val="22"/>
        </w:rPr>
        <w:t>).</w:t>
      </w:r>
    </w:p>
    <w:p w14:paraId="761B9630" w14:textId="77777777" w:rsidR="00010AC1" w:rsidRPr="004F572A" w:rsidRDefault="00010AC1" w:rsidP="00010AC1">
      <w:pPr>
        <w:widowControl w:val="0"/>
        <w:tabs>
          <w:tab w:val="clear" w:pos="567"/>
        </w:tabs>
        <w:rPr>
          <w:rFonts w:eastAsia="Calibri"/>
          <w:sz w:val="22"/>
          <w:szCs w:val="22"/>
        </w:rPr>
      </w:pPr>
    </w:p>
    <w:p w14:paraId="33105B65" w14:textId="12574474" w:rsidR="00010AC1" w:rsidRPr="004F572A" w:rsidRDefault="00010AC1" w:rsidP="008C45C7">
      <w:pPr>
        <w:widowControl w:val="0"/>
        <w:tabs>
          <w:tab w:val="clear" w:pos="567"/>
        </w:tabs>
        <w:rPr>
          <w:rFonts w:eastAsia="Calibri"/>
          <w:sz w:val="22"/>
          <w:szCs w:val="22"/>
        </w:rPr>
      </w:pPr>
      <w:proofErr w:type="spellStart"/>
      <w:r w:rsidRPr="004F572A">
        <w:rPr>
          <w:rFonts w:eastAsia="Calibri"/>
          <w:sz w:val="22"/>
          <w:szCs w:val="22"/>
        </w:rPr>
        <w:t>Lenvatinibu</w:t>
      </w:r>
      <w:proofErr w:type="spellEnd"/>
      <w:r w:rsidRPr="004F572A">
        <w:rPr>
          <w:rFonts w:eastAsia="Calibri"/>
          <w:sz w:val="22"/>
          <w:szCs w:val="22"/>
        </w:rPr>
        <w:t xml:space="preserve"> gydytiems pacientams nustatytas statistiškai reikšmingas ILN pailgėjimas, palyginti su placeb</w:t>
      </w:r>
      <w:r w:rsidR="008C45C7">
        <w:rPr>
          <w:rFonts w:eastAsia="Calibri"/>
          <w:sz w:val="22"/>
          <w:szCs w:val="22"/>
        </w:rPr>
        <w:t>o</w:t>
      </w:r>
      <w:r w:rsidRPr="004F572A">
        <w:rPr>
          <w:rFonts w:eastAsia="Calibri"/>
          <w:sz w:val="22"/>
          <w:szCs w:val="22"/>
        </w:rPr>
        <w:t xml:space="preserve"> vartojusiais pacientais (p</w:t>
      </w:r>
      <w:r w:rsidR="00115D7F">
        <w:rPr>
          <w:rFonts w:eastAsia="Calibri"/>
          <w:sz w:val="22"/>
          <w:szCs w:val="22"/>
        </w:rPr>
        <w:t> </w:t>
      </w:r>
      <w:r w:rsidRPr="004F572A">
        <w:rPr>
          <w:rFonts w:eastAsia="Calibri"/>
          <w:sz w:val="22"/>
          <w:szCs w:val="22"/>
        </w:rPr>
        <w:t>&lt;</w:t>
      </w:r>
      <w:r w:rsidR="00115D7F">
        <w:rPr>
          <w:rFonts w:eastAsia="Calibri"/>
          <w:sz w:val="22"/>
          <w:szCs w:val="22"/>
        </w:rPr>
        <w:t> </w:t>
      </w:r>
      <w:r w:rsidRPr="004F572A">
        <w:rPr>
          <w:rFonts w:eastAsia="Calibri"/>
          <w:sz w:val="22"/>
          <w:szCs w:val="22"/>
        </w:rPr>
        <w:t>0,0001) (žr. 1</w:t>
      </w:r>
      <w:r w:rsidR="00115D7F">
        <w:rPr>
          <w:rFonts w:eastAsia="Calibri"/>
          <w:sz w:val="22"/>
          <w:szCs w:val="22"/>
        </w:rPr>
        <w:t> </w:t>
      </w:r>
      <w:r w:rsidRPr="004F572A">
        <w:rPr>
          <w:rFonts w:eastAsia="Calibri"/>
          <w:sz w:val="22"/>
          <w:szCs w:val="22"/>
        </w:rPr>
        <w:t xml:space="preserve">pav.). </w:t>
      </w:r>
      <w:r w:rsidR="008C45C7">
        <w:rPr>
          <w:rFonts w:eastAsia="Calibri"/>
          <w:sz w:val="22"/>
          <w:szCs w:val="22"/>
        </w:rPr>
        <w:t>Teigiamas</w:t>
      </w:r>
      <w:r w:rsidR="008C45C7" w:rsidRPr="004F572A">
        <w:rPr>
          <w:rFonts w:eastAsia="Calibri"/>
          <w:sz w:val="22"/>
          <w:szCs w:val="22"/>
        </w:rPr>
        <w:t xml:space="preserve"> </w:t>
      </w:r>
      <w:r w:rsidRPr="004F572A">
        <w:rPr>
          <w:rFonts w:eastAsia="Calibri"/>
          <w:sz w:val="22"/>
          <w:szCs w:val="22"/>
        </w:rPr>
        <w:t>poveikis ILN nustatytas visuose amžiaus (</w:t>
      </w:r>
      <w:r w:rsidR="008C45C7">
        <w:rPr>
          <w:rFonts w:eastAsia="Calibri"/>
          <w:sz w:val="22"/>
          <w:szCs w:val="22"/>
        </w:rPr>
        <w:t xml:space="preserve">iki ar </w:t>
      </w:r>
      <w:r w:rsidRPr="004F572A">
        <w:rPr>
          <w:rFonts w:eastAsia="Calibri"/>
          <w:sz w:val="22"/>
          <w:szCs w:val="22"/>
        </w:rPr>
        <w:t>virš 65</w:t>
      </w:r>
      <w:r w:rsidR="00115D7F">
        <w:rPr>
          <w:rFonts w:eastAsia="Calibri"/>
          <w:sz w:val="22"/>
          <w:szCs w:val="22"/>
        </w:rPr>
        <w:t> </w:t>
      </w:r>
      <w:r w:rsidRPr="004F572A">
        <w:rPr>
          <w:rFonts w:eastAsia="Calibri"/>
          <w:sz w:val="22"/>
          <w:szCs w:val="22"/>
        </w:rPr>
        <w:t>metų), lyties, rasės, histologinio potipio, geografinio regiono pogrupiuose ir pacientams, kuriems prieš tai neskirtas nė vienas (0) arba skirtas 1 VEGF/VEGFR veikiantis gydymas. Nepriklausoma analize patvirtinus ligos progresavimą, 109 (83,2 %) pacientai, atsitiktinių imčių būdu atrinkti vartoti placeb</w:t>
      </w:r>
      <w:r w:rsidR="008C45C7">
        <w:rPr>
          <w:rFonts w:eastAsia="Calibri"/>
          <w:sz w:val="22"/>
          <w:szCs w:val="22"/>
        </w:rPr>
        <w:t>o</w:t>
      </w:r>
      <w:r w:rsidRPr="004F572A">
        <w:rPr>
          <w:rFonts w:eastAsia="Calibri"/>
          <w:sz w:val="22"/>
          <w:szCs w:val="22"/>
        </w:rPr>
        <w:t xml:space="preserve">, </w:t>
      </w:r>
      <w:r w:rsidR="008C45C7">
        <w:rPr>
          <w:rFonts w:eastAsia="Calibri"/>
          <w:sz w:val="22"/>
          <w:szCs w:val="22"/>
        </w:rPr>
        <w:t>pirminės</w:t>
      </w:r>
      <w:r w:rsidR="008C45C7" w:rsidRPr="004F572A">
        <w:rPr>
          <w:rFonts w:eastAsia="Calibri"/>
          <w:sz w:val="22"/>
          <w:szCs w:val="22"/>
        </w:rPr>
        <w:t xml:space="preserve"> </w:t>
      </w:r>
      <w:r w:rsidRPr="004F572A">
        <w:rPr>
          <w:rFonts w:eastAsia="Calibri"/>
          <w:sz w:val="22"/>
          <w:szCs w:val="22"/>
        </w:rPr>
        <w:t xml:space="preserve">veiksmingumo analizės metu </w:t>
      </w:r>
      <w:r w:rsidR="008C45C7" w:rsidRPr="008C45C7">
        <w:rPr>
          <w:rFonts w:eastAsia="Calibri"/>
          <w:sz w:val="22"/>
          <w:szCs w:val="22"/>
        </w:rPr>
        <w:t xml:space="preserve">pradėjo vartoti </w:t>
      </w:r>
      <w:proofErr w:type="spellStart"/>
      <w:r w:rsidR="008C45C7" w:rsidRPr="008C45C7">
        <w:rPr>
          <w:rFonts w:eastAsia="Calibri"/>
          <w:sz w:val="22"/>
          <w:szCs w:val="22"/>
        </w:rPr>
        <w:t>lenvatinib</w:t>
      </w:r>
      <w:r w:rsidR="008C45C7">
        <w:rPr>
          <w:rFonts w:eastAsia="Calibri"/>
          <w:sz w:val="22"/>
          <w:szCs w:val="22"/>
        </w:rPr>
        <w:t>o</w:t>
      </w:r>
      <w:proofErr w:type="spellEnd"/>
      <w:r w:rsidR="008C45C7">
        <w:rPr>
          <w:rFonts w:eastAsia="Calibri"/>
          <w:sz w:val="22"/>
          <w:szCs w:val="22"/>
        </w:rPr>
        <w:t xml:space="preserve"> </w:t>
      </w:r>
      <w:r w:rsidR="008C45C7" w:rsidRPr="008C45C7">
        <w:rPr>
          <w:rFonts w:eastAsia="Calibri"/>
          <w:sz w:val="22"/>
          <w:szCs w:val="22"/>
        </w:rPr>
        <w:t>nekontroliuojant placebu</w:t>
      </w:r>
      <w:r w:rsidRPr="004F572A">
        <w:rPr>
          <w:rFonts w:eastAsia="Calibri"/>
          <w:sz w:val="22"/>
          <w:szCs w:val="22"/>
        </w:rPr>
        <w:t>.</w:t>
      </w:r>
    </w:p>
    <w:p w14:paraId="63FD0E2E" w14:textId="77777777" w:rsidR="006A4795" w:rsidRPr="004F572A" w:rsidRDefault="006A4795" w:rsidP="00010AC1">
      <w:pPr>
        <w:widowControl w:val="0"/>
        <w:tabs>
          <w:tab w:val="clear" w:pos="567"/>
        </w:tabs>
        <w:rPr>
          <w:rFonts w:eastAsia="Calibri"/>
          <w:sz w:val="22"/>
          <w:szCs w:val="22"/>
        </w:rPr>
      </w:pPr>
    </w:p>
    <w:p w14:paraId="158EF07C" w14:textId="73BDE93C" w:rsidR="00010AC1" w:rsidRPr="004F572A" w:rsidRDefault="00010AC1" w:rsidP="00010AC1">
      <w:pPr>
        <w:widowControl w:val="0"/>
        <w:tabs>
          <w:tab w:val="clear" w:pos="567"/>
        </w:tabs>
        <w:rPr>
          <w:rFonts w:eastAsia="Calibri"/>
          <w:sz w:val="22"/>
          <w:szCs w:val="22"/>
        </w:rPr>
      </w:pPr>
      <w:r w:rsidRPr="004F572A">
        <w:rPr>
          <w:rFonts w:eastAsia="Calibri"/>
          <w:sz w:val="22"/>
          <w:szCs w:val="22"/>
        </w:rPr>
        <w:t>Objektyvaus atsako dažnis (visiškas atsakas [VA] plius dalinis atsakas [DA]) pagal nepriklausomą radiologinę analizę buvo reikšmingai (p</w:t>
      </w:r>
      <w:r w:rsidR="00115D7F">
        <w:rPr>
          <w:rFonts w:eastAsia="Calibri"/>
          <w:sz w:val="22"/>
          <w:szCs w:val="22"/>
        </w:rPr>
        <w:t> </w:t>
      </w:r>
      <w:r w:rsidRPr="004F572A">
        <w:rPr>
          <w:rFonts w:eastAsia="Calibri"/>
          <w:sz w:val="22"/>
          <w:szCs w:val="22"/>
        </w:rPr>
        <w:t>&lt;</w:t>
      </w:r>
      <w:r w:rsidR="006A4795" w:rsidRPr="004F572A">
        <w:rPr>
          <w:rFonts w:eastAsia="Calibri"/>
          <w:sz w:val="22"/>
          <w:szCs w:val="22"/>
        </w:rPr>
        <w:t> </w:t>
      </w:r>
      <w:r w:rsidRPr="004F572A">
        <w:rPr>
          <w:rFonts w:eastAsia="Calibri"/>
          <w:sz w:val="22"/>
          <w:szCs w:val="22"/>
        </w:rPr>
        <w:t xml:space="preserve">0,0001) didesnis </w:t>
      </w:r>
      <w:proofErr w:type="spellStart"/>
      <w:r w:rsidRPr="004F572A">
        <w:rPr>
          <w:rFonts w:eastAsia="Calibri"/>
          <w:sz w:val="22"/>
          <w:szCs w:val="22"/>
        </w:rPr>
        <w:t>lenvatinibu</w:t>
      </w:r>
      <w:proofErr w:type="spellEnd"/>
      <w:r w:rsidRPr="004F572A">
        <w:rPr>
          <w:rFonts w:eastAsia="Calibri"/>
          <w:sz w:val="22"/>
          <w:szCs w:val="22"/>
        </w:rPr>
        <w:t xml:space="preserve"> gydytoje grupėje (64,8</w:t>
      </w:r>
      <w:r w:rsidR="006A4795" w:rsidRPr="004F572A">
        <w:rPr>
          <w:rFonts w:eastAsia="Calibri"/>
          <w:sz w:val="22"/>
          <w:szCs w:val="22"/>
        </w:rPr>
        <w:t> </w:t>
      </w:r>
      <w:r w:rsidRPr="004F572A">
        <w:rPr>
          <w:rFonts w:eastAsia="Calibri"/>
          <w:sz w:val="22"/>
          <w:szCs w:val="22"/>
        </w:rPr>
        <w:t>%) nei placeb</w:t>
      </w:r>
      <w:r w:rsidR="008C45C7">
        <w:rPr>
          <w:rFonts w:eastAsia="Calibri"/>
          <w:sz w:val="22"/>
          <w:szCs w:val="22"/>
        </w:rPr>
        <w:t>u gydytoje</w:t>
      </w:r>
      <w:r w:rsidRPr="004F572A">
        <w:rPr>
          <w:rFonts w:eastAsia="Calibri"/>
          <w:sz w:val="22"/>
          <w:szCs w:val="22"/>
        </w:rPr>
        <w:t xml:space="preserve"> grupėje (1,5</w:t>
      </w:r>
      <w:r w:rsidR="006A4795" w:rsidRPr="004F572A">
        <w:rPr>
          <w:rFonts w:eastAsia="Calibri"/>
          <w:sz w:val="22"/>
          <w:szCs w:val="22"/>
        </w:rPr>
        <w:t> </w:t>
      </w:r>
      <w:r w:rsidRPr="004F572A">
        <w:rPr>
          <w:rFonts w:eastAsia="Calibri"/>
          <w:sz w:val="22"/>
          <w:szCs w:val="22"/>
        </w:rPr>
        <w:t>%). Keturi (1,5</w:t>
      </w:r>
      <w:r w:rsidR="006A4795" w:rsidRPr="004F572A">
        <w:rPr>
          <w:rFonts w:eastAsia="Calibri"/>
          <w:sz w:val="22"/>
          <w:szCs w:val="22"/>
        </w:rPr>
        <w:t> </w:t>
      </w:r>
      <w:r w:rsidRPr="004F572A">
        <w:rPr>
          <w:rFonts w:eastAsia="Calibri"/>
          <w:sz w:val="22"/>
          <w:szCs w:val="22"/>
        </w:rPr>
        <w:t xml:space="preserve">%) </w:t>
      </w:r>
      <w:proofErr w:type="spellStart"/>
      <w:r w:rsidRPr="004F572A">
        <w:rPr>
          <w:rFonts w:eastAsia="Calibri"/>
          <w:sz w:val="22"/>
          <w:szCs w:val="22"/>
        </w:rPr>
        <w:t>lenvatinibu</w:t>
      </w:r>
      <w:proofErr w:type="spellEnd"/>
      <w:r w:rsidRPr="004F572A">
        <w:rPr>
          <w:rFonts w:eastAsia="Calibri"/>
          <w:sz w:val="22"/>
          <w:szCs w:val="22"/>
        </w:rPr>
        <w:t xml:space="preserve"> gydyti tiriamieji pasiekė VA ir 165</w:t>
      </w:r>
      <w:r w:rsidR="00115D7F">
        <w:rPr>
          <w:rFonts w:eastAsia="Calibri"/>
          <w:sz w:val="22"/>
          <w:szCs w:val="22"/>
        </w:rPr>
        <w:t> </w:t>
      </w:r>
      <w:r w:rsidRPr="004F572A">
        <w:rPr>
          <w:rFonts w:eastAsia="Calibri"/>
          <w:sz w:val="22"/>
          <w:szCs w:val="22"/>
        </w:rPr>
        <w:t>tiriamieji (63,2</w:t>
      </w:r>
      <w:r w:rsidR="006A4795" w:rsidRPr="004F572A">
        <w:rPr>
          <w:rFonts w:eastAsia="Calibri"/>
          <w:sz w:val="22"/>
          <w:szCs w:val="22"/>
        </w:rPr>
        <w:t> </w:t>
      </w:r>
      <w:r w:rsidRPr="004F572A">
        <w:rPr>
          <w:rFonts w:eastAsia="Calibri"/>
          <w:sz w:val="22"/>
          <w:szCs w:val="22"/>
        </w:rPr>
        <w:t>%) pasiekė DA, nė vienas placeb</w:t>
      </w:r>
      <w:r w:rsidR="008C45C7">
        <w:rPr>
          <w:rFonts w:eastAsia="Calibri"/>
          <w:sz w:val="22"/>
          <w:szCs w:val="22"/>
        </w:rPr>
        <w:t>u gydytas</w:t>
      </w:r>
      <w:r w:rsidRPr="004F572A">
        <w:rPr>
          <w:rFonts w:eastAsia="Calibri"/>
          <w:sz w:val="22"/>
          <w:szCs w:val="22"/>
        </w:rPr>
        <w:t xml:space="preserve"> pacientas nepasiekė VA ir 2 (1,5</w:t>
      </w:r>
      <w:r w:rsidR="006A4795" w:rsidRPr="004F572A">
        <w:rPr>
          <w:rFonts w:eastAsia="Calibri"/>
          <w:sz w:val="22"/>
          <w:szCs w:val="22"/>
        </w:rPr>
        <w:t> </w:t>
      </w:r>
      <w:r w:rsidRPr="004F572A">
        <w:rPr>
          <w:rFonts w:eastAsia="Calibri"/>
          <w:sz w:val="22"/>
          <w:szCs w:val="22"/>
        </w:rPr>
        <w:t>%) tiriamieji pasiekė DA.</w:t>
      </w:r>
    </w:p>
    <w:p w14:paraId="00266B21" w14:textId="77777777" w:rsidR="006A4795" w:rsidRPr="004F572A" w:rsidRDefault="006A4795" w:rsidP="00010AC1">
      <w:pPr>
        <w:widowControl w:val="0"/>
        <w:tabs>
          <w:tab w:val="clear" w:pos="567"/>
        </w:tabs>
        <w:rPr>
          <w:rFonts w:eastAsia="Calibri"/>
          <w:sz w:val="22"/>
          <w:szCs w:val="22"/>
        </w:rPr>
      </w:pPr>
    </w:p>
    <w:p w14:paraId="27AC80C4" w14:textId="1E051508" w:rsidR="00010AC1" w:rsidRPr="004F572A" w:rsidRDefault="00010AC1" w:rsidP="00010AC1">
      <w:pPr>
        <w:widowControl w:val="0"/>
        <w:tabs>
          <w:tab w:val="clear" w:pos="567"/>
        </w:tabs>
        <w:rPr>
          <w:rFonts w:eastAsia="Calibri"/>
          <w:sz w:val="22"/>
          <w:szCs w:val="22"/>
        </w:rPr>
      </w:pPr>
      <w:r w:rsidRPr="004F572A">
        <w:rPr>
          <w:rFonts w:eastAsia="Calibri"/>
          <w:sz w:val="22"/>
          <w:szCs w:val="22"/>
        </w:rPr>
        <w:t>Laiko iki pirmojo dozės sumažinimo mediana buvo 2,8</w:t>
      </w:r>
      <w:r w:rsidR="00115D7F">
        <w:rPr>
          <w:rFonts w:eastAsia="Calibri"/>
          <w:sz w:val="22"/>
          <w:szCs w:val="22"/>
        </w:rPr>
        <w:t> </w:t>
      </w:r>
      <w:r w:rsidRPr="004F572A">
        <w:rPr>
          <w:rFonts w:eastAsia="Calibri"/>
          <w:sz w:val="22"/>
          <w:szCs w:val="22"/>
        </w:rPr>
        <w:t>mėnesio. Laiko iki objektyvaus atsako mediana buvo 2,0 (95</w:t>
      </w:r>
      <w:r w:rsidR="006A4795" w:rsidRPr="004F572A">
        <w:rPr>
          <w:rFonts w:eastAsia="Calibri"/>
          <w:sz w:val="22"/>
          <w:szCs w:val="22"/>
        </w:rPr>
        <w:t> </w:t>
      </w:r>
      <w:r w:rsidRPr="004F572A">
        <w:rPr>
          <w:rFonts w:eastAsia="Calibri"/>
          <w:sz w:val="22"/>
          <w:szCs w:val="22"/>
        </w:rPr>
        <w:t>% PI: 1,9, 3,5) mėnesio, tačiau 70,4</w:t>
      </w:r>
      <w:r w:rsidR="006A4795" w:rsidRPr="004F572A">
        <w:rPr>
          <w:rFonts w:eastAsia="Calibri"/>
          <w:sz w:val="22"/>
          <w:szCs w:val="22"/>
        </w:rPr>
        <w:t> </w:t>
      </w:r>
      <w:r w:rsidRPr="004F572A">
        <w:rPr>
          <w:rFonts w:eastAsia="Calibri"/>
          <w:sz w:val="22"/>
          <w:szCs w:val="22"/>
        </w:rPr>
        <w:t xml:space="preserve">% pacientų, kuriems pasireiškė visiškas arba dalinis atsakas į </w:t>
      </w:r>
      <w:proofErr w:type="spellStart"/>
      <w:r w:rsidRPr="004F572A">
        <w:rPr>
          <w:rFonts w:eastAsia="Calibri"/>
          <w:sz w:val="22"/>
          <w:szCs w:val="22"/>
        </w:rPr>
        <w:t>lenvatinibą</w:t>
      </w:r>
      <w:proofErr w:type="spellEnd"/>
      <w:r w:rsidRPr="004F572A">
        <w:rPr>
          <w:rFonts w:eastAsia="Calibri"/>
          <w:sz w:val="22"/>
          <w:szCs w:val="22"/>
        </w:rPr>
        <w:t>, atsakas pasireiškė per 30</w:t>
      </w:r>
      <w:r w:rsidR="00115D7F">
        <w:rPr>
          <w:rFonts w:eastAsia="Calibri"/>
          <w:sz w:val="22"/>
          <w:szCs w:val="22"/>
        </w:rPr>
        <w:t> </w:t>
      </w:r>
      <w:r w:rsidRPr="004F572A">
        <w:rPr>
          <w:rFonts w:eastAsia="Calibri"/>
          <w:sz w:val="22"/>
          <w:szCs w:val="22"/>
        </w:rPr>
        <w:t>dienų nuo 24</w:t>
      </w:r>
      <w:r w:rsidR="006A4795" w:rsidRPr="004F572A">
        <w:rPr>
          <w:rFonts w:eastAsia="Calibri"/>
          <w:sz w:val="22"/>
          <w:szCs w:val="22"/>
        </w:rPr>
        <w:t> </w:t>
      </w:r>
      <w:r w:rsidRPr="004F572A">
        <w:rPr>
          <w:rFonts w:eastAsia="Calibri"/>
          <w:sz w:val="22"/>
          <w:szCs w:val="22"/>
        </w:rPr>
        <w:t>mg dozės vartojimo pradžios.</w:t>
      </w:r>
    </w:p>
    <w:p w14:paraId="055440F9" w14:textId="77777777" w:rsidR="006A4795" w:rsidRPr="004F572A" w:rsidRDefault="006A4795" w:rsidP="00010AC1">
      <w:pPr>
        <w:widowControl w:val="0"/>
        <w:tabs>
          <w:tab w:val="clear" w:pos="567"/>
        </w:tabs>
        <w:rPr>
          <w:rFonts w:eastAsia="Calibri"/>
          <w:sz w:val="22"/>
          <w:szCs w:val="22"/>
        </w:rPr>
      </w:pPr>
    </w:p>
    <w:p w14:paraId="7516C779" w14:textId="6C160F2C" w:rsidR="009E0206" w:rsidRPr="004F572A" w:rsidRDefault="00010AC1" w:rsidP="00010AC1">
      <w:pPr>
        <w:widowControl w:val="0"/>
        <w:tabs>
          <w:tab w:val="clear" w:pos="567"/>
        </w:tabs>
        <w:rPr>
          <w:rFonts w:eastAsia="Calibri"/>
          <w:sz w:val="22"/>
          <w:szCs w:val="22"/>
        </w:rPr>
      </w:pPr>
      <w:r w:rsidRPr="004F572A">
        <w:rPr>
          <w:rFonts w:eastAsia="Calibri"/>
          <w:sz w:val="22"/>
          <w:szCs w:val="22"/>
        </w:rPr>
        <w:t>Bendro išgyvenamumo analizę sunkino tai, kad placeb</w:t>
      </w:r>
      <w:r w:rsidR="008C45C7">
        <w:rPr>
          <w:rFonts w:eastAsia="Calibri"/>
          <w:sz w:val="22"/>
          <w:szCs w:val="22"/>
        </w:rPr>
        <w:t>u gydyti</w:t>
      </w:r>
      <w:r w:rsidRPr="004F572A">
        <w:rPr>
          <w:rFonts w:eastAsia="Calibri"/>
          <w:sz w:val="22"/>
          <w:szCs w:val="22"/>
        </w:rPr>
        <w:t xml:space="preserve"> tiriamieji, kuriems buvo patvirtintas ligos progresavimas, galėjo </w:t>
      </w:r>
      <w:r w:rsidR="008C45C7">
        <w:rPr>
          <w:rFonts w:eastAsia="Calibri"/>
          <w:sz w:val="22"/>
          <w:szCs w:val="22"/>
        </w:rPr>
        <w:t xml:space="preserve">rinktis vartoti </w:t>
      </w:r>
      <w:proofErr w:type="spellStart"/>
      <w:r w:rsidR="008C45C7">
        <w:rPr>
          <w:rFonts w:eastAsia="Calibri"/>
          <w:sz w:val="22"/>
          <w:szCs w:val="22"/>
        </w:rPr>
        <w:t>lenvatinibo</w:t>
      </w:r>
      <w:proofErr w:type="spellEnd"/>
      <w:r w:rsidR="008C45C7">
        <w:rPr>
          <w:rFonts w:eastAsia="Calibri"/>
          <w:sz w:val="22"/>
          <w:szCs w:val="22"/>
        </w:rPr>
        <w:t xml:space="preserve"> nekontroliuojant placebu</w:t>
      </w:r>
      <w:r w:rsidRPr="004F572A">
        <w:rPr>
          <w:rFonts w:eastAsia="Calibri"/>
          <w:sz w:val="22"/>
          <w:szCs w:val="22"/>
        </w:rPr>
        <w:t xml:space="preserve">. </w:t>
      </w:r>
      <w:r w:rsidR="008C45C7">
        <w:rPr>
          <w:rFonts w:eastAsia="Calibri"/>
          <w:sz w:val="22"/>
          <w:szCs w:val="22"/>
        </w:rPr>
        <w:t>Pirminio</w:t>
      </w:r>
      <w:r w:rsidRPr="004F572A">
        <w:rPr>
          <w:rFonts w:eastAsia="Calibri"/>
          <w:sz w:val="22"/>
          <w:szCs w:val="22"/>
        </w:rPr>
        <w:t xml:space="preserve"> veiksmingumo analizės metu statistiškai reikšmingo bendro išgyvenamumo skirtumo tarp gydymo grupių nebuvo (SR</w:t>
      </w:r>
      <w:r w:rsidR="00115D7F">
        <w:rPr>
          <w:rFonts w:eastAsia="Calibri"/>
          <w:sz w:val="22"/>
          <w:szCs w:val="22"/>
        </w:rPr>
        <w:t> </w:t>
      </w:r>
      <w:r w:rsidRPr="004F572A">
        <w:rPr>
          <w:rFonts w:eastAsia="Calibri"/>
          <w:sz w:val="22"/>
          <w:szCs w:val="22"/>
        </w:rPr>
        <w:t>=</w:t>
      </w:r>
      <w:r w:rsidR="00115D7F">
        <w:rPr>
          <w:rFonts w:eastAsia="Calibri"/>
          <w:sz w:val="22"/>
          <w:szCs w:val="22"/>
        </w:rPr>
        <w:t> </w:t>
      </w:r>
      <w:r w:rsidRPr="004F572A">
        <w:rPr>
          <w:rFonts w:eastAsia="Calibri"/>
          <w:sz w:val="22"/>
          <w:szCs w:val="22"/>
        </w:rPr>
        <w:t>0,73; 95</w:t>
      </w:r>
      <w:r w:rsidR="00B006B1" w:rsidRPr="004F572A">
        <w:rPr>
          <w:rFonts w:eastAsia="Calibri"/>
          <w:sz w:val="22"/>
          <w:szCs w:val="22"/>
        </w:rPr>
        <w:t> </w:t>
      </w:r>
      <w:r w:rsidRPr="004F572A">
        <w:rPr>
          <w:rFonts w:eastAsia="Calibri"/>
          <w:sz w:val="22"/>
          <w:szCs w:val="22"/>
        </w:rPr>
        <w:t>% PI: 0,50, 1,07, p</w:t>
      </w:r>
      <w:r w:rsidR="00115D7F">
        <w:rPr>
          <w:rFonts w:eastAsia="Calibri"/>
          <w:sz w:val="22"/>
          <w:szCs w:val="22"/>
        </w:rPr>
        <w:t> </w:t>
      </w:r>
      <w:r w:rsidRPr="004F572A">
        <w:rPr>
          <w:rFonts w:eastAsia="Calibri"/>
          <w:sz w:val="22"/>
          <w:szCs w:val="22"/>
        </w:rPr>
        <w:t>=</w:t>
      </w:r>
      <w:r w:rsidR="00115D7F">
        <w:rPr>
          <w:rFonts w:eastAsia="Calibri"/>
          <w:sz w:val="22"/>
          <w:szCs w:val="22"/>
        </w:rPr>
        <w:t> </w:t>
      </w:r>
      <w:r w:rsidRPr="004F572A">
        <w:rPr>
          <w:rFonts w:eastAsia="Calibri"/>
          <w:sz w:val="22"/>
          <w:szCs w:val="22"/>
        </w:rPr>
        <w:t xml:space="preserve">0,1032). Bendro išgyvenamumo (BI) mediana </w:t>
      </w:r>
      <w:proofErr w:type="spellStart"/>
      <w:r w:rsidR="008C45C7">
        <w:rPr>
          <w:rFonts w:eastAsia="Calibri"/>
          <w:sz w:val="22"/>
          <w:szCs w:val="22"/>
        </w:rPr>
        <w:t>lenvatinibo</w:t>
      </w:r>
      <w:proofErr w:type="spellEnd"/>
      <w:r w:rsidR="008C45C7">
        <w:rPr>
          <w:rFonts w:eastAsia="Calibri"/>
          <w:sz w:val="22"/>
          <w:szCs w:val="22"/>
        </w:rPr>
        <w:t xml:space="preserve"> grupėje ir grupėje</w:t>
      </w:r>
      <w:r w:rsidRPr="004F572A">
        <w:rPr>
          <w:rFonts w:eastAsia="Calibri"/>
          <w:sz w:val="22"/>
          <w:szCs w:val="22"/>
        </w:rPr>
        <w:t xml:space="preserve">, kurioje gydymas placebu buvo pakeistas </w:t>
      </w:r>
      <w:proofErr w:type="spellStart"/>
      <w:r w:rsidRPr="004F572A">
        <w:rPr>
          <w:rFonts w:eastAsia="Calibri"/>
          <w:sz w:val="22"/>
          <w:szCs w:val="22"/>
        </w:rPr>
        <w:t>lenvatinibu</w:t>
      </w:r>
      <w:proofErr w:type="spellEnd"/>
      <w:r w:rsidR="008C45C7">
        <w:rPr>
          <w:rFonts w:eastAsia="Calibri"/>
          <w:sz w:val="22"/>
          <w:szCs w:val="22"/>
        </w:rPr>
        <w:t>, pasiekta nebuvo</w:t>
      </w:r>
      <w:r w:rsidRPr="004F572A">
        <w:rPr>
          <w:rFonts w:eastAsia="Calibri"/>
          <w:sz w:val="22"/>
          <w:szCs w:val="22"/>
        </w:rPr>
        <w:t>.</w:t>
      </w:r>
    </w:p>
    <w:p w14:paraId="4C0DBD4C" w14:textId="77777777" w:rsidR="009E0206" w:rsidRPr="004F572A" w:rsidRDefault="009E0206" w:rsidP="000928CA">
      <w:pPr>
        <w:widowControl w:val="0"/>
        <w:tabs>
          <w:tab w:val="clear" w:pos="567"/>
        </w:tabs>
        <w:rPr>
          <w:rFonts w:eastAsia="Calibri"/>
          <w:sz w:val="22"/>
          <w:szCs w:val="22"/>
        </w:rPr>
      </w:pPr>
    </w:p>
    <w:tbl>
      <w:tblPr>
        <w:tblStyle w:val="Lentelstinklelis"/>
        <w:tblW w:w="9175" w:type="dxa"/>
        <w:tblLook w:val="04A0" w:firstRow="1" w:lastRow="0" w:firstColumn="1" w:lastColumn="0" w:noHBand="0" w:noVBand="1"/>
      </w:tblPr>
      <w:tblGrid>
        <w:gridCol w:w="5305"/>
        <w:gridCol w:w="2160"/>
        <w:gridCol w:w="1710"/>
      </w:tblGrid>
      <w:tr w:rsidR="00B006B1" w:rsidRPr="004F572A" w14:paraId="033B28C1" w14:textId="77777777" w:rsidTr="00875B87">
        <w:tc>
          <w:tcPr>
            <w:tcW w:w="9175" w:type="dxa"/>
            <w:gridSpan w:val="3"/>
          </w:tcPr>
          <w:p w14:paraId="68F33EB4" w14:textId="255106D8" w:rsidR="00B006B1" w:rsidRPr="004F572A" w:rsidRDefault="00B006B1" w:rsidP="000928CA">
            <w:pPr>
              <w:widowControl w:val="0"/>
              <w:tabs>
                <w:tab w:val="clear" w:pos="567"/>
              </w:tabs>
              <w:rPr>
                <w:rFonts w:eastAsia="Calibri"/>
                <w:b/>
                <w:bCs/>
                <w:sz w:val="22"/>
                <w:szCs w:val="22"/>
              </w:rPr>
            </w:pPr>
            <w:r w:rsidRPr="004F572A">
              <w:rPr>
                <w:rFonts w:eastAsia="Calibri"/>
                <w:b/>
                <w:bCs/>
                <w:sz w:val="22"/>
                <w:szCs w:val="22"/>
              </w:rPr>
              <w:t>7</w:t>
            </w:r>
            <w:r w:rsidR="00115D7F">
              <w:rPr>
                <w:rFonts w:eastAsia="Calibri"/>
                <w:b/>
                <w:bCs/>
                <w:sz w:val="22"/>
                <w:szCs w:val="22"/>
              </w:rPr>
              <w:t> </w:t>
            </w:r>
            <w:r w:rsidRPr="004F572A">
              <w:rPr>
                <w:rFonts w:eastAsia="Calibri"/>
                <w:b/>
                <w:bCs/>
                <w:sz w:val="22"/>
                <w:szCs w:val="22"/>
              </w:rPr>
              <w:t>lentelė. Veiksmingumo rezultatai gydant DSK sergančius pacientus</w:t>
            </w:r>
          </w:p>
        </w:tc>
      </w:tr>
      <w:tr w:rsidR="00B006B1" w:rsidRPr="004F572A" w14:paraId="0DE3F43A" w14:textId="77777777" w:rsidTr="00875B87">
        <w:tc>
          <w:tcPr>
            <w:tcW w:w="5305" w:type="dxa"/>
          </w:tcPr>
          <w:p w14:paraId="0F9716BC" w14:textId="77777777" w:rsidR="00B006B1" w:rsidRPr="004F572A" w:rsidRDefault="00B006B1" w:rsidP="000928CA">
            <w:pPr>
              <w:widowControl w:val="0"/>
              <w:tabs>
                <w:tab w:val="clear" w:pos="567"/>
              </w:tabs>
              <w:rPr>
                <w:rFonts w:eastAsia="Calibri"/>
                <w:sz w:val="22"/>
                <w:szCs w:val="22"/>
              </w:rPr>
            </w:pPr>
          </w:p>
        </w:tc>
        <w:tc>
          <w:tcPr>
            <w:tcW w:w="2160" w:type="dxa"/>
          </w:tcPr>
          <w:p w14:paraId="14C26C48" w14:textId="77777777" w:rsidR="00B006B1" w:rsidRPr="004F572A" w:rsidRDefault="00B006B1" w:rsidP="00B006B1">
            <w:pPr>
              <w:widowControl w:val="0"/>
              <w:tabs>
                <w:tab w:val="clear" w:pos="567"/>
              </w:tabs>
              <w:jc w:val="center"/>
              <w:rPr>
                <w:rFonts w:eastAsia="Calibri"/>
                <w:b/>
                <w:bCs/>
                <w:sz w:val="22"/>
                <w:szCs w:val="22"/>
              </w:rPr>
            </w:pPr>
            <w:proofErr w:type="spellStart"/>
            <w:r w:rsidRPr="004F572A">
              <w:rPr>
                <w:rFonts w:eastAsia="Calibri"/>
                <w:b/>
                <w:bCs/>
                <w:sz w:val="22"/>
                <w:szCs w:val="22"/>
              </w:rPr>
              <w:t>Lenvatinibas</w:t>
            </w:r>
            <w:proofErr w:type="spellEnd"/>
          </w:p>
          <w:p w14:paraId="324FDAA1" w14:textId="4497A7C6" w:rsidR="00B006B1" w:rsidRPr="004F572A" w:rsidRDefault="00B006B1" w:rsidP="00B006B1">
            <w:pPr>
              <w:widowControl w:val="0"/>
              <w:tabs>
                <w:tab w:val="clear" w:pos="567"/>
              </w:tabs>
              <w:jc w:val="center"/>
              <w:rPr>
                <w:rFonts w:eastAsia="Calibri"/>
                <w:b/>
                <w:bCs/>
                <w:sz w:val="22"/>
                <w:szCs w:val="22"/>
              </w:rPr>
            </w:pPr>
            <w:r w:rsidRPr="004F572A">
              <w:rPr>
                <w:rFonts w:eastAsia="Calibri"/>
                <w:b/>
                <w:bCs/>
                <w:sz w:val="22"/>
                <w:szCs w:val="22"/>
              </w:rPr>
              <w:t>N</w:t>
            </w:r>
            <w:r w:rsidR="00115D7F">
              <w:rPr>
                <w:rFonts w:eastAsia="Calibri"/>
                <w:b/>
                <w:bCs/>
                <w:sz w:val="22"/>
                <w:szCs w:val="22"/>
              </w:rPr>
              <w:t> </w:t>
            </w:r>
            <w:r w:rsidRPr="004F572A">
              <w:rPr>
                <w:rFonts w:eastAsia="Calibri"/>
                <w:b/>
                <w:bCs/>
                <w:sz w:val="22"/>
                <w:szCs w:val="22"/>
              </w:rPr>
              <w:t>=</w:t>
            </w:r>
            <w:r w:rsidR="00115D7F">
              <w:rPr>
                <w:rFonts w:eastAsia="Calibri"/>
                <w:b/>
                <w:bCs/>
                <w:sz w:val="22"/>
                <w:szCs w:val="22"/>
              </w:rPr>
              <w:t> </w:t>
            </w:r>
            <w:r w:rsidRPr="004F572A">
              <w:rPr>
                <w:rFonts w:eastAsia="Calibri"/>
                <w:b/>
                <w:bCs/>
                <w:sz w:val="22"/>
                <w:szCs w:val="22"/>
              </w:rPr>
              <w:t>261</w:t>
            </w:r>
          </w:p>
        </w:tc>
        <w:tc>
          <w:tcPr>
            <w:tcW w:w="1710" w:type="dxa"/>
          </w:tcPr>
          <w:p w14:paraId="271F72DD" w14:textId="77777777" w:rsidR="00B006B1" w:rsidRPr="004F572A" w:rsidRDefault="00B006B1" w:rsidP="00B006B1">
            <w:pPr>
              <w:widowControl w:val="0"/>
              <w:tabs>
                <w:tab w:val="clear" w:pos="567"/>
              </w:tabs>
              <w:jc w:val="center"/>
              <w:rPr>
                <w:rFonts w:eastAsia="Calibri"/>
                <w:b/>
                <w:bCs/>
                <w:sz w:val="22"/>
                <w:szCs w:val="22"/>
              </w:rPr>
            </w:pPr>
            <w:r w:rsidRPr="004F572A">
              <w:rPr>
                <w:rFonts w:eastAsia="Calibri"/>
                <w:b/>
                <w:bCs/>
                <w:sz w:val="22"/>
                <w:szCs w:val="22"/>
              </w:rPr>
              <w:t>Placebas</w:t>
            </w:r>
          </w:p>
          <w:p w14:paraId="3C832309" w14:textId="33DA45B0" w:rsidR="00B006B1" w:rsidRPr="004F572A" w:rsidRDefault="00B006B1" w:rsidP="00B006B1">
            <w:pPr>
              <w:widowControl w:val="0"/>
              <w:tabs>
                <w:tab w:val="clear" w:pos="567"/>
              </w:tabs>
              <w:jc w:val="center"/>
              <w:rPr>
                <w:rFonts w:eastAsia="Calibri"/>
                <w:b/>
                <w:bCs/>
                <w:sz w:val="22"/>
                <w:szCs w:val="22"/>
              </w:rPr>
            </w:pPr>
            <w:r w:rsidRPr="004F572A">
              <w:rPr>
                <w:rFonts w:eastAsia="Calibri"/>
                <w:b/>
                <w:bCs/>
                <w:sz w:val="22"/>
                <w:szCs w:val="22"/>
              </w:rPr>
              <w:t>N</w:t>
            </w:r>
            <w:r w:rsidR="00115D7F">
              <w:rPr>
                <w:rFonts w:eastAsia="Calibri"/>
                <w:b/>
                <w:bCs/>
                <w:sz w:val="22"/>
                <w:szCs w:val="22"/>
              </w:rPr>
              <w:t> </w:t>
            </w:r>
            <w:r w:rsidRPr="004F572A">
              <w:rPr>
                <w:rFonts w:eastAsia="Calibri"/>
                <w:b/>
                <w:bCs/>
                <w:sz w:val="22"/>
                <w:szCs w:val="22"/>
              </w:rPr>
              <w:t>=</w:t>
            </w:r>
            <w:r w:rsidR="00115D7F">
              <w:rPr>
                <w:rFonts w:eastAsia="Calibri"/>
                <w:b/>
                <w:bCs/>
                <w:sz w:val="22"/>
                <w:szCs w:val="22"/>
              </w:rPr>
              <w:t> </w:t>
            </w:r>
            <w:r w:rsidRPr="004F572A">
              <w:rPr>
                <w:rFonts w:eastAsia="Calibri"/>
                <w:b/>
                <w:bCs/>
                <w:sz w:val="22"/>
                <w:szCs w:val="22"/>
              </w:rPr>
              <w:t>13</w:t>
            </w:r>
            <w:r w:rsidR="008C45C7">
              <w:rPr>
                <w:rFonts w:eastAsia="Calibri"/>
                <w:b/>
                <w:bCs/>
                <w:sz w:val="22"/>
                <w:szCs w:val="22"/>
              </w:rPr>
              <w:t>1</w:t>
            </w:r>
          </w:p>
        </w:tc>
      </w:tr>
      <w:tr w:rsidR="00B006B1" w:rsidRPr="004F572A" w14:paraId="1AE94660" w14:textId="77777777" w:rsidTr="00875B87">
        <w:tc>
          <w:tcPr>
            <w:tcW w:w="9175" w:type="dxa"/>
            <w:gridSpan w:val="3"/>
          </w:tcPr>
          <w:p w14:paraId="7D1D1462" w14:textId="6BEB2F23" w:rsidR="00B006B1" w:rsidRPr="004F572A" w:rsidRDefault="00B006B1" w:rsidP="000928CA">
            <w:pPr>
              <w:widowControl w:val="0"/>
              <w:tabs>
                <w:tab w:val="clear" w:pos="567"/>
              </w:tabs>
              <w:rPr>
                <w:rFonts w:eastAsia="Calibri"/>
                <w:b/>
                <w:bCs/>
                <w:sz w:val="22"/>
                <w:szCs w:val="22"/>
              </w:rPr>
            </w:pPr>
            <w:r w:rsidRPr="004F572A">
              <w:rPr>
                <w:rFonts w:eastAsia="Calibri"/>
                <w:b/>
                <w:bCs/>
                <w:sz w:val="22"/>
                <w:szCs w:val="22"/>
              </w:rPr>
              <w:t>Išgyvenamumas ligai neprogresuojant (ILN)</w:t>
            </w:r>
            <w:r w:rsidRPr="004F572A">
              <w:rPr>
                <w:rFonts w:eastAsia="Calibri"/>
                <w:b/>
                <w:bCs/>
                <w:sz w:val="22"/>
                <w:szCs w:val="22"/>
                <w:vertAlign w:val="superscript"/>
              </w:rPr>
              <w:t>a</w:t>
            </w:r>
          </w:p>
        </w:tc>
      </w:tr>
      <w:tr w:rsidR="00B006B1" w:rsidRPr="004F572A" w14:paraId="18A1E5BF" w14:textId="77777777" w:rsidTr="00875B87">
        <w:tc>
          <w:tcPr>
            <w:tcW w:w="5305" w:type="dxa"/>
          </w:tcPr>
          <w:p w14:paraId="023D894D" w14:textId="2EA3905B" w:rsidR="00B006B1" w:rsidRPr="004F572A" w:rsidRDefault="00875B87" w:rsidP="00875B87">
            <w:pPr>
              <w:widowControl w:val="0"/>
              <w:tabs>
                <w:tab w:val="clear" w:pos="567"/>
              </w:tabs>
              <w:ind w:left="245"/>
              <w:rPr>
                <w:rFonts w:eastAsia="Calibri"/>
                <w:sz w:val="22"/>
                <w:szCs w:val="22"/>
              </w:rPr>
            </w:pPr>
            <w:r w:rsidRPr="004F572A">
              <w:rPr>
                <w:rFonts w:eastAsia="Calibri"/>
                <w:sz w:val="22"/>
                <w:szCs w:val="22"/>
              </w:rPr>
              <w:t>Ligos progresavimo atvejų arba mirčių skaičius (%)</w:t>
            </w:r>
          </w:p>
        </w:tc>
        <w:tc>
          <w:tcPr>
            <w:tcW w:w="2160" w:type="dxa"/>
          </w:tcPr>
          <w:p w14:paraId="0DC8F9D6" w14:textId="6272941B" w:rsidR="00B006B1" w:rsidRPr="004F572A" w:rsidRDefault="00875B87" w:rsidP="00875B87">
            <w:pPr>
              <w:widowControl w:val="0"/>
              <w:tabs>
                <w:tab w:val="clear" w:pos="567"/>
              </w:tabs>
              <w:jc w:val="center"/>
              <w:rPr>
                <w:rFonts w:eastAsia="Calibri"/>
                <w:sz w:val="22"/>
                <w:szCs w:val="22"/>
              </w:rPr>
            </w:pPr>
            <w:r w:rsidRPr="004F572A">
              <w:rPr>
                <w:rFonts w:eastAsia="Calibri"/>
                <w:sz w:val="22"/>
                <w:szCs w:val="22"/>
              </w:rPr>
              <w:t>107 (41,0)</w:t>
            </w:r>
          </w:p>
        </w:tc>
        <w:tc>
          <w:tcPr>
            <w:tcW w:w="1710" w:type="dxa"/>
          </w:tcPr>
          <w:p w14:paraId="72253652" w14:textId="79CD94FD" w:rsidR="00B006B1" w:rsidRPr="004F572A" w:rsidRDefault="00875B87" w:rsidP="00875B87">
            <w:pPr>
              <w:widowControl w:val="0"/>
              <w:tabs>
                <w:tab w:val="clear" w:pos="567"/>
              </w:tabs>
              <w:jc w:val="center"/>
              <w:rPr>
                <w:rFonts w:eastAsia="Calibri"/>
                <w:sz w:val="22"/>
                <w:szCs w:val="22"/>
              </w:rPr>
            </w:pPr>
            <w:r w:rsidRPr="004F572A">
              <w:rPr>
                <w:rFonts w:eastAsia="Calibri"/>
                <w:sz w:val="22"/>
                <w:szCs w:val="22"/>
              </w:rPr>
              <w:t>113 (86,3)</w:t>
            </w:r>
          </w:p>
        </w:tc>
      </w:tr>
      <w:tr w:rsidR="00B006B1" w:rsidRPr="004F572A" w14:paraId="6C0CFA32" w14:textId="77777777" w:rsidTr="00875B87">
        <w:tc>
          <w:tcPr>
            <w:tcW w:w="5305" w:type="dxa"/>
          </w:tcPr>
          <w:p w14:paraId="15F790E7" w14:textId="77A85B62" w:rsidR="00B006B1" w:rsidRPr="004F572A" w:rsidRDefault="00875B87" w:rsidP="00875B87">
            <w:pPr>
              <w:widowControl w:val="0"/>
              <w:tabs>
                <w:tab w:val="clear" w:pos="567"/>
              </w:tabs>
              <w:ind w:left="245"/>
              <w:rPr>
                <w:rFonts w:eastAsia="Calibri"/>
                <w:sz w:val="22"/>
                <w:szCs w:val="22"/>
              </w:rPr>
            </w:pPr>
            <w:r w:rsidRPr="004F572A">
              <w:rPr>
                <w:rFonts w:eastAsia="Calibri"/>
                <w:sz w:val="22"/>
                <w:szCs w:val="22"/>
              </w:rPr>
              <w:t>ILN mediana mėnesiais (95 % PI)</w:t>
            </w:r>
          </w:p>
        </w:tc>
        <w:tc>
          <w:tcPr>
            <w:tcW w:w="2160" w:type="dxa"/>
          </w:tcPr>
          <w:p w14:paraId="557EB074" w14:textId="66F25874" w:rsidR="00B006B1" w:rsidRPr="004F572A" w:rsidRDefault="00875B87" w:rsidP="00875B87">
            <w:pPr>
              <w:widowControl w:val="0"/>
              <w:tabs>
                <w:tab w:val="clear" w:pos="567"/>
              </w:tabs>
              <w:jc w:val="center"/>
              <w:rPr>
                <w:rFonts w:eastAsia="Calibri"/>
                <w:sz w:val="22"/>
                <w:szCs w:val="22"/>
              </w:rPr>
            </w:pPr>
            <w:r w:rsidRPr="004F572A">
              <w:rPr>
                <w:rFonts w:eastAsia="Calibri"/>
                <w:sz w:val="22"/>
                <w:szCs w:val="22"/>
              </w:rPr>
              <w:t xml:space="preserve">18,3 (15,1, NĮ) </w:t>
            </w:r>
          </w:p>
        </w:tc>
        <w:tc>
          <w:tcPr>
            <w:tcW w:w="1710" w:type="dxa"/>
          </w:tcPr>
          <w:p w14:paraId="7844375E" w14:textId="7A385518" w:rsidR="00B006B1" w:rsidRPr="004F572A" w:rsidRDefault="00875B87" w:rsidP="00875B87">
            <w:pPr>
              <w:widowControl w:val="0"/>
              <w:tabs>
                <w:tab w:val="clear" w:pos="567"/>
              </w:tabs>
              <w:jc w:val="center"/>
              <w:rPr>
                <w:rFonts w:eastAsia="Calibri"/>
                <w:sz w:val="22"/>
                <w:szCs w:val="22"/>
              </w:rPr>
            </w:pPr>
            <w:r w:rsidRPr="004F572A">
              <w:rPr>
                <w:rFonts w:eastAsia="Calibri"/>
                <w:sz w:val="22"/>
                <w:szCs w:val="22"/>
              </w:rPr>
              <w:t>3,6 (2,2, 3,7)</w:t>
            </w:r>
          </w:p>
        </w:tc>
      </w:tr>
      <w:tr w:rsidR="00875B87" w:rsidRPr="004F572A" w14:paraId="55F5C49A" w14:textId="77777777" w:rsidTr="00875B87">
        <w:tc>
          <w:tcPr>
            <w:tcW w:w="5305" w:type="dxa"/>
          </w:tcPr>
          <w:p w14:paraId="48E7437A" w14:textId="1F76D9E2" w:rsidR="00875B87" w:rsidRPr="004F572A" w:rsidRDefault="008C45C7" w:rsidP="00875B87">
            <w:pPr>
              <w:widowControl w:val="0"/>
              <w:tabs>
                <w:tab w:val="clear" w:pos="567"/>
              </w:tabs>
              <w:ind w:left="245"/>
              <w:rPr>
                <w:rFonts w:eastAsia="Calibri"/>
                <w:sz w:val="22"/>
                <w:szCs w:val="22"/>
              </w:rPr>
            </w:pPr>
            <w:r>
              <w:rPr>
                <w:rFonts w:eastAsia="Calibri"/>
                <w:sz w:val="22"/>
                <w:szCs w:val="22"/>
              </w:rPr>
              <w:t>Santykinė r</w:t>
            </w:r>
            <w:r w:rsidR="00875B87" w:rsidRPr="004F572A">
              <w:rPr>
                <w:rFonts w:eastAsia="Calibri"/>
                <w:sz w:val="22"/>
                <w:szCs w:val="22"/>
              </w:rPr>
              <w:t>izik</w:t>
            </w:r>
            <w:r>
              <w:rPr>
                <w:rFonts w:eastAsia="Calibri"/>
                <w:sz w:val="22"/>
                <w:szCs w:val="22"/>
              </w:rPr>
              <w:t>a</w:t>
            </w:r>
            <w:r w:rsidR="00875B87" w:rsidRPr="004F572A">
              <w:rPr>
                <w:rFonts w:eastAsia="Calibri"/>
                <w:sz w:val="22"/>
                <w:szCs w:val="22"/>
              </w:rPr>
              <w:t xml:space="preserve"> (99 % PI)</w:t>
            </w:r>
            <w:r w:rsidR="00875B87" w:rsidRPr="004F572A">
              <w:rPr>
                <w:rFonts w:eastAsia="Calibri"/>
                <w:sz w:val="22"/>
                <w:szCs w:val="22"/>
                <w:vertAlign w:val="superscript"/>
              </w:rPr>
              <w:t>b, c</w:t>
            </w:r>
          </w:p>
        </w:tc>
        <w:tc>
          <w:tcPr>
            <w:tcW w:w="3870" w:type="dxa"/>
            <w:gridSpan w:val="2"/>
          </w:tcPr>
          <w:p w14:paraId="6B148E23" w14:textId="020D9C08" w:rsidR="00875B87" w:rsidRPr="004F572A" w:rsidRDefault="00875B87" w:rsidP="00875B87">
            <w:pPr>
              <w:widowControl w:val="0"/>
              <w:tabs>
                <w:tab w:val="clear" w:pos="567"/>
              </w:tabs>
              <w:jc w:val="center"/>
              <w:rPr>
                <w:rFonts w:eastAsia="Calibri"/>
                <w:sz w:val="22"/>
                <w:szCs w:val="22"/>
              </w:rPr>
            </w:pPr>
            <w:r w:rsidRPr="004F572A">
              <w:rPr>
                <w:rFonts w:eastAsia="Calibri"/>
                <w:sz w:val="22"/>
                <w:szCs w:val="22"/>
              </w:rPr>
              <w:t>0,21 (0,14, 0,31)</w:t>
            </w:r>
          </w:p>
        </w:tc>
      </w:tr>
      <w:tr w:rsidR="00875B87" w:rsidRPr="004F572A" w14:paraId="3CBAF9D6" w14:textId="77777777" w:rsidTr="00875B87">
        <w:tc>
          <w:tcPr>
            <w:tcW w:w="5305" w:type="dxa"/>
          </w:tcPr>
          <w:p w14:paraId="03BC50EB" w14:textId="62CB6287" w:rsidR="00875B87" w:rsidRPr="004F572A" w:rsidRDefault="00875B87" w:rsidP="00875B87">
            <w:pPr>
              <w:widowControl w:val="0"/>
              <w:tabs>
                <w:tab w:val="clear" w:pos="567"/>
              </w:tabs>
              <w:ind w:left="245"/>
              <w:rPr>
                <w:rFonts w:eastAsia="Calibri"/>
                <w:sz w:val="22"/>
                <w:szCs w:val="22"/>
              </w:rPr>
            </w:pPr>
            <w:r w:rsidRPr="004F572A">
              <w:rPr>
                <w:rFonts w:eastAsia="Calibri"/>
                <w:sz w:val="22"/>
                <w:szCs w:val="22"/>
              </w:rPr>
              <w:t>P-</w:t>
            </w:r>
            <w:proofErr w:type="spellStart"/>
            <w:r w:rsidRPr="004F572A">
              <w:rPr>
                <w:rFonts w:eastAsia="Calibri"/>
                <w:sz w:val="22"/>
                <w:szCs w:val="22"/>
              </w:rPr>
              <w:t>vertė</w:t>
            </w:r>
            <w:r w:rsidRPr="004F572A">
              <w:rPr>
                <w:rFonts w:eastAsia="Calibri"/>
                <w:sz w:val="22"/>
                <w:szCs w:val="22"/>
                <w:vertAlign w:val="superscript"/>
              </w:rPr>
              <w:t>b</w:t>
            </w:r>
            <w:proofErr w:type="spellEnd"/>
          </w:p>
        </w:tc>
        <w:tc>
          <w:tcPr>
            <w:tcW w:w="3870" w:type="dxa"/>
            <w:gridSpan w:val="2"/>
          </w:tcPr>
          <w:p w14:paraId="6A78F0CE" w14:textId="2D917AF6" w:rsidR="00875B87" w:rsidRPr="004F572A" w:rsidRDefault="00875B87" w:rsidP="00875B87">
            <w:pPr>
              <w:widowControl w:val="0"/>
              <w:tabs>
                <w:tab w:val="clear" w:pos="567"/>
              </w:tabs>
              <w:jc w:val="center"/>
              <w:rPr>
                <w:rFonts w:eastAsia="Calibri"/>
                <w:sz w:val="22"/>
                <w:szCs w:val="22"/>
              </w:rPr>
            </w:pPr>
            <w:r w:rsidRPr="004F572A">
              <w:rPr>
                <w:rFonts w:eastAsia="Calibri"/>
                <w:sz w:val="22"/>
                <w:szCs w:val="22"/>
              </w:rPr>
              <w:t>&lt;</w:t>
            </w:r>
            <w:r w:rsidR="00115D7F">
              <w:rPr>
                <w:rFonts w:eastAsia="Calibri"/>
                <w:sz w:val="22"/>
                <w:szCs w:val="22"/>
              </w:rPr>
              <w:t> </w:t>
            </w:r>
            <w:r w:rsidRPr="004F572A">
              <w:rPr>
                <w:rFonts w:eastAsia="Calibri"/>
                <w:sz w:val="22"/>
                <w:szCs w:val="22"/>
              </w:rPr>
              <w:t>0,0001</w:t>
            </w:r>
          </w:p>
        </w:tc>
      </w:tr>
      <w:tr w:rsidR="00875B87" w:rsidRPr="004F572A" w14:paraId="40A5A467" w14:textId="77777777" w:rsidTr="00875B87">
        <w:tc>
          <w:tcPr>
            <w:tcW w:w="5305" w:type="dxa"/>
          </w:tcPr>
          <w:p w14:paraId="3B779A9A" w14:textId="22110BD8" w:rsidR="00875B87" w:rsidRPr="004F572A" w:rsidRDefault="00875B87" w:rsidP="00875B87">
            <w:pPr>
              <w:widowControl w:val="0"/>
              <w:tabs>
                <w:tab w:val="clear" w:pos="567"/>
              </w:tabs>
              <w:rPr>
                <w:rFonts w:eastAsia="Calibri"/>
                <w:sz w:val="22"/>
                <w:szCs w:val="22"/>
              </w:rPr>
            </w:pPr>
            <w:r w:rsidRPr="004F572A">
              <w:rPr>
                <w:rFonts w:eastAsia="Calibri"/>
                <w:b/>
                <w:bCs/>
                <w:sz w:val="22"/>
                <w:szCs w:val="22"/>
              </w:rPr>
              <w:t>Pacientai, kuriems prieš tai neskirta nė vieno (0) VEGF/VEGFR veikiančio gydymo (%)</w:t>
            </w:r>
          </w:p>
        </w:tc>
        <w:tc>
          <w:tcPr>
            <w:tcW w:w="2160" w:type="dxa"/>
          </w:tcPr>
          <w:p w14:paraId="7672D3A5" w14:textId="231BF869" w:rsidR="00875B87" w:rsidRPr="004F572A" w:rsidRDefault="00875B87" w:rsidP="00F67D19">
            <w:pPr>
              <w:widowControl w:val="0"/>
              <w:tabs>
                <w:tab w:val="clear" w:pos="567"/>
              </w:tabs>
              <w:jc w:val="center"/>
              <w:rPr>
                <w:rFonts w:eastAsia="Calibri"/>
                <w:sz w:val="22"/>
                <w:szCs w:val="22"/>
              </w:rPr>
            </w:pPr>
            <w:r w:rsidRPr="004F572A">
              <w:rPr>
                <w:rFonts w:eastAsia="Calibri"/>
                <w:sz w:val="22"/>
                <w:szCs w:val="22"/>
              </w:rPr>
              <w:t>195 (74,7)</w:t>
            </w:r>
          </w:p>
        </w:tc>
        <w:tc>
          <w:tcPr>
            <w:tcW w:w="1710" w:type="dxa"/>
          </w:tcPr>
          <w:p w14:paraId="2E2E48A5" w14:textId="6FD7A09B" w:rsidR="00875B87" w:rsidRPr="004F572A" w:rsidRDefault="00875B87" w:rsidP="00F67D19">
            <w:pPr>
              <w:widowControl w:val="0"/>
              <w:tabs>
                <w:tab w:val="clear" w:pos="567"/>
              </w:tabs>
              <w:jc w:val="center"/>
              <w:rPr>
                <w:rFonts w:eastAsia="Calibri"/>
                <w:sz w:val="22"/>
                <w:szCs w:val="22"/>
              </w:rPr>
            </w:pPr>
            <w:r w:rsidRPr="004F572A">
              <w:rPr>
                <w:rFonts w:eastAsia="Calibri"/>
                <w:sz w:val="22"/>
                <w:szCs w:val="22"/>
              </w:rPr>
              <w:t>104 (79,4)</w:t>
            </w:r>
          </w:p>
        </w:tc>
      </w:tr>
      <w:tr w:rsidR="00875B87" w:rsidRPr="004F572A" w14:paraId="3A0DD7EA" w14:textId="77777777" w:rsidTr="00875B87">
        <w:tc>
          <w:tcPr>
            <w:tcW w:w="5305" w:type="dxa"/>
          </w:tcPr>
          <w:p w14:paraId="3DECC526" w14:textId="77777777" w:rsidR="00875B87" w:rsidRPr="004F572A" w:rsidRDefault="00875B87" w:rsidP="00F67D19">
            <w:pPr>
              <w:widowControl w:val="0"/>
              <w:tabs>
                <w:tab w:val="clear" w:pos="567"/>
              </w:tabs>
              <w:ind w:left="245"/>
              <w:rPr>
                <w:rFonts w:eastAsia="Calibri"/>
                <w:sz w:val="22"/>
                <w:szCs w:val="22"/>
              </w:rPr>
            </w:pPr>
            <w:r w:rsidRPr="004F572A">
              <w:rPr>
                <w:rFonts w:eastAsia="Calibri"/>
                <w:sz w:val="22"/>
                <w:szCs w:val="22"/>
              </w:rPr>
              <w:t>Ligos progresavimo atvejų arba mirčių skaičius (%)</w:t>
            </w:r>
          </w:p>
        </w:tc>
        <w:tc>
          <w:tcPr>
            <w:tcW w:w="2160" w:type="dxa"/>
          </w:tcPr>
          <w:p w14:paraId="3F54232A" w14:textId="58CF970B" w:rsidR="00875B87" w:rsidRPr="004F572A" w:rsidRDefault="007815E4" w:rsidP="00F67D19">
            <w:pPr>
              <w:widowControl w:val="0"/>
              <w:tabs>
                <w:tab w:val="clear" w:pos="567"/>
              </w:tabs>
              <w:jc w:val="center"/>
              <w:rPr>
                <w:rFonts w:eastAsia="Calibri"/>
                <w:sz w:val="22"/>
                <w:szCs w:val="22"/>
              </w:rPr>
            </w:pPr>
            <w:r w:rsidRPr="004F572A">
              <w:rPr>
                <w:rFonts w:eastAsia="Calibri"/>
                <w:sz w:val="22"/>
                <w:szCs w:val="22"/>
              </w:rPr>
              <w:t>76</w:t>
            </w:r>
          </w:p>
        </w:tc>
        <w:tc>
          <w:tcPr>
            <w:tcW w:w="1710" w:type="dxa"/>
          </w:tcPr>
          <w:p w14:paraId="19D5CC5D" w14:textId="3CF19358" w:rsidR="00875B87" w:rsidRPr="004F572A" w:rsidRDefault="007815E4" w:rsidP="00F67D19">
            <w:pPr>
              <w:widowControl w:val="0"/>
              <w:tabs>
                <w:tab w:val="clear" w:pos="567"/>
              </w:tabs>
              <w:jc w:val="center"/>
              <w:rPr>
                <w:rFonts w:eastAsia="Calibri"/>
                <w:sz w:val="22"/>
                <w:szCs w:val="22"/>
              </w:rPr>
            </w:pPr>
            <w:r w:rsidRPr="004F572A">
              <w:rPr>
                <w:rFonts w:eastAsia="Calibri"/>
                <w:sz w:val="22"/>
                <w:szCs w:val="22"/>
              </w:rPr>
              <w:t>88</w:t>
            </w:r>
          </w:p>
        </w:tc>
      </w:tr>
      <w:tr w:rsidR="00875B87" w:rsidRPr="004F572A" w14:paraId="641631CB" w14:textId="77777777" w:rsidTr="00875B87">
        <w:tc>
          <w:tcPr>
            <w:tcW w:w="5305" w:type="dxa"/>
          </w:tcPr>
          <w:p w14:paraId="4020F477" w14:textId="77777777" w:rsidR="00875B87" w:rsidRPr="004F572A" w:rsidRDefault="00875B87" w:rsidP="00F67D19">
            <w:pPr>
              <w:widowControl w:val="0"/>
              <w:tabs>
                <w:tab w:val="clear" w:pos="567"/>
              </w:tabs>
              <w:ind w:left="245"/>
              <w:rPr>
                <w:rFonts w:eastAsia="Calibri"/>
                <w:sz w:val="22"/>
                <w:szCs w:val="22"/>
              </w:rPr>
            </w:pPr>
            <w:r w:rsidRPr="004F572A">
              <w:rPr>
                <w:rFonts w:eastAsia="Calibri"/>
                <w:sz w:val="22"/>
                <w:szCs w:val="22"/>
              </w:rPr>
              <w:t>ILN mediana mėnesiais (95 % PI)</w:t>
            </w:r>
          </w:p>
        </w:tc>
        <w:tc>
          <w:tcPr>
            <w:tcW w:w="2160" w:type="dxa"/>
          </w:tcPr>
          <w:p w14:paraId="4B4F4582" w14:textId="0A2B1E8F" w:rsidR="00875B87" w:rsidRPr="004F572A" w:rsidRDefault="00875B87" w:rsidP="00F67D19">
            <w:pPr>
              <w:widowControl w:val="0"/>
              <w:tabs>
                <w:tab w:val="clear" w:pos="567"/>
              </w:tabs>
              <w:jc w:val="center"/>
              <w:rPr>
                <w:rFonts w:eastAsia="Calibri"/>
                <w:sz w:val="22"/>
                <w:szCs w:val="22"/>
              </w:rPr>
            </w:pPr>
            <w:r w:rsidRPr="004F572A">
              <w:rPr>
                <w:rFonts w:eastAsia="Calibri"/>
                <w:sz w:val="22"/>
                <w:szCs w:val="22"/>
              </w:rPr>
              <w:t>18,</w:t>
            </w:r>
            <w:r w:rsidR="00A02010" w:rsidRPr="004F572A">
              <w:rPr>
                <w:rFonts w:eastAsia="Calibri"/>
                <w:sz w:val="22"/>
                <w:szCs w:val="22"/>
              </w:rPr>
              <w:t>7</w:t>
            </w:r>
            <w:r w:rsidRPr="004F572A">
              <w:rPr>
                <w:rFonts w:eastAsia="Calibri"/>
                <w:sz w:val="22"/>
                <w:szCs w:val="22"/>
              </w:rPr>
              <w:t xml:space="preserve"> (1</w:t>
            </w:r>
            <w:r w:rsidR="00A02010" w:rsidRPr="004F572A">
              <w:rPr>
                <w:rFonts w:eastAsia="Calibri"/>
                <w:sz w:val="22"/>
                <w:szCs w:val="22"/>
              </w:rPr>
              <w:t>6</w:t>
            </w:r>
            <w:r w:rsidRPr="004F572A">
              <w:rPr>
                <w:rFonts w:eastAsia="Calibri"/>
                <w:sz w:val="22"/>
                <w:szCs w:val="22"/>
              </w:rPr>
              <w:t>,</w:t>
            </w:r>
            <w:r w:rsidR="00A02010" w:rsidRPr="004F572A">
              <w:rPr>
                <w:rFonts w:eastAsia="Calibri"/>
                <w:sz w:val="22"/>
                <w:szCs w:val="22"/>
              </w:rPr>
              <w:t>4</w:t>
            </w:r>
            <w:r w:rsidRPr="004F572A">
              <w:rPr>
                <w:rFonts w:eastAsia="Calibri"/>
                <w:sz w:val="22"/>
                <w:szCs w:val="22"/>
              </w:rPr>
              <w:t xml:space="preserve">, NĮ) </w:t>
            </w:r>
          </w:p>
        </w:tc>
        <w:tc>
          <w:tcPr>
            <w:tcW w:w="1710" w:type="dxa"/>
          </w:tcPr>
          <w:p w14:paraId="3B2A629F" w14:textId="5FCB8F49" w:rsidR="00875B87" w:rsidRPr="004F572A" w:rsidRDefault="00875B87" w:rsidP="00F67D19">
            <w:pPr>
              <w:widowControl w:val="0"/>
              <w:tabs>
                <w:tab w:val="clear" w:pos="567"/>
              </w:tabs>
              <w:jc w:val="center"/>
              <w:rPr>
                <w:rFonts w:eastAsia="Calibri"/>
                <w:sz w:val="22"/>
                <w:szCs w:val="22"/>
              </w:rPr>
            </w:pPr>
            <w:r w:rsidRPr="004F572A">
              <w:rPr>
                <w:rFonts w:eastAsia="Calibri"/>
                <w:sz w:val="22"/>
                <w:szCs w:val="22"/>
              </w:rPr>
              <w:t>3,6 (2,</w:t>
            </w:r>
            <w:r w:rsidR="00A02010" w:rsidRPr="004F572A">
              <w:rPr>
                <w:rFonts w:eastAsia="Calibri"/>
                <w:sz w:val="22"/>
                <w:szCs w:val="22"/>
              </w:rPr>
              <w:t>1</w:t>
            </w:r>
            <w:r w:rsidRPr="004F572A">
              <w:rPr>
                <w:rFonts w:eastAsia="Calibri"/>
                <w:sz w:val="22"/>
                <w:szCs w:val="22"/>
              </w:rPr>
              <w:t xml:space="preserve">, </w:t>
            </w:r>
            <w:r w:rsidR="00A02010" w:rsidRPr="004F572A">
              <w:rPr>
                <w:rFonts w:eastAsia="Calibri"/>
                <w:sz w:val="22"/>
                <w:szCs w:val="22"/>
              </w:rPr>
              <w:t>5</w:t>
            </w:r>
            <w:r w:rsidRPr="004F572A">
              <w:rPr>
                <w:rFonts w:eastAsia="Calibri"/>
                <w:sz w:val="22"/>
                <w:szCs w:val="22"/>
              </w:rPr>
              <w:t>,</w:t>
            </w:r>
            <w:r w:rsidR="00A02010" w:rsidRPr="004F572A">
              <w:rPr>
                <w:rFonts w:eastAsia="Calibri"/>
                <w:sz w:val="22"/>
                <w:szCs w:val="22"/>
              </w:rPr>
              <w:t>3</w:t>
            </w:r>
            <w:r w:rsidRPr="004F572A">
              <w:rPr>
                <w:rFonts w:eastAsia="Calibri"/>
                <w:sz w:val="22"/>
                <w:szCs w:val="22"/>
              </w:rPr>
              <w:t>)</w:t>
            </w:r>
          </w:p>
        </w:tc>
      </w:tr>
      <w:tr w:rsidR="00875B87" w:rsidRPr="004F572A" w14:paraId="2EBBC69B" w14:textId="77777777" w:rsidTr="00875B87">
        <w:tc>
          <w:tcPr>
            <w:tcW w:w="5305" w:type="dxa"/>
          </w:tcPr>
          <w:p w14:paraId="42813640" w14:textId="1091A58C" w:rsidR="00875B87" w:rsidRPr="004F572A" w:rsidRDefault="008C45C7" w:rsidP="00F67D19">
            <w:pPr>
              <w:widowControl w:val="0"/>
              <w:tabs>
                <w:tab w:val="clear" w:pos="567"/>
              </w:tabs>
              <w:ind w:left="245"/>
              <w:rPr>
                <w:rFonts w:eastAsia="Calibri"/>
                <w:sz w:val="22"/>
                <w:szCs w:val="22"/>
              </w:rPr>
            </w:pPr>
            <w:r w:rsidRPr="008C45C7">
              <w:rPr>
                <w:rFonts w:eastAsia="Calibri"/>
                <w:sz w:val="22"/>
                <w:szCs w:val="22"/>
              </w:rPr>
              <w:t>Santykinė rizika</w:t>
            </w:r>
            <w:r w:rsidRPr="008C45C7" w:rsidDel="008C45C7">
              <w:rPr>
                <w:rFonts w:eastAsia="Calibri"/>
                <w:sz w:val="22"/>
                <w:szCs w:val="22"/>
              </w:rPr>
              <w:t xml:space="preserve"> </w:t>
            </w:r>
            <w:r w:rsidR="00875B87" w:rsidRPr="004F572A">
              <w:rPr>
                <w:rFonts w:eastAsia="Calibri"/>
                <w:sz w:val="22"/>
                <w:szCs w:val="22"/>
              </w:rPr>
              <w:t>(9</w:t>
            </w:r>
            <w:r w:rsidR="00503CAA" w:rsidRPr="007F5893">
              <w:rPr>
                <w:rFonts w:eastAsia="Calibri"/>
                <w:sz w:val="22"/>
                <w:szCs w:val="22"/>
                <w:lang w:val="it-CH"/>
              </w:rPr>
              <w:t>5</w:t>
            </w:r>
            <w:r w:rsidR="00875B87" w:rsidRPr="004F572A">
              <w:rPr>
                <w:rFonts w:eastAsia="Calibri"/>
                <w:sz w:val="22"/>
                <w:szCs w:val="22"/>
              </w:rPr>
              <w:t> % PI)</w:t>
            </w:r>
            <w:r w:rsidR="00875B87" w:rsidRPr="004F572A">
              <w:rPr>
                <w:rFonts w:eastAsia="Calibri"/>
                <w:sz w:val="22"/>
                <w:szCs w:val="22"/>
                <w:vertAlign w:val="superscript"/>
              </w:rPr>
              <w:t>b, c</w:t>
            </w:r>
          </w:p>
        </w:tc>
        <w:tc>
          <w:tcPr>
            <w:tcW w:w="3870" w:type="dxa"/>
            <w:gridSpan w:val="2"/>
          </w:tcPr>
          <w:p w14:paraId="720B189A" w14:textId="4C1485AD" w:rsidR="00875B87" w:rsidRPr="004F572A" w:rsidRDefault="00875B87" w:rsidP="00F67D19">
            <w:pPr>
              <w:widowControl w:val="0"/>
              <w:tabs>
                <w:tab w:val="clear" w:pos="567"/>
              </w:tabs>
              <w:jc w:val="center"/>
              <w:rPr>
                <w:rFonts w:eastAsia="Calibri"/>
                <w:sz w:val="22"/>
                <w:szCs w:val="22"/>
              </w:rPr>
            </w:pPr>
            <w:r w:rsidRPr="004F572A">
              <w:rPr>
                <w:rFonts w:eastAsia="Calibri"/>
                <w:sz w:val="22"/>
                <w:szCs w:val="22"/>
              </w:rPr>
              <w:t>0,2</w:t>
            </w:r>
            <w:r w:rsidR="00A02010" w:rsidRPr="004F572A">
              <w:rPr>
                <w:rFonts w:eastAsia="Calibri"/>
                <w:sz w:val="22"/>
                <w:szCs w:val="22"/>
              </w:rPr>
              <w:t>0</w:t>
            </w:r>
            <w:r w:rsidRPr="004F572A">
              <w:rPr>
                <w:rFonts w:eastAsia="Calibri"/>
                <w:sz w:val="22"/>
                <w:szCs w:val="22"/>
              </w:rPr>
              <w:t xml:space="preserve"> (0,14, 0,</w:t>
            </w:r>
            <w:r w:rsidR="00A02010" w:rsidRPr="004F572A">
              <w:rPr>
                <w:rFonts w:eastAsia="Calibri"/>
                <w:sz w:val="22"/>
                <w:szCs w:val="22"/>
              </w:rPr>
              <w:t>27</w:t>
            </w:r>
            <w:r w:rsidRPr="004F572A">
              <w:rPr>
                <w:rFonts w:eastAsia="Calibri"/>
                <w:sz w:val="22"/>
                <w:szCs w:val="22"/>
              </w:rPr>
              <w:t>)</w:t>
            </w:r>
          </w:p>
        </w:tc>
      </w:tr>
      <w:tr w:rsidR="00A02010" w:rsidRPr="004F572A" w14:paraId="757D9697" w14:textId="77777777" w:rsidTr="00F67D19">
        <w:tc>
          <w:tcPr>
            <w:tcW w:w="5305" w:type="dxa"/>
          </w:tcPr>
          <w:p w14:paraId="1393D76B" w14:textId="45D051AC" w:rsidR="00A02010" w:rsidRPr="004F572A" w:rsidRDefault="00A02010" w:rsidP="00F67D19">
            <w:pPr>
              <w:widowControl w:val="0"/>
              <w:tabs>
                <w:tab w:val="clear" w:pos="567"/>
              </w:tabs>
              <w:rPr>
                <w:rFonts w:eastAsia="Calibri"/>
                <w:b/>
                <w:bCs/>
                <w:sz w:val="22"/>
                <w:szCs w:val="22"/>
              </w:rPr>
            </w:pPr>
            <w:r w:rsidRPr="004F572A">
              <w:rPr>
                <w:rFonts w:eastAsia="Calibri"/>
                <w:b/>
                <w:bCs/>
                <w:sz w:val="22"/>
                <w:szCs w:val="22"/>
              </w:rPr>
              <w:t>Pacientai, kuriems prieš tai ski</w:t>
            </w:r>
            <w:r w:rsidR="00503CAA">
              <w:rPr>
                <w:rFonts w:eastAsia="Calibri"/>
                <w:b/>
                <w:bCs/>
                <w:sz w:val="22"/>
                <w:szCs w:val="22"/>
              </w:rPr>
              <w:t>r</w:t>
            </w:r>
            <w:r w:rsidRPr="004F572A">
              <w:rPr>
                <w:rFonts w:eastAsia="Calibri"/>
                <w:b/>
                <w:bCs/>
                <w:sz w:val="22"/>
                <w:szCs w:val="22"/>
              </w:rPr>
              <w:t xml:space="preserve">tas 1 </w:t>
            </w:r>
          </w:p>
          <w:p w14:paraId="7BD55E90" w14:textId="2690A41C" w:rsidR="00A02010" w:rsidRPr="004F572A" w:rsidRDefault="00A02010" w:rsidP="00F67D19">
            <w:pPr>
              <w:widowControl w:val="0"/>
              <w:tabs>
                <w:tab w:val="clear" w:pos="567"/>
              </w:tabs>
              <w:rPr>
                <w:rFonts w:eastAsia="Calibri"/>
                <w:sz w:val="22"/>
                <w:szCs w:val="22"/>
              </w:rPr>
            </w:pPr>
            <w:r w:rsidRPr="004F572A">
              <w:rPr>
                <w:rFonts w:eastAsia="Calibri"/>
                <w:b/>
                <w:bCs/>
                <w:sz w:val="22"/>
                <w:szCs w:val="22"/>
              </w:rPr>
              <w:t>VEGF/VEGFR veikiantis gydymas (%)</w:t>
            </w:r>
          </w:p>
        </w:tc>
        <w:tc>
          <w:tcPr>
            <w:tcW w:w="2160" w:type="dxa"/>
          </w:tcPr>
          <w:p w14:paraId="4399B917" w14:textId="07B066B9" w:rsidR="00A02010" w:rsidRPr="004F572A" w:rsidRDefault="00A02010" w:rsidP="00F67D19">
            <w:pPr>
              <w:widowControl w:val="0"/>
              <w:tabs>
                <w:tab w:val="clear" w:pos="567"/>
              </w:tabs>
              <w:jc w:val="center"/>
              <w:rPr>
                <w:rFonts w:eastAsia="Calibri"/>
                <w:sz w:val="22"/>
                <w:szCs w:val="22"/>
              </w:rPr>
            </w:pPr>
            <w:r w:rsidRPr="004F572A">
              <w:rPr>
                <w:rFonts w:eastAsia="Calibri"/>
                <w:sz w:val="22"/>
                <w:szCs w:val="22"/>
              </w:rPr>
              <w:t>66 (25,3)</w:t>
            </w:r>
          </w:p>
        </w:tc>
        <w:tc>
          <w:tcPr>
            <w:tcW w:w="1710" w:type="dxa"/>
          </w:tcPr>
          <w:p w14:paraId="7B5E8E14" w14:textId="6DCC80F9" w:rsidR="00A02010" w:rsidRPr="004F572A" w:rsidRDefault="00A02010" w:rsidP="00F67D19">
            <w:pPr>
              <w:widowControl w:val="0"/>
              <w:tabs>
                <w:tab w:val="clear" w:pos="567"/>
              </w:tabs>
              <w:jc w:val="center"/>
              <w:rPr>
                <w:rFonts w:eastAsia="Calibri"/>
                <w:sz w:val="22"/>
                <w:szCs w:val="22"/>
              </w:rPr>
            </w:pPr>
            <w:r w:rsidRPr="004F572A">
              <w:rPr>
                <w:rFonts w:eastAsia="Calibri"/>
                <w:sz w:val="22"/>
                <w:szCs w:val="22"/>
              </w:rPr>
              <w:t>27 (20,6)</w:t>
            </w:r>
          </w:p>
        </w:tc>
      </w:tr>
      <w:tr w:rsidR="00A02010" w:rsidRPr="004F572A" w14:paraId="164D265F" w14:textId="77777777" w:rsidTr="00F67D19">
        <w:tc>
          <w:tcPr>
            <w:tcW w:w="5305" w:type="dxa"/>
          </w:tcPr>
          <w:p w14:paraId="6E070C79" w14:textId="77777777" w:rsidR="00A02010" w:rsidRPr="004F572A" w:rsidRDefault="00A02010" w:rsidP="00F67D19">
            <w:pPr>
              <w:widowControl w:val="0"/>
              <w:tabs>
                <w:tab w:val="clear" w:pos="567"/>
              </w:tabs>
              <w:ind w:left="245"/>
              <w:rPr>
                <w:rFonts w:eastAsia="Calibri"/>
                <w:sz w:val="22"/>
                <w:szCs w:val="22"/>
              </w:rPr>
            </w:pPr>
            <w:r w:rsidRPr="004F572A">
              <w:rPr>
                <w:rFonts w:eastAsia="Calibri"/>
                <w:sz w:val="22"/>
                <w:szCs w:val="22"/>
              </w:rPr>
              <w:t>Ligos progresavimo atvejų arba mirčių skaičius (%)</w:t>
            </w:r>
          </w:p>
        </w:tc>
        <w:tc>
          <w:tcPr>
            <w:tcW w:w="2160" w:type="dxa"/>
          </w:tcPr>
          <w:p w14:paraId="1F767445" w14:textId="4BB77C6A" w:rsidR="00A02010" w:rsidRPr="004F572A" w:rsidRDefault="00A02010" w:rsidP="00F67D19">
            <w:pPr>
              <w:widowControl w:val="0"/>
              <w:tabs>
                <w:tab w:val="clear" w:pos="567"/>
              </w:tabs>
              <w:jc w:val="center"/>
              <w:rPr>
                <w:rFonts w:eastAsia="Calibri"/>
                <w:sz w:val="22"/>
                <w:szCs w:val="22"/>
              </w:rPr>
            </w:pPr>
            <w:r w:rsidRPr="004F572A">
              <w:rPr>
                <w:rFonts w:eastAsia="Calibri"/>
                <w:sz w:val="22"/>
                <w:szCs w:val="22"/>
              </w:rPr>
              <w:t>31</w:t>
            </w:r>
          </w:p>
        </w:tc>
        <w:tc>
          <w:tcPr>
            <w:tcW w:w="1710" w:type="dxa"/>
          </w:tcPr>
          <w:p w14:paraId="1E574DB7" w14:textId="5FDEA94B" w:rsidR="00A02010" w:rsidRPr="004F572A" w:rsidRDefault="00A02010" w:rsidP="00F67D19">
            <w:pPr>
              <w:widowControl w:val="0"/>
              <w:tabs>
                <w:tab w:val="clear" w:pos="567"/>
              </w:tabs>
              <w:jc w:val="center"/>
              <w:rPr>
                <w:rFonts w:eastAsia="Calibri"/>
                <w:sz w:val="22"/>
                <w:szCs w:val="22"/>
              </w:rPr>
            </w:pPr>
            <w:r w:rsidRPr="004F572A">
              <w:rPr>
                <w:rFonts w:eastAsia="Calibri"/>
                <w:sz w:val="22"/>
                <w:szCs w:val="22"/>
              </w:rPr>
              <w:t>25</w:t>
            </w:r>
          </w:p>
        </w:tc>
      </w:tr>
      <w:tr w:rsidR="00A02010" w:rsidRPr="004F572A" w14:paraId="0DE6D8C5" w14:textId="77777777" w:rsidTr="00F67D19">
        <w:tc>
          <w:tcPr>
            <w:tcW w:w="5305" w:type="dxa"/>
          </w:tcPr>
          <w:p w14:paraId="28C5C987" w14:textId="77777777" w:rsidR="00A02010" w:rsidRPr="004F572A" w:rsidRDefault="00A02010" w:rsidP="00F67D19">
            <w:pPr>
              <w:widowControl w:val="0"/>
              <w:tabs>
                <w:tab w:val="clear" w:pos="567"/>
              </w:tabs>
              <w:ind w:left="245"/>
              <w:rPr>
                <w:rFonts w:eastAsia="Calibri"/>
                <w:sz w:val="22"/>
                <w:szCs w:val="22"/>
              </w:rPr>
            </w:pPr>
            <w:r w:rsidRPr="004F572A">
              <w:rPr>
                <w:rFonts w:eastAsia="Calibri"/>
                <w:sz w:val="22"/>
                <w:szCs w:val="22"/>
              </w:rPr>
              <w:t>ILN mediana mėnesiais (95 % PI)</w:t>
            </w:r>
          </w:p>
        </w:tc>
        <w:tc>
          <w:tcPr>
            <w:tcW w:w="2160" w:type="dxa"/>
          </w:tcPr>
          <w:p w14:paraId="46D110AA" w14:textId="5CF658BB" w:rsidR="00A02010" w:rsidRPr="004F572A" w:rsidRDefault="00A02010" w:rsidP="00F67D19">
            <w:pPr>
              <w:widowControl w:val="0"/>
              <w:tabs>
                <w:tab w:val="clear" w:pos="567"/>
              </w:tabs>
              <w:jc w:val="center"/>
              <w:rPr>
                <w:rFonts w:eastAsia="Calibri"/>
                <w:sz w:val="22"/>
                <w:szCs w:val="22"/>
              </w:rPr>
            </w:pPr>
            <w:r w:rsidRPr="004F572A">
              <w:rPr>
                <w:rFonts w:eastAsia="Calibri"/>
                <w:sz w:val="22"/>
                <w:szCs w:val="22"/>
              </w:rPr>
              <w:t xml:space="preserve">15,1 (8,8, NĮ) </w:t>
            </w:r>
          </w:p>
        </w:tc>
        <w:tc>
          <w:tcPr>
            <w:tcW w:w="1710" w:type="dxa"/>
          </w:tcPr>
          <w:p w14:paraId="5D7934AE" w14:textId="79E04577" w:rsidR="00A02010" w:rsidRPr="004F572A" w:rsidRDefault="00A02010" w:rsidP="00F67D19">
            <w:pPr>
              <w:widowControl w:val="0"/>
              <w:tabs>
                <w:tab w:val="clear" w:pos="567"/>
              </w:tabs>
              <w:jc w:val="center"/>
              <w:rPr>
                <w:rFonts w:eastAsia="Calibri"/>
                <w:sz w:val="22"/>
                <w:szCs w:val="22"/>
              </w:rPr>
            </w:pPr>
            <w:r w:rsidRPr="004F572A">
              <w:rPr>
                <w:rFonts w:eastAsia="Calibri"/>
                <w:sz w:val="22"/>
                <w:szCs w:val="22"/>
              </w:rPr>
              <w:t>3,6 (1,9, 3,7)</w:t>
            </w:r>
          </w:p>
        </w:tc>
      </w:tr>
      <w:tr w:rsidR="00A02010" w:rsidRPr="004F572A" w14:paraId="2C6CBDBE" w14:textId="77777777" w:rsidTr="00F67D19">
        <w:tc>
          <w:tcPr>
            <w:tcW w:w="5305" w:type="dxa"/>
          </w:tcPr>
          <w:p w14:paraId="6C16C412" w14:textId="3E889FC9" w:rsidR="00A02010" w:rsidRPr="004F572A" w:rsidRDefault="008C45C7" w:rsidP="00F67D19">
            <w:pPr>
              <w:widowControl w:val="0"/>
              <w:tabs>
                <w:tab w:val="clear" w:pos="567"/>
              </w:tabs>
              <w:ind w:left="245"/>
              <w:rPr>
                <w:rFonts w:eastAsia="Calibri"/>
                <w:sz w:val="22"/>
                <w:szCs w:val="22"/>
              </w:rPr>
            </w:pPr>
            <w:r w:rsidRPr="008C45C7">
              <w:rPr>
                <w:rFonts w:eastAsia="Calibri"/>
                <w:sz w:val="22"/>
                <w:szCs w:val="22"/>
              </w:rPr>
              <w:t>Santykinė rizika</w:t>
            </w:r>
            <w:r w:rsidRPr="008C45C7" w:rsidDel="008C45C7">
              <w:rPr>
                <w:rFonts w:eastAsia="Calibri"/>
                <w:sz w:val="22"/>
                <w:szCs w:val="22"/>
              </w:rPr>
              <w:t xml:space="preserve"> </w:t>
            </w:r>
            <w:r w:rsidR="00A02010" w:rsidRPr="004F572A">
              <w:rPr>
                <w:rFonts w:eastAsia="Calibri"/>
                <w:sz w:val="22"/>
                <w:szCs w:val="22"/>
              </w:rPr>
              <w:t>(9</w:t>
            </w:r>
            <w:r w:rsidR="00503CAA">
              <w:rPr>
                <w:rFonts w:eastAsia="Calibri"/>
                <w:sz w:val="22"/>
                <w:szCs w:val="22"/>
              </w:rPr>
              <w:t>5</w:t>
            </w:r>
            <w:r w:rsidR="00A02010" w:rsidRPr="004F572A">
              <w:rPr>
                <w:rFonts w:eastAsia="Calibri"/>
                <w:sz w:val="22"/>
                <w:szCs w:val="22"/>
              </w:rPr>
              <w:t> % PI)</w:t>
            </w:r>
            <w:r w:rsidR="00A02010" w:rsidRPr="004F572A">
              <w:rPr>
                <w:rFonts w:eastAsia="Calibri"/>
                <w:sz w:val="22"/>
                <w:szCs w:val="22"/>
                <w:vertAlign w:val="superscript"/>
              </w:rPr>
              <w:t>b, c</w:t>
            </w:r>
          </w:p>
        </w:tc>
        <w:tc>
          <w:tcPr>
            <w:tcW w:w="3870" w:type="dxa"/>
            <w:gridSpan w:val="2"/>
          </w:tcPr>
          <w:p w14:paraId="406CE3D2" w14:textId="5F352D7A" w:rsidR="00A02010" w:rsidRPr="004F572A" w:rsidRDefault="00A02010" w:rsidP="00F67D19">
            <w:pPr>
              <w:widowControl w:val="0"/>
              <w:tabs>
                <w:tab w:val="clear" w:pos="567"/>
              </w:tabs>
              <w:jc w:val="center"/>
              <w:rPr>
                <w:rFonts w:eastAsia="Calibri"/>
                <w:sz w:val="22"/>
                <w:szCs w:val="22"/>
              </w:rPr>
            </w:pPr>
            <w:r w:rsidRPr="004F572A">
              <w:rPr>
                <w:rFonts w:eastAsia="Calibri"/>
                <w:sz w:val="22"/>
                <w:szCs w:val="22"/>
              </w:rPr>
              <w:t>0,22 (0,12, 0,41)</w:t>
            </w:r>
          </w:p>
        </w:tc>
      </w:tr>
      <w:tr w:rsidR="00A02010" w:rsidRPr="004F572A" w14:paraId="64EB0B37" w14:textId="77777777" w:rsidTr="00F67D19">
        <w:tc>
          <w:tcPr>
            <w:tcW w:w="9175" w:type="dxa"/>
            <w:gridSpan w:val="3"/>
          </w:tcPr>
          <w:p w14:paraId="6B1377E2" w14:textId="681E6F9D" w:rsidR="00A02010" w:rsidRPr="004F572A" w:rsidRDefault="00A02010" w:rsidP="00F67D19">
            <w:pPr>
              <w:widowControl w:val="0"/>
              <w:tabs>
                <w:tab w:val="clear" w:pos="567"/>
              </w:tabs>
              <w:rPr>
                <w:rFonts w:eastAsia="Calibri"/>
                <w:b/>
                <w:bCs/>
                <w:sz w:val="22"/>
                <w:szCs w:val="22"/>
              </w:rPr>
            </w:pPr>
            <w:r w:rsidRPr="004F572A">
              <w:rPr>
                <w:rFonts w:eastAsia="Calibri"/>
                <w:b/>
                <w:bCs/>
                <w:sz w:val="22"/>
                <w:szCs w:val="22"/>
              </w:rPr>
              <w:t xml:space="preserve">Objektyvaus atsako </w:t>
            </w:r>
            <w:proofErr w:type="spellStart"/>
            <w:r w:rsidRPr="004F572A">
              <w:rPr>
                <w:rFonts w:eastAsia="Calibri"/>
                <w:b/>
                <w:bCs/>
                <w:sz w:val="22"/>
                <w:szCs w:val="22"/>
              </w:rPr>
              <w:t>dažnis</w:t>
            </w:r>
            <w:r w:rsidRPr="004F572A">
              <w:rPr>
                <w:rFonts w:eastAsia="Calibri"/>
                <w:b/>
                <w:bCs/>
                <w:sz w:val="22"/>
                <w:szCs w:val="22"/>
                <w:vertAlign w:val="superscript"/>
              </w:rPr>
              <w:t>a</w:t>
            </w:r>
            <w:proofErr w:type="spellEnd"/>
          </w:p>
        </w:tc>
      </w:tr>
      <w:tr w:rsidR="00A02010" w:rsidRPr="004F572A" w14:paraId="61608035" w14:textId="77777777" w:rsidTr="00F67D19">
        <w:tc>
          <w:tcPr>
            <w:tcW w:w="5305" w:type="dxa"/>
          </w:tcPr>
          <w:p w14:paraId="281A2F66" w14:textId="4CEF578C" w:rsidR="00A02010" w:rsidRPr="004F572A" w:rsidRDefault="00A02010" w:rsidP="00F67D19">
            <w:pPr>
              <w:widowControl w:val="0"/>
              <w:tabs>
                <w:tab w:val="clear" w:pos="567"/>
              </w:tabs>
              <w:ind w:left="245"/>
              <w:rPr>
                <w:rFonts w:eastAsia="Calibri"/>
                <w:sz w:val="22"/>
                <w:szCs w:val="22"/>
              </w:rPr>
            </w:pPr>
            <w:r w:rsidRPr="004F572A">
              <w:rPr>
                <w:rFonts w:eastAsia="Calibri"/>
                <w:sz w:val="22"/>
                <w:szCs w:val="22"/>
              </w:rPr>
              <w:t>Objektyvų atsaką pasiekusiųjų skaičius (%)</w:t>
            </w:r>
          </w:p>
        </w:tc>
        <w:tc>
          <w:tcPr>
            <w:tcW w:w="2160" w:type="dxa"/>
          </w:tcPr>
          <w:p w14:paraId="0F991D8C" w14:textId="699D6DEB" w:rsidR="00A02010" w:rsidRPr="004F572A" w:rsidRDefault="00A02010" w:rsidP="00F67D19">
            <w:pPr>
              <w:widowControl w:val="0"/>
              <w:tabs>
                <w:tab w:val="clear" w:pos="567"/>
              </w:tabs>
              <w:jc w:val="center"/>
              <w:rPr>
                <w:rFonts w:eastAsia="Calibri"/>
                <w:sz w:val="22"/>
                <w:szCs w:val="22"/>
              </w:rPr>
            </w:pPr>
            <w:r w:rsidRPr="004F572A">
              <w:rPr>
                <w:rFonts w:eastAsia="Calibri"/>
                <w:sz w:val="22"/>
                <w:szCs w:val="22"/>
              </w:rPr>
              <w:t>169 (64,8)</w:t>
            </w:r>
          </w:p>
        </w:tc>
        <w:tc>
          <w:tcPr>
            <w:tcW w:w="1710" w:type="dxa"/>
          </w:tcPr>
          <w:p w14:paraId="000F2DE6" w14:textId="2C6BEDA3" w:rsidR="00A02010" w:rsidRPr="004F572A" w:rsidRDefault="00A02010" w:rsidP="00F67D19">
            <w:pPr>
              <w:widowControl w:val="0"/>
              <w:tabs>
                <w:tab w:val="clear" w:pos="567"/>
              </w:tabs>
              <w:jc w:val="center"/>
              <w:rPr>
                <w:rFonts w:eastAsia="Calibri"/>
                <w:sz w:val="22"/>
                <w:szCs w:val="22"/>
              </w:rPr>
            </w:pPr>
            <w:r w:rsidRPr="004F572A">
              <w:rPr>
                <w:rFonts w:eastAsia="Calibri"/>
                <w:sz w:val="22"/>
                <w:szCs w:val="22"/>
              </w:rPr>
              <w:t>2 (1,5)</w:t>
            </w:r>
          </w:p>
        </w:tc>
      </w:tr>
      <w:tr w:rsidR="00A02010" w:rsidRPr="004F572A" w14:paraId="4E43B183" w14:textId="77777777" w:rsidTr="00F67D19">
        <w:tc>
          <w:tcPr>
            <w:tcW w:w="5305" w:type="dxa"/>
          </w:tcPr>
          <w:p w14:paraId="4E235F2D" w14:textId="5604AA19" w:rsidR="00A02010" w:rsidRPr="004F572A" w:rsidRDefault="008C45C7" w:rsidP="00F67D19">
            <w:pPr>
              <w:widowControl w:val="0"/>
              <w:tabs>
                <w:tab w:val="clear" w:pos="567"/>
              </w:tabs>
              <w:ind w:left="245"/>
              <w:rPr>
                <w:rFonts w:eastAsia="Calibri"/>
                <w:sz w:val="22"/>
                <w:szCs w:val="22"/>
              </w:rPr>
            </w:pPr>
            <w:r>
              <w:rPr>
                <w:rFonts w:eastAsia="Calibri"/>
                <w:sz w:val="22"/>
                <w:szCs w:val="22"/>
              </w:rPr>
              <w:t>(</w:t>
            </w:r>
            <w:r w:rsidR="00A02010" w:rsidRPr="004F572A">
              <w:rPr>
                <w:rFonts w:eastAsia="Calibri"/>
                <w:sz w:val="22"/>
                <w:szCs w:val="22"/>
              </w:rPr>
              <w:t>95 % PI</w:t>
            </w:r>
            <w:r>
              <w:rPr>
                <w:rFonts w:eastAsia="Calibri"/>
                <w:sz w:val="22"/>
                <w:szCs w:val="22"/>
              </w:rPr>
              <w:t>)</w:t>
            </w:r>
          </w:p>
        </w:tc>
        <w:tc>
          <w:tcPr>
            <w:tcW w:w="2160" w:type="dxa"/>
          </w:tcPr>
          <w:p w14:paraId="3E07145E" w14:textId="639F9296" w:rsidR="00A02010" w:rsidRPr="004F572A" w:rsidRDefault="00A02010" w:rsidP="00F67D19">
            <w:pPr>
              <w:widowControl w:val="0"/>
              <w:tabs>
                <w:tab w:val="clear" w:pos="567"/>
              </w:tabs>
              <w:jc w:val="center"/>
              <w:rPr>
                <w:rFonts w:eastAsia="Calibri"/>
                <w:sz w:val="22"/>
                <w:szCs w:val="22"/>
              </w:rPr>
            </w:pPr>
            <w:r w:rsidRPr="004F572A">
              <w:rPr>
                <w:rFonts w:eastAsia="Calibri"/>
                <w:sz w:val="22"/>
                <w:szCs w:val="22"/>
              </w:rPr>
              <w:t>(59,0, 70,5)</w:t>
            </w:r>
          </w:p>
        </w:tc>
        <w:tc>
          <w:tcPr>
            <w:tcW w:w="1710" w:type="dxa"/>
          </w:tcPr>
          <w:p w14:paraId="30A53DE1" w14:textId="705DAF56" w:rsidR="00A02010" w:rsidRPr="004F572A" w:rsidRDefault="00A02010" w:rsidP="00F67D19">
            <w:pPr>
              <w:widowControl w:val="0"/>
              <w:tabs>
                <w:tab w:val="clear" w:pos="567"/>
              </w:tabs>
              <w:jc w:val="center"/>
              <w:rPr>
                <w:rFonts w:eastAsia="Calibri"/>
                <w:sz w:val="22"/>
                <w:szCs w:val="22"/>
              </w:rPr>
            </w:pPr>
            <w:r w:rsidRPr="004F572A">
              <w:rPr>
                <w:rFonts w:eastAsia="Calibri"/>
                <w:sz w:val="22"/>
                <w:szCs w:val="22"/>
              </w:rPr>
              <w:t>(0,0, 3,6)</w:t>
            </w:r>
          </w:p>
        </w:tc>
      </w:tr>
      <w:tr w:rsidR="00A02010" w:rsidRPr="004F572A" w14:paraId="0A236DC1" w14:textId="77777777" w:rsidTr="00F67D19">
        <w:tc>
          <w:tcPr>
            <w:tcW w:w="5305" w:type="dxa"/>
          </w:tcPr>
          <w:p w14:paraId="202B61E1" w14:textId="77777777" w:rsidR="00A02010" w:rsidRPr="004F572A" w:rsidRDefault="00A02010" w:rsidP="00F67D19">
            <w:pPr>
              <w:widowControl w:val="0"/>
              <w:tabs>
                <w:tab w:val="clear" w:pos="567"/>
              </w:tabs>
              <w:ind w:left="245"/>
              <w:rPr>
                <w:rFonts w:eastAsia="Calibri"/>
                <w:sz w:val="22"/>
                <w:szCs w:val="22"/>
              </w:rPr>
            </w:pPr>
            <w:r w:rsidRPr="004F572A">
              <w:rPr>
                <w:rFonts w:eastAsia="Calibri"/>
                <w:sz w:val="22"/>
                <w:szCs w:val="22"/>
              </w:rPr>
              <w:t>P-</w:t>
            </w:r>
            <w:proofErr w:type="spellStart"/>
            <w:r w:rsidRPr="004F572A">
              <w:rPr>
                <w:rFonts w:eastAsia="Calibri"/>
                <w:sz w:val="22"/>
                <w:szCs w:val="22"/>
              </w:rPr>
              <w:t>vertė</w:t>
            </w:r>
            <w:r w:rsidRPr="004F572A">
              <w:rPr>
                <w:rFonts w:eastAsia="Calibri"/>
                <w:sz w:val="22"/>
                <w:szCs w:val="22"/>
                <w:vertAlign w:val="superscript"/>
              </w:rPr>
              <w:t>b</w:t>
            </w:r>
            <w:proofErr w:type="spellEnd"/>
          </w:p>
        </w:tc>
        <w:tc>
          <w:tcPr>
            <w:tcW w:w="3870" w:type="dxa"/>
            <w:gridSpan w:val="2"/>
          </w:tcPr>
          <w:p w14:paraId="3B56C07E" w14:textId="4F3913A5" w:rsidR="00A02010" w:rsidRPr="004F572A" w:rsidRDefault="00A02010" w:rsidP="00F67D19">
            <w:pPr>
              <w:widowControl w:val="0"/>
              <w:tabs>
                <w:tab w:val="clear" w:pos="567"/>
              </w:tabs>
              <w:jc w:val="center"/>
              <w:rPr>
                <w:rFonts w:eastAsia="Calibri"/>
                <w:sz w:val="22"/>
                <w:szCs w:val="22"/>
              </w:rPr>
            </w:pPr>
            <w:r w:rsidRPr="004F572A">
              <w:rPr>
                <w:rFonts w:eastAsia="Calibri"/>
                <w:sz w:val="22"/>
                <w:szCs w:val="22"/>
              </w:rPr>
              <w:t>&lt;</w:t>
            </w:r>
            <w:r w:rsidR="00115D7F">
              <w:rPr>
                <w:rFonts w:eastAsia="Calibri"/>
                <w:sz w:val="22"/>
                <w:szCs w:val="22"/>
              </w:rPr>
              <w:t> </w:t>
            </w:r>
            <w:r w:rsidRPr="004F572A">
              <w:rPr>
                <w:rFonts w:eastAsia="Calibri"/>
                <w:sz w:val="22"/>
                <w:szCs w:val="22"/>
              </w:rPr>
              <w:t>0,0001</w:t>
            </w:r>
          </w:p>
        </w:tc>
      </w:tr>
      <w:tr w:rsidR="00A02010" w:rsidRPr="004F572A" w14:paraId="3E506516" w14:textId="77777777" w:rsidTr="00F67D19">
        <w:tc>
          <w:tcPr>
            <w:tcW w:w="5305" w:type="dxa"/>
          </w:tcPr>
          <w:p w14:paraId="007DC8D2" w14:textId="774B812C" w:rsidR="00A02010" w:rsidRPr="004F572A" w:rsidRDefault="00187EEC" w:rsidP="00F67D19">
            <w:pPr>
              <w:widowControl w:val="0"/>
              <w:tabs>
                <w:tab w:val="clear" w:pos="567"/>
              </w:tabs>
              <w:ind w:left="245"/>
              <w:rPr>
                <w:rFonts w:eastAsia="Calibri"/>
                <w:sz w:val="22"/>
                <w:szCs w:val="22"/>
              </w:rPr>
            </w:pPr>
            <w:r w:rsidRPr="004F572A">
              <w:rPr>
                <w:rFonts w:eastAsia="Calibri"/>
                <w:sz w:val="22"/>
                <w:szCs w:val="22"/>
              </w:rPr>
              <w:t>Visiško atsako atvejų skaičius</w:t>
            </w:r>
          </w:p>
        </w:tc>
        <w:tc>
          <w:tcPr>
            <w:tcW w:w="2160" w:type="dxa"/>
          </w:tcPr>
          <w:p w14:paraId="748DD3E9" w14:textId="7D8D2F1E" w:rsidR="00A02010" w:rsidRPr="004F572A" w:rsidRDefault="00187EEC" w:rsidP="00F67D19">
            <w:pPr>
              <w:widowControl w:val="0"/>
              <w:tabs>
                <w:tab w:val="clear" w:pos="567"/>
              </w:tabs>
              <w:jc w:val="center"/>
              <w:rPr>
                <w:rFonts w:eastAsia="Calibri"/>
                <w:sz w:val="22"/>
                <w:szCs w:val="22"/>
              </w:rPr>
            </w:pPr>
            <w:r w:rsidRPr="004F572A">
              <w:rPr>
                <w:rFonts w:eastAsia="Calibri"/>
                <w:sz w:val="22"/>
                <w:szCs w:val="22"/>
              </w:rPr>
              <w:t>4</w:t>
            </w:r>
          </w:p>
        </w:tc>
        <w:tc>
          <w:tcPr>
            <w:tcW w:w="1710" w:type="dxa"/>
          </w:tcPr>
          <w:p w14:paraId="0007979F" w14:textId="68DE6C42" w:rsidR="00A02010" w:rsidRPr="004F572A" w:rsidRDefault="00187EEC" w:rsidP="00F67D19">
            <w:pPr>
              <w:widowControl w:val="0"/>
              <w:tabs>
                <w:tab w:val="clear" w:pos="567"/>
              </w:tabs>
              <w:jc w:val="center"/>
              <w:rPr>
                <w:rFonts w:eastAsia="Calibri"/>
                <w:sz w:val="22"/>
                <w:szCs w:val="22"/>
              </w:rPr>
            </w:pPr>
            <w:r w:rsidRPr="004F572A">
              <w:rPr>
                <w:rFonts w:eastAsia="Calibri"/>
                <w:sz w:val="22"/>
                <w:szCs w:val="22"/>
              </w:rPr>
              <w:t>0</w:t>
            </w:r>
          </w:p>
        </w:tc>
      </w:tr>
      <w:tr w:rsidR="00A02010" w:rsidRPr="004F572A" w14:paraId="578A4D9F" w14:textId="77777777" w:rsidTr="00F67D19">
        <w:tc>
          <w:tcPr>
            <w:tcW w:w="5305" w:type="dxa"/>
          </w:tcPr>
          <w:p w14:paraId="2D42CAEC" w14:textId="537B9106" w:rsidR="00A02010" w:rsidRPr="004F572A" w:rsidRDefault="00187EEC" w:rsidP="00F67D19">
            <w:pPr>
              <w:widowControl w:val="0"/>
              <w:tabs>
                <w:tab w:val="clear" w:pos="567"/>
              </w:tabs>
              <w:ind w:left="245"/>
              <w:rPr>
                <w:rFonts w:eastAsia="Calibri"/>
                <w:sz w:val="22"/>
                <w:szCs w:val="22"/>
              </w:rPr>
            </w:pPr>
            <w:r w:rsidRPr="004F572A">
              <w:rPr>
                <w:rFonts w:eastAsia="Calibri"/>
                <w:sz w:val="22"/>
                <w:szCs w:val="22"/>
              </w:rPr>
              <w:t>Dalinio atsako atvejų skaičius</w:t>
            </w:r>
          </w:p>
        </w:tc>
        <w:tc>
          <w:tcPr>
            <w:tcW w:w="2160" w:type="dxa"/>
          </w:tcPr>
          <w:p w14:paraId="766F7D3F" w14:textId="708D6A0B" w:rsidR="00A02010" w:rsidRPr="004F572A" w:rsidRDefault="00187EEC" w:rsidP="00F67D19">
            <w:pPr>
              <w:widowControl w:val="0"/>
              <w:tabs>
                <w:tab w:val="clear" w:pos="567"/>
              </w:tabs>
              <w:jc w:val="center"/>
              <w:rPr>
                <w:rFonts w:eastAsia="Calibri"/>
                <w:sz w:val="22"/>
                <w:szCs w:val="22"/>
              </w:rPr>
            </w:pPr>
            <w:r w:rsidRPr="004F572A">
              <w:rPr>
                <w:rFonts w:eastAsia="Calibri"/>
                <w:sz w:val="22"/>
                <w:szCs w:val="22"/>
              </w:rPr>
              <w:t>165</w:t>
            </w:r>
            <w:r w:rsidR="00A02010" w:rsidRPr="004F572A">
              <w:rPr>
                <w:rFonts w:eastAsia="Calibri"/>
                <w:sz w:val="22"/>
                <w:szCs w:val="22"/>
              </w:rPr>
              <w:t xml:space="preserve"> </w:t>
            </w:r>
          </w:p>
        </w:tc>
        <w:tc>
          <w:tcPr>
            <w:tcW w:w="1710" w:type="dxa"/>
          </w:tcPr>
          <w:p w14:paraId="2E24DEF6" w14:textId="750DA409" w:rsidR="00A02010" w:rsidRPr="004F572A" w:rsidRDefault="00187EEC" w:rsidP="00F67D19">
            <w:pPr>
              <w:widowControl w:val="0"/>
              <w:tabs>
                <w:tab w:val="clear" w:pos="567"/>
              </w:tabs>
              <w:jc w:val="center"/>
              <w:rPr>
                <w:rFonts w:eastAsia="Calibri"/>
                <w:sz w:val="22"/>
                <w:szCs w:val="22"/>
              </w:rPr>
            </w:pPr>
            <w:r w:rsidRPr="004F572A">
              <w:rPr>
                <w:rFonts w:eastAsia="Calibri"/>
                <w:sz w:val="22"/>
                <w:szCs w:val="22"/>
              </w:rPr>
              <w:t>2</w:t>
            </w:r>
          </w:p>
        </w:tc>
      </w:tr>
      <w:tr w:rsidR="00A02010" w:rsidRPr="004F572A" w14:paraId="1A3E9D17" w14:textId="77777777" w:rsidTr="00F67D19">
        <w:tc>
          <w:tcPr>
            <w:tcW w:w="5305" w:type="dxa"/>
          </w:tcPr>
          <w:p w14:paraId="69A2545C" w14:textId="77777777" w:rsidR="00187EEC" w:rsidRPr="004F572A" w:rsidRDefault="00187EEC" w:rsidP="00F67D19">
            <w:pPr>
              <w:widowControl w:val="0"/>
              <w:tabs>
                <w:tab w:val="clear" w:pos="567"/>
              </w:tabs>
              <w:ind w:left="245"/>
              <w:rPr>
                <w:rFonts w:eastAsia="Calibri"/>
                <w:sz w:val="22"/>
                <w:szCs w:val="22"/>
              </w:rPr>
            </w:pPr>
            <w:r w:rsidRPr="004F572A">
              <w:rPr>
                <w:rFonts w:eastAsia="Calibri"/>
                <w:sz w:val="22"/>
                <w:szCs w:val="22"/>
              </w:rPr>
              <w:t xml:space="preserve">Laiko iki objektyvaus atsako </w:t>
            </w:r>
            <w:proofErr w:type="spellStart"/>
            <w:r w:rsidRPr="004F572A">
              <w:rPr>
                <w:rFonts w:eastAsia="Calibri"/>
                <w:sz w:val="22"/>
                <w:szCs w:val="22"/>
              </w:rPr>
              <w:t>mediana</w:t>
            </w:r>
            <w:r w:rsidRPr="004F572A">
              <w:rPr>
                <w:rFonts w:eastAsia="Calibri"/>
                <w:sz w:val="22"/>
                <w:szCs w:val="22"/>
                <w:vertAlign w:val="superscript"/>
              </w:rPr>
              <w:t>d</w:t>
            </w:r>
            <w:proofErr w:type="spellEnd"/>
            <w:r w:rsidRPr="004F572A">
              <w:rPr>
                <w:rFonts w:eastAsia="Calibri"/>
                <w:sz w:val="22"/>
                <w:szCs w:val="22"/>
              </w:rPr>
              <w:t xml:space="preserve">, mėnesiais </w:t>
            </w:r>
          </w:p>
          <w:p w14:paraId="6FD0A6D3" w14:textId="5FD236F5" w:rsidR="00A02010" w:rsidRPr="004F572A" w:rsidRDefault="00187EEC" w:rsidP="00F67D19">
            <w:pPr>
              <w:widowControl w:val="0"/>
              <w:tabs>
                <w:tab w:val="clear" w:pos="567"/>
              </w:tabs>
              <w:ind w:left="245"/>
              <w:rPr>
                <w:rFonts w:eastAsia="Calibri"/>
                <w:sz w:val="22"/>
                <w:szCs w:val="22"/>
              </w:rPr>
            </w:pPr>
            <w:r w:rsidRPr="004F572A">
              <w:rPr>
                <w:rFonts w:eastAsia="Calibri"/>
                <w:sz w:val="22"/>
                <w:szCs w:val="22"/>
              </w:rPr>
              <w:lastRenderedPageBreak/>
              <w:t>(95 % PI)</w:t>
            </w:r>
          </w:p>
        </w:tc>
        <w:tc>
          <w:tcPr>
            <w:tcW w:w="2160" w:type="dxa"/>
          </w:tcPr>
          <w:p w14:paraId="329CD33B" w14:textId="05E4C3F1" w:rsidR="00A02010" w:rsidRPr="004F572A" w:rsidRDefault="00187EEC" w:rsidP="00F67D19">
            <w:pPr>
              <w:widowControl w:val="0"/>
              <w:tabs>
                <w:tab w:val="clear" w:pos="567"/>
              </w:tabs>
              <w:jc w:val="center"/>
              <w:rPr>
                <w:rFonts w:eastAsia="Calibri"/>
                <w:sz w:val="22"/>
                <w:szCs w:val="22"/>
              </w:rPr>
            </w:pPr>
            <w:r w:rsidRPr="004F572A">
              <w:rPr>
                <w:rFonts w:eastAsia="Calibri"/>
                <w:sz w:val="22"/>
                <w:szCs w:val="22"/>
              </w:rPr>
              <w:lastRenderedPageBreak/>
              <w:t>2,0 (1,9, 3,5)</w:t>
            </w:r>
          </w:p>
        </w:tc>
        <w:tc>
          <w:tcPr>
            <w:tcW w:w="1710" w:type="dxa"/>
          </w:tcPr>
          <w:p w14:paraId="45604B89" w14:textId="05C15C39" w:rsidR="00A02010" w:rsidRPr="004F572A" w:rsidRDefault="00187EEC" w:rsidP="00F67D19">
            <w:pPr>
              <w:widowControl w:val="0"/>
              <w:tabs>
                <w:tab w:val="clear" w:pos="567"/>
              </w:tabs>
              <w:jc w:val="center"/>
              <w:rPr>
                <w:rFonts w:eastAsia="Calibri"/>
                <w:sz w:val="22"/>
                <w:szCs w:val="22"/>
              </w:rPr>
            </w:pPr>
            <w:r w:rsidRPr="004F572A">
              <w:rPr>
                <w:rFonts w:eastAsia="Calibri"/>
                <w:sz w:val="22"/>
                <w:szCs w:val="22"/>
              </w:rPr>
              <w:t>5,6 (1,8, 9,4)</w:t>
            </w:r>
          </w:p>
        </w:tc>
      </w:tr>
      <w:tr w:rsidR="00A02010" w:rsidRPr="004F572A" w14:paraId="0A126776" w14:textId="77777777" w:rsidTr="00F67D19">
        <w:tc>
          <w:tcPr>
            <w:tcW w:w="5305" w:type="dxa"/>
          </w:tcPr>
          <w:p w14:paraId="6F1D386B" w14:textId="4EAB111C" w:rsidR="00A02010" w:rsidRPr="004F572A" w:rsidRDefault="00187EEC" w:rsidP="00F67D19">
            <w:pPr>
              <w:widowControl w:val="0"/>
              <w:tabs>
                <w:tab w:val="clear" w:pos="567"/>
              </w:tabs>
              <w:ind w:left="245"/>
              <w:rPr>
                <w:rFonts w:eastAsia="Calibri"/>
                <w:sz w:val="22"/>
                <w:szCs w:val="22"/>
              </w:rPr>
            </w:pPr>
            <w:r w:rsidRPr="004F572A">
              <w:rPr>
                <w:rFonts w:eastAsia="Calibri"/>
                <w:sz w:val="22"/>
                <w:szCs w:val="22"/>
              </w:rPr>
              <w:t xml:space="preserve">Atsako </w:t>
            </w:r>
            <w:proofErr w:type="spellStart"/>
            <w:r w:rsidRPr="004F572A">
              <w:rPr>
                <w:rFonts w:eastAsia="Calibri"/>
                <w:sz w:val="22"/>
                <w:szCs w:val="22"/>
              </w:rPr>
              <w:t>trukmė</w:t>
            </w:r>
            <w:r w:rsidRPr="004F572A">
              <w:rPr>
                <w:rFonts w:eastAsia="Calibri"/>
                <w:sz w:val="22"/>
                <w:szCs w:val="22"/>
                <w:vertAlign w:val="superscript"/>
              </w:rPr>
              <w:t>d</w:t>
            </w:r>
            <w:proofErr w:type="spellEnd"/>
            <w:r w:rsidRPr="004F572A">
              <w:rPr>
                <w:rFonts w:eastAsia="Calibri"/>
                <w:sz w:val="22"/>
                <w:szCs w:val="22"/>
              </w:rPr>
              <w:t>, mėnesiai, mediana (95 % PI)</w:t>
            </w:r>
          </w:p>
        </w:tc>
        <w:tc>
          <w:tcPr>
            <w:tcW w:w="2160" w:type="dxa"/>
          </w:tcPr>
          <w:p w14:paraId="4F0A627F" w14:textId="0526C391" w:rsidR="00A02010" w:rsidRPr="004F572A" w:rsidRDefault="00187EEC" w:rsidP="00F67D19">
            <w:pPr>
              <w:widowControl w:val="0"/>
              <w:tabs>
                <w:tab w:val="clear" w:pos="567"/>
              </w:tabs>
              <w:jc w:val="center"/>
              <w:rPr>
                <w:rFonts w:eastAsia="Calibri"/>
                <w:sz w:val="22"/>
                <w:szCs w:val="22"/>
              </w:rPr>
            </w:pPr>
            <w:r w:rsidRPr="004F572A">
              <w:rPr>
                <w:rFonts w:eastAsia="Calibri"/>
                <w:sz w:val="22"/>
                <w:szCs w:val="22"/>
              </w:rPr>
              <w:t>NĮ (16,8, NĮ)</w:t>
            </w:r>
          </w:p>
        </w:tc>
        <w:tc>
          <w:tcPr>
            <w:tcW w:w="1710" w:type="dxa"/>
          </w:tcPr>
          <w:p w14:paraId="5C718544" w14:textId="77BFBE21" w:rsidR="00A02010" w:rsidRPr="004F572A" w:rsidRDefault="00187EEC" w:rsidP="00F67D19">
            <w:pPr>
              <w:widowControl w:val="0"/>
              <w:tabs>
                <w:tab w:val="clear" w:pos="567"/>
              </w:tabs>
              <w:jc w:val="center"/>
              <w:rPr>
                <w:rFonts w:eastAsia="Calibri"/>
                <w:sz w:val="22"/>
                <w:szCs w:val="22"/>
              </w:rPr>
            </w:pPr>
            <w:r w:rsidRPr="004F572A">
              <w:rPr>
                <w:rFonts w:eastAsia="Calibri"/>
                <w:sz w:val="22"/>
                <w:szCs w:val="22"/>
              </w:rPr>
              <w:t>NĮ (NĮ, NĮ)</w:t>
            </w:r>
          </w:p>
        </w:tc>
      </w:tr>
      <w:tr w:rsidR="00187EEC" w:rsidRPr="004F572A" w14:paraId="6C3A5EF2" w14:textId="77777777" w:rsidTr="00F67D19">
        <w:tc>
          <w:tcPr>
            <w:tcW w:w="9175" w:type="dxa"/>
            <w:gridSpan w:val="3"/>
          </w:tcPr>
          <w:p w14:paraId="357F35A9" w14:textId="0D8BB293" w:rsidR="00187EEC" w:rsidRPr="004F572A" w:rsidRDefault="00187EEC" w:rsidP="00F67D19">
            <w:pPr>
              <w:widowControl w:val="0"/>
              <w:tabs>
                <w:tab w:val="clear" w:pos="567"/>
              </w:tabs>
              <w:rPr>
                <w:rFonts w:eastAsia="Calibri"/>
                <w:b/>
                <w:bCs/>
                <w:sz w:val="22"/>
                <w:szCs w:val="22"/>
              </w:rPr>
            </w:pPr>
            <w:r w:rsidRPr="004F572A">
              <w:rPr>
                <w:rFonts w:eastAsia="Calibri"/>
                <w:b/>
                <w:bCs/>
                <w:sz w:val="22"/>
                <w:szCs w:val="22"/>
              </w:rPr>
              <w:t>Bendra</w:t>
            </w:r>
            <w:r w:rsidR="00FB189D" w:rsidRPr="004F572A">
              <w:rPr>
                <w:rFonts w:eastAsia="Calibri"/>
                <w:b/>
                <w:bCs/>
                <w:sz w:val="22"/>
                <w:szCs w:val="22"/>
              </w:rPr>
              <w:t>sis</w:t>
            </w:r>
            <w:r w:rsidRPr="004F572A">
              <w:rPr>
                <w:rFonts w:eastAsia="Calibri"/>
                <w:b/>
                <w:bCs/>
                <w:sz w:val="22"/>
                <w:szCs w:val="22"/>
              </w:rPr>
              <w:t xml:space="preserve"> išgyvenamumas</w:t>
            </w:r>
          </w:p>
        </w:tc>
      </w:tr>
      <w:tr w:rsidR="00187EEC" w:rsidRPr="004F572A" w14:paraId="1843A657" w14:textId="77777777" w:rsidTr="00F67D19">
        <w:tc>
          <w:tcPr>
            <w:tcW w:w="5305" w:type="dxa"/>
          </w:tcPr>
          <w:p w14:paraId="16595FDB" w14:textId="23BE8EDB" w:rsidR="00187EEC" w:rsidRPr="004F572A" w:rsidRDefault="00187EEC" w:rsidP="00F67D19">
            <w:pPr>
              <w:widowControl w:val="0"/>
              <w:tabs>
                <w:tab w:val="clear" w:pos="567"/>
              </w:tabs>
              <w:ind w:left="245"/>
              <w:rPr>
                <w:rFonts w:eastAsia="Calibri"/>
                <w:sz w:val="22"/>
                <w:szCs w:val="22"/>
              </w:rPr>
            </w:pPr>
            <w:r w:rsidRPr="004F572A">
              <w:rPr>
                <w:rFonts w:eastAsia="Calibri"/>
                <w:sz w:val="22"/>
                <w:szCs w:val="22"/>
              </w:rPr>
              <w:t>Mirčių skaičius (%)</w:t>
            </w:r>
          </w:p>
        </w:tc>
        <w:tc>
          <w:tcPr>
            <w:tcW w:w="2160" w:type="dxa"/>
          </w:tcPr>
          <w:p w14:paraId="7DBF046F" w14:textId="0B1A61ED" w:rsidR="00187EEC" w:rsidRPr="004F572A" w:rsidRDefault="00187EEC" w:rsidP="00F67D19">
            <w:pPr>
              <w:widowControl w:val="0"/>
              <w:tabs>
                <w:tab w:val="clear" w:pos="567"/>
              </w:tabs>
              <w:jc w:val="center"/>
              <w:rPr>
                <w:rFonts w:eastAsia="Calibri"/>
                <w:sz w:val="22"/>
                <w:szCs w:val="22"/>
              </w:rPr>
            </w:pPr>
            <w:r w:rsidRPr="004F572A">
              <w:rPr>
                <w:rFonts w:eastAsia="Calibri"/>
                <w:sz w:val="22"/>
                <w:szCs w:val="22"/>
              </w:rPr>
              <w:t>71 (27,2)</w:t>
            </w:r>
          </w:p>
        </w:tc>
        <w:tc>
          <w:tcPr>
            <w:tcW w:w="1710" w:type="dxa"/>
          </w:tcPr>
          <w:p w14:paraId="241A1927" w14:textId="61DA9654" w:rsidR="00187EEC" w:rsidRPr="004F572A" w:rsidRDefault="00187EEC" w:rsidP="00F67D19">
            <w:pPr>
              <w:widowControl w:val="0"/>
              <w:tabs>
                <w:tab w:val="clear" w:pos="567"/>
              </w:tabs>
              <w:jc w:val="center"/>
              <w:rPr>
                <w:rFonts w:eastAsia="Calibri"/>
                <w:sz w:val="22"/>
                <w:szCs w:val="22"/>
              </w:rPr>
            </w:pPr>
            <w:r w:rsidRPr="004F572A">
              <w:rPr>
                <w:rFonts w:eastAsia="Calibri"/>
                <w:sz w:val="22"/>
                <w:szCs w:val="22"/>
              </w:rPr>
              <w:t>47 (35,9)</w:t>
            </w:r>
          </w:p>
        </w:tc>
      </w:tr>
      <w:tr w:rsidR="00187EEC" w:rsidRPr="004F572A" w14:paraId="7C0FA851" w14:textId="77777777" w:rsidTr="00F67D19">
        <w:tc>
          <w:tcPr>
            <w:tcW w:w="5305" w:type="dxa"/>
          </w:tcPr>
          <w:p w14:paraId="765121C8" w14:textId="0E754A19" w:rsidR="00187EEC" w:rsidRPr="004F572A" w:rsidRDefault="00187EEC" w:rsidP="00F67D19">
            <w:pPr>
              <w:widowControl w:val="0"/>
              <w:tabs>
                <w:tab w:val="clear" w:pos="567"/>
              </w:tabs>
              <w:ind w:left="245"/>
              <w:rPr>
                <w:rFonts w:eastAsia="Calibri"/>
                <w:sz w:val="22"/>
                <w:szCs w:val="22"/>
              </w:rPr>
            </w:pPr>
            <w:r w:rsidRPr="004F572A">
              <w:rPr>
                <w:rFonts w:eastAsia="Calibri"/>
                <w:sz w:val="22"/>
                <w:szCs w:val="22"/>
              </w:rPr>
              <w:t>BI mediana mėnesiais (95 % PI)</w:t>
            </w:r>
          </w:p>
        </w:tc>
        <w:tc>
          <w:tcPr>
            <w:tcW w:w="2160" w:type="dxa"/>
          </w:tcPr>
          <w:p w14:paraId="2189EF1E" w14:textId="17198F3D" w:rsidR="00187EEC" w:rsidRPr="004F572A" w:rsidRDefault="00187EEC" w:rsidP="00F67D19">
            <w:pPr>
              <w:widowControl w:val="0"/>
              <w:tabs>
                <w:tab w:val="clear" w:pos="567"/>
              </w:tabs>
              <w:jc w:val="center"/>
              <w:rPr>
                <w:rFonts w:eastAsia="Calibri"/>
                <w:sz w:val="22"/>
                <w:szCs w:val="22"/>
              </w:rPr>
            </w:pPr>
            <w:r w:rsidRPr="004F572A">
              <w:rPr>
                <w:rFonts w:eastAsia="Calibri"/>
                <w:sz w:val="22"/>
                <w:szCs w:val="22"/>
              </w:rPr>
              <w:t>NĮ (22,0, NĮ)</w:t>
            </w:r>
          </w:p>
        </w:tc>
        <w:tc>
          <w:tcPr>
            <w:tcW w:w="1710" w:type="dxa"/>
          </w:tcPr>
          <w:p w14:paraId="43A7164F" w14:textId="54273659" w:rsidR="00187EEC" w:rsidRPr="004F572A" w:rsidRDefault="00187EEC" w:rsidP="00F67D19">
            <w:pPr>
              <w:widowControl w:val="0"/>
              <w:tabs>
                <w:tab w:val="clear" w:pos="567"/>
              </w:tabs>
              <w:jc w:val="center"/>
              <w:rPr>
                <w:rFonts w:eastAsia="Calibri"/>
                <w:sz w:val="22"/>
                <w:szCs w:val="22"/>
              </w:rPr>
            </w:pPr>
            <w:r w:rsidRPr="004F572A">
              <w:rPr>
                <w:rFonts w:eastAsia="Calibri"/>
                <w:sz w:val="22"/>
                <w:szCs w:val="22"/>
              </w:rPr>
              <w:t>NĮ (20,3, NĮ)</w:t>
            </w:r>
          </w:p>
        </w:tc>
      </w:tr>
      <w:tr w:rsidR="00187EEC" w:rsidRPr="004F572A" w14:paraId="44DA5369" w14:textId="77777777" w:rsidTr="00F67D19">
        <w:tc>
          <w:tcPr>
            <w:tcW w:w="5305" w:type="dxa"/>
          </w:tcPr>
          <w:p w14:paraId="7FB92089" w14:textId="434E76B6" w:rsidR="00187EEC" w:rsidRPr="004F572A" w:rsidRDefault="008C45C7" w:rsidP="00F67D19">
            <w:pPr>
              <w:widowControl w:val="0"/>
              <w:tabs>
                <w:tab w:val="clear" w:pos="567"/>
              </w:tabs>
              <w:ind w:left="245"/>
              <w:rPr>
                <w:rFonts w:eastAsia="Calibri"/>
                <w:sz w:val="22"/>
                <w:szCs w:val="22"/>
              </w:rPr>
            </w:pPr>
            <w:r w:rsidRPr="008C45C7">
              <w:rPr>
                <w:rFonts w:eastAsia="Calibri"/>
                <w:sz w:val="22"/>
                <w:szCs w:val="22"/>
              </w:rPr>
              <w:t>Santykinė rizika</w:t>
            </w:r>
            <w:r w:rsidRPr="008C45C7" w:rsidDel="008C45C7">
              <w:rPr>
                <w:rFonts w:eastAsia="Calibri"/>
                <w:sz w:val="22"/>
                <w:szCs w:val="22"/>
              </w:rPr>
              <w:t xml:space="preserve"> </w:t>
            </w:r>
            <w:r w:rsidR="00187EEC" w:rsidRPr="004F572A">
              <w:rPr>
                <w:rFonts w:eastAsia="Calibri"/>
                <w:sz w:val="22"/>
                <w:szCs w:val="22"/>
              </w:rPr>
              <w:t>(99 % PI)</w:t>
            </w:r>
            <w:r w:rsidR="00187EEC" w:rsidRPr="004F572A">
              <w:rPr>
                <w:rFonts w:eastAsia="Calibri"/>
                <w:sz w:val="22"/>
                <w:szCs w:val="22"/>
                <w:vertAlign w:val="superscript"/>
              </w:rPr>
              <w:t>b, e</w:t>
            </w:r>
          </w:p>
        </w:tc>
        <w:tc>
          <w:tcPr>
            <w:tcW w:w="3870" w:type="dxa"/>
            <w:gridSpan w:val="2"/>
          </w:tcPr>
          <w:p w14:paraId="7C22245F" w14:textId="1524AA54" w:rsidR="00187EEC" w:rsidRPr="004F572A" w:rsidRDefault="00187EEC" w:rsidP="00F67D19">
            <w:pPr>
              <w:widowControl w:val="0"/>
              <w:tabs>
                <w:tab w:val="clear" w:pos="567"/>
              </w:tabs>
              <w:jc w:val="center"/>
              <w:rPr>
                <w:rFonts w:eastAsia="Calibri"/>
                <w:sz w:val="22"/>
                <w:szCs w:val="22"/>
              </w:rPr>
            </w:pPr>
            <w:r w:rsidRPr="004F572A">
              <w:rPr>
                <w:rFonts w:eastAsia="Calibri"/>
                <w:sz w:val="22"/>
                <w:szCs w:val="22"/>
              </w:rPr>
              <w:t>0,73 (0,50, 1,07)</w:t>
            </w:r>
          </w:p>
        </w:tc>
      </w:tr>
      <w:tr w:rsidR="00187EEC" w:rsidRPr="004F572A" w14:paraId="3D56785D" w14:textId="77777777" w:rsidTr="00F67D19">
        <w:tc>
          <w:tcPr>
            <w:tcW w:w="5305" w:type="dxa"/>
          </w:tcPr>
          <w:p w14:paraId="06BEC993" w14:textId="57B0B90C" w:rsidR="00187EEC" w:rsidRPr="004F572A" w:rsidRDefault="00187EEC" w:rsidP="00F67D19">
            <w:pPr>
              <w:widowControl w:val="0"/>
              <w:tabs>
                <w:tab w:val="clear" w:pos="567"/>
              </w:tabs>
              <w:ind w:left="245"/>
              <w:rPr>
                <w:rFonts w:eastAsia="Calibri"/>
                <w:sz w:val="22"/>
                <w:szCs w:val="22"/>
              </w:rPr>
            </w:pPr>
            <w:r w:rsidRPr="004F572A">
              <w:rPr>
                <w:rFonts w:eastAsia="Calibri"/>
                <w:sz w:val="22"/>
                <w:szCs w:val="22"/>
              </w:rPr>
              <w:t>P-</w:t>
            </w:r>
            <w:proofErr w:type="spellStart"/>
            <w:r w:rsidRPr="004F572A">
              <w:rPr>
                <w:rFonts w:eastAsia="Calibri"/>
                <w:sz w:val="22"/>
                <w:szCs w:val="22"/>
              </w:rPr>
              <w:t>vertė</w:t>
            </w:r>
            <w:r w:rsidRPr="004F572A">
              <w:rPr>
                <w:rFonts w:eastAsia="Calibri"/>
                <w:sz w:val="22"/>
                <w:szCs w:val="22"/>
                <w:vertAlign w:val="superscript"/>
              </w:rPr>
              <w:t>b</w:t>
            </w:r>
            <w:proofErr w:type="spellEnd"/>
            <w:r w:rsidRPr="004F572A">
              <w:rPr>
                <w:rFonts w:eastAsia="Calibri"/>
                <w:sz w:val="22"/>
                <w:szCs w:val="22"/>
                <w:vertAlign w:val="superscript"/>
              </w:rPr>
              <w:t>, e</w:t>
            </w:r>
          </w:p>
        </w:tc>
        <w:tc>
          <w:tcPr>
            <w:tcW w:w="3870" w:type="dxa"/>
            <w:gridSpan w:val="2"/>
          </w:tcPr>
          <w:p w14:paraId="6047CB7E" w14:textId="245AF80A" w:rsidR="00187EEC" w:rsidRPr="004F572A" w:rsidRDefault="00187EEC" w:rsidP="00F67D19">
            <w:pPr>
              <w:widowControl w:val="0"/>
              <w:tabs>
                <w:tab w:val="clear" w:pos="567"/>
              </w:tabs>
              <w:jc w:val="center"/>
              <w:rPr>
                <w:rFonts w:eastAsia="Calibri"/>
                <w:sz w:val="22"/>
                <w:szCs w:val="22"/>
              </w:rPr>
            </w:pPr>
            <w:r w:rsidRPr="004F572A">
              <w:rPr>
                <w:rFonts w:eastAsia="Calibri"/>
                <w:sz w:val="22"/>
                <w:szCs w:val="22"/>
              </w:rPr>
              <w:t>0,1032</w:t>
            </w:r>
          </w:p>
        </w:tc>
      </w:tr>
      <w:tr w:rsidR="00187EEC" w:rsidRPr="004F572A" w14:paraId="7FFECC67" w14:textId="77777777" w:rsidTr="00187EEC">
        <w:tc>
          <w:tcPr>
            <w:tcW w:w="9175" w:type="dxa"/>
            <w:gridSpan w:val="3"/>
          </w:tcPr>
          <w:p w14:paraId="53730E1A" w14:textId="44C2775F" w:rsidR="00187EEC" w:rsidRPr="004F572A" w:rsidRDefault="00187EEC" w:rsidP="00187EEC">
            <w:pPr>
              <w:widowControl w:val="0"/>
              <w:tabs>
                <w:tab w:val="clear" w:pos="567"/>
              </w:tabs>
              <w:ind w:left="-25"/>
              <w:rPr>
                <w:rFonts w:eastAsia="Calibri"/>
                <w:sz w:val="22"/>
                <w:szCs w:val="22"/>
              </w:rPr>
            </w:pPr>
            <w:r w:rsidRPr="004F572A">
              <w:rPr>
                <w:rFonts w:eastAsia="Calibri"/>
                <w:sz w:val="22"/>
                <w:szCs w:val="22"/>
              </w:rPr>
              <w:t xml:space="preserve">PI – </w:t>
            </w:r>
            <w:proofErr w:type="spellStart"/>
            <w:r w:rsidRPr="004F572A">
              <w:rPr>
                <w:rFonts w:eastAsia="Calibri"/>
                <w:sz w:val="22"/>
                <w:szCs w:val="22"/>
              </w:rPr>
              <w:t>pasikliautinasis</w:t>
            </w:r>
            <w:proofErr w:type="spellEnd"/>
            <w:r w:rsidRPr="004F572A">
              <w:rPr>
                <w:rFonts w:eastAsia="Calibri"/>
                <w:sz w:val="22"/>
                <w:szCs w:val="22"/>
              </w:rPr>
              <w:t xml:space="preserve"> intervalas; NĮ – negalima įvertinti; BI – bendras</w:t>
            </w:r>
            <w:r w:rsidR="00FB189D" w:rsidRPr="004F572A">
              <w:rPr>
                <w:rFonts w:eastAsia="Calibri"/>
                <w:sz w:val="22"/>
                <w:szCs w:val="22"/>
              </w:rPr>
              <w:t>is</w:t>
            </w:r>
            <w:r w:rsidRPr="004F572A">
              <w:rPr>
                <w:rFonts w:eastAsia="Calibri"/>
                <w:sz w:val="22"/>
                <w:szCs w:val="22"/>
              </w:rPr>
              <w:t xml:space="preserve"> išgyvenamumas; ILN –išgyvenamumas ligai neprogresuojant; RPSFT – struktūrinis rangus išlaikantis laiko iki gydymo</w:t>
            </w:r>
            <w:r w:rsidR="005C5FC7" w:rsidRPr="004F572A">
              <w:rPr>
                <w:rFonts w:eastAsia="Calibri"/>
                <w:sz w:val="22"/>
                <w:szCs w:val="22"/>
              </w:rPr>
              <w:t xml:space="preserve"> </w:t>
            </w:r>
            <w:r w:rsidRPr="004F572A">
              <w:rPr>
                <w:rFonts w:eastAsia="Calibri"/>
                <w:sz w:val="22"/>
                <w:szCs w:val="22"/>
              </w:rPr>
              <w:t xml:space="preserve">nesėkmės modelis (angl. </w:t>
            </w:r>
            <w:proofErr w:type="spellStart"/>
            <w:r w:rsidRPr="00E27691">
              <w:rPr>
                <w:rFonts w:eastAsia="Calibri"/>
                <w:i/>
                <w:iCs/>
                <w:sz w:val="22"/>
                <w:szCs w:val="22"/>
              </w:rPr>
              <w:t>Rank</w:t>
            </w:r>
            <w:proofErr w:type="spellEnd"/>
            <w:r w:rsidRPr="00E27691">
              <w:rPr>
                <w:rFonts w:eastAsia="Calibri"/>
                <w:i/>
                <w:iCs/>
                <w:sz w:val="22"/>
                <w:szCs w:val="22"/>
              </w:rPr>
              <w:t xml:space="preserve"> </w:t>
            </w:r>
            <w:proofErr w:type="spellStart"/>
            <w:r w:rsidRPr="00E27691">
              <w:rPr>
                <w:rFonts w:eastAsia="Calibri"/>
                <w:i/>
                <w:iCs/>
                <w:sz w:val="22"/>
                <w:szCs w:val="22"/>
              </w:rPr>
              <w:t>Preserving</w:t>
            </w:r>
            <w:proofErr w:type="spellEnd"/>
            <w:r w:rsidRPr="00E27691">
              <w:rPr>
                <w:rFonts w:eastAsia="Calibri"/>
                <w:i/>
                <w:iCs/>
                <w:sz w:val="22"/>
                <w:szCs w:val="22"/>
              </w:rPr>
              <w:t xml:space="preserve"> </w:t>
            </w:r>
            <w:proofErr w:type="spellStart"/>
            <w:r w:rsidRPr="00E27691">
              <w:rPr>
                <w:rFonts w:eastAsia="Calibri"/>
                <w:i/>
                <w:iCs/>
                <w:sz w:val="22"/>
                <w:szCs w:val="22"/>
              </w:rPr>
              <w:t>Structural</w:t>
            </w:r>
            <w:proofErr w:type="spellEnd"/>
            <w:r w:rsidRPr="00E27691">
              <w:rPr>
                <w:rFonts w:eastAsia="Calibri"/>
                <w:i/>
                <w:iCs/>
                <w:sz w:val="22"/>
                <w:szCs w:val="22"/>
              </w:rPr>
              <w:t xml:space="preserve"> </w:t>
            </w:r>
            <w:proofErr w:type="spellStart"/>
            <w:r w:rsidRPr="00E27691">
              <w:rPr>
                <w:rFonts w:eastAsia="Calibri"/>
                <w:i/>
                <w:iCs/>
                <w:sz w:val="22"/>
                <w:szCs w:val="22"/>
              </w:rPr>
              <w:t>Failure</w:t>
            </w:r>
            <w:proofErr w:type="spellEnd"/>
            <w:r w:rsidRPr="00E27691">
              <w:rPr>
                <w:rFonts w:eastAsia="Calibri"/>
                <w:i/>
                <w:iCs/>
                <w:sz w:val="22"/>
                <w:szCs w:val="22"/>
              </w:rPr>
              <w:t xml:space="preserve"> Time</w:t>
            </w:r>
            <w:r w:rsidRPr="004F572A">
              <w:rPr>
                <w:rFonts w:eastAsia="Calibri"/>
                <w:sz w:val="22"/>
                <w:szCs w:val="22"/>
              </w:rPr>
              <w:t>); VEGF/VEGFR – kraujagyslių</w:t>
            </w:r>
            <w:r w:rsidR="005C5FC7" w:rsidRPr="004F572A">
              <w:rPr>
                <w:rFonts w:eastAsia="Calibri"/>
                <w:sz w:val="22"/>
                <w:szCs w:val="22"/>
              </w:rPr>
              <w:t xml:space="preserve"> </w:t>
            </w:r>
            <w:proofErr w:type="spellStart"/>
            <w:r w:rsidRPr="004F572A">
              <w:rPr>
                <w:rFonts w:eastAsia="Calibri"/>
                <w:sz w:val="22"/>
                <w:szCs w:val="22"/>
              </w:rPr>
              <w:t>endotelio</w:t>
            </w:r>
            <w:proofErr w:type="spellEnd"/>
            <w:r w:rsidRPr="004F572A">
              <w:rPr>
                <w:rFonts w:eastAsia="Calibri"/>
                <w:sz w:val="22"/>
                <w:szCs w:val="22"/>
              </w:rPr>
              <w:t xml:space="preserve"> augimo faktorius / kraujagyslių </w:t>
            </w:r>
            <w:proofErr w:type="spellStart"/>
            <w:r w:rsidRPr="004F572A">
              <w:rPr>
                <w:rFonts w:eastAsia="Calibri"/>
                <w:sz w:val="22"/>
                <w:szCs w:val="22"/>
              </w:rPr>
              <w:t>endotelio</w:t>
            </w:r>
            <w:proofErr w:type="spellEnd"/>
            <w:r w:rsidRPr="004F572A">
              <w:rPr>
                <w:rFonts w:eastAsia="Calibri"/>
                <w:sz w:val="22"/>
                <w:szCs w:val="22"/>
              </w:rPr>
              <w:t xml:space="preserve"> augimo faktoriaus receptorius.</w:t>
            </w:r>
          </w:p>
          <w:p w14:paraId="0E1EE152" w14:textId="77777777" w:rsidR="005C5FC7" w:rsidRPr="004F572A" w:rsidRDefault="005C5FC7" w:rsidP="005C5FC7">
            <w:pPr>
              <w:widowControl w:val="0"/>
              <w:tabs>
                <w:tab w:val="clear" w:pos="567"/>
              </w:tabs>
              <w:ind w:left="360" w:hanging="385"/>
              <w:rPr>
                <w:rFonts w:eastAsia="Calibri"/>
                <w:sz w:val="22"/>
                <w:szCs w:val="22"/>
              </w:rPr>
            </w:pPr>
            <w:r w:rsidRPr="004F572A">
              <w:rPr>
                <w:rFonts w:eastAsia="Calibri"/>
                <w:sz w:val="22"/>
                <w:szCs w:val="22"/>
              </w:rPr>
              <w:t>a:</w:t>
            </w:r>
            <w:r w:rsidRPr="004F572A">
              <w:rPr>
                <w:rFonts w:eastAsia="Calibri"/>
                <w:sz w:val="22"/>
                <w:szCs w:val="22"/>
              </w:rPr>
              <w:tab/>
              <w:t>Nepriklausoma radiologinė analizė.</w:t>
            </w:r>
          </w:p>
          <w:p w14:paraId="51B6BD69" w14:textId="6C136B35" w:rsidR="005C5FC7" w:rsidRPr="004F572A" w:rsidRDefault="005C5FC7" w:rsidP="005C5FC7">
            <w:pPr>
              <w:widowControl w:val="0"/>
              <w:tabs>
                <w:tab w:val="clear" w:pos="567"/>
              </w:tabs>
              <w:ind w:left="360" w:hanging="385"/>
              <w:rPr>
                <w:rFonts w:eastAsia="Calibri"/>
                <w:sz w:val="22"/>
                <w:szCs w:val="22"/>
              </w:rPr>
            </w:pPr>
            <w:r w:rsidRPr="004F572A">
              <w:rPr>
                <w:rFonts w:eastAsia="Calibri"/>
                <w:sz w:val="22"/>
                <w:szCs w:val="22"/>
              </w:rPr>
              <w:t>b:</w:t>
            </w:r>
            <w:r w:rsidRPr="004F572A">
              <w:rPr>
                <w:rFonts w:eastAsia="Calibri"/>
                <w:sz w:val="22"/>
                <w:szCs w:val="22"/>
              </w:rPr>
              <w:tab/>
            </w:r>
            <w:proofErr w:type="spellStart"/>
            <w:r w:rsidRPr="004F572A">
              <w:rPr>
                <w:rFonts w:eastAsia="Calibri"/>
                <w:sz w:val="22"/>
                <w:szCs w:val="22"/>
              </w:rPr>
              <w:t>Stratifikuojama</w:t>
            </w:r>
            <w:proofErr w:type="spellEnd"/>
            <w:r w:rsidRPr="004F572A">
              <w:rPr>
                <w:rFonts w:eastAsia="Calibri"/>
                <w:sz w:val="22"/>
                <w:szCs w:val="22"/>
              </w:rPr>
              <w:t xml:space="preserve"> pagal regioną (Europa, Šiaurės Amerika ir kiti), amžiaus grupę (≤</w:t>
            </w:r>
            <w:r w:rsidR="00115D7F">
              <w:rPr>
                <w:rFonts w:eastAsia="Calibri"/>
                <w:sz w:val="22"/>
                <w:szCs w:val="22"/>
              </w:rPr>
              <w:t> </w:t>
            </w:r>
            <w:r w:rsidRPr="004F572A">
              <w:rPr>
                <w:rFonts w:eastAsia="Calibri"/>
                <w:sz w:val="22"/>
                <w:szCs w:val="22"/>
              </w:rPr>
              <w:t>65</w:t>
            </w:r>
            <w:r w:rsidR="00115D7F">
              <w:rPr>
                <w:rFonts w:eastAsia="Calibri"/>
                <w:sz w:val="22"/>
                <w:szCs w:val="22"/>
              </w:rPr>
              <w:t> </w:t>
            </w:r>
            <w:r w:rsidRPr="004F572A">
              <w:rPr>
                <w:rFonts w:eastAsia="Calibri"/>
                <w:sz w:val="22"/>
                <w:szCs w:val="22"/>
              </w:rPr>
              <w:t>metai ir &gt;</w:t>
            </w:r>
            <w:r w:rsidR="00115D7F">
              <w:rPr>
                <w:rFonts w:eastAsia="Calibri"/>
                <w:sz w:val="22"/>
                <w:szCs w:val="22"/>
              </w:rPr>
              <w:t> </w:t>
            </w:r>
            <w:r w:rsidRPr="004F572A">
              <w:rPr>
                <w:rFonts w:eastAsia="Calibri"/>
                <w:sz w:val="22"/>
                <w:szCs w:val="22"/>
              </w:rPr>
              <w:t>65</w:t>
            </w:r>
            <w:r w:rsidR="00115D7F">
              <w:rPr>
                <w:rFonts w:eastAsia="Calibri"/>
                <w:sz w:val="22"/>
                <w:szCs w:val="22"/>
              </w:rPr>
              <w:t> </w:t>
            </w:r>
            <w:r w:rsidRPr="004F572A">
              <w:rPr>
                <w:rFonts w:eastAsia="Calibri"/>
                <w:sz w:val="22"/>
                <w:szCs w:val="22"/>
              </w:rPr>
              <w:t>metai) bei prieš tai taikytą VEGF/VEGFR veikiantį gydymą (0 arba 1).</w:t>
            </w:r>
          </w:p>
          <w:p w14:paraId="3CA73300" w14:textId="12A156FB" w:rsidR="005C5FC7" w:rsidRPr="004F572A" w:rsidRDefault="005C5FC7" w:rsidP="005C5FC7">
            <w:pPr>
              <w:widowControl w:val="0"/>
              <w:tabs>
                <w:tab w:val="clear" w:pos="567"/>
              </w:tabs>
              <w:ind w:left="360" w:hanging="385"/>
              <w:rPr>
                <w:rFonts w:eastAsia="Calibri"/>
                <w:sz w:val="22"/>
                <w:szCs w:val="22"/>
              </w:rPr>
            </w:pPr>
            <w:r w:rsidRPr="004F572A">
              <w:rPr>
                <w:rFonts w:eastAsia="Calibri"/>
                <w:sz w:val="22"/>
                <w:szCs w:val="22"/>
              </w:rPr>
              <w:t>c:</w:t>
            </w:r>
            <w:r w:rsidRPr="004F572A">
              <w:rPr>
                <w:rFonts w:eastAsia="Calibri"/>
                <w:sz w:val="22"/>
                <w:szCs w:val="22"/>
              </w:rPr>
              <w:tab/>
              <w:t>Vertinta naudojant</w:t>
            </w:r>
            <w:r w:rsidR="008C45C7">
              <w:rPr>
                <w:rFonts w:eastAsia="Calibri"/>
                <w:sz w:val="22"/>
                <w:szCs w:val="22"/>
              </w:rPr>
              <w:t xml:space="preserve"> Kokso</w:t>
            </w:r>
            <w:r w:rsidRPr="004F572A">
              <w:rPr>
                <w:rFonts w:eastAsia="Calibri"/>
                <w:sz w:val="22"/>
                <w:szCs w:val="22"/>
              </w:rPr>
              <w:t xml:space="preserve"> proporcingos rizikos modelį.</w:t>
            </w:r>
          </w:p>
          <w:p w14:paraId="44D8C9E3" w14:textId="5292A690" w:rsidR="005C5FC7" w:rsidRPr="004F572A" w:rsidRDefault="005C5FC7" w:rsidP="005C5FC7">
            <w:pPr>
              <w:widowControl w:val="0"/>
              <w:tabs>
                <w:tab w:val="clear" w:pos="567"/>
              </w:tabs>
              <w:ind w:left="360" w:hanging="385"/>
              <w:rPr>
                <w:rFonts w:eastAsia="Calibri"/>
                <w:sz w:val="22"/>
                <w:szCs w:val="22"/>
              </w:rPr>
            </w:pPr>
            <w:r w:rsidRPr="004F572A">
              <w:rPr>
                <w:rFonts w:eastAsia="Calibri"/>
                <w:sz w:val="22"/>
                <w:szCs w:val="22"/>
              </w:rPr>
              <w:t>d:</w:t>
            </w:r>
            <w:r w:rsidRPr="004F572A">
              <w:rPr>
                <w:rFonts w:eastAsia="Calibri"/>
                <w:sz w:val="22"/>
                <w:szCs w:val="22"/>
              </w:rPr>
              <w:tab/>
              <w:t xml:space="preserve">Vertinta naudojant </w:t>
            </w:r>
            <w:proofErr w:type="spellStart"/>
            <w:r w:rsidRPr="004F572A">
              <w:rPr>
                <w:rFonts w:eastAsia="Calibri"/>
                <w:i/>
                <w:iCs/>
                <w:sz w:val="22"/>
                <w:szCs w:val="22"/>
              </w:rPr>
              <w:t>Kaplan-Meier</w:t>
            </w:r>
            <w:proofErr w:type="spellEnd"/>
            <w:r w:rsidRPr="004F572A">
              <w:rPr>
                <w:rFonts w:eastAsia="Calibri"/>
                <w:sz w:val="22"/>
                <w:szCs w:val="22"/>
              </w:rPr>
              <w:t xml:space="preserve"> metodą; 95</w:t>
            </w:r>
            <w:r w:rsidR="00115D7F">
              <w:rPr>
                <w:rFonts w:eastAsia="Calibri"/>
                <w:sz w:val="22"/>
                <w:szCs w:val="22"/>
              </w:rPr>
              <w:t> </w:t>
            </w:r>
            <w:r w:rsidRPr="004F572A">
              <w:rPr>
                <w:rFonts w:eastAsia="Calibri"/>
                <w:sz w:val="22"/>
                <w:szCs w:val="22"/>
              </w:rPr>
              <w:t xml:space="preserve">% PI sudarytas naudojant </w:t>
            </w:r>
            <w:proofErr w:type="spellStart"/>
            <w:r w:rsidRPr="004F572A">
              <w:rPr>
                <w:rFonts w:eastAsia="Calibri"/>
                <w:sz w:val="22"/>
                <w:szCs w:val="22"/>
              </w:rPr>
              <w:t>generalizuotą</w:t>
            </w:r>
            <w:proofErr w:type="spellEnd"/>
            <w:r w:rsidRPr="004F572A">
              <w:rPr>
                <w:rFonts w:eastAsia="Calibri"/>
                <w:sz w:val="22"/>
                <w:szCs w:val="22"/>
              </w:rPr>
              <w:t xml:space="preserve"> </w:t>
            </w:r>
            <w:proofErr w:type="spellStart"/>
            <w:r w:rsidRPr="004F572A">
              <w:rPr>
                <w:rFonts w:eastAsia="Calibri"/>
                <w:i/>
                <w:iCs/>
                <w:sz w:val="22"/>
                <w:szCs w:val="22"/>
              </w:rPr>
              <w:t>Brookmeyer-Crowley</w:t>
            </w:r>
            <w:proofErr w:type="spellEnd"/>
            <w:r w:rsidRPr="004F572A">
              <w:rPr>
                <w:rFonts w:eastAsia="Calibri"/>
                <w:sz w:val="22"/>
                <w:szCs w:val="22"/>
              </w:rPr>
              <w:t xml:space="preserve"> metodą pacientams, kuriems pasiektas geriausias visiško ir dalinio atsako bendras atsakas.</w:t>
            </w:r>
          </w:p>
          <w:p w14:paraId="755C4D0E" w14:textId="5F0CB1CF" w:rsidR="005C5FC7" w:rsidRPr="004F572A" w:rsidRDefault="005C5FC7" w:rsidP="005C5FC7">
            <w:pPr>
              <w:widowControl w:val="0"/>
              <w:tabs>
                <w:tab w:val="clear" w:pos="567"/>
              </w:tabs>
              <w:ind w:left="360" w:hanging="360"/>
              <w:rPr>
                <w:rFonts w:eastAsia="Calibri"/>
                <w:sz w:val="22"/>
                <w:szCs w:val="22"/>
              </w:rPr>
            </w:pPr>
            <w:r w:rsidRPr="004F572A">
              <w:rPr>
                <w:rFonts w:eastAsia="Calibri"/>
                <w:sz w:val="22"/>
                <w:szCs w:val="22"/>
              </w:rPr>
              <w:t>e:</w:t>
            </w:r>
            <w:r w:rsidRPr="004F572A">
              <w:rPr>
                <w:rFonts w:eastAsia="Calibri"/>
                <w:sz w:val="22"/>
                <w:szCs w:val="22"/>
              </w:rPr>
              <w:tab/>
              <w:t>Nekoreguota atsižvelgiant į gydymo pakeitim</w:t>
            </w:r>
            <w:r w:rsidR="001C6D4F">
              <w:rPr>
                <w:rFonts w:eastAsia="Calibri"/>
                <w:sz w:val="22"/>
                <w:szCs w:val="22"/>
              </w:rPr>
              <w:t>o poveikį</w:t>
            </w:r>
            <w:r w:rsidRPr="004F572A">
              <w:rPr>
                <w:rFonts w:eastAsia="Calibri"/>
                <w:sz w:val="22"/>
                <w:szCs w:val="22"/>
              </w:rPr>
              <w:t>.</w:t>
            </w:r>
          </w:p>
        </w:tc>
      </w:tr>
    </w:tbl>
    <w:p w14:paraId="682D53E4" w14:textId="77777777" w:rsidR="009E0206" w:rsidRPr="004F572A" w:rsidRDefault="009E0206" w:rsidP="000928CA">
      <w:pPr>
        <w:widowControl w:val="0"/>
        <w:tabs>
          <w:tab w:val="clear" w:pos="567"/>
        </w:tabs>
        <w:rPr>
          <w:rFonts w:eastAsia="Calibri"/>
          <w:sz w:val="22"/>
          <w:szCs w:val="22"/>
        </w:rPr>
      </w:pPr>
    </w:p>
    <w:p w14:paraId="0B7F5C28" w14:textId="050E47B1" w:rsidR="009E0206" w:rsidRPr="004F572A" w:rsidRDefault="006B32FF" w:rsidP="00AF3E62">
      <w:pPr>
        <w:widowControl w:val="0"/>
        <w:tabs>
          <w:tab w:val="clear" w:pos="567"/>
        </w:tabs>
        <w:ind w:left="1260" w:hanging="1260"/>
        <w:rPr>
          <w:rFonts w:eastAsia="Calibri"/>
          <w:sz w:val="22"/>
          <w:szCs w:val="22"/>
        </w:rPr>
      </w:pPr>
      <w:r w:rsidRPr="004F572A">
        <w:rPr>
          <w:rFonts w:eastAsia="Calibri"/>
          <w:b/>
          <w:bCs/>
          <w:sz w:val="22"/>
          <w:szCs w:val="22"/>
        </w:rPr>
        <w:t>1</w:t>
      </w:r>
      <w:r w:rsidR="00115D7F">
        <w:rPr>
          <w:rFonts w:eastAsia="Calibri"/>
          <w:b/>
          <w:bCs/>
          <w:sz w:val="22"/>
          <w:szCs w:val="22"/>
        </w:rPr>
        <w:t> </w:t>
      </w:r>
      <w:r w:rsidRPr="004F572A">
        <w:rPr>
          <w:rFonts w:eastAsia="Calibri"/>
          <w:b/>
          <w:bCs/>
          <w:sz w:val="22"/>
          <w:szCs w:val="22"/>
        </w:rPr>
        <w:t>pav</w:t>
      </w:r>
      <w:r w:rsidR="00AF3E62" w:rsidRPr="004F572A">
        <w:rPr>
          <w:rFonts w:eastAsia="Calibri"/>
          <w:b/>
          <w:bCs/>
          <w:sz w:val="22"/>
          <w:szCs w:val="22"/>
        </w:rPr>
        <w:t>eikslas</w:t>
      </w:r>
      <w:r w:rsidRPr="004F572A">
        <w:rPr>
          <w:rFonts w:eastAsia="Calibri"/>
          <w:b/>
          <w:bCs/>
          <w:sz w:val="22"/>
          <w:szCs w:val="22"/>
        </w:rPr>
        <w:t xml:space="preserve">. </w:t>
      </w:r>
      <w:proofErr w:type="spellStart"/>
      <w:r w:rsidRPr="00E27691">
        <w:rPr>
          <w:rFonts w:eastAsia="Calibri"/>
          <w:b/>
          <w:bCs/>
          <w:i/>
          <w:iCs/>
          <w:sz w:val="22"/>
          <w:szCs w:val="22"/>
        </w:rPr>
        <w:t>Kaplan-Meier</w:t>
      </w:r>
      <w:proofErr w:type="spellEnd"/>
      <w:r w:rsidRPr="004F572A">
        <w:rPr>
          <w:rFonts w:eastAsia="Calibri"/>
          <w:sz w:val="22"/>
          <w:szCs w:val="22"/>
        </w:rPr>
        <w:t xml:space="preserve"> </w:t>
      </w:r>
      <w:r w:rsidRPr="004F572A">
        <w:rPr>
          <w:rFonts w:eastAsia="Calibri"/>
          <w:b/>
          <w:bCs/>
          <w:sz w:val="22"/>
          <w:szCs w:val="22"/>
        </w:rPr>
        <w:t>išgyvenamumo ligai neprogresuojant kreivė – diferencijuota skydliaukės karcinoma</w:t>
      </w:r>
    </w:p>
    <w:p w14:paraId="68ECE75F" w14:textId="77777777" w:rsidR="009E0206" w:rsidRPr="004F572A" w:rsidRDefault="009E0206" w:rsidP="000928CA">
      <w:pPr>
        <w:widowControl w:val="0"/>
        <w:tabs>
          <w:tab w:val="clear" w:pos="567"/>
        </w:tabs>
        <w:rPr>
          <w:rFonts w:eastAsia="Calibri"/>
          <w:sz w:val="22"/>
          <w:szCs w:val="22"/>
        </w:rPr>
      </w:pPr>
    </w:p>
    <w:p w14:paraId="1D652CFA" w14:textId="7C223AE5" w:rsidR="009E0206" w:rsidRPr="004F572A" w:rsidRDefault="006B32FF" w:rsidP="000928CA">
      <w:pPr>
        <w:widowControl w:val="0"/>
        <w:tabs>
          <w:tab w:val="clear" w:pos="567"/>
        </w:tabs>
        <w:rPr>
          <w:rFonts w:eastAsia="Calibri"/>
          <w:sz w:val="22"/>
          <w:szCs w:val="22"/>
        </w:rPr>
      </w:pPr>
      <w:r w:rsidRPr="004F572A">
        <w:rPr>
          <w:noProof/>
        </w:rPr>
        <w:drawing>
          <wp:inline distT="0" distB="0" distL="0" distR="0" wp14:anchorId="483A66FD" wp14:editId="2889BF5E">
            <wp:extent cx="5759450" cy="2957195"/>
            <wp:effectExtent l="0" t="0" r="0" b="0"/>
            <wp:docPr id="187728874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288740" name=""/>
                    <pic:cNvPicPr/>
                  </pic:nvPicPr>
                  <pic:blipFill>
                    <a:blip r:embed="rId11"/>
                    <a:stretch>
                      <a:fillRect/>
                    </a:stretch>
                  </pic:blipFill>
                  <pic:spPr>
                    <a:xfrm>
                      <a:off x="0" y="0"/>
                      <a:ext cx="5759450" cy="2957195"/>
                    </a:xfrm>
                    <a:prstGeom prst="rect">
                      <a:avLst/>
                    </a:prstGeom>
                  </pic:spPr>
                </pic:pic>
              </a:graphicData>
            </a:graphic>
          </wp:inline>
        </w:drawing>
      </w:r>
    </w:p>
    <w:p w14:paraId="0CC03203" w14:textId="77777777" w:rsidR="009E0206" w:rsidRPr="004F572A" w:rsidRDefault="009E0206" w:rsidP="000928CA">
      <w:pPr>
        <w:widowControl w:val="0"/>
        <w:tabs>
          <w:tab w:val="clear" w:pos="567"/>
        </w:tabs>
        <w:rPr>
          <w:rFonts w:eastAsia="Calibri"/>
          <w:sz w:val="22"/>
          <w:szCs w:val="22"/>
        </w:rPr>
      </w:pPr>
    </w:p>
    <w:p w14:paraId="03E4E987" w14:textId="77777777" w:rsidR="00B32200" w:rsidRPr="004F572A" w:rsidRDefault="00B32200" w:rsidP="00B32200">
      <w:pPr>
        <w:widowControl w:val="0"/>
        <w:tabs>
          <w:tab w:val="clear" w:pos="567"/>
        </w:tabs>
        <w:rPr>
          <w:rFonts w:eastAsia="Calibri"/>
          <w:i/>
          <w:iCs/>
          <w:sz w:val="22"/>
          <w:szCs w:val="22"/>
          <w:u w:val="single"/>
        </w:rPr>
      </w:pPr>
      <w:proofErr w:type="spellStart"/>
      <w:r w:rsidRPr="004F572A">
        <w:rPr>
          <w:rFonts w:eastAsia="Calibri"/>
          <w:i/>
          <w:iCs/>
          <w:sz w:val="22"/>
          <w:szCs w:val="22"/>
          <w:u w:val="single"/>
        </w:rPr>
        <w:t>Hepatoceliulinė</w:t>
      </w:r>
      <w:proofErr w:type="spellEnd"/>
      <w:r w:rsidRPr="004F572A">
        <w:rPr>
          <w:rFonts w:eastAsia="Calibri"/>
          <w:i/>
          <w:iCs/>
          <w:sz w:val="22"/>
          <w:szCs w:val="22"/>
          <w:u w:val="single"/>
        </w:rPr>
        <w:t xml:space="preserve"> karcinoma</w:t>
      </w:r>
    </w:p>
    <w:p w14:paraId="322B57BD" w14:textId="77777777" w:rsidR="001C6D4F" w:rsidRDefault="001C6D4F" w:rsidP="00B32200">
      <w:pPr>
        <w:widowControl w:val="0"/>
        <w:tabs>
          <w:tab w:val="clear" w:pos="567"/>
        </w:tabs>
        <w:rPr>
          <w:rFonts w:eastAsia="Calibri"/>
          <w:sz w:val="22"/>
          <w:szCs w:val="22"/>
        </w:rPr>
      </w:pPr>
    </w:p>
    <w:p w14:paraId="389C21C3" w14:textId="70186E4A" w:rsidR="00B32200" w:rsidRPr="004F572A" w:rsidRDefault="00B32200" w:rsidP="00B32200">
      <w:pPr>
        <w:widowControl w:val="0"/>
        <w:tabs>
          <w:tab w:val="clear" w:pos="567"/>
        </w:tabs>
        <w:rPr>
          <w:rFonts w:eastAsia="Calibri"/>
          <w:sz w:val="22"/>
          <w:szCs w:val="22"/>
        </w:rPr>
      </w:pPr>
      <w:proofErr w:type="spellStart"/>
      <w:r w:rsidRPr="004F572A">
        <w:rPr>
          <w:rFonts w:eastAsia="Calibri"/>
          <w:sz w:val="22"/>
          <w:szCs w:val="22"/>
        </w:rPr>
        <w:t>Lenvatinibo</w:t>
      </w:r>
      <w:proofErr w:type="spellEnd"/>
      <w:r w:rsidRPr="004F572A">
        <w:rPr>
          <w:rFonts w:eastAsia="Calibri"/>
          <w:sz w:val="22"/>
          <w:szCs w:val="22"/>
        </w:rPr>
        <w:t xml:space="preserve"> klinikinis veiksmingumas i</w:t>
      </w:r>
      <w:r w:rsidR="00330A1B" w:rsidRPr="004F572A">
        <w:rPr>
          <w:rFonts w:eastAsia="Calibri"/>
          <w:sz w:val="22"/>
          <w:szCs w:val="22"/>
        </w:rPr>
        <w:t>r</w:t>
      </w:r>
      <w:r w:rsidRPr="004F572A">
        <w:rPr>
          <w:rFonts w:eastAsia="Calibri"/>
          <w:sz w:val="22"/>
          <w:szCs w:val="22"/>
        </w:rPr>
        <w:t xml:space="preserve"> saugumas buvo įvertintas tarptautin</w:t>
      </w:r>
      <w:r w:rsidR="001C6D4F">
        <w:rPr>
          <w:rFonts w:eastAsia="Calibri"/>
          <w:sz w:val="22"/>
          <w:szCs w:val="22"/>
        </w:rPr>
        <w:t>iame</w:t>
      </w:r>
      <w:r w:rsidRPr="004F572A">
        <w:rPr>
          <w:rFonts w:eastAsia="Calibri"/>
          <w:sz w:val="22"/>
          <w:szCs w:val="22"/>
        </w:rPr>
        <w:t xml:space="preserve"> </w:t>
      </w:r>
      <w:proofErr w:type="spellStart"/>
      <w:r w:rsidRPr="004F572A">
        <w:rPr>
          <w:rFonts w:eastAsia="Calibri"/>
          <w:sz w:val="22"/>
          <w:szCs w:val="22"/>
        </w:rPr>
        <w:t>daugiacentr</w:t>
      </w:r>
      <w:r w:rsidR="001C6D4F">
        <w:rPr>
          <w:rFonts w:eastAsia="Calibri"/>
          <w:sz w:val="22"/>
          <w:szCs w:val="22"/>
        </w:rPr>
        <w:t>iame</w:t>
      </w:r>
      <w:proofErr w:type="spellEnd"/>
      <w:r w:rsidRPr="004F572A">
        <w:rPr>
          <w:rFonts w:eastAsia="Calibri"/>
          <w:sz w:val="22"/>
          <w:szCs w:val="22"/>
        </w:rPr>
        <w:t>,</w:t>
      </w:r>
      <w:r w:rsidR="00330A1B" w:rsidRPr="004F572A">
        <w:rPr>
          <w:rFonts w:eastAsia="Calibri"/>
          <w:sz w:val="22"/>
          <w:szCs w:val="22"/>
        </w:rPr>
        <w:t xml:space="preserve"> </w:t>
      </w:r>
      <w:r w:rsidRPr="004F572A">
        <w:rPr>
          <w:rFonts w:eastAsia="Calibri"/>
          <w:sz w:val="22"/>
          <w:szCs w:val="22"/>
        </w:rPr>
        <w:t>atvir</w:t>
      </w:r>
      <w:r w:rsidR="001C6D4F">
        <w:rPr>
          <w:rFonts w:eastAsia="Calibri"/>
          <w:sz w:val="22"/>
          <w:szCs w:val="22"/>
        </w:rPr>
        <w:t>ame</w:t>
      </w:r>
      <w:r w:rsidRPr="004F572A">
        <w:rPr>
          <w:rFonts w:eastAsia="Calibri"/>
          <w:sz w:val="22"/>
          <w:szCs w:val="22"/>
        </w:rPr>
        <w:t>, atsitiktinių imčių 3</w:t>
      </w:r>
      <w:r w:rsidR="00115D7F">
        <w:rPr>
          <w:rFonts w:eastAsia="Calibri"/>
          <w:sz w:val="22"/>
          <w:szCs w:val="22"/>
        </w:rPr>
        <w:t> </w:t>
      </w:r>
      <w:r w:rsidRPr="004F572A">
        <w:rPr>
          <w:rFonts w:eastAsia="Calibri"/>
          <w:sz w:val="22"/>
          <w:szCs w:val="22"/>
        </w:rPr>
        <w:t>fazės tyrim</w:t>
      </w:r>
      <w:r w:rsidR="001C6D4F">
        <w:rPr>
          <w:rFonts w:eastAsia="Calibri"/>
          <w:sz w:val="22"/>
          <w:szCs w:val="22"/>
        </w:rPr>
        <w:t>e</w:t>
      </w:r>
      <w:r w:rsidRPr="004F572A">
        <w:rPr>
          <w:rFonts w:eastAsia="Calibri"/>
          <w:sz w:val="22"/>
          <w:szCs w:val="22"/>
        </w:rPr>
        <w:t xml:space="preserve"> (REFLECT), kuriame dalyvavo neoperuotina</w:t>
      </w:r>
      <w:r w:rsidR="00330A1B" w:rsidRPr="004F572A">
        <w:rPr>
          <w:rFonts w:eastAsia="Calibri"/>
          <w:sz w:val="22"/>
          <w:szCs w:val="22"/>
        </w:rPr>
        <w:t xml:space="preserve"> </w:t>
      </w:r>
      <w:proofErr w:type="spellStart"/>
      <w:r w:rsidRPr="004F572A">
        <w:rPr>
          <w:rFonts w:eastAsia="Calibri"/>
          <w:sz w:val="22"/>
          <w:szCs w:val="22"/>
        </w:rPr>
        <w:t>hepatoceliuline</w:t>
      </w:r>
      <w:proofErr w:type="spellEnd"/>
      <w:r w:rsidRPr="004F572A">
        <w:rPr>
          <w:rFonts w:eastAsia="Calibri"/>
          <w:sz w:val="22"/>
          <w:szCs w:val="22"/>
        </w:rPr>
        <w:t xml:space="preserve"> karcinoma (HCK) sergantys pacientai.</w:t>
      </w:r>
    </w:p>
    <w:p w14:paraId="0DE1871F" w14:textId="77777777" w:rsidR="00330A1B" w:rsidRPr="004F572A" w:rsidRDefault="00330A1B" w:rsidP="00B32200">
      <w:pPr>
        <w:widowControl w:val="0"/>
        <w:tabs>
          <w:tab w:val="clear" w:pos="567"/>
        </w:tabs>
        <w:rPr>
          <w:rFonts w:eastAsia="Calibri"/>
          <w:sz w:val="22"/>
          <w:szCs w:val="22"/>
        </w:rPr>
      </w:pPr>
    </w:p>
    <w:p w14:paraId="590159F0" w14:textId="5B4CAB98" w:rsidR="0094547A" w:rsidRPr="004F572A" w:rsidRDefault="00B32200" w:rsidP="00B32200">
      <w:pPr>
        <w:widowControl w:val="0"/>
        <w:tabs>
          <w:tab w:val="clear" w:pos="567"/>
        </w:tabs>
        <w:rPr>
          <w:rFonts w:eastAsia="Calibri"/>
          <w:sz w:val="22"/>
          <w:szCs w:val="22"/>
        </w:rPr>
      </w:pPr>
      <w:r w:rsidRPr="004F572A">
        <w:rPr>
          <w:rFonts w:eastAsia="Calibri"/>
          <w:sz w:val="22"/>
          <w:szCs w:val="22"/>
        </w:rPr>
        <w:t>Iš viso 954</w:t>
      </w:r>
      <w:r w:rsidR="00115D7F">
        <w:rPr>
          <w:rFonts w:eastAsia="Calibri"/>
          <w:sz w:val="22"/>
          <w:szCs w:val="22"/>
        </w:rPr>
        <w:t> </w:t>
      </w:r>
      <w:r w:rsidRPr="004F572A">
        <w:rPr>
          <w:rFonts w:eastAsia="Calibri"/>
          <w:sz w:val="22"/>
          <w:szCs w:val="22"/>
        </w:rPr>
        <w:t>pacientams atsitiktin</w:t>
      </w:r>
      <w:r w:rsidR="001C6D4F">
        <w:rPr>
          <w:rFonts w:eastAsia="Calibri"/>
          <w:sz w:val="22"/>
          <w:szCs w:val="22"/>
        </w:rPr>
        <w:t>ai</w:t>
      </w:r>
      <w:r w:rsidRPr="004F572A">
        <w:rPr>
          <w:rFonts w:eastAsia="Calibri"/>
          <w:sz w:val="22"/>
          <w:szCs w:val="22"/>
        </w:rPr>
        <w:t xml:space="preserve"> santykiu 1:1 buvo paskirta vartoti </w:t>
      </w:r>
      <w:r w:rsidR="001C6D4F">
        <w:rPr>
          <w:rFonts w:eastAsia="Calibri"/>
          <w:sz w:val="22"/>
          <w:szCs w:val="22"/>
        </w:rPr>
        <w:t xml:space="preserve">geriamojo </w:t>
      </w:r>
      <w:proofErr w:type="spellStart"/>
      <w:r w:rsidRPr="004F572A">
        <w:rPr>
          <w:rFonts w:eastAsia="Calibri"/>
          <w:sz w:val="22"/>
          <w:szCs w:val="22"/>
        </w:rPr>
        <w:t>lenvatinibo</w:t>
      </w:r>
      <w:proofErr w:type="spellEnd"/>
      <w:r w:rsidRPr="004F572A">
        <w:rPr>
          <w:rFonts w:eastAsia="Calibri"/>
          <w:sz w:val="22"/>
          <w:szCs w:val="22"/>
        </w:rPr>
        <w:t xml:space="preserve"> (12</w:t>
      </w:r>
      <w:r w:rsidR="00115D7F">
        <w:rPr>
          <w:rFonts w:eastAsia="Calibri"/>
          <w:sz w:val="22"/>
          <w:szCs w:val="22"/>
        </w:rPr>
        <w:t> </w:t>
      </w:r>
      <w:r w:rsidRPr="004F572A">
        <w:rPr>
          <w:rFonts w:eastAsia="Calibri"/>
          <w:sz w:val="22"/>
          <w:szCs w:val="22"/>
        </w:rPr>
        <w:t>mg</w:t>
      </w:r>
      <w:r w:rsidR="00330A1B" w:rsidRPr="004F572A">
        <w:rPr>
          <w:rFonts w:eastAsia="Calibri"/>
          <w:sz w:val="22"/>
          <w:szCs w:val="22"/>
        </w:rPr>
        <w:t xml:space="preserve"> </w:t>
      </w:r>
      <w:r w:rsidRPr="004F572A">
        <w:rPr>
          <w:rFonts w:eastAsia="Calibri"/>
          <w:sz w:val="22"/>
          <w:szCs w:val="22"/>
        </w:rPr>
        <w:t>[kūno svoris tyrimo pradžioje ≥</w:t>
      </w:r>
      <w:r w:rsidR="00330A1B" w:rsidRPr="004F572A">
        <w:rPr>
          <w:rFonts w:eastAsia="Calibri"/>
          <w:sz w:val="22"/>
          <w:szCs w:val="22"/>
        </w:rPr>
        <w:t> </w:t>
      </w:r>
      <w:r w:rsidRPr="004F572A">
        <w:rPr>
          <w:rFonts w:eastAsia="Calibri"/>
          <w:sz w:val="22"/>
          <w:szCs w:val="22"/>
        </w:rPr>
        <w:t>60</w:t>
      </w:r>
      <w:r w:rsidR="00115D7F">
        <w:rPr>
          <w:rFonts w:eastAsia="Calibri"/>
          <w:sz w:val="22"/>
          <w:szCs w:val="22"/>
        </w:rPr>
        <w:t> </w:t>
      </w:r>
      <w:r w:rsidRPr="004F572A">
        <w:rPr>
          <w:rFonts w:eastAsia="Calibri"/>
          <w:sz w:val="22"/>
          <w:szCs w:val="22"/>
        </w:rPr>
        <w:t>kg] arba 8</w:t>
      </w:r>
      <w:r w:rsidR="00330A1B" w:rsidRPr="004F572A">
        <w:rPr>
          <w:rFonts w:eastAsia="Calibri"/>
          <w:sz w:val="22"/>
          <w:szCs w:val="22"/>
        </w:rPr>
        <w:t> </w:t>
      </w:r>
      <w:r w:rsidRPr="004F572A">
        <w:rPr>
          <w:rFonts w:eastAsia="Calibri"/>
          <w:sz w:val="22"/>
          <w:szCs w:val="22"/>
        </w:rPr>
        <w:t>mg [kūno svoris tyrimo pradžioje &lt;</w:t>
      </w:r>
      <w:r w:rsidR="00330A1B" w:rsidRPr="004F572A">
        <w:rPr>
          <w:rFonts w:eastAsia="Calibri"/>
          <w:sz w:val="22"/>
          <w:szCs w:val="22"/>
        </w:rPr>
        <w:t> </w:t>
      </w:r>
      <w:r w:rsidRPr="004F572A">
        <w:rPr>
          <w:rFonts w:eastAsia="Calibri"/>
          <w:sz w:val="22"/>
          <w:szCs w:val="22"/>
        </w:rPr>
        <w:t>60</w:t>
      </w:r>
      <w:r w:rsidR="00115D7F">
        <w:rPr>
          <w:rFonts w:eastAsia="Calibri"/>
          <w:sz w:val="22"/>
          <w:szCs w:val="22"/>
        </w:rPr>
        <w:t> </w:t>
      </w:r>
      <w:r w:rsidRPr="004F572A">
        <w:rPr>
          <w:rFonts w:eastAsia="Calibri"/>
          <w:sz w:val="22"/>
          <w:szCs w:val="22"/>
        </w:rPr>
        <w:t>kg]) kartą per</w:t>
      </w:r>
      <w:r w:rsidR="00330A1B" w:rsidRPr="004F572A">
        <w:rPr>
          <w:rFonts w:eastAsia="Calibri"/>
          <w:sz w:val="22"/>
          <w:szCs w:val="22"/>
        </w:rPr>
        <w:t xml:space="preserve"> </w:t>
      </w:r>
      <w:r w:rsidRPr="004F572A">
        <w:rPr>
          <w:rFonts w:eastAsia="Calibri"/>
          <w:sz w:val="22"/>
          <w:szCs w:val="22"/>
        </w:rPr>
        <w:t xml:space="preserve">parą arba </w:t>
      </w:r>
      <w:r w:rsidR="001C6D4F">
        <w:rPr>
          <w:rFonts w:eastAsia="Calibri"/>
          <w:sz w:val="22"/>
          <w:szCs w:val="22"/>
        </w:rPr>
        <w:t xml:space="preserve">geriamojo </w:t>
      </w:r>
      <w:proofErr w:type="spellStart"/>
      <w:r w:rsidR="001C6D4F">
        <w:rPr>
          <w:rFonts w:eastAsia="Calibri"/>
          <w:sz w:val="22"/>
          <w:szCs w:val="22"/>
        </w:rPr>
        <w:t>sorafenibo</w:t>
      </w:r>
      <w:proofErr w:type="spellEnd"/>
      <w:r w:rsidR="001C6D4F">
        <w:rPr>
          <w:rFonts w:eastAsia="Calibri"/>
          <w:sz w:val="22"/>
          <w:szCs w:val="22"/>
        </w:rPr>
        <w:t xml:space="preserve"> </w:t>
      </w:r>
      <w:r w:rsidR="00330A1B" w:rsidRPr="004F572A">
        <w:rPr>
          <w:rFonts w:eastAsia="Calibri"/>
          <w:sz w:val="22"/>
          <w:szCs w:val="22"/>
        </w:rPr>
        <w:t>400 mg</w:t>
      </w:r>
      <w:r w:rsidR="001C6D4F">
        <w:rPr>
          <w:rFonts w:eastAsia="Calibri"/>
          <w:sz w:val="22"/>
          <w:szCs w:val="22"/>
        </w:rPr>
        <w:t xml:space="preserve"> </w:t>
      </w:r>
      <w:r w:rsidRPr="004F572A">
        <w:rPr>
          <w:rFonts w:eastAsia="Calibri"/>
          <w:sz w:val="22"/>
          <w:szCs w:val="22"/>
        </w:rPr>
        <w:t>du kartus per parą.</w:t>
      </w:r>
    </w:p>
    <w:p w14:paraId="7CDC3695" w14:textId="77777777" w:rsidR="00B32200" w:rsidRPr="004F572A" w:rsidRDefault="00B32200" w:rsidP="000928CA">
      <w:pPr>
        <w:widowControl w:val="0"/>
        <w:tabs>
          <w:tab w:val="clear" w:pos="567"/>
        </w:tabs>
        <w:rPr>
          <w:rFonts w:eastAsia="Calibri"/>
          <w:sz w:val="22"/>
          <w:szCs w:val="22"/>
        </w:rPr>
      </w:pPr>
    </w:p>
    <w:p w14:paraId="3F6D9882" w14:textId="6C95CB6E" w:rsidR="006704C9" w:rsidRPr="004F572A" w:rsidRDefault="006704C9" w:rsidP="006704C9">
      <w:pPr>
        <w:widowControl w:val="0"/>
        <w:tabs>
          <w:tab w:val="clear" w:pos="567"/>
        </w:tabs>
        <w:rPr>
          <w:rFonts w:eastAsia="Calibri"/>
          <w:sz w:val="22"/>
          <w:szCs w:val="22"/>
        </w:rPr>
      </w:pPr>
      <w:r w:rsidRPr="004F572A">
        <w:rPr>
          <w:rFonts w:eastAsia="Calibri"/>
          <w:sz w:val="22"/>
          <w:szCs w:val="22"/>
        </w:rPr>
        <w:t xml:space="preserve">Pacientai pripažinti tinkamais dalyvauti tyrime, jei jų kepenų būklė pagal </w:t>
      </w:r>
      <w:proofErr w:type="spellStart"/>
      <w:r w:rsidRPr="000D1CAE">
        <w:rPr>
          <w:rFonts w:eastAsia="Calibri"/>
          <w:i/>
          <w:sz w:val="22"/>
          <w:szCs w:val="22"/>
        </w:rPr>
        <w:t>Child-Pugh</w:t>
      </w:r>
      <w:proofErr w:type="spellEnd"/>
      <w:r w:rsidRPr="004F572A">
        <w:rPr>
          <w:rFonts w:eastAsia="Calibri"/>
          <w:sz w:val="22"/>
          <w:szCs w:val="22"/>
        </w:rPr>
        <w:t xml:space="preserve"> buvo priskirta A klasei, o bendra būklė pagal Rytų jungtinės onkologijos grupės skalę (ECOG PS) įvertinta 0 ar 1</w:t>
      </w:r>
      <w:r w:rsidR="00115D7F">
        <w:rPr>
          <w:rFonts w:eastAsia="Calibri"/>
          <w:sz w:val="22"/>
          <w:szCs w:val="22"/>
        </w:rPr>
        <w:t> </w:t>
      </w:r>
      <w:r w:rsidRPr="004F572A">
        <w:rPr>
          <w:rFonts w:eastAsia="Calibri"/>
          <w:sz w:val="22"/>
          <w:szCs w:val="22"/>
        </w:rPr>
        <w:t xml:space="preserve">balu. Į tyrimą neįtraukti pacientai, kuriems anksčiau buvo skirtas sisteminis priešvėžinis gydymas dėl išplitusios (neoperuotinos) HCK arba anksčiau </w:t>
      </w:r>
      <w:r w:rsidR="001C6D4F">
        <w:rPr>
          <w:rFonts w:eastAsia="Calibri"/>
          <w:sz w:val="22"/>
          <w:szCs w:val="22"/>
        </w:rPr>
        <w:t>gydyti</w:t>
      </w:r>
      <w:r w:rsidRPr="004F572A">
        <w:rPr>
          <w:rFonts w:eastAsia="Calibri"/>
          <w:sz w:val="22"/>
          <w:szCs w:val="22"/>
        </w:rPr>
        <w:t xml:space="preserve"> VEGF slopinan</w:t>
      </w:r>
      <w:r w:rsidR="001C6D4F">
        <w:rPr>
          <w:rFonts w:eastAsia="Calibri"/>
          <w:sz w:val="22"/>
          <w:szCs w:val="22"/>
        </w:rPr>
        <w:t>čiais vaistiniais preparatais</w:t>
      </w:r>
      <w:r w:rsidRPr="004F572A">
        <w:rPr>
          <w:rFonts w:eastAsia="Calibri"/>
          <w:sz w:val="22"/>
          <w:szCs w:val="22"/>
        </w:rPr>
        <w:t xml:space="preserve">. </w:t>
      </w:r>
      <w:r w:rsidRPr="004F572A">
        <w:rPr>
          <w:rFonts w:eastAsia="Calibri"/>
          <w:sz w:val="22"/>
          <w:szCs w:val="22"/>
        </w:rPr>
        <w:lastRenderedPageBreak/>
        <w:t>Vertinant tikslinius pažeidimus, anksčiau gydytus taikant spindulinę terapiją ar regioninę terapiją, turėjo būti rasta ligos progresavimo požymių. Į tyrimą taip pat nebuvo įtraukti pacientai, kuriems liga pažeidė ≥ 50</w:t>
      </w:r>
      <w:r w:rsidR="00115D7F">
        <w:rPr>
          <w:rFonts w:eastAsia="Calibri"/>
          <w:sz w:val="22"/>
          <w:szCs w:val="22"/>
        </w:rPr>
        <w:t> </w:t>
      </w:r>
      <w:r w:rsidRPr="004F572A">
        <w:rPr>
          <w:rFonts w:eastAsia="Calibri"/>
          <w:sz w:val="22"/>
          <w:szCs w:val="22"/>
        </w:rPr>
        <w:t xml:space="preserve">% kepenų, arba tiriant vaizdus nustatytas akivaizdus ligos plitimas į tulžies latakus arba pagrindinę vartų venos šaką </w:t>
      </w:r>
      <w:r w:rsidR="001C6D4F">
        <w:rPr>
          <w:rFonts w:eastAsia="Calibri"/>
          <w:sz w:val="22"/>
          <w:szCs w:val="22"/>
        </w:rPr>
        <w:t>(</w:t>
      </w:r>
      <w:r w:rsidRPr="004F572A">
        <w:rPr>
          <w:rFonts w:eastAsia="Calibri"/>
          <w:sz w:val="22"/>
          <w:szCs w:val="22"/>
        </w:rPr>
        <w:t>Vp4).</w:t>
      </w:r>
    </w:p>
    <w:p w14:paraId="377ECC00" w14:textId="77777777" w:rsidR="006704C9" w:rsidRPr="004F572A" w:rsidRDefault="006704C9" w:rsidP="006704C9">
      <w:pPr>
        <w:widowControl w:val="0"/>
        <w:tabs>
          <w:tab w:val="clear" w:pos="567"/>
        </w:tabs>
        <w:rPr>
          <w:rFonts w:eastAsia="Calibri"/>
          <w:sz w:val="22"/>
          <w:szCs w:val="22"/>
        </w:rPr>
      </w:pPr>
    </w:p>
    <w:p w14:paraId="5E40D2E9" w14:textId="06EEF3B3" w:rsidR="006704C9" w:rsidRPr="004F572A" w:rsidRDefault="006704C9">
      <w:pPr>
        <w:pStyle w:val="Sraopastraipa"/>
        <w:widowControl w:val="0"/>
        <w:numPr>
          <w:ilvl w:val="0"/>
          <w:numId w:val="7"/>
        </w:numPr>
        <w:tabs>
          <w:tab w:val="clear" w:pos="567"/>
        </w:tabs>
        <w:ind w:left="360"/>
        <w:rPr>
          <w:rFonts w:eastAsia="Calibri"/>
          <w:sz w:val="22"/>
          <w:szCs w:val="22"/>
        </w:rPr>
      </w:pPr>
      <w:r w:rsidRPr="004F572A">
        <w:rPr>
          <w:rFonts w:eastAsia="Calibri"/>
          <w:sz w:val="22"/>
          <w:szCs w:val="22"/>
        </w:rPr>
        <w:t>Demografin</w:t>
      </w:r>
      <w:r w:rsidR="001C6D4F">
        <w:rPr>
          <w:rFonts w:eastAsia="Calibri"/>
          <w:sz w:val="22"/>
          <w:szCs w:val="22"/>
        </w:rPr>
        <w:t>iai</w:t>
      </w:r>
      <w:r w:rsidR="00C336AC" w:rsidRPr="004F572A">
        <w:rPr>
          <w:rFonts w:eastAsia="Calibri"/>
          <w:sz w:val="22"/>
          <w:szCs w:val="22"/>
        </w:rPr>
        <w:t xml:space="preserve"> </w:t>
      </w:r>
      <w:r w:rsidRPr="004F572A">
        <w:rPr>
          <w:rFonts w:eastAsia="Calibri"/>
          <w:sz w:val="22"/>
          <w:szCs w:val="22"/>
        </w:rPr>
        <w:t xml:space="preserve">ir </w:t>
      </w:r>
      <w:r w:rsidR="001C6D4F">
        <w:rPr>
          <w:rFonts w:eastAsia="Calibri"/>
          <w:sz w:val="22"/>
          <w:szCs w:val="22"/>
        </w:rPr>
        <w:t>kiti požymiai tyrimo pradžioje tarp</w:t>
      </w:r>
      <w:r w:rsidRPr="004F572A">
        <w:rPr>
          <w:rFonts w:eastAsia="Calibri"/>
          <w:sz w:val="22"/>
          <w:szCs w:val="22"/>
        </w:rPr>
        <w:t xml:space="preserve"> </w:t>
      </w:r>
      <w:proofErr w:type="spellStart"/>
      <w:r w:rsidRPr="004F572A">
        <w:rPr>
          <w:rFonts w:eastAsia="Calibri"/>
          <w:sz w:val="22"/>
          <w:szCs w:val="22"/>
        </w:rPr>
        <w:t>lenvatinib</w:t>
      </w:r>
      <w:r w:rsidR="001C6D4F">
        <w:rPr>
          <w:rFonts w:eastAsia="Calibri"/>
          <w:sz w:val="22"/>
          <w:szCs w:val="22"/>
        </w:rPr>
        <w:t>u</w:t>
      </w:r>
      <w:proofErr w:type="spellEnd"/>
      <w:r w:rsidRPr="004F572A">
        <w:rPr>
          <w:rFonts w:eastAsia="Calibri"/>
          <w:sz w:val="22"/>
          <w:szCs w:val="22"/>
        </w:rPr>
        <w:t xml:space="preserve"> ir </w:t>
      </w:r>
      <w:proofErr w:type="spellStart"/>
      <w:r w:rsidRPr="004F572A">
        <w:rPr>
          <w:rFonts w:eastAsia="Calibri"/>
          <w:sz w:val="22"/>
          <w:szCs w:val="22"/>
        </w:rPr>
        <w:t>sorafenib</w:t>
      </w:r>
      <w:r w:rsidR="001C6D4F">
        <w:rPr>
          <w:rFonts w:eastAsia="Calibri"/>
          <w:sz w:val="22"/>
          <w:szCs w:val="22"/>
        </w:rPr>
        <w:t>u</w:t>
      </w:r>
      <w:proofErr w:type="spellEnd"/>
      <w:r w:rsidR="00C336AC" w:rsidRPr="004F572A">
        <w:rPr>
          <w:rFonts w:eastAsia="Calibri"/>
          <w:sz w:val="22"/>
          <w:szCs w:val="22"/>
        </w:rPr>
        <w:t xml:space="preserve"> </w:t>
      </w:r>
      <w:r w:rsidR="001C6D4F">
        <w:rPr>
          <w:rFonts w:eastAsia="Calibri"/>
          <w:sz w:val="22"/>
          <w:szCs w:val="22"/>
        </w:rPr>
        <w:t>gydytų pacientų grupių</w:t>
      </w:r>
      <w:r w:rsidR="00C336AC" w:rsidRPr="004F572A">
        <w:rPr>
          <w:rFonts w:eastAsia="Calibri"/>
          <w:sz w:val="22"/>
          <w:szCs w:val="22"/>
        </w:rPr>
        <w:t xml:space="preserve"> </w:t>
      </w:r>
      <w:r w:rsidRPr="004F572A">
        <w:rPr>
          <w:rFonts w:eastAsia="Calibri"/>
          <w:sz w:val="22"/>
          <w:szCs w:val="22"/>
        </w:rPr>
        <w:t>buvo panaš</w:t>
      </w:r>
      <w:r w:rsidR="001C6D4F">
        <w:rPr>
          <w:rFonts w:eastAsia="Calibri"/>
          <w:sz w:val="22"/>
          <w:szCs w:val="22"/>
        </w:rPr>
        <w:t>ū</w:t>
      </w:r>
      <w:r w:rsidRPr="004F572A">
        <w:rPr>
          <w:rFonts w:eastAsia="Calibri"/>
          <w:sz w:val="22"/>
          <w:szCs w:val="22"/>
        </w:rPr>
        <w:t>s; visų atsitiktin</w:t>
      </w:r>
      <w:r w:rsidR="001C6D4F">
        <w:rPr>
          <w:rFonts w:eastAsia="Calibri"/>
          <w:sz w:val="22"/>
          <w:szCs w:val="22"/>
        </w:rPr>
        <w:t>ai</w:t>
      </w:r>
      <w:r w:rsidRPr="004F572A">
        <w:rPr>
          <w:rFonts w:eastAsia="Calibri"/>
          <w:sz w:val="22"/>
          <w:szCs w:val="22"/>
        </w:rPr>
        <w:t xml:space="preserve"> atrinktų 954</w:t>
      </w:r>
      <w:r w:rsidR="00115D7F">
        <w:rPr>
          <w:rFonts w:eastAsia="Calibri"/>
          <w:sz w:val="22"/>
          <w:szCs w:val="22"/>
        </w:rPr>
        <w:t> </w:t>
      </w:r>
      <w:r w:rsidRPr="004F572A">
        <w:rPr>
          <w:rFonts w:eastAsia="Calibri"/>
          <w:sz w:val="22"/>
          <w:szCs w:val="22"/>
        </w:rPr>
        <w:t>pacientų charakteristikos pateikiamos toliau:</w:t>
      </w:r>
    </w:p>
    <w:p w14:paraId="77E819F2" w14:textId="1807C963" w:rsidR="006704C9" w:rsidRPr="004F572A" w:rsidRDefault="006704C9">
      <w:pPr>
        <w:pStyle w:val="Sraopastraipa"/>
        <w:widowControl w:val="0"/>
        <w:numPr>
          <w:ilvl w:val="0"/>
          <w:numId w:val="7"/>
        </w:numPr>
        <w:tabs>
          <w:tab w:val="clear" w:pos="567"/>
        </w:tabs>
        <w:ind w:left="360"/>
        <w:rPr>
          <w:rFonts w:eastAsia="Calibri"/>
          <w:sz w:val="22"/>
          <w:szCs w:val="22"/>
        </w:rPr>
      </w:pPr>
      <w:r w:rsidRPr="004F572A">
        <w:rPr>
          <w:rFonts w:eastAsia="Calibri"/>
          <w:sz w:val="22"/>
          <w:szCs w:val="22"/>
        </w:rPr>
        <w:t>Amžiaus mediana: 62</w:t>
      </w:r>
      <w:r w:rsidR="00115D7F">
        <w:rPr>
          <w:rFonts w:eastAsia="Calibri"/>
          <w:sz w:val="22"/>
          <w:szCs w:val="22"/>
        </w:rPr>
        <w:t> </w:t>
      </w:r>
      <w:r w:rsidRPr="004F572A">
        <w:rPr>
          <w:rFonts w:eastAsia="Calibri"/>
          <w:sz w:val="22"/>
          <w:szCs w:val="22"/>
        </w:rPr>
        <w:t>metai</w:t>
      </w:r>
    </w:p>
    <w:p w14:paraId="1E3848EF" w14:textId="4DDBE266" w:rsidR="006704C9" w:rsidRPr="004F572A" w:rsidRDefault="006704C9">
      <w:pPr>
        <w:pStyle w:val="Sraopastraipa"/>
        <w:widowControl w:val="0"/>
        <w:numPr>
          <w:ilvl w:val="0"/>
          <w:numId w:val="7"/>
        </w:numPr>
        <w:tabs>
          <w:tab w:val="clear" w:pos="567"/>
        </w:tabs>
        <w:ind w:left="360"/>
        <w:rPr>
          <w:rFonts w:eastAsia="Calibri"/>
          <w:sz w:val="22"/>
          <w:szCs w:val="22"/>
        </w:rPr>
      </w:pPr>
      <w:r w:rsidRPr="004F572A">
        <w:rPr>
          <w:rFonts w:eastAsia="Calibri"/>
          <w:sz w:val="22"/>
          <w:szCs w:val="22"/>
        </w:rPr>
        <w:t>Vyrai: 84</w:t>
      </w:r>
      <w:r w:rsidR="008C5741" w:rsidRPr="004F572A">
        <w:rPr>
          <w:rFonts w:eastAsia="Calibri"/>
          <w:sz w:val="22"/>
          <w:szCs w:val="22"/>
        </w:rPr>
        <w:t> </w:t>
      </w:r>
      <w:r w:rsidRPr="004F572A">
        <w:rPr>
          <w:rFonts w:eastAsia="Calibri"/>
          <w:sz w:val="22"/>
          <w:szCs w:val="22"/>
        </w:rPr>
        <w:t>%</w:t>
      </w:r>
    </w:p>
    <w:p w14:paraId="7052C194" w14:textId="549C8601" w:rsidR="006704C9" w:rsidRPr="004F572A" w:rsidRDefault="006704C9">
      <w:pPr>
        <w:pStyle w:val="Sraopastraipa"/>
        <w:widowControl w:val="0"/>
        <w:numPr>
          <w:ilvl w:val="0"/>
          <w:numId w:val="7"/>
        </w:numPr>
        <w:tabs>
          <w:tab w:val="clear" w:pos="567"/>
        </w:tabs>
        <w:ind w:left="360"/>
        <w:rPr>
          <w:rFonts w:eastAsia="Calibri"/>
          <w:sz w:val="22"/>
          <w:szCs w:val="22"/>
        </w:rPr>
      </w:pPr>
      <w:r w:rsidRPr="004F572A">
        <w:rPr>
          <w:rFonts w:eastAsia="Calibri"/>
          <w:sz w:val="22"/>
          <w:szCs w:val="22"/>
        </w:rPr>
        <w:t>Europidai: 29</w:t>
      </w:r>
      <w:r w:rsidR="008C5741" w:rsidRPr="004F572A">
        <w:rPr>
          <w:rFonts w:eastAsia="Calibri"/>
          <w:sz w:val="22"/>
          <w:szCs w:val="22"/>
        </w:rPr>
        <w:t> </w:t>
      </w:r>
      <w:r w:rsidRPr="004F572A">
        <w:rPr>
          <w:rFonts w:eastAsia="Calibri"/>
          <w:sz w:val="22"/>
          <w:szCs w:val="22"/>
        </w:rPr>
        <w:t>%, azijiečiai: 69</w:t>
      </w:r>
      <w:r w:rsidR="008C5741" w:rsidRPr="004F572A">
        <w:rPr>
          <w:rFonts w:eastAsia="Calibri"/>
          <w:sz w:val="22"/>
          <w:szCs w:val="22"/>
        </w:rPr>
        <w:t> </w:t>
      </w:r>
      <w:r w:rsidRPr="004F572A">
        <w:rPr>
          <w:rFonts w:eastAsia="Calibri"/>
          <w:sz w:val="22"/>
          <w:szCs w:val="22"/>
        </w:rPr>
        <w:t xml:space="preserve">%, afrikiečiai ar </w:t>
      </w:r>
      <w:proofErr w:type="spellStart"/>
      <w:r w:rsidRPr="004F572A">
        <w:rPr>
          <w:rFonts w:eastAsia="Calibri"/>
          <w:sz w:val="22"/>
          <w:szCs w:val="22"/>
        </w:rPr>
        <w:t>afroamerikiečiai</w:t>
      </w:r>
      <w:proofErr w:type="spellEnd"/>
      <w:r w:rsidRPr="004F572A">
        <w:rPr>
          <w:rFonts w:eastAsia="Calibri"/>
          <w:sz w:val="22"/>
          <w:szCs w:val="22"/>
        </w:rPr>
        <w:t>: 1,4</w:t>
      </w:r>
      <w:r w:rsidR="008C5741" w:rsidRPr="004F572A">
        <w:rPr>
          <w:rFonts w:eastAsia="Calibri"/>
          <w:sz w:val="22"/>
          <w:szCs w:val="22"/>
        </w:rPr>
        <w:t> </w:t>
      </w:r>
      <w:r w:rsidRPr="004F572A">
        <w:rPr>
          <w:rFonts w:eastAsia="Calibri"/>
          <w:sz w:val="22"/>
          <w:szCs w:val="22"/>
        </w:rPr>
        <w:t>%</w:t>
      </w:r>
    </w:p>
    <w:p w14:paraId="31D932EB" w14:textId="1DCB642D" w:rsidR="006704C9" w:rsidRPr="004F572A" w:rsidRDefault="006704C9">
      <w:pPr>
        <w:pStyle w:val="Sraopastraipa"/>
        <w:widowControl w:val="0"/>
        <w:numPr>
          <w:ilvl w:val="0"/>
          <w:numId w:val="7"/>
        </w:numPr>
        <w:tabs>
          <w:tab w:val="clear" w:pos="567"/>
        </w:tabs>
        <w:ind w:left="360"/>
        <w:rPr>
          <w:rFonts w:eastAsia="Calibri"/>
          <w:sz w:val="22"/>
          <w:szCs w:val="22"/>
        </w:rPr>
      </w:pPr>
      <w:r w:rsidRPr="004F572A">
        <w:rPr>
          <w:rFonts w:eastAsia="Calibri"/>
          <w:sz w:val="22"/>
          <w:szCs w:val="22"/>
        </w:rPr>
        <w:t>Kūno svoris: &lt;</w:t>
      </w:r>
      <w:r w:rsidR="008C5741" w:rsidRPr="004F572A">
        <w:rPr>
          <w:rFonts w:eastAsia="Calibri"/>
          <w:sz w:val="22"/>
          <w:szCs w:val="22"/>
        </w:rPr>
        <w:t> </w:t>
      </w:r>
      <w:r w:rsidRPr="004F572A">
        <w:rPr>
          <w:rFonts w:eastAsia="Calibri"/>
          <w:sz w:val="22"/>
          <w:szCs w:val="22"/>
        </w:rPr>
        <w:t>60</w:t>
      </w:r>
      <w:r w:rsidR="008C5741" w:rsidRPr="004F572A">
        <w:rPr>
          <w:rFonts w:eastAsia="Calibri"/>
          <w:sz w:val="22"/>
          <w:szCs w:val="22"/>
        </w:rPr>
        <w:t> </w:t>
      </w:r>
      <w:r w:rsidRPr="004F572A">
        <w:rPr>
          <w:rFonts w:eastAsia="Calibri"/>
          <w:sz w:val="22"/>
          <w:szCs w:val="22"/>
        </w:rPr>
        <w:t>kg – 31</w:t>
      </w:r>
      <w:r w:rsidR="008C5741" w:rsidRPr="004F572A">
        <w:rPr>
          <w:rFonts w:eastAsia="Calibri"/>
          <w:sz w:val="22"/>
          <w:szCs w:val="22"/>
        </w:rPr>
        <w:t> </w:t>
      </w:r>
      <w:r w:rsidRPr="004F572A">
        <w:rPr>
          <w:rFonts w:eastAsia="Calibri"/>
          <w:sz w:val="22"/>
          <w:szCs w:val="22"/>
        </w:rPr>
        <w:t>%, 60</w:t>
      </w:r>
      <w:r w:rsidR="00115D7F">
        <w:rPr>
          <w:rFonts w:eastAsia="Calibri"/>
          <w:sz w:val="22"/>
          <w:szCs w:val="22"/>
        </w:rPr>
        <w:noBreakHyphen/>
      </w:r>
      <w:r w:rsidRPr="004F572A">
        <w:rPr>
          <w:rFonts w:eastAsia="Calibri"/>
          <w:sz w:val="22"/>
          <w:szCs w:val="22"/>
        </w:rPr>
        <w:t>80</w:t>
      </w:r>
      <w:r w:rsidR="008C5741" w:rsidRPr="004F572A">
        <w:rPr>
          <w:rFonts w:eastAsia="Calibri"/>
          <w:sz w:val="22"/>
          <w:szCs w:val="22"/>
        </w:rPr>
        <w:t> </w:t>
      </w:r>
      <w:r w:rsidRPr="004F572A">
        <w:rPr>
          <w:rFonts w:eastAsia="Calibri"/>
          <w:sz w:val="22"/>
          <w:szCs w:val="22"/>
        </w:rPr>
        <w:t>kg – 50</w:t>
      </w:r>
      <w:r w:rsidR="008C5741" w:rsidRPr="004F572A">
        <w:rPr>
          <w:rFonts w:eastAsia="Calibri"/>
          <w:sz w:val="22"/>
          <w:szCs w:val="22"/>
        </w:rPr>
        <w:t> </w:t>
      </w:r>
      <w:r w:rsidRPr="004F572A">
        <w:rPr>
          <w:rFonts w:eastAsia="Calibri"/>
          <w:sz w:val="22"/>
          <w:szCs w:val="22"/>
        </w:rPr>
        <w:t>%, &gt;</w:t>
      </w:r>
      <w:r w:rsidR="00115D7F">
        <w:rPr>
          <w:rFonts w:eastAsia="Calibri"/>
          <w:sz w:val="22"/>
          <w:szCs w:val="22"/>
        </w:rPr>
        <w:t> </w:t>
      </w:r>
      <w:r w:rsidRPr="004F572A">
        <w:rPr>
          <w:rFonts w:eastAsia="Calibri"/>
          <w:sz w:val="22"/>
          <w:szCs w:val="22"/>
        </w:rPr>
        <w:t>80</w:t>
      </w:r>
      <w:r w:rsidR="008C5741" w:rsidRPr="004F572A">
        <w:rPr>
          <w:rFonts w:eastAsia="Calibri"/>
          <w:sz w:val="22"/>
          <w:szCs w:val="22"/>
        </w:rPr>
        <w:t> </w:t>
      </w:r>
      <w:r w:rsidRPr="004F572A">
        <w:rPr>
          <w:rFonts w:eastAsia="Calibri"/>
          <w:sz w:val="22"/>
          <w:szCs w:val="22"/>
        </w:rPr>
        <w:t>kg – 19</w:t>
      </w:r>
      <w:r w:rsidR="008C5741" w:rsidRPr="004F572A">
        <w:rPr>
          <w:rFonts w:eastAsia="Calibri"/>
          <w:sz w:val="22"/>
          <w:szCs w:val="22"/>
        </w:rPr>
        <w:t> </w:t>
      </w:r>
      <w:r w:rsidRPr="004F572A">
        <w:rPr>
          <w:rFonts w:eastAsia="Calibri"/>
          <w:sz w:val="22"/>
          <w:szCs w:val="22"/>
        </w:rPr>
        <w:t>%</w:t>
      </w:r>
    </w:p>
    <w:p w14:paraId="668C7A6E" w14:textId="087F8AEF" w:rsidR="006704C9" w:rsidRPr="004F572A" w:rsidRDefault="008C5741">
      <w:pPr>
        <w:pStyle w:val="Sraopastraipa"/>
        <w:widowControl w:val="0"/>
        <w:numPr>
          <w:ilvl w:val="0"/>
          <w:numId w:val="7"/>
        </w:numPr>
        <w:tabs>
          <w:tab w:val="clear" w:pos="567"/>
        </w:tabs>
        <w:ind w:left="360"/>
        <w:rPr>
          <w:rFonts w:eastAsia="Calibri"/>
          <w:sz w:val="22"/>
          <w:szCs w:val="22"/>
        </w:rPr>
      </w:pPr>
      <w:r w:rsidRPr="004F572A">
        <w:rPr>
          <w:rFonts w:eastAsia="Calibri"/>
          <w:sz w:val="22"/>
          <w:szCs w:val="22"/>
        </w:rPr>
        <w:t>B</w:t>
      </w:r>
      <w:r w:rsidR="006704C9" w:rsidRPr="004F572A">
        <w:rPr>
          <w:rFonts w:eastAsia="Calibri"/>
          <w:sz w:val="22"/>
          <w:szCs w:val="22"/>
        </w:rPr>
        <w:t>endra būklė pagal Rytų jungtinės onkologijos grupės skalę (ECOG PS) 0: 63</w:t>
      </w:r>
      <w:r w:rsidRPr="004F572A">
        <w:rPr>
          <w:rFonts w:eastAsia="Calibri"/>
          <w:sz w:val="22"/>
          <w:szCs w:val="22"/>
        </w:rPr>
        <w:t> </w:t>
      </w:r>
      <w:r w:rsidR="006704C9" w:rsidRPr="004F572A">
        <w:rPr>
          <w:rFonts w:eastAsia="Calibri"/>
          <w:sz w:val="22"/>
          <w:szCs w:val="22"/>
        </w:rPr>
        <w:t>%, ECOG</w:t>
      </w:r>
      <w:r w:rsidRPr="004F572A">
        <w:rPr>
          <w:rFonts w:eastAsia="Calibri"/>
          <w:sz w:val="22"/>
          <w:szCs w:val="22"/>
        </w:rPr>
        <w:t xml:space="preserve"> </w:t>
      </w:r>
      <w:r w:rsidR="006704C9" w:rsidRPr="004F572A">
        <w:rPr>
          <w:rFonts w:eastAsia="Calibri"/>
          <w:sz w:val="22"/>
          <w:szCs w:val="22"/>
        </w:rPr>
        <w:t>PS 1: 37</w:t>
      </w:r>
      <w:r w:rsidRPr="004F572A">
        <w:rPr>
          <w:rFonts w:eastAsia="Calibri"/>
          <w:sz w:val="22"/>
          <w:szCs w:val="22"/>
        </w:rPr>
        <w:t> </w:t>
      </w:r>
      <w:r w:rsidR="006704C9" w:rsidRPr="004F572A">
        <w:rPr>
          <w:rFonts w:eastAsia="Calibri"/>
          <w:sz w:val="22"/>
          <w:szCs w:val="22"/>
        </w:rPr>
        <w:t>%</w:t>
      </w:r>
    </w:p>
    <w:p w14:paraId="3641B54A" w14:textId="36F2F823" w:rsidR="006704C9" w:rsidRPr="004F572A" w:rsidRDefault="006704C9">
      <w:pPr>
        <w:pStyle w:val="Sraopastraipa"/>
        <w:widowControl w:val="0"/>
        <w:numPr>
          <w:ilvl w:val="0"/>
          <w:numId w:val="7"/>
        </w:numPr>
        <w:tabs>
          <w:tab w:val="clear" w:pos="567"/>
        </w:tabs>
        <w:ind w:left="360"/>
        <w:rPr>
          <w:rFonts w:eastAsia="Calibri"/>
          <w:sz w:val="22"/>
          <w:szCs w:val="22"/>
        </w:rPr>
      </w:pPr>
      <w:proofErr w:type="spellStart"/>
      <w:r w:rsidRPr="000D1CAE">
        <w:rPr>
          <w:rFonts w:eastAsia="Calibri"/>
          <w:i/>
          <w:sz w:val="22"/>
          <w:szCs w:val="22"/>
        </w:rPr>
        <w:t>Child-Pugh</w:t>
      </w:r>
      <w:proofErr w:type="spellEnd"/>
      <w:r w:rsidRPr="004F572A">
        <w:rPr>
          <w:rFonts w:eastAsia="Calibri"/>
          <w:sz w:val="22"/>
          <w:szCs w:val="22"/>
        </w:rPr>
        <w:t xml:space="preserve"> A: 99</w:t>
      </w:r>
      <w:r w:rsidR="008C5741" w:rsidRPr="004F572A">
        <w:rPr>
          <w:rFonts w:eastAsia="Calibri"/>
          <w:sz w:val="22"/>
          <w:szCs w:val="22"/>
        </w:rPr>
        <w:t> </w:t>
      </w:r>
      <w:r w:rsidRPr="004F572A">
        <w:rPr>
          <w:rFonts w:eastAsia="Calibri"/>
          <w:sz w:val="22"/>
          <w:szCs w:val="22"/>
        </w:rPr>
        <w:t xml:space="preserve">%, </w:t>
      </w:r>
      <w:proofErr w:type="spellStart"/>
      <w:r w:rsidRPr="000D1CAE">
        <w:rPr>
          <w:rFonts w:eastAsia="Calibri"/>
          <w:i/>
          <w:sz w:val="22"/>
          <w:szCs w:val="22"/>
        </w:rPr>
        <w:t>Child-Pugh</w:t>
      </w:r>
      <w:proofErr w:type="spellEnd"/>
      <w:r w:rsidRPr="004F572A">
        <w:rPr>
          <w:rFonts w:eastAsia="Calibri"/>
          <w:sz w:val="22"/>
          <w:szCs w:val="22"/>
        </w:rPr>
        <w:t xml:space="preserve"> B: 1</w:t>
      </w:r>
      <w:r w:rsidR="008C5741" w:rsidRPr="004F572A">
        <w:rPr>
          <w:rFonts w:eastAsia="Calibri"/>
          <w:sz w:val="22"/>
          <w:szCs w:val="22"/>
        </w:rPr>
        <w:t> </w:t>
      </w:r>
      <w:r w:rsidRPr="004F572A">
        <w:rPr>
          <w:rFonts w:eastAsia="Calibri"/>
          <w:sz w:val="22"/>
          <w:szCs w:val="22"/>
        </w:rPr>
        <w:t>%</w:t>
      </w:r>
    </w:p>
    <w:p w14:paraId="11D49DDE" w14:textId="74EE4806" w:rsidR="006704C9" w:rsidRPr="004F572A" w:rsidRDefault="006704C9">
      <w:pPr>
        <w:pStyle w:val="Sraopastraipa"/>
        <w:widowControl w:val="0"/>
        <w:numPr>
          <w:ilvl w:val="0"/>
          <w:numId w:val="7"/>
        </w:numPr>
        <w:tabs>
          <w:tab w:val="clear" w:pos="567"/>
        </w:tabs>
        <w:ind w:left="360"/>
        <w:rPr>
          <w:rFonts w:eastAsia="Calibri"/>
          <w:sz w:val="22"/>
          <w:szCs w:val="22"/>
        </w:rPr>
      </w:pPr>
      <w:r w:rsidRPr="004F572A">
        <w:rPr>
          <w:rFonts w:eastAsia="Calibri"/>
          <w:sz w:val="22"/>
          <w:szCs w:val="22"/>
        </w:rPr>
        <w:t>Etiologija: hepatitas B (50</w:t>
      </w:r>
      <w:r w:rsidR="008C5741" w:rsidRPr="004F572A">
        <w:rPr>
          <w:rFonts w:eastAsia="Calibri"/>
          <w:sz w:val="22"/>
          <w:szCs w:val="22"/>
        </w:rPr>
        <w:t> </w:t>
      </w:r>
      <w:r w:rsidRPr="004F572A">
        <w:rPr>
          <w:rFonts w:eastAsia="Calibri"/>
          <w:sz w:val="22"/>
          <w:szCs w:val="22"/>
        </w:rPr>
        <w:t>%), hepatitas C (23</w:t>
      </w:r>
      <w:r w:rsidR="008C5741" w:rsidRPr="004F572A">
        <w:rPr>
          <w:rFonts w:eastAsia="Calibri"/>
          <w:sz w:val="22"/>
          <w:szCs w:val="22"/>
        </w:rPr>
        <w:t> </w:t>
      </w:r>
      <w:r w:rsidRPr="004F572A">
        <w:rPr>
          <w:rFonts w:eastAsia="Calibri"/>
          <w:sz w:val="22"/>
          <w:szCs w:val="22"/>
        </w:rPr>
        <w:t>%), alkoholis (6</w:t>
      </w:r>
      <w:r w:rsidR="008C5741" w:rsidRPr="004F572A">
        <w:rPr>
          <w:rFonts w:eastAsia="Calibri"/>
          <w:sz w:val="22"/>
          <w:szCs w:val="22"/>
        </w:rPr>
        <w:t> </w:t>
      </w:r>
      <w:r w:rsidRPr="004F572A">
        <w:rPr>
          <w:rFonts w:eastAsia="Calibri"/>
          <w:sz w:val="22"/>
          <w:szCs w:val="22"/>
        </w:rPr>
        <w:t>%)</w:t>
      </w:r>
    </w:p>
    <w:p w14:paraId="24B91A27" w14:textId="1ECECC1F" w:rsidR="006704C9" w:rsidRPr="004F572A" w:rsidRDefault="006704C9">
      <w:pPr>
        <w:pStyle w:val="Sraopastraipa"/>
        <w:widowControl w:val="0"/>
        <w:numPr>
          <w:ilvl w:val="0"/>
          <w:numId w:val="7"/>
        </w:numPr>
        <w:tabs>
          <w:tab w:val="clear" w:pos="567"/>
        </w:tabs>
        <w:ind w:left="360"/>
        <w:rPr>
          <w:rFonts w:eastAsia="Calibri"/>
          <w:sz w:val="22"/>
          <w:szCs w:val="22"/>
        </w:rPr>
      </w:pPr>
      <w:proofErr w:type="spellStart"/>
      <w:r w:rsidRPr="004F572A">
        <w:rPr>
          <w:rFonts w:eastAsia="Calibri"/>
          <w:sz w:val="22"/>
          <w:szCs w:val="22"/>
        </w:rPr>
        <w:t>Makroskopiškai</w:t>
      </w:r>
      <w:proofErr w:type="spellEnd"/>
      <w:r w:rsidRPr="004F572A">
        <w:rPr>
          <w:rFonts w:eastAsia="Calibri"/>
          <w:sz w:val="22"/>
          <w:szCs w:val="22"/>
        </w:rPr>
        <w:t xml:space="preserve"> nepažeista vartų vena (MPVI): 79</w:t>
      </w:r>
      <w:r w:rsidR="00115D7F">
        <w:rPr>
          <w:rFonts w:eastAsia="Calibri"/>
          <w:sz w:val="22"/>
          <w:szCs w:val="22"/>
        </w:rPr>
        <w:t> </w:t>
      </w:r>
      <w:r w:rsidRPr="004F572A">
        <w:rPr>
          <w:rFonts w:eastAsia="Calibri"/>
          <w:sz w:val="22"/>
          <w:szCs w:val="22"/>
        </w:rPr>
        <w:t>%</w:t>
      </w:r>
    </w:p>
    <w:p w14:paraId="17A9367C" w14:textId="05E7672E" w:rsidR="006704C9" w:rsidRPr="004F572A" w:rsidRDefault="006704C9">
      <w:pPr>
        <w:pStyle w:val="Sraopastraipa"/>
        <w:widowControl w:val="0"/>
        <w:numPr>
          <w:ilvl w:val="0"/>
          <w:numId w:val="7"/>
        </w:numPr>
        <w:tabs>
          <w:tab w:val="clear" w:pos="567"/>
        </w:tabs>
        <w:ind w:left="360"/>
        <w:rPr>
          <w:rFonts w:eastAsia="Calibri"/>
          <w:sz w:val="22"/>
          <w:szCs w:val="22"/>
        </w:rPr>
      </w:pPr>
      <w:proofErr w:type="spellStart"/>
      <w:r w:rsidRPr="004F572A">
        <w:rPr>
          <w:rFonts w:eastAsia="Calibri"/>
          <w:sz w:val="22"/>
          <w:szCs w:val="22"/>
        </w:rPr>
        <w:t>Makroskopiškai</w:t>
      </w:r>
      <w:proofErr w:type="spellEnd"/>
      <w:r w:rsidRPr="004F572A">
        <w:rPr>
          <w:rFonts w:eastAsia="Calibri"/>
          <w:sz w:val="22"/>
          <w:szCs w:val="22"/>
        </w:rPr>
        <w:t xml:space="preserve"> nepažeista vartų vena, auglys išplitęs už kepenų (EHS) arba yra abu požymiai:</w:t>
      </w:r>
      <w:r w:rsidR="008C5741" w:rsidRPr="004F572A">
        <w:rPr>
          <w:rFonts w:eastAsia="Calibri"/>
          <w:sz w:val="22"/>
          <w:szCs w:val="22"/>
        </w:rPr>
        <w:t xml:space="preserve"> </w:t>
      </w:r>
      <w:r w:rsidRPr="004F572A">
        <w:rPr>
          <w:rFonts w:eastAsia="Calibri"/>
          <w:sz w:val="22"/>
          <w:szCs w:val="22"/>
        </w:rPr>
        <w:t>30</w:t>
      </w:r>
      <w:r w:rsidR="008C5741" w:rsidRPr="004F572A">
        <w:rPr>
          <w:rFonts w:eastAsia="Calibri"/>
          <w:sz w:val="22"/>
          <w:szCs w:val="22"/>
        </w:rPr>
        <w:t> </w:t>
      </w:r>
      <w:r w:rsidRPr="004F572A">
        <w:rPr>
          <w:rFonts w:eastAsia="Calibri"/>
          <w:sz w:val="22"/>
          <w:szCs w:val="22"/>
        </w:rPr>
        <w:t>%</w:t>
      </w:r>
    </w:p>
    <w:p w14:paraId="519BE506" w14:textId="58B3FE49" w:rsidR="006704C9" w:rsidRPr="004F572A" w:rsidRDefault="006704C9">
      <w:pPr>
        <w:pStyle w:val="Sraopastraipa"/>
        <w:widowControl w:val="0"/>
        <w:numPr>
          <w:ilvl w:val="0"/>
          <w:numId w:val="7"/>
        </w:numPr>
        <w:tabs>
          <w:tab w:val="clear" w:pos="567"/>
        </w:tabs>
        <w:ind w:left="360"/>
        <w:rPr>
          <w:rFonts w:eastAsia="Calibri"/>
          <w:sz w:val="22"/>
          <w:szCs w:val="22"/>
        </w:rPr>
      </w:pPr>
      <w:r w:rsidRPr="004F572A">
        <w:rPr>
          <w:rFonts w:eastAsia="Calibri"/>
          <w:sz w:val="22"/>
          <w:szCs w:val="22"/>
        </w:rPr>
        <w:t>Di</w:t>
      </w:r>
      <w:r w:rsidR="00EF6715">
        <w:rPr>
          <w:rFonts w:eastAsia="Calibri"/>
          <w:sz w:val="22"/>
          <w:szCs w:val="22"/>
        </w:rPr>
        <w:t>a</w:t>
      </w:r>
      <w:r w:rsidRPr="004F572A">
        <w:rPr>
          <w:rFonts w:eastAsia="Calibri"/>
          <w:sz w:val="22"/>
          <w:szCs w:val="22"/>
        </w:rPr>
        <w:t>gnozuota cirozė (remiantis nepriklausomu vaizdų vertinimu): 75</w:t>
      </w:r>
      <w:r w:rsidR="008C5741" w:rsidRPr="004F572A">
        <w:rPr>
          <w:rFonts w:eastAsia="Calibri"/>
          <w:sz w:val="22"/>
          <w:szCs w:val="22"/>
        </w:rPr>
        <w:t> </w:t>
      </w:r>
      <w:r w:rsidRPr="004F572A">
        <w:rPr>
          <w:rFonts w:eastAsia="Calibri"/>
          <w:sz w:val="22"/>
          <w:szCs w:val="22"/>
        </w:rPr>
        <w:t>%</w:t>
      </w:r>
    </w:p>
    <w:p w14:paraId="64ADF6F0" w14:textId="1000657B" w:rsidR="006704C9" w:rsidRPr="004F572A" w:rsidRDefault="006704C9">
      <w:pPr>
        <w:pStyle w:val="Sraopastraipa"/>
        <w:widowControl w:val="0"/>
        <w:numPr>
          <w:ilvl w:val="0"/>
          <w:numId w:val="7"/>
        </w:numPr>
        <w:tabs>
          <w:tab w:val="clear" w:pos="567"/>
        </w:tabs>
        <w:ind w:left="360"/>
        <w:rPr>
          <w:rFonts w:eastAsia="Calibri"/>
          <w:sz w:val="22"/>
          <w:szCs w:val="22"/>
        </w:rPr>
      </w:pPr>
      <w:r w:rsidRPr="004F572A">
        <w:rPr>
          <w:rFonts w:eastAsia="Calibri"/>
          <w:sz w:val="22"/>
          <w:szCs w:val="22"/>
        </w:rPr>
        <w:t>Barselonos klinikinė kepenų vėžio (BCLC) stadija B: 20</w:t>
      </w:r>
      <w:r w:rsidR="008C5741" w:rsidRPr="004F572A">
        <w:rPr>
          <w:rFonts w:eastAsia="Calibri"/>
          <w:sz w:val="22"/>
          <w:szCs w:val="22"/>
        </w:rPr>
        <w:t> </w:t>
      </w:r>
      <w:r w:rsidRPr="004F572A">
        <w:rPr>
          <w:rFonts w:eastAsia="Calibri"/>
          <w:sz w:val="22"/>
          <w:szCs w:val="22"/>
        </w:rPr>
        <w:t>%; BCLC stadija C: 80</w:t>
      </w:r>
      <w:r w:rsidR="008C5741" w:rsidRPr="004F572A">
        <w:rPr>
          <w:rFonts w:eastAsia="Calibri"/>
          <w:sz w:val="22"/>
          <w:szCs w:val="22"/>
        </w:rPr>
        <w:t> </w:t>
      </w:r>
      <w:r w:rsidRPr="004F572A">
        <w:rPr>
          <w:rFonts w:eastAsia="Calibri"/>
          <w:sz w:val="22"/>
          <w:szCs w:val="22"/>
        </w:rPr>
        <w:t>%</w:t>
      </w:r>
    </w:p>
    <w:p w14:paraId="198A98B8" w14:textId="744E6B60" w:rsidR="006704C9" w:rsidRPr="004F572A" w:rsidRDefault="006704C9">
      <w:pPr>
        <w:pStyle w:val="Sraopastraipa"/>
        <w:widowControl w:val="0"/>
        <w:numPr>
          <w:ilvl w:val="0"/>
          <w:numId w:val="7"/>
        </w:numPr>
        <w:tabs>
          <w:tab w:val="clear" w:pos="567"/>
        </w:tabs>
        <w:ind w:left="360"/>
        <w:rPr>
          <w:rFonts w:eastAsia="Calibri"/>
          <w:sz w:val="22"/>
          <w:szCs w:val="22"/>
        </w:rPr>
      </w:pPr>
      <w:r w:rsidRPr="004F572A">
        <w:rPr>
          <w:rFonts w:eastAsia="Calibri"/>
          <w:sz w:val="22"/>
          <w:szCs w:val="22"/>
        </w:rPr>
        <w:t xml:space="preserve">Anksčiau </w:t>
      </w:r>
      <w:r w:rsidR="008C5741" w:rsidRPr="004F572A">
        <w:rPr>
          <w:rFonts w:eastAsia="Calibri"/>
          <w:sz w:val="22"/>
          <w:szCs w:val="22"/>
        </w:rPr>
        <w:t>taikytas</w:t>
      </w:r>
      <w:r w:rsidRPr="004F572A">
        <w:rPr>
          <w:rFonts w:eastAsia="Calibri"/>
          <w:sz w:val="22"/>
          <w:szCs w:val="22"/>
        </w:rPr>
        <w:t xml:space="preserve"> gydymas: </w:t>
      </w:r>
      <w:proofErr w:type="spellStart"/>
      <w:r w:rsidRPr="004F572A">
        <w:rPr>
          <w:rFonts w:eastAsia="Calibri"/>
          <w:sz w:val="22"/>
          <w:szCs w:val="22"/>
        </w:rPr>
        <w:t>hepatektomija</w:t>
      </w:r>
      <w:proofErr w:type="spellEnd"/>
      <w:r w:rsidRPr="004F572A">
        <w:rPr>
          <w:rFonts w:eastAsia="Calibri"/>
          <w:sz w:val="22"/>
          <w:szCs w:val="22"/>
        </w:rPr>
        <w:t xml:space="preserve"> (28</w:t>
      </w:r>
      <w:r w:rsidR="008C5741" w:rsidRPr="004F572A">
        <w:rPr>
          <w:rFonts w:eastAsia="Calibri"/>
          <w:sz w:val="22"/>
          <w:szCs w:val="22"/>
        </w:rPr>
        <w:t> </w:t>
      </w:r>
      <w:r w:rsidRPr="004F572A">
        <w:rPr>
          <w:rFonts w:eastAsia="Calibri"/>
          <w:sz w:val="22"/>
          <w:szCs w:val="22"/>
        </w:rPr>
        <w:t>%), radioterapija (11</w:t>
      </w:r>
      <w:r w:rsidR="008C5741" w:rsidRPr="004F572A">
        <w:rPr>
          <w:rFonts w:eastAsia="Calibri"/>
          <w:sz w:val="22"/>
          <w:szCs w:val="22"/>
        </w:rPr>
        <w:t> </w:t>
      </w:r>
      <w:r w:rsidRPr="004F572A">
        <w:rPr>
          <w:rFonts w:eastAsia="Calibri"/>
          <w:sz w:val="22"/>
          <w:szCs w:val="22"/>
        </w:rPr>
        <w:t>%), regioninis gydymas,</w:t>
      </w:r>
      <w:r w:rsidR="008C5741" w:rsidRPr="004F572A">
        <w:rPr>
          <w:rFonts w:eastAsia="Calibri"/>
          <w:sz w:val="22"/>
          <w:szCs w:val="22"/>
        </w:rPr>
        <w:t xml:space="preserve"> </w:t>
      </w:r>
      <w:r w:rsidRPr="004F572A">
        <w:rPr>
          <w:rFonts w:eastAsia="Calibri"/>
          <w:sz w:val="22"/>
          <w:szCs w:val="22"/>
        </w:rPr>
        <w:t xml:space="preserve">įskaitant </w:t>
      </w:r>
      <w:proofErr w:type="spellStart"/>
      <w:r w:rsidRPr="004F572A">
        <w:rPr>
          <w:rFonts w:eastAsia="Calibri"/>
          <w:sz w:val="22"/>
          <w:szCs w:val="22"/>
        </w:rPr>
        <w:t>transarterinę</w:t>
      </w:r>
      <w:proofErr w:type="spellEnd"/>
      <w:r w:rsidRPr="004F572A">
        <w:rPr>
          <w:rFonts w:eastAsia="Calibri"/>
          <w:sz w:val="22"/>
          <w:szCs w:val="22"/>
        </w:rPr>
        <w:t xml:space="preserve"> (</w:t>
      </w:r>
      <w:proofErr w:type="spellStart"/>
      <w:r w:rsidRPr="004F572A">
        <w:rPr>
          <w:rFonts w:eastAsia="Calibri"/>
          <w:sz w:val="22"/>
          <w:szCs w:val="22"/>
        </w:rPr>
        <w:t>chemo</w:t>
      </w:r>
      <w:proofErr w:type="spellEnd"/>
      <w:r w:rsidRPr="004F572A">
        <w:rPr>
          <w:rFonts w:eastAsia="Calibri"/>
          <w:sz w:val="22"/>
          <w:szCs w:val="22"/>
        </w:rPr>
        <w:t>) emboliją (52</w:t>
      </w:r>
      <w:r w:rsidR="008C5741" w:rsidRPr="004F572A">
        <w:rPr>
          <w:rFonts w:eastAsia="Calibri"/>
          <w:sz w:val="22"/>
          <w:szCs w:val="22"/>
        </w:rPr>
        <w:t> </w:t>
      </w:r>
      <w:r w:rsidRPr="004F572A">
        <w:rPr>
          <w:rFonts w:eastAsia="Calibri"/>
          <w:sz w:val="22"/>
          <w:szCs w:val="22"/>
        </w:rPr>
        <w:t xml:space="preserve">%), </w:t>
      </w:r>
      <w:proofErr w:type="spellStart"/>
      <w:r w:rsidRPr="004F572A">
        <w:rPr>
          <w:rFonts w:eastAsia="Calibri"/>
          <w:sz w:val="22"/>
          <w:szCs w:val="22"/>
        </w:rPr>
        <w:t>radiodažninė</w:t>
      </w:r>
      <w:proofErr w:type="spellEnd"/>
      <w:r w:rsidRPr="004F572A">
        <w:rPr>
          <w:rFonts w:eastAsia="Calibri"/>
          <w:sz w:val="22"/>
          <w:szCs w:val="22"/>
        </w:rPr>
        <w:t xml:space="preserve"> </w:t>
      </w:r>
      <w:proofErr w:type="spellStart"/>
      <w:r w:rsidRPr="004F572A">
        <w:rPr>
          <w:rFonts w:eastAsia="Calibri"/>
          <w:sz w:val="22"/>
          <w:szCs w:val="22"/>
        </w:rPr>
        <w:t>abliacija</w:t>
      </w:r>
      <w:proofErr w:type="spellEnd"/>
      <w:r w:rsidRPr="004F572A">
        <w:rPr>
          <w:rFonts w:eastAsia="Calibri"/>
          <w:sz w:val="22"/>
          <w:szCs w:val="22"/>
        </w:rPr>
        <w:t xml:space="preserve"> (21</w:t>
      </w:r>
      <w:r w:rsidR="008C5741" w:rsidRPr="004F572A">
        <w:rPr>
          <w:rFonts w:eastAsia="Calibri"/>
          <w:sz w:val="22"/>
          <w:szCs w:val="22"/>
        </w:rPr>
        <w:t> </w:t>
      </w:r>
      <w:r w:rsidRPr="004F572A">
        <w:rPr>
          <w:rFonts w:eastAsia="Calibri"/>
          <w:sz w:val="22"/>
          <w:szCs w:val="22"/>
        </w:rPr>
        <w:t xml:space="preserve">%) ir </w:t>
      </w:r>
      <w:proofErr w:type="spellStart"/>
      <w:r w:rsidR="00FB189D" w:rsidRPr="004F572A">
        <w:rPr>
          <w:rFonts w:eastAsia="Calibri"/>
          <w:sz w:val="22"/>
          <w:szCs w:val="22"/>
        </w:rPr>
        <w:t>perodinė</w:t>
      </w:r>
      <w:proofErr w:type="spellEnd"/>
      <w:r w:rsidR="00FB189D" w:rsidRPr="004F572A">
        <w:rPr>
          <w:rFonts w:eastAsia="Calibri"/>
          <w:sz w:val="22"/>
          <w:szCs w:val="22"/>
        </w:rPr>
        <w:t xml:space="preserve"> </w:t>
      </w:r>
      <w:r w:rsidRPr="004F572A">
        <w:rPr>
          <w:rFonts w:eastAsia="Calibri"/>
          <w:sz w:val="22"/>
          <w:szCs w:val="22"/>
        </w:rPr>
        <w:t>etanolio injekcija (4</w:t>
      </w:r>
      <w:r w:rsidR="00FB189D" w:rsidRPr="004F572A">
        <w:rPr>
          <w:rFonts w:eastAsia="Calibri"/>
          <w:sz w:val="22"/>
          <w:szCs w:val="22"/>
        </w:rPr>
        <w:t> </w:t>
      </w:r>
      <w:r w:rsidRPr="004F572A">
        <w:rPr>
          <w:rFonts w:eastAsia="Calibri"/>
          <w:sz w:val="22"/>
          <w:szCs w:val="22"/>
        </w:rPr>
        <w:t>%).</w:t>
      </w:r>
    </w:p>
    <w:p w14:paraId="61EA9319" w14:textId="77777777" w:rsidR="00FB189D" w:rsidRPr="004F572A" w:rsidRDefault="00FB189D" w:rsidP="006704C9">
      <w:pPr>
        <w:widowControl w:val="0"/>
        <w:tabs>
          <w:tab w:val="clear" w:pos="567"/>
        </w:tabs>
        <w:rPr>
          <w:rFonts w:eastAsia="Calibri"/>
          <w:sz w:val="22"/>
          <w:szCs w:val="22"/>
        </w:rPr>
      </w:pPr>
    </w:p>
    <w:p w14:paraId="1B98DF26" w14:textId="679306CD" w:rsidR="00B32200" w:rsidRPr="004F572A" w:rsidRDefault="006704C9" w:rsidP="006704C9">
      <w:pPr>
        <w:widowControl w:val="0"/>
        <w:tabs>
          <w:tab w:val="clear" w:pos="567"/>
        </w:tabs>
        <w:rPr>
          <w:rFonts w:eastAsia="Calibri"/>
          <w:sz w:val="22"/>
          <w:szCs w:val="22"/>
        </w:rPr>
      </w:pPr>
      <w:r w:rsidRPr="004F572A">
        <w:rPr>
          <w:rFonts w:eastAsia="Calibri"/>
          <w:sz w:val="22"/>
          <w:szCs w:val="22"/>
        </w:rPr>
        <w:t>Pagrindin</w:t>
      </w:r>
      <w:r w:rsidR="001C6D4F">
        <w:rPr>
          <w:rFonts w:eastAsia="Calibri"/>
          <w:sz w:val="22"/>
          <w:szCs w:val="22"/>
        </w:rPr>
        <w:t>is</w:t>
      </w:r>
      <w:r w:rsidRPr="004F572A">
        <w:rPr>
          <w:rFonts w:eastAsia="Calibri"/>
          <w:sz w:val="22"/>
          <w:szCs w:val="22"/>
        </w:rPr>
        <w:t xml:space="preserve"> veiksmingumo </w:t>
      </w:r>
      <w:r w:rsidR="001C6D4F">
        <w:rPr>
          <w:rFonts w:eastAsia="Calibri"/>
          <w:sz w:val="22"/>
          <w:szCs w:val="22"/>
        </w:rPr>
        <w:t>kriterijus</w:t>
      </w:r>
      <w:r w:rsidRPr="004F572A">
        <w:rPr>
          <w:rFonts w:eastAsia="Calibri"/>
          <w:sz w:val="22"/>
          <w:szCs w:val="22"/>
        </w:rPr>
        <w:t xml:space="preserve"> buvo bendr</w:t>
      </w:r>
      <w:r w:rsidR="001C6D4F">
        <w:rPr>
          <w:rFonts w:eastAsia="Calibri"/>
          <w:sz w:val="22"/>
          <w:szCs w:val="22"/>
        </w:rPr>
        <w:t>a</w:t>
      </w:r>
      <w:r w:rsidR="00FB189D" w:rsidRPr="004F572A">
        <w:rPr>
          <w:rFonts w:eastAsia="Calibri"/>
          <w:sz w:val="22"/>
          <w:szCs w:val="22"/>
        </w:rPr>
        <w:t xml:space="preserve"> </w:t>
      </w:r>
      <w:r w:rsidRPr="004F572A">
        <w:rPr>
          <w:rFonts w:eastAsia="Calibri"/>
          <w:sz w:val="22"/>
          <w:szCs w:val="22"/>
        </w:rPr>
        <w:t>išgyvenamumo trukmė (</w:t>
      </w:r>
      <w:r w:rsidR="00FB189D" w:rsidRPr="004F572A">
        <w:rPr>
          <w:rFonts w:eastAsia="Calibri"/>
          <w:sz w:val="22"/>
          <w:szCs w:val="22"/>
        </w:rPr>
        <w:t>BI</w:t>
      </w:r>
      <w:r w:rsidRPr="004F572A">
        <w:rPr>
          <w:rFonts w:eastAsia="Calibri"/>
          <w:sz w:val="22"/>
          <w:szCs w:val="22"/>
        </w:rPr>
        <w:t xml:space="preserve">). Vertinant </w:t>
      </w:r>
      <w:r w:rsidR="00FB189D" w:rsidRPr="004F572A">
        <w:rPr>
          <w:rFonts w:eastAsia="Calibri"/>
          <w:sz w:val="22"/>
          <w:szCs w:val="22"/>
        </w:rPr>
        <w:t>BI</w:t>
      </w:r>
      <w:r w:rsidRPr="004F572A">
        <w:rPr>
          <w:rFonts w:eastAsia="Calibri"/>
          <w:sz w:val="22"/>
          <w:szCs w:val="22"/>
        </w:rPr>
        <w:t xml:space="preserve"> </w:t>
      </w:r>
      <w:proofErr w:type="spellStart"/>
      <w:r w:rsidRPr="004F572A">
        <w:rPr>
          <w:rFonts w:eastAsia="Calibri"/>
          <w:sz w:val="22"/>
          <w:szCs w:val="22"/>
        </w:rPr>
        <w:t>lenvatinibas</w:t>
      </w:r>
      <w:proofErr w:type="spellEnd"/>
      <w:r w:rsidRPr="004F572A">
        <w:rPr>
          <w:rFonts w:eastAsia="Calibri"/>
          <w:sz w:val="22"/>
          <w:szCs w:val="22"/>
        </w:rPr>
        <w:t xml:space="preserve"> buvo ne prastesnis už </w:t>
      </w:r>
      <w:proofErr w:type="spellStart"/>
      <w:r w:rsidRPr="004F572A">
        <w:rPr>
          <w:rFonts w:eastAsia="Calibri"/>
          <w:sz w:val="22"/>
          <w:szCs w:val="22"/>
        </w:rPr>
        <w:t>sorafenibą</w:t>
      </w:r>
      <w:proofErr w:type="spellEnd"/>
      <w:r w:rsidRPr="004F572A">
        <w:rPr>
          <w:rFonts w:eastAsia="Calibri"/>
          <w:sz w:val="22"/>
          <w:szCs w:val="22"/>
        </w:rPr>
        <w:t>, RS</w:t>
      </w:r>
      <w:r w:rsidR="00115D7F">
        <w:rPr>
          <w:rFonts w:eastAsia="Calibri"/>
          <w:sz w:val="22"/>
          <w:szCs w:val="22"/>
        </w:rPr>
        <w:t> </w:t>
      </w:r>
      <w:r w:rsidRPr="004F572A">
        <w:rPr>
          <w:rFonts w:eastAsia="Calibri"/>
          <w:sz w:val="22"/>
          <w:szCs w:val="22"/>
        </w:rPr>
        <w:t>=</w:t>
      </w:r>
      <w:r w:rsidR="00115D7F">
        <w:rPr>
          <w:rFonts w:eastAsia="Calibri"/>
          <w:sz w:val="22"/>
          <w:szCs w:val="22"/>
        </w:rPr>
        <w:t> </w:t>
      </w:r>
      <w:r w:rsidRPr="004F572A">
        <w:rPr>
          <w:rFonts w:eastAsia="Calibri"/>
          <w:sz w:val="22"/>
          <w:szCs w:val="22"/>
        </w:rPr>
        <w:t>0,92 [95</w:t>
      </w:r>
      <w:r w:rsidR="00FB189D" w:rsidRPr="004F572A">
        <w:rPr>
          <w:rFonts w:eastAsia="Calibri"/>
          <w:sz w:val="22"/>
          <w:szCs w:val="22"/>
        </w:rPr>
        <w:t> </w:t>
      </w:r>
      <w:r w:rsidRPr="004F572A">
        <w:rPr>
          <w:rFonts w:eastAsia="Calibri"/>
          <w:sz w:val="22"/>
          <w:szCs w:val="22"/>
        </w:rPr>
        <w:t xml:space="preserve">% PI (0,79, 1,06)] o </w:t>
      </w:r>
      <w:r w:rsidR="00FB189D" w:rsidRPr="004F572A">
        <w:rPr>
          <w:rFonts w:eastAsia="Calibri"/>
          <w:sz w:val="22"/>
          <w:szCs w:val="22"/>
        </w:rPr>
        <w:t>BI</w:t>
      </w:r>
      <w:r w:rsidRPr="004F572A">
        <w:rPr>
          <w:rFonts w:eastAsia="Calibri"/>
          <w:sz w:val="22"/>
          <w:szCs w:val="22"/>
        </w:rPr>
        <w:t xml:space="preserve"> mediana – 13,6</w:t>
      </w:r>
      <w:r w:rsidR="00115D7F">
        <w:rPr>
          <w:rFonts w:eastAsia="Calibri"/>
          <w:sz w:val="22"/>
          <w:szCs w:val="22"/>
        </w:rPr>
        <w:t> </w:t>
      </w:r>
      <w:r w:rsidRPr="004F572A">
        <w:rPr>
          <w:rFonts w:eastAsia="Calibri"/>
          <w:sz w:val="22"/>
          <w:szCs w:val="22"/>
        </w:rPr>
        <w:t>mėnesių, palyginti su 12,3</w:t>
      </w:r>
      <w:r w:rsidR="00115D7F">
        <w:rPr>
          <w:rFonts w:eastAsia="Calibri"/>
          <w:sz w:val="22"/>
          <w:szCs w:val="22"/>
        </w:rPr>
        <w:t> </w:t>
      </w:r>
      <w:r w:rsidRPr="004F572A">
        <w:rPr>
          <w:rFonts w:eastAsia="Calibri"/>
          <w:sz w:val="22"/>
          <w:szCs w:val="22"/>
        </w:rPr>
        <w:t>mėnesių (žr. 8</w:t>
      </w:r>
      <w:r w:rsidR="00115D7F">
        <w:rPr>
          <w:rFonts w:eastAsia="Calibri"/>
          <w:sz w:val="22"/>
          <w:szCs w:val="22"/>
        </w:rPr>
        <w:t> </w:t>
      </w:r>
      <w:r w:rsidRPr="004F572A">
        <w:rPr>
          <w:rFonts w:eastAsia="Calibri"/>
          <w:sz w:val="22"/>
          <w:szCs w:val="22"/>
        </w:rPr>
        <w:t>lentelę ir 2</w:t>
      </w:r>
      <w:r w:rsidR="00115D7F">
        <w:rPr>
          <w:rFonts w:eastAsia="Calibri"/>
          <w:sz w:val="22"/>
          <w:szCs w:val="22"/>
        </w:rPr>
        <w:t> </w:t>
      </w:r>
      <w:r w:rsidRPr="004F572A">
        <w:rPr>
          <w:rFonts w:eastAsia="Calibri"/>
          <w:sz w:val="22"/>
          <w:szCs w:val="22"/>
        </w:rPr>
        <w:t xml:space="preserve">pav.). Pakaitinių </w:t>
      </w:r>
      <w:r w:rsidR="001C6D4F">
        <w:rPr>
          <w:rFonts w:eastAsia="Calibri"/>
          <w:sz w:val="22"/>
          <w:szCs w:val="22"/>
        </w:rPr>
        <w:t>kriterijų</w:t>
      </w:r>
      <w:r w:rsidRPr="004F572A">
        <w:rPr>
          <w:rFonts w:eastAsia="Calibri"/>
          <w:sz w:val="22"/>
          <w:szCs w:val="22"/>
        </w:rPr>
        <w:t xml:space="preserve"> (</w:t>
      </w:r>
      <w:r w:rsidR="00753D8E" w:rsidRPr="004F572A">
        <w:rPr>
          <w:rFonts w:eastAsia="Calibri"/>
          <w:sz w:val="22"/>
          <w:szCs w:val="22"/>
        </w:rPr>
        <w:t>ILN</w:t>
      </w:r>
      <w:r w:rsidRPr="004F572A">
        <w:rPr>
          <w:rFonts w:eastAsia="Calibri"/>
          <w:sz w:val="22"/>
          <w:szCs w:val="22"/>
        </w:rPr>
        <w:t xml:space="preserve"> </w:t>
      </w:r>
      <w:r w:rsidR="00580C0B">
        <w:rPr>
          <w:rFonts w:eastAsia="Calibri"/>
          <w:sz w:val="22"/>
          <w:szCs w:val="22"/>
        </w:rPr>
        <w:t xml:space="preserve">ir </w:t>
      </w:r>
      <w:r w:rsidRPr="004F572A">
        <w:rPr>
          <w:rFonts w:eastAsia="Calibri"/>
          <w:sz w:val="22"/>
          <w:szCs w:val="22"/>
        </w:rPr>
        <w:t>O</w:t>
      </w:r>
      <w:r w:rsidR="00753D8E" w:rsidRPr="004F572A">
        <w:rPr>
          <w:rFonts w:eastAsia="Calibri"/>
          <w:sz w:val="22"/>
          <w:szCs w:val="22"/>
        </w:rPr>
        <w:t>AD</w:t>
      </w:r>
      <w:r w:rsidRPr="004F572A">
        <w:rPr>
          <w:rFonts w:eastAsia="Calibri"/>
          <w:sz w:val="22"/>
          <w:szCs w:val="22"/>
        </w:rPr>
        <w:t>) vertinimo rezultatai pateikti 8</w:t>
      </w:r>
      <w:r w:rsidR="00115D7F">
        <w:rPr>
          <w:rFonts w:eastAsia="Calibri"/>
          <w:sz w:val="22"/>
          <w:szCs w:val="22"/>
        </w:rPr>
        <w:t> </w:t>
      </w:r>
      <w:r w:rsidRPr="004F572A">
        <w:rPr>
          <w:rFonts w:eastAsia="Calibri"/>
          <w:sz w:val="22"/>
          <w:szCs w:val="22"/>
        </w:rPr>
        <w:t>lentelėje</w:t>
      </w:r>
      <w:r w:rsidR="00B93AD4">
        <w:rPr>
          <w:rFonts w:eastAsia="Calibri"/>
          <w:sz w:val="22"/>
          <w:szCs w:val="22"/>
        </w:rPr>
        <w:t xml:space="preserve"> toliau</w:t>
      </w:r>
      <w:r w:rsidR="003D402A" w:rsidRPr="004F572A">
        <w:rPr>
          <w:rFonts w:eastAsia="Calibri"/>
          <w:sz w:val="22"/>
          <w:szCs w:val="22"/>
        </w:rPr>
        <w:t>.</w:t>
      </w:r>
    </w:p>
    <w:p w14:paraId="171D64EC" w14:textId="77777777" w:rsidR="00B32200" w:rsidRPr="004F572A" w:rsidRDefault="00B32200" w:rsidP="000928CA">
      <w:pPr>
        <w:widowControl w:val="0"/>
        <w:tabs>
          <w:tab w:val="clear" w:pos="567"/>
        </w:tabs>
        <w:rPr>
          <w:rFonts w:eastAsia="Calibri"/>
          <w:sz w:val="22"/>
          <w:szCs w:val="22"/>
        </w:rPr>
      </w:pPr>
    </w:p>
    <w:tbl>
      <w:tblPr>
        <w:tblStyle w:val="Lentelstinklelis"/>
        <w:tblW w:w="9085" w:type="dxa"/>
        <w:tblLook w:val="04A0" w:firstRow="1" w:lastRow="0" w:firstColumn="1" w:lastColumn="0" w:noHBand="0" w:noVBand="1"/>
      </w:tblPr>
      <w:tblGrid>
        <w:gridCol w:w="2605"/>
        <w:gridCol w:w="1710"/>
        <w:gridCol w:w="1350"/>
        <w:gridCol w:w="1710"/>
        <w:gridCol w:w="1710"/>
      </w:tblGrid>
      <w:tr w:rsidR="003D402A" w:rsidRPr="004F572A" w14:paraId="67495733" w14:textId="77777777" w:rsidTr="00753D8E">
        <w:tc>
          <w:tcPr>
            <w:tcW w:w="9085" w:type="dxa"/>
            <w:gridSpan w:val="5"/>
          </w:tcPr>
          <w:p w14:paraId="6D65B5D7" w14:textId="0CAADF04" w:rsidR="003D402A" w:rsidRPr="004F572A" w:rsidRDefault="003D402A" w:rsidP="000928CA">
            <w:pPr>
              <w:widowControl w:val="0"/>
              <w:tabs>
                <w:tab w:val="clear" w:pos="567"/>
              </w:tabs>
              <w:rPr>
                <w:rFonts w:eastAsia="Calibri"/>
                <w:b/>
                <w:bCs/>
                <w:sz w:val="22"/>
                <w:szCs w:val="22"/>
              </w:rPr>
            </w:pPr>
            <w:r w:rsidRPr="004F572A">
              <w:rPr>
                <w:rFonts w:eastAsia="Calibri"/>
                <w:b/>
                <w:bCs/>
                <w:sz w:val="22"/>
                <w:szCs w:val="22"/>
              </w:rPr>
              <w:t>8</w:t>
            </w:r>
            <w:r w:rsidR="00115D7F">
              <w:rPr>
                <w:rFonts w:eastAsia="Calibri"/>
                <w:b/>
                <w:bCs/>
                <w:sz w:val="22"/>
                <w:szCs w:val="22"/>
              </w:rPr>
              <w:t> </w:t>
            </w:r>
            <w:r w:rsidRPr="004F572A">
              <w:rPr>
                <w:rFonts w:eastAsia="Calibri"/>
                <w:b/>
                <w:bCs/>
                <w:sz w:val="22"/>
                <w:szCs w:val="22"/>
              </w:rPr>
              <w:t xml:space="preserve">lentelė. REFLECT tyrimo veiksmingumo rezultatai – </w:t>
            </w:r>
            <w:proofErr w:type="spellStart"/>
            <w:r w:rsidRPr="004F572A">
              <w:rPr>
                <w:rFonts w:eastAsia="Calibri"/>
                <w:b/>
                <w:bCs/>
                <w:sz w:val="22"/>
                <w:szCs w:val="22"/>
              </w:rPr>
              <w:t>hepatoceliulinė</w:t>
            </w:r>
            <w:proofErr w:type="spellEnd"/>
            <w:r w:rsidRPr="004F572A">
              <w:rPr>
                <w:rFonts w:eastAsia="Calibri"/>
                <w:b/>
                <w:bCs/>
                <w:sz w:val="22"/>
                <w:szCs w:val="22"/>
              </w:rPr>
              <w:t xml:space="preserve"> karcinoma</w:t>
            </w:r>
          </w:p>
        </w:tc>
      </w:tr>
      <w:tr w:rsidR="003D402A" w:rsidRPr="004F572A" w14:paraId="45ABFCB2" w14:textId="77777777" w:rsidTr="00753D8E">
        <w:trPr>
          <w:trHeight w:val="20"/>
        </w:trPr>
        <w:tc>
          <w:tcPr>
            <w:tcW w:w="2605" w:type="dxa"/>
            <w:tcBorders>
              <w:bottom w:val="nil"/>
            </w:tcBorders>
          </w:tcPr>
          <w:p w14:paraId="7331F66D" w14:textId="77777777" w:rsidR="003D402A" w:rsidRPr="004F572A" w:rsidRDefault="003D402A" w:rsidP="003D402A">
            <w:pPr>
              <w:widowControl w:val="0"/>
              <w:tabs>
                <w:tab w:val="clear" w:pos="567"/>
              </w:tabs>
              <w:rPr>
                <w:rFonts w:eastAsia="Calibri"/>
                <w:b/>
                <w:bCs/>
                <w:sz w:val="22"/>
                <w:szCs w:val="22"/>
              </w:rPr>
            </w:pPr>
          </w:p>
        </w:tc>
        <w:tc>
          <w:tcPr>
            <w:tcW w:w="1710" w:type="dxa"/>
            <w:tcBorders>
              <w:bottom w:val="nil"/>
            </w:tcBorders>
          </w:tcPr>
          <w:p w14:paraId="5EC7B4B3" w14:textId="77777777" w:rsidR="003D402A" w:rsidRPr="004F572A" w:rsidRDefault="003D402A" w:rsidP="003D402A">
            <w:pPr>
              <w:widowControl w:val="0"/>
              <w:tabs>
                <w:tab w:val="clear" w:pos="567"/>
              </w:tabs>
              <w:ind w:left="343"/>
              <w:rPr>
                <w:rFonts w:eastAsia="Calibri"/>
                <w:b/>
                <w:bCs/>
                <w:sz w:val="22"/>
                <w:szCs w:val="22"/>
              </w:rPr>
            </w:pPr>
          </w:p>
        </w:tc>
        <w:tc>
          <w:tcPr>
            <w:tcW w:w="1350" w:type="dxa"/>
            <w:tcBorders>
              <w:bottom w:val="nil"/>
            </w:tcBorders>
            <w:vAlign w:val="center"/>
          </w:tcPr>
          <w:p w14:paraId="2E6C0FAB" w14:textId="77777777" w:rsidR="003D402A" w:rsidRPr="004F572A" w:rsidRDefault="003D402A" w:rsidP="003D402A">
            <w:pPr>
              <w:widowControl w:val="0"/>
              <w:tabs>
                <w:tab w:val="clear" w:pos="567"/>
              </w:tabs>
              <w:jc w:val="center"/>
              <w:rPr>
                <w:rFonts w:eastAsia="Calibri"/>
                <w:b/>
                <w:bCs/>
                <w:sz w:val="22"/>
                <w:szCs w:val="22"/>
              </w:rPr>
            </w:pPr>
          </w:p>
        </w:tc>
        <w:tc>
          <w:tcPr>
            <w:tcW w:w="3420" w:type="dxa"/>
            <w:gridSpan w:val="2"/>
          </w:tcPr>
          <w:p w14:paraId="02A1E865" w14:textId="00C7463F" w:rsidR="003D402A" w:rsidRPr="004F572A" w:rsidRDefault="005135EA" w:rsidP="000928CA">
            <w:pPr>
              <w:widowControl w:val="0"/>
              <w:tabs>
                <w:tab w:val="clear" w:pos="567"/>
              </w:tabs>
              <w:rPr>
                <w:rFonts w:eastAsia="Calibri"/>
                <w:b/>
                <w:bCs/>
                <w:sz w:val="22"/>
                <w:szCs w:val="22"/>
              </w:rPr>
            </w:pPr>
            <w:r w:rsidRPr="004F572A">
              <w:rPr>
                <w:rFonts w:eastAsia="Calibri"/>
                <w:b/>
                <w:bCs/>
                <w:sz w:val="22"/>
                <w:szCs w:val="22"/>
              </w:rPr>
              <w:t>Mediana (95 % PI)</w:t>
            </w:r>
            <w:r w:rsidRPr="004F572A">
              <w:rPr>
                <w:rFonts w:eastAsia="Calibri"/>
                <w:b/>
                <w:bCs/>
                <w:sz w:val="22"/>
                <w:szCs w:val="22"/>
                <w:vertAlign w:val="superscript"/>
              </w:rPr>
              <w:t>e</w:t>
            </w:r>
          </w:p>
        </w:tc>
      </w:tr>
      <w:tr w:rsidR="005135EA" w:rsidRPr="004F572A" w14:paraId="6BA9A06C" w14:textId="77777777" w:rsidTr="00753D8E">
        <w:tc>
          <w:tcPr>
            <w:tcW w:w="2605" w:type="dxa"/>
            <w:tcBorders>
              <w:top w:val="nil"/>
            </w:tcBorders>
          </w:tcPr>
          <w:p w14:paraId="47B208FA" w14:textId="77777777" w:rsidR="003D402A" w:rsidRPr="004F572A" w:rsidRDefault="003D402A" w:rsidP="003D402A">
            <w:pPr>
              <w:widowControl w:val="0"/>
              <w:tabs>
                <w:tab w:val="clear" w:pos="567"/>
              </w:tabs>
              <w:rPr>
                <w:rFonts w:eastAsia="Calibri"/>
                <w:b/>
                <w:bCs/>
                <w:sz w:val="22"/>
                <w:szCs w:val="22"/>
              </w:rPr>
            </w:pPr>
            <w:r w:rsidRPr="004F572A">
              <w:rPr>
                <w:rFonts w:eastAsia="Calibri"/>
                <w:b/>
                <w:bCs/>
                <w:sz w:val="22"/>
                <w:szCs w:val="22"/>
              </w:rPr>
              <w:t>Veiksmingumo</w:t>
            </w:r>
          </w:p>
          <w:p w14:paraId="7B696BB7" w14:textId="140F3720" w:rsidR="003D402A" w:rsidRPr="004F572A" w:rsidRDefault="003D402A" w:rsidP="003D402A">
            <w:pPr>
              <w:widowControl w:val="0"/>
              <w:tabs>
                <w:tab w:val="clear" w:pos="567"/>
              </w:tabs>
              <w:rPr>
                <w:rFonts w:eastAsia="Calibri"/>
                <w:b/>
                <w:bCs/>
                <w:sz w:val="22"/>
                <w:szCs w:val="22"/>
              </w:rPr>
            </w:pPr>
            <w:r w:rsidRPr="004F572A">
              <w:rPr>
                <w:rFonts w:eastAsia="Calibri"/>
                <w:b/>
                <w:bCs/>
                <w:sz w:val="22"/>
                <w:szCs w:val="22"/>
              </w:rPr>
              <w:t>parametras</w:t>
            </w:r>
          </w:p>
        </w:tc>
        <w:tc>
          <w:tcPr>
            <w:tcW w:w="1710" w:type="dxa"/>
            <w:tcBorders>
              <w:top w:val="nil"/>
            </w:tcBorders>
          </w:tcPr>
          <w:p w14:paraId="16564072" w14:textId="3905C321" w:rsidR="003D402A" w:rsidRPr="004F572A" w:rsidRDefault="003D402A" w:rsidP="003D402A">
            <w:pPr>
              <w:widowControl w:val="0"/>
              <w:tabs>
                <w:tab w:val="clear" w:pos="567"/>
              </w:tabs>
              <w:ind w:left="343"/>
              <w:rPr>
                <w:rFonts w:eastAsia="Calibri"/>
                <w:b/>
                <w:bCs/>
                <w:sz w:val="22"/>
                <w:szCs w:val="22"/>
              </w:rPr>
            </w:pPr>
            <w:r w:rsidRPr="004F572A">
              <w:rPr>
                <w:rFonts w:eastAsia="Calibri"/>
                <w:b/>
                <w:bCs/>
                <w:sz w:val="22"/>
                <w:szCs w:val="22"/>
              </w:rPr>
              <w:t xml:space="preserve">Rizikos </w:t>
            </w:r>
            <w:proofErr w:type="spellStart"/>
            <w:r w:rsidRPr="004F572A">
              <w:rPr>
                <w:rFonts w:eastAsia="Calibri"/>
                <w:b/>
                <w:bCs/>
                <w:sz w:val="22"/>
                <w:szCs w:val="22"/>
              </w:rPr>
              <w:t>santykis</w:t>
            </w:r>
            <w:r w:rsidRPr="004F572A">
              <w:rPr>
                <w:rFonts w:eastAsia="Calibri"/>
                <w:b/>
                <w:bCs/>
                <w:sz w:val="22"/>
                <w:szCs w:val="22"/>
                <w:vertAlign w:val="superscript"/>
              </w:rPr>
              <w:t>a</w:t>
            </w:r>
            <w:proofErr w:type="spellEnd"/>
            <w:r w:rsidRPr="004F572A">
              <w:rPr>
                <w:rFonts w:eastAsia="Calibri"/>
                <w:b/>
                <w:bCs/>
                <w:sz w:val="22"/>
                <w:szCs w:val="22"/>
                <w:vertAlign w:val="superscript"/>
              </w:rPr>
              <w:t xml:space="preserve">, b </w:t>
            </w:r>
            <w:r w:rsidRPr="004F572A">
              <w:rPr>
                <w:rFonts w:eastAsia="Calibri"/>
                <w:b/>
                <w:bCs/>
                <w:sz w:val="22"/>
                <w:szCs w:val="22"/>
              </w:rPr>
              <w:t>(95 % PI)</w:t>
            </w:r>
          </w:p>
        </w:tc>
        <w:tc>
          <w:tcPr>
            <w:tcW w:w="1350" w:type="dxa"/>
            <w:tcBorders>
              <w:top w:val="nil"/>
            </w:tcBorders>
          </w:tcPr>
          <w:p w14:paraId="05F31DB9" w14:textId="16EB0345" w:rsidR="003D402A" w:rsidRPr="004F572A" w:rsidRDefault="003D402A" w:rsidP="005135EA">
            <w:pPr>
              <w:widowControl w:val="0"/>
              <w:tabs>
                <w:tab w:val="clear" w:pos="567"/>
              </w:tabs>
              <w:jc w:val="center"/>
              <w:rPr>
                <w:rFonts w:eastAsia="Calibri"/>
                <w:b/>
                <w:bCs/>
                <w:sz w:val="22"/>
                <w:szCs w:val="22"/>
              </w:rPr>
            </w:pPr>
            <w:r w:rsidRPr="004F572A">
              <w:rPr>
                <w:rFonts w:eastAsia="Calibri"/>
                <w:b/>
                <w:bCs/>
                <w:sz w:val="22"/>
                <w:szCs w:val="22"/>
              </w:rPr>
              <w:t>P-</w:t>
            </w:r>
            <w:proofErr w:type="spellStart"/>
            <w:r w:rsidRPr="004F572A">
              <w:rPr>
                <w:rFonts w:eastAsia="Calibri"/>
                <w:b/>
                <w:bCs/>
                <w:sz w:val="22"/>
                <w:szCs w:val="22"/>
              </w:rPr>
              <w:t>vertė</w:t>
            </w:r>
            <w:r w:rsidRPr="004F572A">
              <w:rPr>
                <w:rFonts w:eastAsia="Calibri"/>
                <w:b/>
                <w:bCs/>
                <w:sz w:val="22"/>
                <w:szCs w:val="22"/>
                <w:vertAlign w:val="superscript"/>
              </w:rPr>
              <w:t>d</w:t>
            </w:r>
            <w:proofErr w:type="spellEnd"/>
          </w:p>
        </w:tc>
        <w:tc>
          <w:tcPr>
            <w:tcW w:w="1710" w:type="dxa"/>
          </w:tcPr>
          <w:p w14:paraId="2CF77770" w14:textId="77777777" w:rsidR="005135EA" w:rsidRPr="004F572A" w:rsidRDefault="005135EA" w:rsidP="005135EA">
            <w:pPr>
              <w:widowControl w:val="0"/>
              <w:tabs>
                <w:tab w:val="clear" w:pos="567"/>
              </w:tabs>
              <w:rPr>
                <w:rFonts w:eastAsia="Calibri"/>
                <w:b/>
                <w:bCs/>
                <w:sz w:val="22"/>
                <w:szCs w:val="22"/>
              </w:rPr>
            </w:pPr>
            <w:proofErr w:type="spellStart"/>
            <w:r w:rsidRPr="004F572A">
              <w:rPr>
                <w:rFonts w:eastAsia="Calibri"/>
                <w:b/>
                <w:bCs/>
                <w:sz w:val="22"/>
                <w:szCs w:val="22"/>
              </w:rPr>
              <w:t>Lenvatinibas</w:t>
            </w:r>
            <w:proofErr w:type="spellEnd"/>
          </w:p>
          <w:p w14:paraId="5AC8008C" w14:textId="61B1B3C9" w:rsidR="003D402A" w:rsidRPr="004F572A" w:rsidRDefault="005135EA" w:rsidP="005135EA">
            <w:pPr>
              <w:widowControl w:val="0"/>
              <w:tabs>
                <w:tab w:val="clear" w:pos="567"/>
              </w:tabs>
              <w:rPr>
                <w:rFonts w:eastAsia="Calibri"/>
                <w:sz w:val="22"/>
                <w:szCs w:val="22"/>
              </w:rPr>
            </w:pPr>
            <w:r w:rsidRPr="004F572A">
              <w:rPr>
                <w:rFonts w:eastAsia="Calibri"/>
                <w:b/>
                <w:bCs/>
                <w:sz w:val="22"/>
                <w:szCs w:val="22"/>
              </w:rPr>
              <w:t>(N</w:t>
            </w:r>
            <w:r w:rsidR="00115D7F">
              <w:rPr>
                <w:rFonts w:eastAsia="Calibri"/>
                <w:b/>
                <w:bCs/>
                <w:sz w:val="22"/>
                <w:szCs w:val="22"/>
              </w:rPr>
              <w:t> </w:t>
            </w:r>
            <w:r w:rsidRPr="004F572A">
              <w:rPr>
                <w:rFonts w:eastAsia="Calibri"/>
                <w:b/>
                <w:bCs/>
                <w:sz w:val="22"/>
                <w:szCs w:val="22"/>
              </w:rPr>
              <w:t>=</w:t>
            </w:r>
            <w:r w:rsidR="00115D7F">
              <w:rPr>
                <w:rFonts w:eastAsia="Calibri"/>
                <w:b/>
                <w:bCs/>
                <w:sz w:val="22"/>
                <w:szCs w:val="22"/>
              </w:rPr>
              <w:t> </w:t>
            </w:r>
            <w:r w:rsidRPr="004F572A">
              <w:rPr>
                <w:rFonts w:eastAsia="Calibri"/>
                <w:b/>
                <w:bCs/>
                <w:sz w:val="22"/>
                <w:szCs w:val="22"/>
              </w:rPr>
              <w:t>478)</w:t>
            </w:r>
          </w:p>
        </w:tc>
        <w:tc>
          <w:tcPr>
            <w:tcW w:w="1710" w:type="dxa"/>
          </w:tcPr>
          <w:p w14:paraId="6987258C" w14:textId="77777777" w:rsidR="005135EA" w:rsidRPr="004F572A" w:rsidRDefault="005135EA" w:rsidP="005135EA">
            <w:pPr>
              <w:widowControl w:val="0"/>
              <w:tabs>
                <w:tab w:val="clear" w:pos="567"/>
              </w:tabs>
              <w:rPr>
                <w:rFonts w:eastAsia="Calibri"/>
                <w:b/>
                <w:bCs/>
                <w:sz w:val="22"/>
                <w:szCs w:val="22"/>
              </w:rPr>
            </w:pPr>
            <w:proofErr w:type="spellStart"/>
            <w:r w:rsidRPr="004F572A">
              <w:rPr>
                <w:rFonts w:eastAsia="Calibri"/>
                <w:b/>
                <w:bCs/>
                <w:sz w:val="22"/>
                <w:szCs w:val="22"/>
              </w:rPr>
              <w:t>Sorafenibas</w:t>
            </w:r>
            <w:proofErr w:type="spellEnd"/>
          </w:p>
          <w:p w14:paraId="45C9D97E" w14:textId="523173F3" w:rsidR="003D402A" w:rsidRPr="004F572A" w:rsidRDefault="005135EA" w:rsidP="005135EA">
            <w:pPr>
              <w:widowControl w:val="0"/>
              <w:tabs>
                <w:tab w:val="clear" w:pos="567"/>
              </w:tabs>
              <w:rPr>
                <w:rFonts w:eastAsia="Calibri"/>
                <w:sz w:val="22"/>
                <w:szCs w:val="22"/>
              </w:rPr>
            </w:pPr>
            <w:r w:rsidRPr="004F572A">
              <w:rPr>
                <w:rFonts w:eastAsia="Calibri"/>
                <w:b/>
                <w:bCs/>
                <w:sz w:val="22"/>
                <w:szCs w:val="22"/>
              </w:rPr>
              <w:t>(N</w:t>
            </w:r>
            <w:r w:rsidR="00115D7F">
              <w:rPr>
                <w:rFonts w:eastAsia="Calibri"/>
                <w:b/>
                <w:bCs/>
                <w:sz w:val="22"/>
                <w:szCs w:val="22"/>
              </w:rPr>
              <w:t> </w:t>
            </w:r>
            <w:r w:rsidRPr="004F572A">
              <w:rPr>
                <w:rFonts w:eastAsia="Calibri"/>
                <w:b/>
                <w:bCs/>
                <w:sz w:val="22"/>
                <w:szCs w:val="22"/>
              </w:rPr>
              <w:t>=</w:t>
            </w:r>
            <w:r w:rsidR="00115D7F">
              <w:rPr>
                <w:rFonts w:eastAsia="Calibri"/>
                <w:b/>
                <w:bCs/>
                <w:sz w:val="22"/>
                <w:szCs w:val="22"/>
              </w:rPr>
              <w:t> </w:t>
            </w:r>
            <w:r w:rsidRPr="004F572A">
              <w:rPr>
                <w:rFonts w:eastAsia="Calibri"/>
                <w:b/>
                <w:bCs/>
                <w:sz w:val="22"/>
                <w:szCs w:val="22"/>
              </w:rPr>
              <w:t>476)</w:t>
            </w:r>
          </w:p>
        </w:tc>
      </w:tr>
      <w:tr w:rsidR="005135EA" w:rsidRPr="004F572A" w14:paraId="26EB6F8D" w14:textId="77777777" w:rsidTr="00753D8E">
        <w:tc>
          <w:tcPr>
            <w:tcW w:w="2605" w:type="dxa"/>
          </w:tcPr>
          <w:p w14:paraId="03A32E93" w14:textId="4E3A08B8" w:rsidR="003D402A" w:rsidRPr="004F572A" w:rsidRDefault="005135EA" w:rsidP="000928CA">
            <w:pPr>
              <w:widowControl w:val="0"/>
              <w:tabs>
                <w:tab w:val="clear" w:pos="567"/>
              </w:tabs>
              <w:rPr>
                <w:rFonts w:eastAsia="Calibri"/>
                <w:b/>
                <w:bCs/>
                <w:sz w:val="22"/>
                <w:szCs w:val="22"/>
              </w:rPr>
            </w:pPr>
            <w:r w:rsidRPr="004F572A">
              <w:rPr>
                <w:rFonts w:eastAsia="Calibri"/>
                <w:b/>
                <w:bCs/>
                <w:sz w:val="22"/>
                <w:szCs w:val="22"/>
              </w:rPr>
              <w:t>Bendr</w:t>
            </w:r>
            <w:r w:rsidR="00B93AD4">
              <w:rPr>
                <w:rFonts w:eastAsia="Calibri"/>
                <w:b/>
                <w:bCs/>
                <w:sz w:val="22"/>
                <w:szCs w:val="22"/>
              </w:rPr>
              <w:t>a</w:t>
            </w:r>
            <w:r w:rsidRPr="004F572A">
              <w:rPr>
                <w:rFonts w:eastAsia="Calibri"/>
                <w:b/>
                <w:bCs/>
                <w:sz w:val="22"/>
                <w:szCs w:val="22"/>
              </w:rPr>
              <w:t xml:space="preserve"> išgyvenamumo trukmė</w:t>
            </w:r>
            <w:r w:rsidR="00B93AD4">
              <w:rPr>
                <w:rFonts w:eastAsia="Calibri"/>
                <w:b/>
                <w:bCs/>
                <w:sz w:val="22"/>
                <w:szCs w:val="22"/>
              </w:rPr>
              <w:t xml:space="preserve"> (BI)</w:t>
            </w:r>
          </w:p>
        </w:tc>
        <w:tc>
          <w:tcPr>
            <w:tcW w:w="1710" w:type="dxa"/>
            <w:vAlign w:val="center"/>
          </w:tcPr>
          <w:p w14:paraId="263E7839" w14:textId="459DF83E" w:rsidR="003D402A" w:rsidRPr="004F572A" w:rsidRDefault="005135EA" w:rsidP="005135EA">
            <w:pPr>
              <w:widowControl w:val="0"/>
              <w:tabs>
                <w:tab w:val="clear" w:pos="567"/>
              </w:tabs>
              <w:jc w:val="center"/>
              <w:rPr>
                <w:rFonts w:eastAsia="Calibri"/>
                <w:sz w:val="22"/>
                <w:szCs w:val="22"/>
              </w:rPr>
            </w:pPr>
            <w:r w:rsidRPr="004F572A">
              <w:rPr>
                <w:rFonts w:eastAsia="Calibri"/>
                <w:sz w:val="22"/>
                <w:szCs w:val="22"/>
              </w:rPr>
              <w:t>0,92 (0,79, 1,06)</w:t>
            </w:r>
          </w:p>
        </w:tc>
        <w:tc>
          <w:tcPr>
            <w:tcW w:w="1350" w:type="dxa"/>
            <w:vAlign w:val="center"/>
          </w:tcPr>
          <w:p w14:paraId="4596ECBC" w14:textId="7B043E1F" w:rsidR="003D402A" w:rsidRPr="004F572A" w:rsidRDefault="005135EA" w:rsidP="005135EA">
            <w:pPr>
              <w:widowControl w:val="0"/>
              <w:tabs>
                <w:tab w:val="clear" w:pos="567"/>
              </w:tabs>
              <w:jc w:val="center"/>
              <w:rPr>
                <w:rFonts w:eastAsia="Calibri"/>
                <w:sz w:val="22"/>
                <w:szCs w:val="22"/>
              </w:rPr>
            </w:pPr>
            <w:r w:rsidRPr="004F572A">
              <w:rPr>
                <w:rFonts w:eastAsia="Calibri"/>
                <w:sz w:val="22"/>
                <w:szCs w:val="22"/>
              </w:rPr>
              <w:t>Netaikytina</w:t>
            </w:r>
          </w:p>
        </w:tc>
        <w:tc>
          <w:tcPr>
            <w:tcW w:w="1710" w:type="dxa"/>
            <w:vAlign w:val="center"/>
          </w:tcPr>
          <w:p w14:paraId="4A04D3D2" w14:textId="4A1CBD87" w:rsidR="003D402A" w:rsidRPr="004F572A" w:rsidRDefault="005135EA" w:rsidP="005135EA">
            <w:pPr>
              <w:widowControl w:val="0"/>
              <w:tabs>
                <w:tab w:val="clear" w:pos="567"/>
              </w:tabs>
              <w:jc w:val="center"/>
              <w:rPr>
                <w:rFonts w:eastAsia="Calibri"/>
                <w:sz w:val="22"/>
                <w:szCs w:val="22"/>
              </w:rPr>
            </w:pPr>
            <w:r w:rsidRPr="004F572A">
              <w:rPr>
                <w:rFonts w:eastAsia="Calibri"/>
                <w:sz w:val="22"/>
                <w:szCs w:val="22"/>
              </w:rPr>
              <w:t>13,6 (12,1, 14,9)</w:t>
            </w:r>
          </w:p>
        </w:tc>
        <w:tc>
          <w:tcPr>
            <w:tcW w:w="1710" w:type="dxa"/>
            <w:vAlign w:val="center"/>
          </w:tcPr>
          <w:p w14:paraId="363EEBDE" w14:textId="3915736E" w:rsidR="003D402A" w:rsidRPr="004F572A" w:rsidRDefault="005135EA" w:rsidP="005135EA">
            <w:pPr>
              <w:widowControl w:val="0"/>
              <w:tabs>
                <w:tab w:val="clear" w:pos="567"/>
              </w:tabs>
              <w:jc w:val="center"/>
              <w:rPr>
                <w:rFonts w:eastAsia="Calibri"/>
                <w:sz w:val="22"/>
                <w:szCs w:val="22"/>
              </w:rPr>
            </w:pPr>
            <w:r w:rsidRPr="004F572A">
              <w:rPr>
                <w:rFonts w:eastAsia="Calibri"/>
                <w:sz w:val="22"/>
                <w:szCs w:val="22"/>
              </w:rPr>
              <w:t>12,3 (10,4, 13,9)</w:t>
            </w:r>
          </w:p>
        </w:tc>
      </w:tr>
      <w:tr w:rsidR="005135EA" w:rsidRPr="004F572A" w14:paraId="2FA81CAC" w14:textId="77777777" w:rsidTr="008C53D4">
        <w:tc>
          <w:tcPr>
            <w:tcW w:w="2605" w:type="dxa"/>
          </w:tcPr>
          <w:p w14:paraId="31234E23" w14:textId="1C2F2399" w:rsidR="003D402A" w:rsidRPr="004F572A" w:rsidRDefault="005135EA" w:rsidP="000928CA">
            <w:pPr>
              <w:widowControl w:val="0"/>
              <w:tabs>
                <w:tab w:val="clear" w:pos="567"/>
              </w:tabs>
              <w:rPr>
                <w:rFonts w:eastAsia="Calibri"/>
                <w:sz w:val="22"/>
                <w:szCs w:val="22"/>
              </w:rPr>
            </w:pPr>
            <w:r w:rsidRPr="004F572A">
              <w:rPr>
                <w:rFonts w:eastAsia="Calibri"/>
                <w:sz w:val="22"/>
                <w:szCs w:val="22"/>
              </w:rPr>
              <w:t>Išgyvenamumo ligai neprogresuojant</w:t>
            </w:r>
            <w:r w:rsidR="00753D8E" w:rsidRPr="004F572A">
              <w:rPr>
                <w:rFonts w:eastAsia="Calibri"/>
                <w:sz w:val="22"/>
                <w:szCs w:val="22"/>
              </w:rPr>
              <w:t xml:space="preserve"> (ILN)</w:t>
            </w:r>
            <w:r w:rsidRPr="004F572A">
              <w:rPr>
                <w:rFonts w:eastAsia="Calibri"/>
                <w:sz w:val="22"/>
                <w:szCs w:val="22"/>
                <w:vertAlign w:val="superscript"/>
              </w:rPr>
              <w:t>g</w:t>
            </w:r>
            <w:r w:rsidRPr="004F572A">
              <w:rPr>
                <w:rFonts w:eastAsia="Calibri"/>
                <w:sz w:val="22"/>
                <w:szCs w:val="22"/>
              </w:rPr>
              <w:t xml:space="preserve"> (</w:t>
            </w:r>
            <w:proofErr w:type="spellStart"/>
            <w:r w:rsidRPr="004F572A">
              <w:rPr>
                <w:rFonts w:eastAsia="Calibri"/>
                <w:sz w:val="22"/>
                <w:szCs w:val="22"/>
              </w:rPr>
              <w:t>mRECIST</w:t>
            </w:r>
            <w:proofErr w:type="spellEnd"/>
            <w:r w:rsidRPr="004F572A">
              <w:rPr>
                <w:rFonts w:eastAsia="Calibri"/>
                <w:sz w:val="22"/>
                <w:szCs w:val="22"/>
              </w:rPr>
              <w:t>)</w:t>
            </w:r>
          </w:p>
        </w:tc>
        <w:tc>
          <w:tcPr>
            <w:tcW w:w="1710" w:type="dxa"/>
            <w:vAlign w:val="center"/>
          </w:tcPr>
          <w:p w14:paraId="32796D5B" w14:textId="5CA666FA" w:rsidR="003D402A" w:rsidRPr="004F572A" w:rsidRDefault="005135EA" w:rsidP="008C53D4">
            <w:pPr>
              <w:widowControl w:val="0"/>
              <w:tabs>
                <w:tab w:val="clear" w:pos="567"/>
              </w:tabs>
              <w:jc w:val="center"/>
              <w:rPr>
                <w:rFonts w:eastAsia="Calibri"/>
                <w:sz w:val="22"/>
                <w:szCs w:val="22"/>
              </w:rPr>
            </w:pPr>
            <w:r w:rsidRPr="004F572A">
              <w:rPr>
                <w:rFonts w:eastAsia="Calibri"/>
                <w:sz w:val="22"/>
                <w:szCs w:val="22"/>
              </w:rPr>
              <w:t>0,64 (0,55, 0,75)</w:t>
            </w:r>
          </w:p>
        </w:tc>
        <w:tc>
          <w:tcPr>
            <w:tcW w:w="1350" w:type="dxa"/>
            <w:vAlign w:val="center"/>
          </w:tcPr>
          <w:p w14:paraId="77651153" w14:textId="236D53B6" w:rsidR="003D402A" w:rsidRPr="004F572A" w:rsidRDefault="005135EA" w:rsidP="008C53D4">
            <w:pPr>
              <w:widowControl w:val="0"/>
              <w:tabs>
                <w:tab w:val="clear" w:pos="567"/>
              </w:tabs>
              <w:jc w:val="center"/>
              <w:rPr>
                <w:rFonts w:eastAsia="Calibri"/>
                <w:sz w:val="22"/>
                <w:szCs w:val="22"/>
              </w:rPr>
            </w:pPr>
            <w:r w:rsidRPr="004F572A">
              <w:rPr>
                <w:rFonts w:eastAsia="Calibri"/>
                <w:sz w:val="22"/>
                <w:szCs w:val="22"/>
              </w:rPr>
              <w:t>&lt;</w:t>
            </w:r>
            <w:r w:rsidR="00115D7F">
              <w:rPr>
                <w:rFonts w:eastAsia="Calibri"/>
                <w:sz w:val="22"/>
                <w:szCs w:val="22"/>
              </w:rPr>
              <w:t> </w:t>
            </w:r>
            <w:r w:rsidRPr="004F572A">
              <w:rPr>
                <w:rFonts w:eastAsia="Calibri"/>
                <w:sz w:val="22"/>
                <w:szCs w:val="22"/>
              </w:rPr>
              <w:t>0,00001</w:t>
            </w:r>
          </w:p>
        </w:tc>
        <w:tc>
          <w:tcPr>
            <w:tcW w:w="1710" w:type="dxa"/>
            <w:vAlign w:val="center"/>
          </w:tcPr>
          <w:p w14:paraId="7B56921D" w14:textId="72C04CE0" w:rsidR="003D402A" w:rsidRPr="004F572A" w:rsidRDefault="005135EA" w:rsidP="008C53D4">
            <w:pPr>
              <w:widowControl w:val="0"/>
              <w:tabs>
                <w:tab w:val="clear" w:pos="567"/>
              </w:tabs>
              <w:jc w:val="center"/>
              <w:rPr>
                <w:rFonts w:eastAsia="Calibri"/>
                <w:sz w:val="22"/>
                <w:szCs w:val="22"/>
              </w:rPr>
            </w:pPr>
            <w:r w:rsidRPr="004F572A">
              <w:rPr>
                <w:rFonts w:eastAsia="Calibri"/>
                <w:sz w:val="22"/>
                <w:szCs w:val="22"/>
              </w:rPr>
              <w:t>7,3 (5,6, 7,5)</w:t>
            </w:r>
          </w:p>
        </w:tc>
        <w:tc>
          <w:tcPr>
            <w:tcW w:w="1710" w:type="dxa"/>
            <w:vAlign w:val="center"/>
          </w:tcPr>
          <w:p w14:paraId="43305134" w14:textId="6DB9E673" w:rsidR="003D402A" w:rsidRPr="004F572A" w:rsidRDefault="005135EA" w:rsidP="008C53D4">
            <w:pPr>
              <w:widowControl w:val="0"/>
              <w:tabs>
                <w:tab w:val="clear" w:pos="567"/>
              </w:tabs>
              <w:jc w:val="center"/>
              <w:rPr>
                <w:rFonts w:eastAsia="Calibri"/>
                <w:sz w:val="22"/>
                <w:szCs w:val="22"/>
              </w:rPr>
            </w:pPr>
            <w:r w:rsidRPr="004F572A">
              <w:rPr>
                <w:rFonts w:eastAsia="Calibri"/>
                <w:sz w:val="22"/>
                <w:szCs w:val="22"/>
              </w:rPr>
              <w:t>3,6 (3,6, 3,7)</w:t>
            </w:r>
          </w:p>
        </w:tc>
      </w:tr>
      <w:tr w:rsidR="005135EA" w:rsidRPr="004F572A" w14:paraId="4DA14A0F" w14:textId="77777777" w:rsidTr="008C53D4">
        <w:tc>
          <w:tcPr>
            <w:tcW w:w="2605" w:type="dxa"/>
          </w:tcPr>
          <w:p w14:paraId="5F60B1B9" w14:textId="77777777" w:rsidR="005135EA" w:rsidRPr="004F572A" w:rsidRDefault="005135EA" w:rsidP="000928CA">
            <w:pPr>
              <w:widowControl w:val="0"/>
              <w:tabs>
                <w:tab w:val="clear" w:pos="567"/>
              </w:tabs>
              <w:rPr>
                <w:rFonts w:eastAsia="Calibri"/>
                <w:sz w:val="22"/>
                <w:szCs w:val="22"/>
              </w:rPr>
            </w:pPr>
          </w:p>
        </w:tc>
        <w:tc>
          <w:tcPr>
            <w:tcW w:w="1710" w:type="dxa"/>
            <w:vAlign w:val="center"/>
          </w:tcPr>
          <w:p w14:paraId="1B8EEBBD" w14:textId="77777777" w:rsidR="005135EA" w:rsidRPr="004F572A" w:rsidRDefault="005135EA" w:rsidP="008C53D4">
            <w:pPr>
              <w:widowControl w:val="0"/>
              <w:tabs>
                <w:tab w:val="clear" w:pos="567"/>
              </w:tabs>
              <w:jc w:val="center"/>
              <w:rPr>
                <w:rFonts w:eastAsia="Calibri"/>
                <w:sz w:val="22"/>
                <w:szCs w:val="22"/>
              </w:rPr>
            </w:pPr>
          </w:p>
        </w:tc>
        <w:tc>
          <w:tcPr>
            <w:tcW w:w="1350" w:type="dxa"/>
            <w:vAlign w:val="center"/>
          </w:tcPr>
          <w:p w14:paraId="54F669DB" w14:textId="77777777" w:rsidR="005135EA" w:rsidRPr="004F572A" w:rsidRDefault="005135EA" w:rsidP="008C53D4">
            <w:pPr>
              <w:widowControl w:val="0"/>
              <w:tabs>
                <w:tab w:val="clear" w:pos="567"/>
              </w:tabs>
              <w:jc w:val="center"/>
              <w:rPr>
                <w:rFonts w:eastAsia="Calibri"/>
                <w:sz w:val="22"/>
                <w:szCs w:val="22"/>
              </w:rPr>
            </w:pPr>
          </w:p>
        </w:tc>
        <w:tc>
          <w:tcPr>
            <w:tcW w:w="3420" w:type="dxa"/>
            <w:gridSpan w:val="2"/>
            <w:vAlign w:val="center"/>
          </w:tcPr>
          <w:p w14:paraId="0C47D93E" w14:textId="2F639CDF" w:rsidR="005135EA" w:rsidRPr="004F572A" w:rsidRDefault="005135EA" w:rsidP="008C53D4">
            <w:pPr>
              <w:widowControl w:val="0"/>
              <w:tabs>
                <w:tab w:val="clear" w:pos="567"/>
              </w:tabs>
              <w:jc w:val="center"/>
              <w:rPr>
                <w:rFonts w:eastAsia="Calibri"/>
                <w:sz w:val="22"/>
                <w:szCs w:val="22"/>
              </w:rPr>
            </w:pPr>
            <w:r w:rsidRPr="004F572A">
              <w:rPr>
                <w:rFonts w:eastAsia="Calibri"/>
                <w:sz w:val="22"/>
                <w:szCs w:val="22"/>
              </w:rPr>
              <w:t>Procentas (95 % PI)</w:t>
            </w:r>
          </w:p>
        </w:tc>
      </w:tr>
      <w:tr w:rsidR="005135EA" w:rsidRPr="004F572A" w14:paraId="4752D0B8" w14:textId="77777777" w:rsidTr="008C53D4">
        <w:tc>
          <w:tcPr>
            <w:tcW w:w="2605" w:type="dxa"/>
          </w:tcPr>
          <w:p w14:paraId="3FA2F585" w14:textId="1F11117C" w:rsidR="003D402A" w:rsidRPr="004F572A" w:rsidRDefault="00753D8E" w:rsidP="000928CA">
            <w:pPr>
              <w:widowControl w:val="0"/>
              <w:tabs>
                <w:tab w:val="clear" w:pos="567"/>
              </w:tabs>
              <w:rPr>
                <w:rFonts w:eastAsia="Calibri"/>
                <w:sz w:val="22"/>
                <w:szCs w:val="22"/>
              </w:rPr>
            </w:pPr>
            <w:r w:rsidRPr="004F572A">
              <w:rPr>
                <w:rFonts w:eastAsia="Calibri"/>
                <w:sz w:val="22"/>
                <w:szCs w:val="22"/>
              </w:rPr>
              <w:t>Objektyvaus atsako dažnis (OAD)</w:t>
            </w:r>
            <w:r w:rsidRPr="004F572A">
              <w:rPr>
                <w:rFonts w:eastAsia="Calibri"/>
                <w:sz w:val="22"/>
                <w:szCs w:val="22"/>
                <w:vertAlign w:val="superscript"/>
              </w:rPr>
              <w:t>c, f, g</w:t>
            </w:r>
            <w:r w:rsidRPr="004F572A">
              <w:rPr>
                <w:rFonts w:eastAsia="Calibri"/>
                <w:sz w:val="22"/>
                <w:szCs w:val="22"/>
              </w:rPr>
              <w:t xml:space="preserve"> (</w:t>
            </w:r>
            <w:proofErr w:type="spellStart"/>
            <w:r w:rsidRPr="004F572A">
              <w:rPr>
                <w:rFonts w:eastAsia="Calibri"/>
                <w:sz w:val="22"/>
                <w:szCs w:val="22"/>
              </w:rPr>
              <w:t>mRECIST</w:t>
            </w:r>
            <w:proofErr w:type="spellEnd"/>
            <w:r w:rsidRPr="004F572A">
              <w:rPr>
                <w:rFonts w:eastAsia="Calibri"/>
                <w:sz w:val="22"/>
                <w:szCs w:val="22"/>
              </w:rPr>
              <w:t>)</w:t>
            </w:r>
          </w:p>
        </w:tc>
        <w:tc>
          <w:tcPr>
            <w:tcW w:w="1710" w:type="dxa"/>
            <w:vAlign w:val="center"/>
          </w:tcPr>
          <w:p w14:paraId="69B1C183" w14:textId="53DDFD1E" w:rsidR="003D402A" w:rsidRPr="004F572A" w:rsidRDefault="00753D8E" w:rsidP="008C53D4">
            <w:pPr>
              <w:widowControl w:val="0"/>
              <w:tabs>
                <w:tab w:val="clear" w:pos="567"/>
              </w:tabs>
              <w:jc w:val="center"/>
              <w:rPr>
                <w:rFonts w:eastAsia="Calibri"/>
                <w:sz w:val="22"/>
                <w:szCs w:val="22"/>
              </w:rPr>
            </w:pPr>
            <w:r w:rsidRPr="004F572A">
              <w:rPr>
                <w:rFonts w:eastAsia="Calibri"/>
                <w:sz w:val="22"/>
                <w:szCs w:val="22"/>
              </w:rPr>
              <w:t>Netaikytina</w:t>
            </w:r>
          </w:p>
        </w:tc>
        <w:tc>
          <w:tcPr>
            <w:tcW w:w="1350" w:type="dxa"/>
            <w:vAlign w:val="center"/>
          </w:tcPr>
          <w:p w14:paraId="6359A264" w14:textId="343130EE" w:rsidR="003D402A" w:rsidRPr="004F572A" w:rsidRDefault="00753D8E" w:rsidP="008C53D4">
            <w:pPr>
              <w:widowControl w:val="0"/>
              <w:tabs>
                <w:tab w:val="clear" w:pos="567"/>
              </w:tabs>
              <w:jc w:val="center"/>
              <w:rPr>
                <w:rFonts w:eastAsia="Calibri"/>
                <w:sz w:val="22"/>
                <w:szCs w:val="22"/>
              </w:rPr>
            </w:pPr>
            <w:r w:rsidRPr="004F572A">
              <w:rPr>
                <w:rFonts w:eastAsia="Calibri"/>
                <w:sz w:val="22"/>
                <w:szCs w:val="22"/>
              </w:rPr>
              <w:t>&lt;</w:t>
            </w:r>
            <w:r w:rsidR="00115D7F">
              <w:rPr>
                <w:rFonts w:eastAsia="Calibri"/>
                <w:sz w:val="22"/>
                <w:szCs w:val="22"/>
              </w:rPr>
              <w:t> </w:t>
            </w:r>
            <w:r w:rsidRPr="004F572A">
              <w:rPr>
                <w:rFonts w:eastAsia="Calibri"/>
                <w:sz w:val="22"/>
                <w:szCs w:val="22"/>
              </w:rPr>
              <w:t>0,00001</w:t>
            </w:r>
          </w:p>
        </w:tc>
        <w:tc>
          <w:tcPr>
            <w:tcW w:w="1710" w:type="dxa"/>
            <w:vAlign w:val="center"/>
          </w:tcPr>
          <w:p w14:paraId="00B7D470" w14:textId="051D827C" w:rsidR="003D402A" w:rsidRPr="004F572A" w:rsidRDefault="00753D8E" w:rsidP="008C53D4">
            <w:pPr>
              <w:widowControl w:val="0"/>
              <w:tabs>
                <w:tab w:val="clear" w:pos="567"/>
              </w:tabs>
              <w:jc w:val="center"/>
              <w:rPr>
                <w:rFonts w:eastAsia="Calibri"/>
                <w:sz w:val="22"/>
                <w:szCs w:val="22"/>
              </w:rPr>
            </w:pPr>
            <w:r w:rsidRPr="004F572A">
              <w:rPr>
                <w:rFonts w:eastAsia="Calibri"/>
                <w:sz w:val="22"/>
                <w:szCs w:val="22"/>
              </w:rPr>
              <w:t>41 % (36 %, 45 %)</w:t>
            </w:r>
          </w:p>
        </w:tc>
        <w:tc>
          <w:tcPr>
            <w:tcW w:w="1710" w:type="dxa"/>
            <w:vAlign w:val="center"/>
          </w:tcPr>
          <w:p w14:paraId="275D74B3" w14:textId="7D499116" w:rsidR="003D402A" w:rsidRPr="004F572A" w:rsidRDefault="00753D8E" w:rsidP="008C53D4">
            <w:pPr>
              <w:widowControl w:val="0"/>
              <w:tabs>
                <w:tab w:val="clear" w:pos="567"/>
              </w:tabs>
              <w:jc w:val="center"/>
              <w:rPr>
                <w:rFonts w:eastAsia="Calibri"/>
                <w:sz w:val="22"/>
                <w:szCs w:val="22"/>
              </w:rPr>
            </w:pPr>
            <w:r w:rsidRPr="004F572A">
              <w:rPr>
                <w:rFonts w:eastAsia="Calibri"/>
                <w:sz w:val="22"/>
                <w:szCs w:val="22"/>
              </w:rPr>
              <w:t>12 % (9 %, 15 %)</w:t>
            </w:r>
          </w:p>
        </w:tc>
      </w:tr>
      <w:tr w:rsidR="00753D8E" w:rsidRPr="004F572A" w14:paraId="47CB0025" w14:textId="77777777" w:rsidTr="00753D8E">
        <w:tc>
          <w:tcPr>
            <w:tcW w:w="9085" w:type="dxa"/>
            <w:gridSpan w:val="5"/>
          </w:tcPr>
          <w:p w14:paraId="1B688F3A" w14:textId="08DDEAC7" w:rsidR="00753D8E" w:rsidRPr="004F572A" w:rsidRDefault="00753D8E" w:rsidP="000928CA">
            <w:pPr>
              <w:widowControl w:val="0"/>
              <w:tabs>
                <w:tab w:val="clear" w:pos="567"/>
              </w:tabs>
              <w:rPr>
                <w:rFonts w:eastAsia="Calibri"/>
                <w:sz w:val="22"/>
                <w:szCs w:val="22"/>
              </w:rPr>
            </w:pPr>
            <w:r w:rsidRPr="004F572A">
              <w:rPr>
                <w:rFonts w:eastAsia="Calibri"/>
                <w:sz w:val="22"/>
                <w:szCs w:val="22"/>
              </w:rPr>
              <w:t>Duomenų rinkimo pabaigos data: 2016</w:t>
            </w:r>
            <w:r w:rsidR="00115D7F">
              <w:rPr>
                <w:rFonts w:eastAsia="Calibri"/>
                <w:sz w:val="22"/>
                <w:szCs w:val="22"/>
              </w:rPr>
              <w:t> </w:t>
            </w:r>
            <w:r w:rsidRPr="004F572A">
              <w:rPr>
                <w:rFonts w:eastAsia="Calibri"/>
                <w:sz w:val="22"/>
                <w:szCs w:val="22"/>
              </w:rPr>
              <w:t>m. lapkričio 13</w:t>
            </w:r>
            <w:r w:rsidR="00115D7F">
              <w:rPr>
                <w:rFonts w:eastAsia="Calibri"/>
                <w:sz w:val="22"/>
                <w:szCs w:val="22"/>
              </w:rPr>
              <w:t> </w:t>
            </w:r>
            <w:r w:rsidRPr="004F572A">
              <w:rPr>
                <w:rFonts w:eastAsia="Calibri"/>
                <w:sz w:val="22"/>
                <w:szCs w:val="22"/>
              </w:rPr>
              <w:t>d.</w:t>
            </w:r>
          </w:p>
          <w:p w14:paraId="16B0DFC7" w14:textId="347ED05E" w:rsidR="008C53D4" w:rsidRPr="004F572A" w:rsidRDefault="008C53D4" w:rsidP="008C53D4">
            <w:pPr>
              <w:widowControl w:val="0"/>
              <w:tabs>
                <w:tab w:val="clear" w:pos="567"/>
              </w:tabs>
              <w:ind w:left="360" w:hanging="360"/>
              <w:rPr>
                <w:rFonts w:eastAsia="Calibri"/>
                <w:sz w:val="22"/>
                <w:szCs w:val="22"/>
              </w:rPr>
            </w:pPr>
            <w:r w:rsidRPr="004F572A">
              <w:rPr>
                <w:rFonts w:eastAsia="Calibri"/>
                <w:sz w:val="22"/>
                <w:szCs w:val="22"/>
              </w:rPr>
              <w:t>a</w:t>
            </w:r>
            <w:r w:rsidRPr="004F572A">
              <w:rPr>
                <w:rFonts w:eastAsia="Calibri"/>
                <w:sz w:val="22"/>
                <w:szCs w:val="22"/>
              </w:rPr>
              <w:tab/>
              <w:t xml:space="preserve">Rizikos santykis (RS) pateiktas </w:t>
            </w:r>
            <w:proofErr w:type="spellStart"/>
            <w:r w:rsidRPr="004F572A">
              <w:rPr>
                <w:rFonts w:eastAsia="Calibri"/>
                <w:sz w:val="22"/>
                <w:szCs w:val="22"/>
              </w:rPr>
              <w:t>lenvatinibą</w:t>
            </w:r>
            <w:proofErr w:type="spellEnd"/>
            <w:r w:rsidRPr="004F572A">
              <w:rPr>
                <w:rFonts w:eastAsia="Calibri"/>
                <w:sz w:val="22"/>
                <w:szCs w:val="22"/>
              </w:rPr>
              <w:t xml:space="preserve"> palyginti su </w:t>
            </w:r>
            <w:proofErr w:type="spellStart"/>
            <w:r w:rsidRPr="004F572A">
              <w:rPr>
                <w:rFonts w:eastAsia="Calibri"/>
                <w:sz w:val="22"/>
                <w:szCs w:val="22"/>
              </w:rPr>
              <w:t>sorafenibu</w:t>
            </w:r>
            <w:proofErr w:type="spellEnd"/>
            <w:r w:rsidRPr="004F572A">
              <w:rPr>
                <w:rFonts w:eastAsia="Calibri"/>
                <w:sz w:val="22"/>
                <w:szCs w:val="22"/>
              </w:rPr>
              <w:t xml:space="preserve">, remiantis </w:t>
            </w:r>
            <w:proofErr w:type="spellStart"/>
            <w:r w:rsidRPr="000D1CAE">
              <w:rPr>
                <w:rFonts w:eastAsia="Calibri"/>
                <w:i/>
                <w:sz w:val="22"/>
                <w:szCs w:val="22"/>
              </w:rPr>
              <w:t>Cox</w:t>
            </w:r>
            <w:proofErr w:type="spellEnd"/>
            <w:r w:rsidRPr="000D1CAE">
              <w:rPr>
                <w:rFonts w:eastAsia="Calibri"/>
                <w:i/>
                <w:sz w:val="22"/>
                <w:szCs w:val="22"/>
              </w:rPr>
              <w:t xml:space="preserve"> </w:t>
            </w:r>
            <w:r w:rsidRPr="004F572A">
              <w:rPr>
                <w:rFonts w:eastAsia="Calibri"/>
                <w:sz w:val="22"/>
                <w:szCs w:val="22"/>
              </w:rPr>
              <w:t>modeliu, kuriame tyrimo grupė yra veiksnys.</w:t>
            </w:r>
          </w:p>
          <w:p w14:paraId="71050BEB" w14:textId="0DBE58C4" w:rsidR="008C53D4" w:rsidRPr="004F572A" w:rsidRDefault="008C53D4" w:rsidP="008C53D4">
            <w:pPr>
              <w:widowControl w:val="0"/>
              <w:tabs>
                <w:tab w:val="clear" w:pos="567"/>
              </w:tabs>
              <w:ind w:left="360" w:hanging="360"/>
              <w:rPr>
                <w:rFonts w:eastAsia="Calibri"/>
                <w:sz w:val="22"/>
                <w:szCs w:val="22"/>
              </w:rPr>
            </w:pPr>
            <w:r w:rsidRPr="004F572A">
              <w:rPr>
                <w:rFonts w:eastAsia="Calibri"/>
                <w:sz w:val="22"/>
                <w:szCs w:val="22"/>
              </w:rPr>
              <w:t>b</w:t>
            </w:r>
            <w:r w:rsidRPr="004F572A">
              <w:rPr>
                <w:rFonts w:eastAsia="Calibri"/>
                <w:sz w:val="22"/>
                <w:szCs w:val="22"/>
              </w:rPr>
              <w:tab/>
            </w:r>
            <w:proofErr w:type="spellStart"/>
            <w:r w:rsidRPr="004F572A">
              <w:rPr>
                <w:rFonts w:eastAsia="Calibri"/>
                <w:sz w:val="22"/>
                <w:szCs w:val="22"/>
              </w:rPr>
              <w:t>Stratifikuota</w:t>
            </w:r>
            <w:proofErr w:type="spellEnd"/>
            <w:r w:rsidRPr="004F572A">
              <w:rPr>
                <w:rFonts w:eastAsia="Calibri"/>
                <w:sz w:val="22"/>
                <w:szCs w:val="22"/>
              </w:rPr>
              <w:t xml:space="preserve"> pagal regioną (1</w:t>
            </w:r>
            <w:r w:rsidR="00115D7F">
              <w:rPr>
                <w:rFonts w:eastAsia="Calibri"/>
                <w:sz w:val="22"/>
                <w:szCs w:val="22"/>
              </w:rPr>
              <w:noBreakHyphen/>
            </w:r>
            <w:r w:rsidRPr="004F572A">
              <w:rPr>
                <w:rFonts w:eastAsia="Calibri"/>
                <w:sz w:val="22"/>
                <w:szCs w:val="22"/>
              </w:rPr>
              <w:t>asis regionas: Azija – Ramiojo vandenyno salos; 2</w:t>
            </w:r>
            <w:r w:rsidR="00115D7F">
              <w:rPr>
                <w:rFonts w:eastAsia="Calibri"/>
                <w:sz w:val="22"/>
                <w:szCs w:val="22"/>
              </w:rPr>
              <w:noBreakHyphen/>
            </w:r>
            <w:r w:rsidRPr="004F572A">
              <w:rPr>
                <w:rFonts w:eastAsia="Calibri"/>
                <w:sz w:val="22"/>
                <w:szCs w:val="22"/>
              </w:rPr>
              <w:t>asis regionas:</w:t>
            </w:r>
            <w:r w:rsidRPr="004F572A">
              <w:rPr>
                <w:rFonts w:eastAsia="Calibri"/>
                <w:sz w:val="22"/>
                <w:szCs w:val="22"/>
              </w:rPr>
              <w:cr/>
              <w:t xml:space="preserve">Vakarų šalys), </w:t>
            </w:r>
            <w:proofErr w:type="spellStart"/>
            <w:r w:rsidRPr="004F572A">
              <w:rPr>
                <w:rFonts w:eastAsia="Calibri"/>
                <w:sz w:val="22"/>
                <w:szCs w:val="22"/>
              </w:rPr>
              <w:t>makroskopiškai</w:t>
            </w:r>
            <w:proofErr w:type="spellEnd"/>
            <w:r w:rsidRPr="004F572A">
              <w:rPr>
                <w:rFonts w:eastAsia="Calibri"/>
                <w:sz w:val="22"/>
                <w:szCs w:val="22"/>
              </w:rPr>
              <w:t xml:space="preserve"> stebimas išplitimas į vartų veną arba už kepenų ribų arba yra abu požymiai (taip, ne), ECOG PS (0, 1) ir kūno svoris (&lt; 60 kg, ≥</w:t>
            </w:r>
            <w:r w:rsidR="00115D7F">
              <w:rPr>
                <w:rFonts w:eastAsia="Calibri"/>
                <w:sz w:val="22"/>
                <w:szCs w:val="22"/>
              </w:rPr>
              <w:t> </w:t>
            </w:r>
            <w:r w:rsidRPr="004F572A">
              <w:rPr>
                <w:rFonts w:eastAsia="Calibri"/>
                <w:sz w:val="22"/>
                <w:szCs w:val="22"/>
              </w:rPr>
              <w:t>60 kg).</w:t>
            </w:r>
          </w:p>
          <w:p w14:paraId="1A8596C8" w14:textId="06BE718C" w:rsidR="008C53D4" w:rsidRPr="004F572A" w:rsidRDefault="008C53D4" w:rsidP="008C53D4">
            <w:pPr>
              <w:widowControl w:val="0"/>
              <w:tabs>
                <w:tab w:val="clear" w:pos="567"/>
              </w:tabs>
              <w:ind w:left="360" w:hanging="360"/>
              <w:rPr>
                <w:rFonts w:eastAsia="Calibri"/>
                <w:sz w:val="22"/>
                <w:szCs w:val="22"/>
              </w:rPr>
            </w:pPr>
            <w:r w:rsidRPr="004F572A">
              <w:rPr>
                <w:rFonts w:eastAsia="Calibri"/>
                <w:sz w:val="22"/>
                <w:szCs w:val="22"/>
              </w:rPr>
              <w:t>c</w:t>
            </w:r>
            <w:r w:rsidRPr="004F572A">
              <w:rPr>
                <w:rFonts w:eastAsia="Calibri"/>
                <w:sz w:val="22"/>
                <w:szCs w:val="22"/>
              </w:rPr>
              <w:tab/>
              <w:t>R</w:t>
            </w:r>
            <w:r w:rsidR="00B93AD4">
              <w:rPr>
                <w:rFonts w:eastAsia="Calibri"/>
                <w:sz w:val="22"/>
                <w:szCs w:val="22"/>
              </w:rPr>
              <w:t>e</w:t>
            </w:r>
            <w:r w:rsidRPr="004F572A">
              <w:rPr>
                <w:rFonts w:eastAsia="Calibri"/>
                <w:sz w:val="22"/>
                <w:szCs w:val="22"/>
              </w:rPr>
              <w:t>zultatai grindžiami patvirtinu ir nepatvirtintu atsaku.</w:t>
            </w:r>
          </w:p>
          <w:p w14:paraId="11F6470F" w14:textId="77777777" w:rsidR="008C53D4" w:rsidRPr="004F572A" w:rsidRDefault="008C53D4" w:rsidP="008C53D4">
            <w:pPr>
              <w:widowControl w:val="0"/>
              <w:tabs>
                <w:tab w:val="clear" w:pos="567"/>
              </w:tabs>
              <w:ind w:left="360" w:hanging="360"/>
              <w:rPr>
                <w:rFonts w:eastAsia="Calibri"/>
                <w:sz w:val="22"/>
                <w:szCs w:val="22"/>
              </w:rPr>
            </w:pPr>
            <w:r w:rsidRPr="004F572A">
              <w:rPr>
                <w:rFonts w:eastAsia="Calibri"/>
                <w:sz w:val="22"/>
                <w:szCs w:val="22"/>
              </w:rPr>
              <w:t>d</w:t>
            </w:r>
            <w:r w:rsidRPr="004F572A">
              <w:rPr>
                <w:rFonts w:eastAsia="Calibri"/>
                <w:sz w:val="22"/>
                <w:szCs w:val="22"/>
              </w:rPr>
              <w:tab/>
              <w:t xml:space="preserve">P-vertė skirta </w:t>
            </w:r>
            <w:proofErr w:type="spellStart"/>
            <w:r w:rsidRPr="004F572A">
              <w:rPr>
                <w:rFonts w:eastAsia="Calibri"/>
                <w:sz w:val="22"/>
                <w:szCs w:val="22"/>
              </w:rPr>
              <w:t>lenvatinibo</w:t>
            </w:r>
            <w:proofErr w:type="spellEnd"/>
            <w:r w:rsidRPr="004F572A">
              <w:rPr>
                <w:rFonts w:eastAsia="Calibri"/>
                <w:sz w:val="22"/>
                <w:szCs w:val="22"/>
              </w:rPr>
              <w:t xml:space="preserve"> pranašumo prieš </w:t>
            </w:r>
            <w:proofErr w:type="spellStart"/>
            <w:r w:rsidRPr="004F572A">
              <w:rPr>
                <w:rFonts w:eastAsia="Calibri"/>
                <w:sz w:val="22"/>
                <w:szCs w:val="22"/>
              </w:rPr>
              <w:t>sorafenibą</w:t>
            </w:r>
            <w:proofErr w:type="spellEnd"/>
            <w:r w:rsidRPr="004F572A">
              <w:rPr>
                <w:rFonts w:eastAsia="Calibri"/>
                <w:sz w:val="22"/>
                <w:szCs w:val="22"/>
              </w:rPr>
              <w:t xml:space="preserve"> testui.</w:t>
            </w:r>
          </w:p>
          <w:p w14:paraId="3010BA1B" w14:textId="06777787" w:rsidR="008C53D4" w:rsidRPr="004F572A" w:rsidRDefault="008C53D4" w:rsidP="008C53D4">
            <w:pPr>
              <w:widowControl w:val="0"/>
              <w:tabs>
                <w:tab w:val="clear" w:pos="567"/>
              </w:tabs>
              <w:ind w:left="360" w:hanging="360"/>
              <w:rPr>
                <w:rFonts w:eastAsia="Calibri"/>
                <w:sz w:val="22"/>
                <w:szCs w:val="22"/>
              </w:rPr>
            </w:pPr>
            <w:r w:rsidRPr="004F572A">
              <w:rPr>
                <w:rFonts w:eastAsia="Calibri"/>
                <w:sz w:val="22"/>
                <w:szCs w:val="22"/>
              </w:rPr>
              <w:t>e</w:t>
            </w:r>
            <w:r w:rsidRPr="004F572A">
              <w:rPr>
                <w:rFonts w:eastAsia="Calibri"/>
                <w:sz w:val="22"/>
                <w:szCs w:val="22"/>
              </w:rPr>
              <w:tab/>
              <w:t>Kvartiliai apskaičiuoti Kaplano-Mejer</w:t>
            </w:r>
            <w:r w:rsidR="00B93AD4">
              <w:rPr>
                <w:rFonts w:eastAsia="Calibri"/>
                <w:sz w:val="22"/>
                <w:szCs w:val="22"/>
              </w:rPr>
              <w:t>io</w:t>
            </w:r>
            <w:r w:rsidRPr="004F572A">
              <w:rPr>
                <w:rFonts w:eastAsia="Calibri"/>
                <w:sz w:val="22"/>
                <w:szCs w:val="22"/>
              </w:rPr>
              <w:t xml:space="preserve"> metodu, o 95 % PI apskaičiuoti taikant apibendrintą </w:t>
            </w:r>
            <w:proofErr w:type="spellStart"/>
            <w:r w:rsidRPr="000D1CAE">
              <w:rPr>
                <w:rFonts w:eastAsia="Calibri"/>
                <w:i/>
                <w:sz w:val="22"/>
                <w:szCs w:val="22"/>
              </w:rPr>
              <w:t>Brookmeyer</w:t>
            </w:r>
            <w:proofErr w:type="spellEnd"/>
            <w:r w:rsidRPr="004F572A">
              <w:rPr>
                <w:rFonts w:eastAsia="Calibri"/>
                <w:sz w:val="22"/>
                <w:szCs w:val="22"/>
              </w:rPr>
              <w:t xml:space="preserve"> ir </w:t>
            </w:r>
            <w:proofErr w:type="spellStart"/>
            <w:r w:rsidRPr="000D1CAE">
              <w:rPr>
                <w:rFonts w:eastAsia="Calibri"/>
                <w:i/>
                <w:sz w:val="22"/>
                <w:szCs w:val="22"/>
              </w:rPr>
              <w:t>Crowley</w:t>
            </w:r>
            <w:proofErr w:type="spellEnd"/>
            <w:r w:rsidRPr="004F572A">
              <w:rPr>
                <w:rFonts w:eastAsia="Calibri"/>
                <w:sz w:val="22"/>
                <w:szCs w:val="22"/>
              </w:rPr>
              <w:t xml:space="preserve"> metodą.</w:t>
            </w:r>
          </w:p>
          <w:p w14:paraId="69A71DB2" w14:textId="77777777" w:rsidR="008C53D4" w:rsidRPr="004F572A" w:rsidRDefault="008C53D4" w:rsidP="008C53D4">
            <w:pPr>
              <w:widowControl w:val="0"/>
              <w:tabs>
                <w:tab w:val="clear" w:pos="567"/>
              </w:tabs>
              <w:ind w:left="360" w:hanging="360"/>
              <w:rPr>
                <w:rFonts w:eastAsia="Calibri"/>
                <w:sz w:val="22"/>
                <w:szCs w:val="22"/>
              </w:rPr>
            </w:pPr>
            <w:r w:rsidRPr="004F572A">
              <w:rPr>
                <w:rFonts w:eastAsia="Calibri"/>
                <w:sz w:val="22"/>
                <w:szCs w:val="22"/>
              </w:rPr>
              <w:t>f</w:t>
            </w:r>
            <w:r w:rsidRPr="004F572A">
              <w:rPr>
                <w:rFonts w:eastAsia="Calibri"/>
                <w:sz w:val="22"/>
                <w:szCs w:val="22"/>
              </w:rPr>
              <w:tab/>
              <w:t>Atsako dažnis (visiškas arba dalinis atsakas).</w:t>
            </w:r>
          </w:p>
          <w:p w14:paraId="0CC0655E" w14:textId="4AB3BC85" w:rsidR="008C53D4" w:rsidRPr="004F572A" w:rsidRDefault="008C53D4" w:rsidP="008C53D4">
            <w:pPr>
              <w:widowControl w:val="0"/>
              <w:tabs>
                <w:tab w:val="clear" w:pos="567"/>
              </w:tabs>
              <w:ind w:left="360" w:hanging="360"/>
              <w:rPr>
                <w:rFonts w:eastAsia="Calibri"/>
                <w:sz w:val="22"/>
                <w:szCs w:val="22"/>
              </w:rPr>
            </w:pPr>
            <w:r w:rsidRPr="004F572A">
              <w:rPr>
                <w:rFonts w:eastAsia="Calibri"/>
                <w:sz w:val="22"/>
                <w:szCs w:val="22"/>
              </w:rPr>
              <w:t>g</w:t>
            </w:r>
            <w:r w:rsidRPr="004F572A">
              <w:rPr>
                <w:rFonts w:eastAsia="Calibri"/>
                <w:sz w:val="22"/>
                <w:szCs w:val="22"/>
              </w:rPr>
              <w:tab/>
              <w:t>Atliekant nepriklausomos radiologinių vaizdų peržiūros retrospektyvinę analizę. Objektyvaus atsako medianos trukmė buvo 7,3 (95 % PI 5,6, 7,4) mėnesi</w:t>
            </w:r>
            <w:r w:rsidR="00B93AD4">
              <w:rPr>
                <w:rFonts w:eastAsia="Calibri"/>
                <w:sz w:val="22"/>
                <w:szCs w:val="22"/>
              </w:rPr>
              <w:t>ai</w:t>
            </w:r>
            <w:r w:rsidRPr="004F572A">
              <w:rPr>
                <w:rFonts w:eastAsia="Calibri"/>
                <w:sz w:val="22"/>
                <w:szCs w:val="22"/>
              </w:rPr>
              <w:t xml:space="preserve"> </w:t>
            </w:r>
            <w:proofErr w:type="spellStart"/>
            <w:r w:rsidRPr="004F572A">
              <w:rPr>
                <w:rFonts w:eastAsia="Calibri"/>
                <w:sz w:val="22"/>
                <w:szCs w:val="22"/>
              </w:rPr>
              <w:t>lenvatinibo</w:t>
            </w:r>
            <w:proofErr w:type="spellEnd"/>
            <w:r w:rsidRPr="004F572A">
              <w:rPr>
                <w:rFonts w:eastAsia="Calibri"/>
                <w:sz w:val="22"/>
                <w:szCs w:val="22"/>
              </w:rPr>
              <w:t xml:space="preserve"> </w:t>
            </w:r>
            <w:r w:rsidR="00B93AD4" w:rsidRPr="00B93AD4">
              <w:rPr>
                <w:rFonts w:eastAsia="Calibri"/>
                <w:sz w:val="22"/>
                <w:szCs w:val="22"/>
              </w:rPr>
              <w:t>vartojusių pacientų grupėje</w:t>
            </w:r>
            <w:r w:rsidRPr="004F572A">
              <w:rPr>
                <w:rFonts w:eastAsia="Calibri"/>
                <w:sz w:val="22"/>
                <w:szCs w:val="22"/>
              </w:rPr>
              <w:t xml:space="preserve"> ir 6,2 (95 % PI 3,7, 11,2) mėnesi</w:t>
            </w:r>
            <w:r w:rsidR="00B93AD4">
              <w:rPr>
                <w:rFonts w:eastAsia="Calibri"/>
                <w:sz w:val="22"/>
                <w:szCs w:val="22"/>
              </w:rPr>
              <w:t>ai</w:t>
            </w:r>
            <w:r w:rsidRPr="004F572A">
              <w:rPr>
                <w:rFonts w:eastAsia="Calibri"/>
                <w:sz w:val="22"/>
                <w:szCs w:val="22"/>
              </w:rPr>
              <w:t xml:space="preserve"> </w:t>
            </w:r>
            <w:proofErr w:type="spellStart"/>
            <w:r w:rsidRPr="004F572A">
              <w:rPr>
                <w:rFonts w:eastAsia="Calibri"/>
                <w:sz w:val="22"/>
                <w:szCs w:val="22"/>
              </w:rPr>
              <w:t>sorafenibo</w:t>
            </w:r>
            <w:proofErr w:type="spellEnd"/>
            <w:r w:rsidRPr="004F572A">
              <w:rPr>
                <w:rFonts w:eastAsia="Calibri"/>
                <w:sz w:val="22"/>
                <w:szCs w:val="22"/>
              </w:rPr>
              <w:t xml:space="preserve"> </w:t>
            </w:r>
            <w:r w:rsidR="00B93AD4" w:rsidRPr="00B93AD4">
              <w:rPr>
                <w:rFonts w:eastAsia="Calibri"/>
                <w:sz w:val="22"/>
                <w:szCs w:val="22"/>
              </w:rPr>
              <w:t>vartojusių pacientų grupėje</w:t>
            </w:r>
            <w:r w:rsidRPr="004F572A">
              <w:rPr>
                <w:rFonts w:eastAsia="Calibri"/>
                <w:sz w:val="22"/>
                <w:szCs w:val="22"/>
              </w:rPr>
              <w:t>.</w:t>
            </w:r>
          </w:p>
          <w:p w14:paraId="4F1DF214" w14:textId="1AC40003" w:rsidR="00753D8E" w:rsidRPr="004F572A" w:rsidRDefault="00753D8E" w:rsidP="008C53D4">
            <w:pPr>
              <w:widowControl w:val="0"/>
              <w:tabs>
                <w:tab w:val="clear" w:pos="567"/>
              </w:tabs>
              <w:rPr>
                <w:rFonts w:eastAsia="Calibri"/>
                <w:sz w:val="22"/>
                <w:szCs w:val="22"/>
              </w:rPr>
            </w:pPr>
          </w:p>
        </w:tc>
      </w:tr>
    </w:tbl>
    <w:p w14:paraId="14C76578" w14:textId="77777777" w:rsidR="00B32200" w:rsidRPr="004F572A" w:rsidRDefault="00B32200" w:rsidP="000928CA">
      <w:pPr>
        <w:widowControl w:val="0"/>
        <w:tabs>
          <w:tab w:val="clear" w:pos="567"/>
        </w:tabs>
        <w:rPr>
          <w:rFonts w:eastAsia="Calibri"/>
          <w:sz w:val="22"/>
          <w:szCs w:val="22"/>
        </w:rPr>
      </w:pPr>
    </w:p>
    <w:p w14:paraId="79E8E574" w14:textId="328B5745" w:rsidR="00B32200" w:rsidRPr="004F572A" w:rsidRDefault="008C53D4" w:rsidP="000928CA">
      <w:pPr>
        <w:widowControl w:val="0"/>
        <w:tabs>
          <w:tab w:val="clear" w:pos="567"/>
        </w:tabs>
        <w:rPr>
          <w:rStyle w:val="fontstyle01"/>
          <w:rFonts w:ascii="Times New Roman" w:hAnsi="Times New Roman"/>
        </w:rPr>
      </w:pPr>
      <w:r w:rsidRPr="004F572A">
        <w:rPr>
          <w:rStyle w:val="fontstyle01"/>
          <w:rFonts w:ascii="Times New Roman" w:hAnsi="Times New Roman"/>
        </w:rPr>
        <w:t>2 pav</w:t>
      </w:r>
      <w:r w:rsidR="00AF3E62" w:rsidRPr="004F572A">
        <w:rPr>
          <w:rStyle w:val="fontstyle01"/>
          <w:rFonts w:ascii="Times New Roman" w:hAnsi="Times New Roman"/>
        </w:rPr>
        <w:t>eikslas</w:t>
      </w:r>
      <w:r w:rsidRPr="004F572A">
        <w:rPr>
          <w:rStyle w:val="fontstyle01"/>
          <w:rFonts w:ascii="Times New Roman" w:hAnsi="Times New Roman"/>
        </w:rPr>
        <w:t xml:space="preserve">. </w:t>
      </w:r>
      <w:proofErr w:type="spellStart"/>
      <w:r w:rsidRPr="000D1CAE">
        <w:rPr>
          <w:rStyle w:val="fontstyle01"/>
          <w:rFonts w:ascii="Times New Roman" w:hAnsi="Times New Roman"/>
          <w:i/>
        </w:rPr>
        <w:t>Kaplan-Me</w:t>
      </w:r>
      <w:r w:rsidR="00272B11" w:rsidRPr="000D1CAE">
        <w:rPr>
          <w:rStyle w:val="fontstyle01"/>
          <w:rFonts w:ascii="Times New Roman" w:hAnsi="Times New Roman"/>
          <w:i/>
        </w:rPr>
        <w:t>i</w:t>
      </w:r>
      <w:r w:rsidRPr="000D1CAE">
        <w:rPr>
          <w:rStyle w:val="fontstyle01"/>
          <w:rFonts w:ascii="Times New Roman" w:hAnsi="Times New Roman"/>
          <w:i/>
        </w:rPr>
        <w:t>er</w:t>
      </w:r>
      <w:proofErr w:type="spellEnd"/>
      <w:r w:rsidRPr="004F572A">
        <w:rPr>
          <w:rStyle w:val="fontstyle01"/>
          <w:rFonts w:ascii="Times New Roman" w:hAnsi="Times New Roman"/>
        </w:rPr>
        <w:t xml:space="preserve"> bendro</w:t>
      </w:r>
      <w:r w:rsidR="00AF3E62" w:rsidRPr="004F572A">
        <w:rPr>
          <w:rStyle w:val="fontstyle01"/>
          <w:rFonts w:ascii="Times New Roman" w:hAnsi="Times New Roman"/>
        </w:rPr>
        <w:t>jo</w:t>
      </w:r>
      <w:r w:rsidRPr="004F572A">
        <w:rPr>
          <w:rStyle w:val="fontstyle01"/>
          <w:rFonts w:ascii="Times New Roman" w:hAnsi="Times New Roman"/>
        </w:rPr>
        <w:t xml:space="preserve"> išgyvenamumo kreivė – </w:t>
      </w:r>
      <w:proofErr w:type="spellStart"/>
      <w:r w:rsidRPr="004F572A">
        <w:rPr>
          <w:rStyle w:val="fontstyle01"/>
          <w:rFonts w:ascii="Times New Roman" w:hAnsi="Times New Roman"/>
        </w:rPr>
        <w:t>hepatoceliulinė</w:t>
      </w:r>
      <w:proofErr w:type="spellEnd"/>
      <w:r w:rsidRPr="004F572A">
        <w:rPr>
          <w:rStyle w:val="fontstyle01"/>
          <w:rFonts w:ascii="Times New Roman" w:hAnsi="Times New Roman"/>
        </w:rPr>
        <w:t xml:space="preserve"> karcinoma</w:t>
      </w:r>
    </w:p>
    <w:p w14:paraId="33DCF6A0" w14:textId="77777777" w:rsidR="008C53D4" w:rsidRPr="004F572A" w:rsidRDefault="008C53D4" w:rsidP="000928CA">
      <w:pPr>
        <w:widowControl w:val="0"/>
        <w:tabs>
          <w:tab w:val="clear" w:pos="567"/>
        </w:tabs>
        <w:rPr>
          <w:rFonts w:eastAsia="Calibri"/>
          <w:sz w:val="22"/>
          <w:szCs w:val="22"/>
        </w:rPr>
      </w:pPr>
    </w:p>
    <w:p w14:paraId="5AEFFFC9" w14:textId="01218F7B" w:rsidR="008C53D4" w:rsidRPr="004F572A" w:rsidRDefault="008C53D4" w:rsidP="000928CA">
      <w:pPr>
        <w:widowControl w:val="0"/>
        <w:tabs>
          <w:tab w:val="clear" w:pos="567"/>
        </w:tabs>
        <w:rPr>
          <w:rFonts w:eastAsia="Calibri"/>
          <w:sz w:val="22"/>
          <w:szCs w:val="22"/>
        </w:rPr>
      </w:pPr>
      <w:r w:rsidRPr="004F572A">
        <w:rPr>
          <w:noProof/>
        </w:rPr>
        <w:drawing>
          <wp:inline distT="0" distB="0" distL="0" distR="0" wp14:anchorId="7F8A2425" wp14:editId="5B5AA495">
            <wp:extent cx="5759450" cy="2780665"/>
            <wp:effectExtent l="0" t="0" r="0" b="635"/>
            <wp:docPr id="195557343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573437" name=""/>
                    <pic:cNvPicPr/>
                  </pic:nvPicPr>
                  <pic:blipFill>
                    <a:blip r:embed="rId12"/>
                    <a:stretch>
                      <a:fillRect/>
                    </a:stretch>
                  </pic:blipFill>
                  <pic:spPr>
                    <a:xfrm>
                      <a:off x="0" y="0"/>
                      <a:ext cx="5759450" cy="2780665"/>
                    </a:xfrm>
                    <a:prstGeom prst="rect">
                      <a:avLst/>
                    </a:prstGeom>
                  </pic:spPr>
                </pic:pic>
              </a:graphicData>
            </a:graphic>
          </wp:inline>
        </w:drawing>
      </w:r>
    </w:p>
    <w:p w14:paraId="73DF4934" w14:textId="70093A8A" w:rsidR="00272B11" w:rsidRPr="004F572A" w:rsidRDefault="00272B11">
      <w:pPr>
        <w:pStyle w:val="Sraopastraipa"/>
        <w:widowControl w:val="0"/>
        <w:numPr>
          <w:ilvl w:val="0"/>
          <w:numId w:val="8"/>
        </w:numPr>
        <w:tabs>
          <w:tab w:val="clear" w:pos="567"/>
        </w:tabs>
        <w:rPr>
          <w:rFonts w:eastAsia="Calibri"/>
          <w:sz w:val="22"/>
          <w:szCs w:val="22"/>
        </w:rPr>
      </w:pPr>
      <w:r w:rsidRPr="004F572A">
        <w:rPr>
          <w:rFonts w:eastAsia="Calibri"/>
          <w:sz w:val="22"/>
          <w:szCs w:val="22"/>
        </w:rPr>
        <w:t>Duomenų rinkimo pabaigos data = 2016</w:t>
      </w:r>
      <w:r w:rsidR="00115D7F">
        <w:rPr>
          <w:rFonts w:eastAsia="Calibri"/>
          <w:sz w:val="22"/>
          <w:szCs w:val="22"/>
        </w:rPr>
        <w:t> </w:t>
      </w:r>
      <w:r w:rsidRPr="004F572A">
        <w:rPr>
          <w:rFonts w:eastAsia="Calibri"/>
          <w:sz w:val="22"/>
          <w:szCs w:val="22"/>
        </w:rPr>
        <w:t>m. lapkričio 13</w:t>
      </w:r>
      <w:r w:rsidR="00115D7F">
        <w:rPr>
          <w:rFonts w:eastAsia="Calibri"/>
          <w:sz w:val="22"/>
          <w:szCs w:val="22"/>
        </w:rPr>
        <w:t> </w:t>
      </w:r>
      <w:r w:rsidRPr="004F572A">
        <w:rPr>
          <w:rFonts w:eastAsia="Calibri"/>
          <w:sz w:val="22"/>
          <w:szCs w:val="22"/>
        </w:rPr>
        <w:t>d.</w:t>
      </w:r>
    </w:p>
    <w:p w14:paraId="58084F58" w14:textId="0DCA6EAC" w:rsidR="00272B11" w:rsidRPr="004F572A" w:rsidRDefault="00272B11">
      <w:pPr>
        <w:pStyle w:val="Sraopastraipa"/>
        <w:widowControl w:val="0"/>
        <w:numPr>
          <w:ilvl w:val="0"/>
          <w:numId w:val="8"/>
        </w:numPr>
        <w:tabs>
          <w:tab w:val="clear" w:pos="567"/>
        </w:tabs>
        <w:rPr>
          <w:rFonts w:eastAsia="Calibri"/>
          <w:sz w:val="22"/>
          <w:szCs w:val="22"/>
        </w:rPr>
      </w:pPr>
      <w:r w:rsidRPr="004F572A">
        <w:rPr>
          <w:rFonts w:eastAsia="Calibri"/>
          <w:sz w:val="22"/>
          <w:szCs w:val="22"/>
        </w:rPr>
        <w:t xml:space="preserve">Rizikos santykio ne prastesnių savybių ribinė vertė (RS: </w:t>
      </w:r>
      <w:proofErr w:type="spellStart"/>
      <w:r w:rsidRPr="004F572A">
        <w:rPr>
          <w:rFonts w:eastAsia="Calibri"/>
          <w:sz w:val="22"/>
          <w:szCs w:val="22"/>
        </w:rPr>
        <w:t>lenvatinibas</w:t>
      </w:r>
      <w:proofErr w:type="spellEnd"/>
      <w:r w:rsidRPr="004F572A">
        <w:rPr>
          <w:rFonts w:eastAsia="Calibri"/>
          <w:sz w:val="22"/>
          <w:szCs w:val="22"/>
        </w:rPr>
        <w:t xml:space="preserve">, palyginti su </w:t>
      </w:r>
      <w:proofErr w:type="spellStart"/>
      <w:r w:rsidRPr="004F572A">
        <w:rPr>
          <w:rFonts w:eastAsia="Calibri"/>
          <w:sz w:val="22"/>
          <w:szCs w:val="22"/>
        </w:rPr>
        <w:t>sorafenibu</w:t>
      </w:r>
      <w:proofErr w:type="spellEnd"/>
      <w:r w:rsidRPr="004F572A">
        <w:rPr>
          <w:rFonts w:eastAsia="Calibri"/>
          <w:sz w:val="22"/>
          <w:szCs w:val="22"/>
        </w:rPr>
        <w:t xml:space="preserve"> = 1,08).</w:t>
      </w:r>
    </w:p>
    <w:p w14:paraId="51D8BBC2" w14:textId="45723DA0" w:rsidR="00272B11" w:rsidRPr="004F572A" w:rsidRDefault="00272B11">
      <w:pPr>
        <w:pStyle w:val="Sraopastraipa"/>
        <w:widowControl w:val="0"/>
        <w:numPr>
          <w:ilvl w:val="0"/>
          <w:numId w:val="8"/>
        </w:numPr>
        <w:tabs>
          <w:tab w:val="clear" w:pos="567"/>
        </w:tabs>
        <w:rPr>
          <w:rFonts w:eastAsia="Calibri"/>
          <w:sz w:val="22"/>
          <w:szCs w:val="22"/>
        </w:rPr>
      </w:pPr>
      <w:r w:rsidRPr="004F572A">
        <w:rPr>
          <w:rFonts w:eastAsia="Calibri"/>
          <w:sz w:val="22"/>
          <w:szCs w:val="22"/>
        </w:rPr>
        <w:t xml:space="preserve">Mediana apskaičiuota taikant </w:t>
      </w:r>
      <w:proofErr w:type="spellStart"/>
      <w:r w:rsidRPr="000D1CAE">
        <w:rPr>
          <w:rFonts w:eastAsia="Calibri"/>
          <w:i/>
          <w:sz w:val="22"/>
          <w:szCs w:val="22"/>
        </w:rPr>
        <w:t>Kaplan-Meier</w:t>
      </w:r>
      <w:proofErr w:type="spellEnd"/>
      <w:r w:rsidRPr="004F572A">
        <w:rPr>
          <w:rFonts w:eastAsia="Calibri"/>
          <w:sz w:val="22"/>
          <w:szCs w:val="22"/>
        </w:rPr>
        <w:t xml:space="preserve"> metodą ir 95 % pasikliautinumo intervalą, kuris apskaičiuotas taikant apibendrintą </w:t>
      </w:r>
      <w:proofErr w:type="spellStart"/>
      <w:r w:rsidRPr="000D1CAE">
        <w:rPr>
          <w:rFonts w:eastAsia="Calibri"/>
          <w:i/>
          <w:sz w:val="22"/>
          <w:szCs w:val="22"/>
        </w:rPr>
        <w:t>Brookmeyer</w:t>
      </w:r>
      <w:proofErr w:type="spellEnd"/>
      <w:r w:rsidRPr="004F572A">
        <w:rPr>
          <w:rFonts w:eastAsia="Calibri"/>
          <w:sz w:val="22"/>
          <w:szCs w:val="22"/>
        </w:rPr>
        <w:t xml:space="preserve"> ir </w:t>
      </w:r>
      <w:proofErr w:type="spellStart"/>
      <w:r w:rsidRPr="000D1CAE">
        <w:rPr>
          <w:rFonts w:eastAsia="Calibri"/>
          <w:i/>
          <w:sz w:val="22"/>
          <w:szCs w:val="22"/>
        </w:rPr>
        <w:t>Crowley</w:t>
      </w:r>
      <w:proofErr w:type="spellEnd"/>
      <w:r w:rsidRPr="004F572A">
        <w:rPr>
          <w:rFonts w:eastAsia="Calibri"/>
          <w:sz w:val="22"/>
          <w:szCs w:val="22"/>
        </w:rPr>
        <w:t xml:space="preserve"> metodą.</w:t>
      </w:r>
    </w:p>
    <w:p w14:paraId="02A7E4B0" w14:textId="559DF6E8" w:rsidR="00272B11" w:rsidRPr="004F572A" w:rsidRDefault="00272B11">
      <w:pPr>
        <w:pStyle w:val="Sraopastraipa"/>
        <w:widowControl w:val="0"/>
        <w:numPr>
          <w:ilvl w:val="0"/>
          <w:numId w:val="8"/>
        </w:numPr>
        <w:tabs>
          <w:tab w:val="clear" w:pos="567"/>
        </w:tabs>
        <w:rPr>
          <w:rFonts w:eastAsia="Calibri"/>
          <w:sz w:val="22"/>
          <w:szCs w:val="22"/>
        </w:rPr>
      </w:pPr>
      <w:r w:rsidRPr="004F572A">
        <w:rPr>
          <w:rFonts w:eastAsia="Calibri"/>
          <w:sz w:val="22"/>
          <w:szCs w:val="22"/>
        </w:rPr>
        <w:t xml:space="preserve">RS apskaičiuotas pagal </w:t>
      </w:r>
      <w:proofErr w:type="spellStart"/>
      <w:r w:rsidRPr="000D1CAE">
        <w:rPr>
          <w:rFonts w:eastAsia="Calibri"/>
          <w:i/>
          <w:sz w:val="22"/>
          <w:szCs w:val="22"/>
        </w:rPr>
        <w:t>Cox</w:t>
      </w:r>
      <w:proofErr w:type="spellEnd"/>
      <w:r w:rsidRPr="004F572A">
        <w:rPr>
          <w:rFonts w:eastAsia="Calibri"/>
          <w:sz w:val="22"/>
          <w:szCs w:val="22"/>
        </w:rPr>
        <w:t xml:space="preserve"> </w:t>
      </w:r>
      <w:r w:rsidRPr="009715A4">
        <w:rPr>
          <w:rFonts w:eastAsia="Calibri"/>
          <w:sz w:val="22"/>
          <w:szCs w:val="22"/>
        </w:rPr>
        <w:t>proporcinės</w:t>
      </w:r>
      <w:r w:rsidRPr="004F572A">
        <w:rPr>
          <w:rFonts w:eastAsia="Calibri"/>
          <w:sz w:val="22"/>
          <w:szCs w:val="22"/>
        </w:rPr>
        <w:t xml:space="preserve"> rizikos modelį, kai gydymas yra nepriklausomas kintamasis, modelis </w:t>
      </w:r>
      <w:proofErr w:type="spellStart"/>
      <w:r w:rsidRPr="004F572A">
        <w:rPr>
          <w:rFonts w:eastAsia="Calibri"/>
          <w:sz w:val="22"/>
          <w:szCs w:val="22"/>
        </w:rPr>
        <w:t>stratifikuotas</w:t>
      </w:r>
      <w:proofErr w:type="spellEnd"/>
      <w:r w:rsidRPr="004F572A">
        <w:rPr>
          <w:rFonts w:eastAsia="Calibri"/>
          <w:sz w:val="22"/>
          <w:szCs w:val="22"/>
        </w:rPr>
        <w:t xml:space="preserve"> pagal </w:t>
      </w:r>
      <w:proofErr w:type="spellStart"/>
      <w:r w:rsidRPr="004F572A">
        <w:rPr>
          <w:rFonts w:eastAsia="Calibri"/>
          <w:sz w:val="22"/>
          <w:szCs w:val="22"/>
        </w:rPr>
        <w:t>IxRS</w:t>
      </w:r>
      <w:proofErr w:type="spellEnd"/>
      <w:r w:rsidRPr="004F572A">
        <w:rPr>
          <w:rFonts w:eastAsia="Calibri"/>
          <w:sz w:val="22"/>
          <w:szCs w:val="22"/>
        </w:rPr>
        <w:t xml:space="preserve"> </w:t>
      </w:r>
      <w:proofErr w:type="spellStart"/>
      <w:r w:rsidRPr="004F572A">
        <w:rPr>
          <w:rFonts w:eastAsia="Calibri"/>
          <w:sz w:val="22"/>
          <w:szCs w:val="22"/>
        </w:rPr>
        <w:t>stratifikavimo</w:t>
      </w:r>
      <w:proofErr w:type="spellEnd"/>
      <w:r w:rsidRPr="004F572A">
        <w:rPr>
          <w:rFonts w:eastAsia="Calibri"/>
          <w:sz w:val="22"/>
          <w:szCs w:val="22"/>
        </w:rPr>
        <w:t xml:space="preserve"> veiksnius. Sąsajoms naudotas </w:t>
      </w:r>
      <w:proofErr w:type="spellStart"/>
      <w:r w:rsidRPr="000D1CAE">
        <w:rPr>
          <w:rFonts w:eastAsia="Calibri"/>
          <w:i/>
          <w:sz w:val="22"/>
          <w:szCs w:val="22"/>
        </w:rPr>
        <w:t>Efron</w:t>
      </w:r>
      <w:proofErr w:type="spellEnd"/>
      <w:r w:rsidRPr="004F572A">
        <w:rPr>
          <w:rFonts w:eastAsia="Calibri"/>
          <w:sz w:val="22"/>
          <w:szCs w:val="22"/>
        </w:rPr>
        <w:t xml:space="preserve"> metodas.</w:t>
      </w:r>
    </w:p>
    <w:p w14:paraId="33546130" w14:textId="1270A415" w:rsidR="008C53D4" w:rsidRPr="004F572A" w:rsidRDefault="00272B11">
      <w:pPr>
        <w:pStyle w:val="Sraopastraipa"/>
        <w:widowControl w:val="0"/>
        <w:numPr>
          <w:ilvl w:val="0"/>
          <w:numId w:val="8"/>
        </w:numPr>
        <w:tabs>
          <w:tab w:val="clear" w:pos="567"/>
        </w:tabs>
        <w:rPr>
          <w:rFonts w:eastAsia="Calibri"/>
          <w:sz w:val="22"/>
          <w:szCs w:val="22"/>
        </w:rPr>
      </w:pPr>
      <w:r w:rsidRPr="004F572A">
        <w:rPr>
          <w:rFonts w:eastAsia="Calibri"/>
          <w:sz w:val="22"/>
          <w:szCs w:val="22"/>
        </w:rPr>
        <w:t>+ = cenzūruoti stebėjimai.</w:t>
      </w:r>
    </w:p>
    <w:p w14:paraId="6040DB99" w14:textId="77777777" w:rsidR="008C53D4" w:rsidRPr="004F572A" w:rsidRDefault="008C53D4" w:rsidP="000928CA">
      <w:pPr>
        <w:widowControl w:val="0"/>
        <w:tabs>
          <w:tab w:val="clear" w:pos="567"/>
        </w:tabs>
        <w:rPr>
          <w:rFonts w:eastAsia="Calibri"/>
          <w:sz w:val="22"/>
          <w:szCs w:val="22"/>
        </w:rPr>
      </w:pPr>
    </w:p>
    <w:p w14:paraId="6AC65BA1" w14:textId="572FE9B6" w:rsidR="00272B11" w:rsidRPr="004F572A" w:rsidRDefault="00272B11" w:rsidP="00272B11">
      <w:pPr>
        <w:widowControl w:val="0"/>
        <w:tabs>
          <w:tab w:val="clear" w:pos="567"/>
        </w:tabs>
        <w:rPr>
          <w:rFonts w:eastAsia="Calibri"/>
          <w:sz w:val="22"/>
          <w:szCs w:val="22"/>
        </w:rPr>
      </w:pPr>
      <w:r w:rsidRPr="004F572A">
        <w:rPr>
          <w:rFonts w:eastAsia="Calibri"/>
          <w:sz w:val="22"/>
          <w:szCs w:val="22"/>
        </w:rPr>
        <w:t xml:space="preserve">Pogrupių analizėse pagal </w:t>
      </w:r>
      <w:proofErr w:type="spellStart"/>
      <w:r w:rsidRPr="004F572A">
        <w:rPr>
          <w:rFonts w:eastAsia="Calibri"/>
          <w:sz w:val="22"/>
          <w:szCs w:val="22"/>
        </w:rPr>
        <w:t>stratifikavimo</w:t>
      </w:r>
      <w:proofErr w:type="spellEnd"/>
      <w:r w:rsidRPr="004F572A">
        <w:rPr>
          <w:rFonts w:eastAsia="Calibri"/>
          <w:sz w:val="22"/>
          <w:szCs w:val="22"/>
        </w:rPr>
        <w:t xml:space="preserve"> veiksnius (MPVI ar EHS arba abiejų požymių buvimas, ECOG PS 0 arba 1, kūno svoris &lt; 60 kg arba ≥ 60 kg ir regionas) RS nuosekliai buvo palankus </w:t>
      </w:r>
      <w:proofErr w:type="spellStart"/>
      <w:r w:rsidRPr="004F572A">
        <w:rPr>
          <w:rFonts w:eastAsia="Calibri"/>
          <w:sz w:val="22"/>
          <w:szCs w:val="22"/>
        </w:rPr>
        <w:t>lenvatinibui</w:t>
      </w:r>
      <w:proofErr w:type="spellEnd"/>
      <w:r w:rsidRPr="004F572A">
        <w:rPr>
          <w:rFonts w:eastAsia="Calibri"/>
          <w:sz w:val="22"/>
          <w:szCs w:val="22"/>
        </w:rPr>
        <w:t xml:space="preserve">, palyginti su </w:t>
      </w:r>
      <w:proofErr w:type="spellStart"/>
      <w:r w:rsidRPr="004F572A">
        <w:rPr>
          <w:rFonts w:eastAsia="Calibri"/>
          <w:sz w:val="22"/>
          <w:szCs w:val="22"/>
        </w:rPr>
        <w:t>sorafenibu</w:t>
      </w:r>
      <w:proofErr w:type="spellEnd"/>
      <w:r w:rsidRPr="004F572A">
        <w:rPr>
          <w:rFonts w:eastAsia="Calibri"/>
          <w:sz w:val="22"/>
          <w:szCs w:val="22"/>
        </w:rPr>
        <w:t>, išskyrus Vakarų regioną [RS 1,08 (95 % PI 0,82, 1,42], pacientus, kuriems nenustatyta EHS [RS 1,01 (95 % PI 0,78, 1,30)] bei pacientus, kuriems nenustatyta MPVI, EHS ar abiejų požymių [RS 1,05 (0,79, 1,40)]. Pogrupių analizių rezultat</w:t>
      </w:r>
      <w:r w:rsidR="00B93AD4">
        <w:rPr>
          <w:rFonts w:eastAsia="Calibri"/>
          <w:sz w:val="22"/>
          <w:szCs w:val="22"/>
        </w:rPr>
        <w:t>us reikia vertinti</w:t>
      </w:r>
      <w:r w:rsidRPr="004F572A">
        <w:rPr>
          <w:rFonts w:eastAsia="Calibri"/>
          <w:sz w:val="22"/>
          <w:szCs w:val="22"/>
        </w:rPr>
        <w:t xml:space="preserve"> atsargiai.</w:t>
      </w:r>
    </w:p>
    <w:p w14:paraId="2A4C879A" w14:textId="77777777" w:rsidR="000E28AA" w:rsidRPr="004F572A" w:rsidRDefault="000E28AA" w:rsidP="00272B11">
      <w:pPr>
        <w:widowControl w:val="0"/>
        <w:tabs>
          <w:tab w:val="clear" w:pos="567"/>
        </w:tabs>
        <w:rPr>
          <w:rFonts w:eastAsia="Calibri"/>
          <w:sz w:val="22"/>
          <w:szCs w:val="22"/>
        </w:rPr>
      </w:pPr>
    </w:p>
    <w:p w14:paraId="56B61371" w14:textId="0C9A10BE" w:rsidR="00272B11" w:rsidRPr="004F572A" w:rsidRDefault="00272B11" w:rsidP="00272B11">
      <w:pPr>
        <w:widowControl w:val="0"/>
        <w:tabs>
          <w:tab w:val="clear" w:pos="567"/>
        </w:tabs>
        <w:rPr>
          <w:rFonts w:eastAsia="Calibri"/>
          <w:sz w:val="22"/>
          <w:szCs w:val="22"/>
        </w:rPr>
      </w:pPr>
      <w:r w:rsidRPr="004F572A">
        <w:rPr>
          <w:rFonts w:eastAsia="Calibri"/>
          <w:sz w:val="22"/>
          <w:szCs w:val="22"/>
        </w:rPr>
        <w:t>Gydymo trukmės mediana buvo 5,7</w:t>
      </w:r>
      <w:r w:rsidR="00115D7F">
        <w:rPr>
          <w:rFonts w:eastAsia="Calibri"/>
          <w:sz w:val="22"/>
          <w:szCs w:val="22"/>
        </w:rPr>
        <w:t> </w:t>
      </w:r>
      <w:r w:rsidRPr="004F572A">
        <w:rPr>
          <w:rFonts w:eastAsia="Calibri"/>
          <w:sz w:val="22"/>
          <w:szCs w:val="22"/>
        </w:rPr>
        <w:t>mėnesi</w:t>
      </w:r>
      <w:r w:rsidR="00B93AD4">
        <w:rPr>
          <w:rFonts w:eastAsia="Calibri"/>
          <w:sz w:val="22"/>
          <w:szCs w:val="22"/>
        </w:rPr>
        <w:t>ai</w:t>
      </w:r>
      <w:r w:rsidR="000E28AA" w:rsidRPr="004F572A">
        <w:rPr>
          <w:rFonts w:eastAsia="Calibri"/>
          <w:sz w:val="22"/>
          <w:szCs w:val="22"/>
        </w:rPr>
        <w:t xml:space="preserve"> </w:t>
      </w:r>
      <w:r w:rsidRPr="004F572A">
        <w:rPr>
          <w:rFonts w:eastAsia="Calibri"/>
          <w:sz w:val="22"/>
          <w:szCs w:val="22"/>
        </w:rPr>
        <w:t xml:space="preserve">(Q1: 2,9, Q3: 11,1) </w:t>
      </w:r>
      <w:proofErr w:type="spellStart"/>
      <w:r w:rsidRPr="004F572A">
        <w:rPr>
          <w:rFonts w:eastAsia="Calibri"/>
          <w:sz w:val="22"/>
          <w:szCs w:val="22"/>
        </w:rPr>
        <w:t>lenvatinibo</w:t>
      </w:r>
      <w:proofErr w:type="spellEnd"/>
      <w:r w:rsidRPr="004F572A">
        <w:rPr>
          <w:rFonts w:eastAsia="Calibri"/>
          <w:sz w:val="22"/>
          <w:szCs w:val="22"/>
        </w:rPr>
        <w:t xml:space="preserve"> </w:t>
      </w:r>
      <w:r w:rsidR="00B93AD4" w:rsidRPr="00B93AD4">
        <w:rPr>
          <w:rFonts w:eastAsia="Calibri"/>
          <w:sz w:val="22"/>
          <w:szCs w:val="22"/>
        </w:rPr>
        <w:t>vartojusių pacientų grupėje</w:t>
      </w:r>
      <w:r w:rsidRPr="004F572A">
        <w:rPr>
          <w:rFonts w:eastAsia="Calibri"/>
          <w:sz w:val="22"/>
          <w:szCs w:val="22"/>
        </w:rPr>
        <w:t xml:space="preserve"> ir 3,7</w:t>
      </w:r>
      <w:r w:rsidR="00115D7F">
        <w:rPr>
          <w:rFonts w:eastAsia="Calibri"/>
          <w:sz w:val="22"/>
          <w:szCs w:val="22"/>
        </w:rPr>
        <w:t> </w:t>
      </w:r>
      <w:r w:rsidRPr="004F572A">
        <w:rPr>
          <w:rFonts w:eastAsia="Calibri"/>
          <w:sz w:val="22"/>
          <w:szCs w:val="22"/>
        </w:rPr>
        <w:t>mėnesi</w:t>
      </w:r>
      <w:r w:rsidR="000E28AA" w:rsidRPr="004F572A">
        <w:rPr>
          <w:rFonts w:eastAsia="Calibri"/>
          <w:sz w:val="22"/>
          <w:szCs w:val="22"/>
        </w:rPr>
        <w:t>o</w:t>
      </w:r>
      <w:r w:rsidRPr="004F572A">
        <w:rPr>
          <w:rFonts w:eastAsia="Calibri"/>
          <w:sz w:val="22"/>
          <w:szCs w:val="22"/>
        </w:rPr>
        <w:t xml:space="preserve"> (Q1: 1.8, Q3: 7.4) </w:t>
      </w:r>
      <w:proofErr w:type="spellStart"/>
      <w:r w:rsidRPr="004F572A">
        <w:rPr>
          <w:rFonts w:eastAsia="Calibri"/>
          <w:sz w:val="22"/>
          <w:szCs w:val="22"/>
        </w:rPr>
        <w:t>sorafenibo</w:t>
      </w:r>
      <w:proofErr w:type="spellEnd"/>
      <w:r w:rsidRPr="004F572A">
        <w:rPr>
          <w:rFonts w:eastAsia="Calibri"/>
          <w:sz w:val="22"/>
          <w:szCs w:val="22"/>
        </w:rPr>
        <w:t xml:space="preserve"> </w:t>
      </w:r>
      <w:r w:rsidR="00B93AD4" w:rsidRPr="00B93AD4">
        <w:rPr>
          <w:rFonts w:eastAsia="Calibri"/>
          <w:sz w:val="22"/>
          <w:szCs w:val="22"/>
        </w:rPr>
        <w:t>vartojusių pacientų grupėje</w:t>
      </w:r>
      <w:r w:rsidRPr="004F572A">
        <w:rPr>
          <w:rFonts w:eastAsia="Calibri"/>
          <w:sz w:val="22"/>
          <w:szCs w:val="22"/>
        </w:rPr>
        <w:t>.</w:t>
      </w:r>
    </w:p>
    <w:p w14:paraId="36C9E3F1" w14:textId="77777777" w:rsidR="000E28AA" w:rsidRPr="004F572A" w:rsidRDefault="000E28AA" w:rsidP="00272B11">
      <w:pPr>
        <w:widowControl w:val="0"/>
        <w:tabs>
          <w:tab w:val="clear" w:pos="567"/>
        </w:tabs>
        <w:rPr>
          <w:rFonts w:eastAsia="Calibri"/>
          <w:sz w:val="22"/>
          <w:szCs w:val="22"/>
        </w:rPr>
      </w:pPr>
    </w:p>
    <w:p w14:paraId="2214BBE1" w14:textId="1A66B724" w:rsidR="00272B11" w:rsidRPr="004F572A" w:rsidRDefault="00272B11" w:rsidP="00272B11">
      <w:pPr>
        <w:widowControl w:val="0"/>
        <w:tabs>
          <w:tab w:val="clear" w:pos="567"/>
        </w:tabs>
        <w:rPr>
          <w:rFonts w:eastAsia="Calibri"/>
          <w:sz w:val="22"/>
          <w:szCs w:val="22"/>
        </w:rPr>
      </w:pPr>
      <w:r w:rsidRPr="004F572A">
        <w:rPr>
          <w:rFonts w:eastAsia="Calibri"/>
          <w:sz w:val="22"/>
          <w:szCs w:val="22"/>
        </w:rPr>
        <w:t xml:space="preserve">Abejose REFLECT </w:t>
      </w:r>
      <w:r w:rsidR="00B93AD4">
        <w:rPr>
          <w:rFonts w:eastAsia="Calibri"/>
          <w:sz w:val="22"/>
          <w:szCs w:val="22"/>
        </w:rPr>
        <w:t>tyrimo grupėse</w:t>
      </w:r>
      <w:r w:rsidRPr="004F572A">
        <w:rPr>
          <w:rFonts w:eastAsia="Calibri"/>
          <w:sz w:val="22"/>
          <w:szCs w:val="22"/>
        </w:rPr>
        <w:t xml:space="preserve"> bendro išgyvenamumo trukmės mediana buvo maždaug 9</w:t>
      </w:r>
      <w:r w:rsidR="00115D7F">
        <w:rPr>
          <w:rFonts w:eastAsia="Calibri"/>
          <w:sz w:val="22"/>
          <w:szCs w:val="22"/>
        </w:rPr>
        <w:t> </w:t>
      </w:r>
      <w:r w:rsidRPr="004F572A">
        <w:rPr>
          <w:rFonts w:eastAsia="Calibri"/>
          <w:sz w:val="22"/>
          <w:szCs w:val="22"/>
        </w:rPr>
        <w:t>mėn</w:t>
      </w:r>
      <w:r w:rsidR="001317B8" w:rsidRPr="004F572A">
        <w:rPr>
          <w:rFonts w:eastAsia="Calibri"/>
          <w:sz w:val="22"/>
          <w:szCs w:val="22"/>
        </w:rPr>
        <w:t>e</w:t>
      </w:r>
      <w:r w:rsidRPr="004F572A">
        <w:rPr>
          <w:rFonts w:eastAsia="Calibri"/>
          <w:sz w:val="22"/>
          <w:szCs w:val="22"/>
        </w:rPr>
        <w:t xml:space="preserve">siais ilgesnė tiriamiesiems asmenims, kuriems po gydymo buvo </w:t>
      </w:r>
      <w:r w:rsidR="00B93AD4">
        <w:rPr>
          <w:rFonts w:eastAsia="Calibri"/>
          <w:sz w:val="22"/>
          <w:szCs w:val="22"/>
        </w:rPr>
        <w:t>skiriamas</w:t>
      </w:r>
      <w:r w:rsidRPr="004F572A">
        <w:rPr>
          <w:rFonts w:eastAsia="Calibri"/>
          <w:sz w:val="22"/>
          <w:szCs w:val="22"/>
        </w:rPr>
        <w:t xml:space="preserve"> priešvėžinis gydymas, palyginti su pacientais, kuriems priešvėžinis gydymas </w:t>
      </w:r>
      <w:r w:rsidR="00B93AD4">
        <w:rPr>
          <w:rFonts w:eastAsia="Calibri"/>
          <w:sz w:val="22"/>
          <w:szCs w:val="22"/>
        </w:rPr>
        <w:t>neskirtas</w:t>
      </w:r>
      <w:r w:rsidRPr="004F572A">
        <w:rPr>
          <w:rFonts w:eastAsia="Calibri"/>
          <w:sz w:val="22"/>
          <w:szCs w:val="22"/>
        </w:rPr>
        <w:t xml:space="preserve">. </w:t>
      </w:r>
      <w:proofErr w:type="spellStart"/>
      <w:r w:rsidRPr="004F572A">
        <w:rPr>
          <w:rFonts w:eastAsia="Calibri"/>
          <w:sz w:val="22"/>
          <w:szCs w:val="22"/>
        </w:rPr>
        <w:t>Lenvatinibo</w:t>
      </w:r>
      <w:proofErr w:type="spellEnd"/>
      <w:r w:rsidRPr="004F572A">
        <w:rPr>
          <w:rFonts w:eastAsia="Calibri"/>
          <w:sz w:val="22"/>
          <w:szCs w:val="22"/>
        </w:rPr>
        <w:t xml:space="preserve"> </w:t>
      </w:r>
      <w:r w:rsidR="00B93AD4" w:rsidRPr="00B93AD4">
        <w:rPr>
          <w:rFonts w:eastAsia="Calibri"/>
          <w:sz w:val="22"/>
          <w:szCs w:val="22"/>
        </w:rPr>
        <w:t>vartojusių pacientų grupėje</w:t>
      </w:r>
      <w:r w:rsidRPr="004F572A">
        <w:rPr>
          <w:rFonts w:eastAsia="Calibri"/>
          <w:sz w:val="22"/>
          <w:szCs w:val="22"/>
        </w:rPr>
        <w:t xml:space="preserve"> bendro išgyvenamumo trukmės mediana buvo 19,5</w:t>
      </w:r>
      <w:r w:rsidR="00115D7F">
        <w:rPr>
          <w:rFonts w:eastAsia="Calibri"/>
          <w:sz w:val="22"/>
          <w:szCs w:val="22"/>
        </w:rPr>
        <w:t> </w:t>
      </w:r>
      <w:r w:rsidRPr="004F572A">
        <w:rPr>
          <w:rFonts w:eastAsia="Calibri"/>
          <w:sz w:val="22"/>
          <w:szCs w:val="22"/>
        </w:rPr>
        <w:t>mėnesi</w:t>
      </w:r>
      <w:r w:rsidR="00B93AD4">
        <w:rPr>
          <w:rFonts w:eastAsia="Calibri"/>
          <w:sz w:val="22"/>
          <w:szCs w:val="22"/>
        </w:rPr>
        <w:t>ų</w:t>
      </w:r>
      <w:r w:rsidRPr="004F572A">
        <w:rPr>
          <w:rFonts w:eastAsia="Calibri"/>
          <w:sz w:val="22"/>
          <w:szCs w:val="22"/>
        </w:rPr>
        <w:t xml:space="preserve"> (95</w:t>
      </w:r>
      <w:r w:rsidR="000E28AA" w:rsidRPr="004F572A">
        <w:rPr>
          <w:rFonts w:eastAsia="Calibri"/>
          <w:sz w:val="22"/>
          <w:szCs w:val="22"/>
        </w:rPr>
        <w:t> </w:t>
      </w:r>
      <w:r w:rsidRPr="004F572A">
        <w:rPr>
          <w:rFonts w:eastAsia="Calibri"/>
          <w:sz w:val="22"/>
          <w:szCs w:val="22"/>
        </w:rPr>
        <w:t xml:space="preserve">% PI: 15,7, 23,0) tiriamiesiems asmenims, kuriems po gydymo buvo </w:t>
      </w:r>
      <w:r w:rsidR="00B93AD4">
        <w:rPr>
          <w:rFonts w:eastAsia="Calibri"/>
          <w:sz w:val="22"/>
          <w:szCs w:val="22"/>
        </w:rPr>
        <w:t>skiriamas</w:t>
      </w:r>
      <w:r w:rsidRPr="004F572A">
        <w:rPr>
          <w:rFonts w:eastAsia="Calibri"/>
          <w:sz w:val="22"/>
          <w:szCs w:val="22"/>
        </w:rPr>
        <w:t xml:space="preserve"> priešvėžinis gydymas (43</w:t>
      </w:r>
      <w:r w:rsidR="000E28AA" w:rsidRPr="004F572A">
        <w:rPr>
          <w:rFonts w:eastAsia="Calibri"/>
          <w:sz w:val="22"/>
          <w:szCs w:val="22"/>
        </w:rPr>
        <w:t> </w:t>
      </w:r>
      <w:r w:rsidRPr="004F572A">
        <w:rPr>
          <w:rFonts w:eastAsia="Calibri"/>
          <w:sz w:val="22"/>
          <w:szCs w:val="22"/>
        </w:rPr>
        <w:t>%) ir 10,5</w:t>
      </w:r>
      <w:r w:rsidR="00115D7F">
        <w:rPr>
          <w:rFonts w:eastAsia="Calibri"/>
          <w:sz w:val="22"/>
          <w:szCs w:val="22"/>
        </w:rPr>
        <w:t> </w:t>
      </w:r>
      <w:r w:rsidRPr="004F572A">
        <w:rPr>
          <w:rFonts w:eastAsia="Calibri"/>
          <w:sz w:val="22"/>
          <w:szCs w:val="22"/>
        </w:rPr>
        <w:t>mėnesi</w:t>
      </w:r>
      <w:r w:rsidR="00B93AD4">
        <w:rPr>
          <w:rFonts w:eastAsia="Calibri"/>
          <w:sz w:val="22"/>
          <w:szCs w:val="22"/>
        </w:rPr>
        <w:t>ai</w:t>
      </w:r>
      <w:r w:rsidRPr="004F572A">
        <w:rPr>
          <w:rFonts w:eastAsia="Calibri"/>
          <w:sz w:val="22"/>
          <w:szCs w:val="22"/>
        </w:rPr>
        <w:t xml:space="preserve"> (95</w:t>
      </w:r>
      <w:r w:rsidR="000E28AA" w:rsidRPr="004F572A">
        <w:rPr>
          <w:rFonts w:eastAsia="Calibri"/>
          <w:sz w:val="22"/>
          <w:szCs w:val="22"/>
        </w:rPr>
        <w:t> </w:t>
      </w:r>
      <w:r w:rsidRPr="004F572A">
        <w:rPr>
          <w:rFonts w:eastAsia="Calibri"/>
          <w:sz w:val="22"/>
          <w:szCs w:val="22"/>
        </w:rPr>
        <w:t xml:space="preserve">% PI: 8,6, 12,2), kuriems priešvėžinis gydymas </w:t>
      </w:r>
      <w:r w:rsidR="00B93AD4">
        <w:rPr>
          <w:rFonts w:eastAsia="Calibri"/>
          <w:sz w:val="22"/>
          <w:szCs w:val="22"/>
        </w:rPr>
        <w:t>neskirtas</w:t>
      </w:r>
      <w:r w:rsidRPr="004F572A">
        <w:rPr>
          <w:rFonts w:eastAsia="Calibri"/>
          <w:sz w:val="22"/>
          <w:szCs w:val="22"/>
        </w:rPr>
        <w:t xml:space="preserve">. </w:t>
      </w:r>
      <w:proofErr w:type="spellStart"/>
      <w:r w:rsidRPr="004F572A">
        <w:rPr>
          <w:rFonts w:eastAsia="Calibri"/>
          <w:sz w:val="22"/>
          <w:szCs w:val="22"/>
        </w:rPr>
        <w:t>Sorafenibo</w:t>
      </w:r>
      <w:proofErr w:type="spellEnd"/>
      <w:r w:rsidRPr="004F572A">
        <w:rPr>
          <w:rFonts w:eastAsia="Calibri"/>
          <w:sz w:val="22"/>
          <w:szCs w:val="22"/>
        </w:rPr>
        <w:t xml:space="preserve"> </w:t>
      </w:r>
      <w:r w:rsidR="00B93AD4" w:rsidRPr="00B93AD4">
        <w:rPr>
          <w:rFonts w:eastAsia="Calibri"/>
          <w:sz w:val="22"/>
          <w:szCs w:val="22"/>
        </w:rPr>
        <w:t>vartojusių pacientų grupėje</w:t>
      </w:r>
      <w:r w:rsidRPr="004F572A">
        <w:rPr>
          <w:rFonts w:eastAsia="Calibri"/>
          <w:sz w:val="22"/>
          <w:szCs w:val="22"/>
        </w:rPr>
        <w:t xml:space="preserve"> bendro išgyvenamumo trukmės mediana buvo 17,0</w:t>
      </w:r>
      <w:r w:rsidR="00115D7F">
        <w:rPr>
          <w:rFonts w:eastAsia="Calibri"/>
          <w:sz w:val="22"/>
          <w:szCs w:val="22"/>
        </w:rPr>
        <w:t> </w:t>
      </w:r>
      <w:r w:rsidRPr="004F572A">
        <w:rPr>
          <w:rFonts w:eastAsia="Calibri"/>
          <w:sz w:val="22"/>
          <w:szCs w:val="22"/>
        </w:rPr>
        <w:t>mėnesių (95</w:t>
      </w:r>
      <w:r w:rsidR="000E28AA" w:rsidRPr="004F572A">
        <w:rPr>
          <w:rFonts w:eastAsia="Calibri"/>
          <w:sz w:val="22"/>
          <w:szCs w:val="22"/>
        </w:rPr>
        <w:t> </w:t>
      </w:r>
      <w:r w:rsidRPr="004F572A">
        <w:rPr>
          <w:rFonts w:eastAsia="Calibri"/>
          <w:sz w:val="22"/>
          <w:szCs w:val="22"/>
        </w:rPr>
        <w:t xml:space="preserve">% PI: 14,2, 18,8) tiriamiesiems asmenims, kuriems po gydymo buvo </w:t>
      </w:r>
      <w:r w:rsidR="00B93AD4">
        <w:rPr>
          <w:rFonts w:eastAsia="Calibri"/>
          <w:sz w:val="22"/>
          <w:szCs w:val="22"/>
        </w:rPr>
        <w:t>skiriamas</w:t>
      </w:r>
      <w:r w:rsidRPr="004F572A">
        <w:rPr>
          <w:rFonts w:eastAsia="Calibri"/>
          <w:sz w:val="22"/>
          <w:szCs w:val="22"/>
        </w:rPr>
        <w:t xml:space="preserve"> priešvėžinis gydymas (51</w:t>
      </w:r>
      <w:r w:rsidR="000E28AA" w:rsidRPr="004F572A">
        <w:rPr>
          <w:rFonts w:eastAsia="Calibri"/>
          <w:sz w:val="22"/>
          <w:szCs w:val="22"/>
        </w:rPr>
        <w:t> </w:t>
      </w:r>
      <w:r w:rsidRPr="004F572A">
        <w:rPr>
          <w:rFonts w:eastAsia="Calibri"/>
          <w:sz w:val="22"/>
          <w:szCs w:val="22"/>
        </w:rPr>
        <w:t>%) ir 7,9</w:t>
      </w:r>
      <w:r w:rsidR="00115D7F">
        <w:rPr>
          <w:rFonts w:eastAsia="Calibri"/>
          <w:sz w:val="22"/>
          <w:szCs w:val="22"/>
        </w:rPr>
        <w:t> </w:t>
      </w:r>
      <w:r w:rsidRPr="004F572A">
        <w:rPr>
          <w:rFonts w:eastAsia="Calibri"/>
          <w:sz w:val="22"/>
          <w:szCs w:val="22"/>
        </w:rPr>
        <w:t>mėnesi</w:t>
      </w:r>
      <w:r w:rsidR="00F74DFC">
        <w:rPr>
          <w:rFonts w:eastAsia="Calibri"/>
          <w:sz w:val="22"/>
          <w:szCs w:val="22"/>
        </w:rPr>
        <w:t>ai</w:t>
      </w:r>
      <w:r w:rsidRPr="004F572A">
        <w:rPr>
          <w:rFonts w:eastAsia="Calibri"/>
          <w:sz w:val="22"/>
          <w:szCs w:val="22"/>
        </w:rPr>
        <w:t xml:space="preserve"> (95</w:t>
      </w:r>
      <w:r w:rsidR="000E28AA" w:rsidRPr="004F572A">
        <w:rPr>
          <w:rFonts w:eastAsia="Calibri"/>
          <w:sz w:val="22"/>
          <w:szCs w:val="22"/>
        </w:rPr>
        <w:t> </w:t>
      </w:r>
      <w:r w:rsidRPr="004F572A">
        <w:rPr>
          <w:rFonts w:eastAsia="Calibri"/>
          <w:sz w:val="22"/>
          <w:szCs w:val="22"/>
        </w:rPr>
        <w:t xml:space="preserve">% PI: 6,6, 9,7) kuriems priešvėžinis gydymas </w:t>
      </w:r>
      <w:r w:rsidR="00F74DFC">
        <w:rPr>
          <w:rFonts w:eastAsia="Calibri"/>
          <w:sz w:val="22"/>
          <w:szCs w:val="22"/>
        </w:rPr>
        <w:t>neskirtas</w:t>
      </w:r>
      <w:r w:rsidRPr="004F572A">
        <w:rPr>
          <w:rFonts w:eastAsia="Calibri"/>
          <w:sz w:val="22"/>
          <w:szCs w:val="22"/>
        </w:rPr>
        <w:t xml:space="preserve">. Abejuose tiriamųjų asmenų pogrupiuose bendro išgyvenamumo trukmės mediana </w:t>
      </w:r>
      <w:proofErr w:type="spellStart"/>
      <w:r w:rsidRPr="004F572A">
        <w:rPr>
          <w:rFonts w:eastAsia="Calibri"/>
          <w:sz w:val="22"/>
          <w:szCs w:val="22"/>
        </w:rPr>
        <w:t>lenvatinibo</w:t>
      </w:r>
      <w:proofErr w:type="spellEnd"/>
      <w:r w:rsidR="000E28AA" w:rsidRPr="004F572A">
        <w:rPr>
          <w:rFonts w:eastAsia="Calibri"/>
          <w:sz w:val="22"/>
          <w:szCs w:val="22"/>
        </w:rPr>
        <w:t xml:space="preserve"> </w:t>
      </w:r>
      <w:r w:rsidR="00F74DFC" w:rsidRPr="00F74DFC">
        <w:rPr>
          <w:rFonts w:eastAsia="Calibri"/>
          <w:sz w:val="22"/>
          <w:szCs w:val="22"/>
        </w:rPr>
        <w:t>vartojusių pacientų grupėje</w:t>
      </w:r>
      <w:r w:rsidRPr="004F572A">
        <w:rPr>
          <w:rFonts w:eastAsia="Calibri"/>
          <w:sz w:val="22"/>
          <w:szCs w:val="22"/>
        </w:rPr>
        <w:t xml:space="preserve"> buvo maždaug 2,5</w:t>
      </w:r>
      <w:r w:rsidR="00115D7F">
        <w:rPr>
          <w:rFonts w:eastAsia="Calibri"/>
          <w:sz w:val="22"/>
          <w:szCs w:val="22"/>
        </w:rPr>
        <w:t> </w:t>
      </w:r>
      <w:r w:rsidRPr="004F572A">
        <w:rPr>
          <w:rFonts w:eastAsia="Calibri"/>
          <w:sz w:val="22"/>
          <w:szCs w:val="22"/>
        </w:rPr>
        <w:t>mėnesi</w:t>
      </w:r>
      <w:r w:rsidR="00F74DFC">
        <w:rPr>
          <w:rFonts w:eastAsia="Calibri"/>
          <w:sz w:val="22"/>
          <w:szCs w:val="22"/>
        </w:rPr>
        <w:t>ais</w:t>
      </w:r>
      <w:r w:rsidRPr="004F572A">
        <w:rPr>
          <w:rFonts w:eastAsia="Calibri"/>
          <w:sz w:val="22"/>
          <w:szCs w:val="22"/>
        </w:rPr>
        <w:t xml:space="preserve"> ilgesnė</w:t>
      </w:r>
      <w:r w:rsidR="00F74DFC">
        <w:rPr>
          <w:rFonts w:eastAsia="Calibri"/>
          <w:sz w:val="22"/>
          <w:szCs w:val="22"/>
        </w:rPr>
        <w:t xml:space="preserve"> nei </w:t>
      </w:r>
      <w:proofErr w:type="spellStart"/>
      <w:r w:rsidR="00F74DFC">
        <w:rPr>
          <w:rFonts w:eastAsia="Calibri"/>
          <w:sz w:val="22"/>
          <w:szCs w:val="22"/>
        </w:rPr>
        <w:t>sorafenibo</w:t>
      </w:r>
      <w:proofErr w:type="spellEnd"/>
      <w:r w:rsidR="00F74DFC">
        <w:rPr>
          <w:rFonts w:eastAsia="Calibri"/>
          <w:sz w:val="22"/>
          <w:szCs w:val="22"/>
        </w:rPr>
        <w:t xml:space="preserve"> </w:t>
      </w:r>
      <w:r w:rsidR="00F74DFC" w:rsidRPr="00F74DFC">
        <w:rPr>
          <w:rFonts w:eastAsia="Calibri"/>
          <w:sz w:val="22"/>
          <w:szCs w:val="22"/>
        </w:rPr>
        <w:t>vartojusių pacientų grupėje</w:t>
      </w:r>
      <w:r w:rsidRPr="004F572A">
        <w:rPr>
          <w:rFonts w:eastAsia="Calibri"/>
          <w:sz w:val="22"/>
          <w:szCs w:val="22"/>
        </w:rPr>
        <w:t xml:space="preserve"> (nepa</w:t>
      </w:r>
      <w:r w:rsidR="001317B8" w:rsidRPr="004F572A">
        <w:rPr>
          <w:rFonts w:eastAsia="Calibri"/>
          <w:sz w:val="22"/>
          <w:szCs w:val="22"/>
        </w:rPr>
        <w:t>i</w:t>
      </w:r>
      <w:r w:rsidRPr="004F572A">
        <w:rPr>
          <w:rFonts w:eastAsia="Calibri"/>
          <w:sz w:val="22"/>
          <w:szCs w:val="22"/>
        </w:rPr>
        <w:t xml:space="preserve">sant po gydymo </w:t>
      </w:r>
      <w:r w:rsidR="00F74DFC">
        <w:rPr>
          <w:rFonts w:eastAsia="Calibri"/>
          <w:sz w:val="22"/>
          <w:szCs w:val="22"/>
        </w:rPr>
        <w:t>skirto</w:t>
      </w:r>
      <w:r w:rsidR="00F74DFC" w:rsidRPr="004F572A">
        <w:rPr>
          <w:rFonts w:eastAsia="Calibri"/>
          <w:sz w:val="22"/>
          <w:szCs w:val="22"/>
        </w:rPr>
        <w:t xml:space="preserve"> </w:t>
      </w:r>
      <w:r w:rsidRPr="004F572A">
        <w:rPr>
          <w:rFonts w:eastAsia="Calibri"/>
          <w:sz w:val="22"/>
          <w:szCs w:val="22"/>
        </w:rPr>
        <w:t xml:space="preserve">ar </w:t>
      </w:r>
      <w:r w:rsidR="00F74DFC">
        <w:rPr>
          <w:rFonts w:eastAsia="Calibri"/>
          <w:sz w:val="22"/>
          <w:szCs w:val="22"/>
        </w:rPr>
        <w:t>neskirto</w:t>
      </w:r>
      <w:r w:rsidR="00F74DFC" w:rsidRPr="004F572A">
        <w:rPr>
          <w:rFonts w:eastAsia="Calibri"/>
          <w:sz w:val="22"/>
          <w:szCs w:val="22"/>
        </w:rPr>
        <w:t xml:space="preserve"> </w:t>
      </w:r>
      <w:r w:rsidRPr="004F572A">
        <w:rPr>
          <w:rFonts w:eastAsia="Calibri"/>
          <w:sz w:val="22"/>
          <w:szCs w:val="22"/>
        </w:rPr>
        <w:t>priešvėžinio gydymo).</w:t>
      </w:r>
    </w:p>
    <w:p w14:paraId="0ADB4D7C" w14:textId="77777777" w:rsidR="00E236E3" w:rsidRPr="004F572A" w:rsidRDefault="00E236E3" w:rsidP="00272B11">
      <w:pPr>
        <w:widowControl w:val="0"/>
        <w:tabs>
          <w:tab w:val="clear" w:pos="567"/>
        </w:tabs>
        <w:rPr>
          <w:rFonts w:eastAsia="Calibri"/>
          <w:i/>
          <w:iCs/>
          <w:sz w:val="22"/>
          <w:szCs w:val="22"/>
        </w:rPr>
      </w:pPr>
    </w:p>
    <w:p w14:paraId="205B1DBF" w14:textId="4D2B229A" w:rsidR="008C53D4" w:rsidRPr="004F572A" w:rsidRDefault="00272B11" w:rsidP="00272B11">
      <w:pPr>
        <w:widowControl w:val="0"/>
        <w:tabs>
          <w:tab w:val="clear" w:pos="567"/>
        </w:tabs>
        <w:rPr>
          <w:rFonts w:eastAsia="Calibri"/>
          <w:i/>
          <w:iCs/>
          <w:sz w:val="22"/>
          <w:szCs w:val="22"/>
          <w:u w:val="single"/>
        </w:rPr>
      </w:pPr>
      <w:proofErr w:type="spellStart"/>
      <w:r w:rsidRPr="0010408A">
        <w:rPr>
          <w:rFonts w:eastAsia="Calibri"/>
          <w:i/>
          <w:iCs/>
          <w:sz w:val="22"/>
          <w:szCs w:val="22"/>
          <w:u w:val="single"/>
        </w:rPr>
        <w:t>Endometriumo</w:t>
      </w:r>
      <w:proofErr w:type="spellEnd"/>
      <w:r w:rsidRPr="0010408A">
        <w:rPr>
          <w:rFonts w:eastAsia="Calibri"/>
          <w:i/>
          <w:iCs/>
          <w:sz w:val="22"/>
          <w:szCs w:val="22"/>
          <w:u w:val="single"/>
        </w:rPr>
        <w:t xml:space="preserve"> karcinoma</w:t>
      </w:r>
    </w:p>
    <w:p w14:paraId="6A6F1D88" w14:textId="77777777" w:rsidR="008C53D4" w:rsidRPr="004F572A" w:rsidRDefault="008C53D4" w:rsidP="000928CA">
      <w:pPr>
        <w:widowControl w:val="0"/>
        <w:tabs>
          <w:tab w:val="clear" w:pos="567"/>
        </w:tabs>
        <w:rPr>
          <w:rFonts w:eastAsia="Calibri"/>
          <w:i/>
          <w:iCs/>
          <w:sz w:val="22"/>
          <w:szCs w:val="22"/>
          <w:u w:val="single"/>
        </w:rPr>
      </w:pPr>
    </w:p>
    <w:p w14:paraId="38CF2122" w14:textId="534C4EB0" w:rsidR="0071492A" w:rsidRPr="004F572A" w:rsidRDefault="0071492A" w:rsidP="0071492A">
      <w:pPr>
        <w:widowControl w:val="0"/>
        <w:tabs>
          <w:tab w:val="clear" w:pos="567"/>
        </w:tabs>
        <w:rPr>
          <w:rFonts w:eastAsia="Calibri"/>
          <w:sz w:val="22"/>
          <w:szCs w:val="22"/>
        </w:rPr>
      </w:pPr>
      <w:proofErr w:type="spellStart"/>
      <w:r w:rsidRPr="004F572A">
        <w:rPr>
          <w:rFonts w:eastAsia="Calibri"/>
          <w:sz w:val="22"/>
          <w:szCs w:val="22"/>
        </w:rPr>
        <w:t>Lenvatinibo</w:t>
      </w:r>
      <w:proofErr w:type="spellEnd"/>
      <w:r w:rsidRPr="004F572A">
        <w:rPr>
          <w:rFonts w:eastAsia="Calibri"/>
          <w:sz w:val="22"/>
          <w:szCs w:val="22"/>
        </w:rPr>
        <w:t xml:space="preserve"> ir </w:t>
      </w:r>
      <w:proofErr w:type="spellStart"/>
      <w:r w:rsidRPr="004F572A">
        <w:rPr>
          <w:rFonts w:eastAsia="Calibri"/>
          <w:sz w:val="22"/>
          <w:szCs w:val="22"/>
        </w:rPr>
        <w:t>pembrolizumabo</w:t>
      </w:r>
      <w:proofErr w:type="spellEnd"/>
      <w:r w:rsidRPr="004F572A">
        <w:rPr>
          <w:rFonts w:eastAsia="Calibri"/>
          <w:sz w:val="22"/>
          <w:szCs w:val="22"/>
        </w:rPr>
        <w:t xml:space="preserve"> derinio veiksmingumas buvo tiriamas atsitiktinių imčių, </w:t>
      </w:r>
      <w:proofErr w:type="spellStart"/>
      <w:r w:rsidRPr="004F572A">
        <w:rPr>
          <w:rFonts w:eastAsia="Calibri"/>
          <w:sz w:val="22"/>
          <w:szCs w:val="22"/>
        </w:rPr>
        <w:t>daugiacentri</w:t>
      </w:r>
      <w:r w:rsidR="00F74DFC">
        <w:rPr>
          <w:rFonts w:eastAsia="Calibri"/>
          <w:sz w:val="22"/>
          <w:szCs w:val="22"/>
        </w:rPr>
        <w:t>ame</w:t>
      </w:r>
      <w:proofErr w:type="spellEnd"/>
      <w:r w:rsidRPr="004F572A">
        <w:rPr>
          <w:rFonts w:eastAsia="Calibri"/>
          <w:sz w:val="22"/>
          <w:szCs w:val="22"/>
        </w:rPr>
        <w:t>, atvir</w:t>
      </w:r>
      <w:r w:rsidR="00F74DFC">
        <w:rPr>
          <w:rFonts w:eastAsia="Calibri"/>
          <w:sz w:val="22"/>
          <w:szCs w:val="22"/>
        </w:rPr>
        <w:t>ame</w:t>
      </w:r>
      <w:r w:rsidRPr="004F572A">
        <w:rPr>
          <w:rFonts w:eastAsia="Calibri"/>
          <w:sz w:val="22"/>
          <w:szCs w:val="22"/>
        </w:rPr>
        <w:t>, aktyviai kontroliuojam</w:t>
      </w:r>
      <w:r w:rsidR="00F74DFC">
        <w:rPr>
          <w:rFonts w:eastAsia="Calibri"/>
          <w:sz w:val="22"/>
          <w:szCs w:val="22"/>
        </w:rPr>
        <w:t>ame tyrime Nr.</w:t>
      </w:r>
      <w:r w:rsidRPr="004F572A">
        <w:rPr>
          <w:rFonts w:eastAsia="Calibri"/>
          <w:sz w:val="22"/>
          <w:szCs w:val="22"/>
        </w:rPr>
        <w:t xml:space="preserve"> 309</w:t>
      </w:r>
      <w:r w:rsidR="00F74DFC">
        <w:rPr>
          <w:rFonts w:eastAsia="Calibri"/>
          <w:sz w:val="22"/>
          <w:szCs w:val="22"/>
        </w:rPr>
        <w:t>, kuriame</w:t>
      </w:r>
      <w:r w:rsidRPr="004F572A">
        <w:rPr>
          <w:rFonts w:eastAsia="Calibri"/>
          <w:sz w:val="22"/>
          <w:szCs w:val="22"/>
        </w:rPr>
        <w:t xml:space="preserve"> dalyvavo </w:t>
      </w:r>
      <w:r w:rsidR="00592D09">
        <w:rPr>
          <w:rFonts w:eastAsia="Calibri"/>
          <w:sz w:val="22"/>
          <w:szCs w:val="22"/>
        </w:rPr>
        <w:lastRenderedPageBreak/>
        <w:t>progresavusia</w:t>
      </w:r>
      <w:r w:rsidR="00592D09" w:rsidRPr="004F572A">
        <w:rPr>
          <w:rFonts w:eastAsia="Calibri"/>
          <w:sz w:val="22"/>
          <w:szCs w:val="22"/>
        </w:rPr>
        <w:t xml:space="preserve"> EK</w:t>
      </w:r>
      <w:r w:rsidR="00592D09">
        <w:rPr>
          <w:rFonts w:eastAsia="Calibri"/>
          <w:sz w:val="22"/>
          <w:szCs w:val="22"/>
        </w:rPr>
        <w:t xml:space="preserve"> sergančios </w:t>
      </w:r>
      <w:r w:rsidR="00F74DFC">
        <w:rPr>
          <w:rFonts w:eastAsia="Calibri"/>
          <w:sz w:val="22"/>
          <w:szCs w:val="22"/>
        </w:rPr>
        <w:t>pacientės</w:t>
      </w:r>
      <w:r w:rsidRPr="004F572A">
        <w:rPr>
          <w:rFonts w:eastAsia="Calibri"/>
          <w:sz w:val="22"/>
          <w:szCs w:val="22"/>
        </w:rPr>
        <w:t xml:space="preserve">, kurios anksčiau </w:t>
      </w:r>
      <w:r w:rsidR="00F74DFC">
        <w:rPr>
          <w:rFonts w:eastAsia="Calibri"/>
          <w:sz w:val="22"/>
          <w:szCs w:val="22"/>
        </w:rPr>
        <w:t>buvo gydomos</w:t>
      </w:r>
      <w:r w:rsidRPr="004F572A">
        <w:rPr>
          <w:rFonts w:eastAsia="Calibri"/>
          <w:sz w:val="22"/>
          <w:szCs w:val="22"/>
        </w:rPr>
        <w:t xml:space="preserve"> bent vien</w:t>
      </w:r>
      <w:r w:rsidR="00F74DFC">
        <w:rPr>
          <w:rFonts w:eastAsia="Calibri"/>
          <w:sz w:val="22"/>
          <w:szCs w:val="22"/>
        </w:rPr>
        <w:t>u</w:t>
      </w:r>
      <w:r w:rsidRPr="004F572A">
        <w:rPr>
          <w:rFonts w:eastAsia="Calibri"/>
          <w:sz w:val="22"/>
          <w:szCs w:val="22"/>
        </w:rPr>
        <w:t xml:space="preserve"> </w:t>
      </w:r>
      <w:r w:rsidR="00F74DFC" w:rsidRPr="004F572A">
        <w:rPr>
          <w:rFonts w:eastAsia="Calibri"/>
          <w:sz w:val="22"/>
          <w:szCs w:val="22"/>
        </w:rPr>
        <w:t>platinos pagrind</w:t>
      </w:r>
      <w:r w:rsidR="00F74DFC">
        <w:rPr>
          <w:rFonts w:eastAsia="Calibri"/>
          <w:sz w:val="22"/>
          <w:szCs w:val="22"/>
        </w:rPr>
        <w:t>o</w:t>
      </w:r>
      <w:r w:rsidR="00F74DFC" w:rsidRPr="004F572A">
        <w:rPr>
          <w:rFonts w:eastAsia="Calibri"/>
          <w:sz w:val="22"/>
          <w:szCs w:val="22"/>
        </w:rPr>
        <w:t xml:space="preserve"> </w:t>
      </w:r>
      <w:r w:rsidRPr="004F572A">
        <w:rPr>
          <w:rFonts w:eastAsia="Calibri"/>
          <w:sz w:val="22"/>
          <w:szCs w:val="22"/>
        </w:rPr>
        <w:t>chemoterapijos kurs</w:t>
      </w:r>
      <w:r w:rsidR="00F74DFC">
        <w:rPr>
          <w:rFonts w:eastAsia="Calibri"/>
          <w:sz w:val="22"/>
          <w:szCs w:val="22"/>
        </w:rPr>
        <w:t>u</w:t>
      </w:r>
      <w:r w:rsidRPr="004F572A">
        <w:rPr>
          <w:rFonts w:eastAsia="Calibri"/>
          <w:sz w:val="22"/>
          <w:szCs w:val="22"/>
        </w:rPr>
        <w:t xml:space="preserve"> bet k</w:t>
      </w:r>
      <w:r w:rsidR="008F34C3">
        <w:rPr>
          <w:rFonts w:eastAsia="Calibri"/>
          <w:sz w:val="22"/>
          <w:szCs w:val="22"/>
        </w:rPr>
        <w:t>uriuo gydymo metu</w:t>
      </w:r>
      <w:r w:rsidRPr="004F572A">
        <w:rPr>
          <w:rFonts w:eastAsia="Calibri"/>
          <w:sz w:val="22"/>
          <w:szCs w:val="22"/>
        </w:rPr>
        <w:t xml:space="preserve">, įskaitant </w:t>
      </w:r>
      <w:proofErr w:type="spellStart"/>
      <w:r w:rsidRPr="004F572A">
        <w:rPr>
          <w:rFonts w:eastAsia="Calibri"/>
          <w:sz w:val="22"/>
          <w:szCs w:val="22"/>
        </w:rPr>
        <w:t>neoadjuvant</w:t>
      </w:r>
      <w:r w:rsidR="00794CEC">
        <w:rPr>
          <w:rFonts w:eastAsia="Calibri"/>
          <w:sz w:val="22"/>
          <w:szCs w:val="22"/>
        </w:rPr>
        <w:t>inį</w:t>
      </w:r>
      <w:proofErr w:type="spellEnd"/>
      <w:r w:rsidRPr="004F572A">
        <w:rPr>
          <w:rFonts w:eastAsia="Calibri"/>
          <w:sz w:val="22"/>
          <w:szCs w:val="22"/>
        </w:rPr>
        <w:t xml:space="preserve"> ir </w:t>
      </w:r>
      <w:proofErr w:type="spellStart"/>
      <w:r w:rsidRPr="004F572A">
        <w:rPr>
          <w:rFonts w:eastAsia="Calibri"/>
          <w:sz w:val="22"/>
          <w:szCs w:val="22"/>
        </w:rPr>
        <w:t>adjuvant</w:t>
      </w:r>
      <w:r w:rsidR="00794CEC">
        <w:rPr>
          <w:rFonts w:eastAsia="Calibri"/>
          <w:sz w:val="22"/>
          <w:szCs w:val="22"/>
        </w:rPr>
        <w:t>inį</w:t>
      </w:r>
      <w:proofErr w:type="spellEnd"/>
      <w:r w:rsidR="00794CEC">
        <w:rPr>
          <w:rFonts w:eastAsia="Calibri"/>
          <w:sz w:val="22"/>
          <w:szCs w:val="22"/>
        </w:rPr>
        <w:t xml:space="preserve"> gydymą</w:t>
      </w:r>
      <w:r w:rsidRPr="004F572A">
        <w:rPr>
          <w:rFonts w:eastAsia="Calibri"/>
          <w:sz w:val="22"/>
          <w:szCs w:val="22"/>
        </w:rPr>
        <w:t>. Dalyvės iš viso galėjo gauti iki 2 platinos pagrind</w:t>
      </w:r>
      <w:r w:rsidR="00F74DFC">
        <w:rPr>
          <w:rFonts w:eastAsia="Calibri"/>
          <w:sz w:val="22"/>
          <w:szCs w:val="22"/>
        </w:rPr>
        <w:t>o</w:t>
      </w:r>
      <w:r w:rsidRPr="004F572A">
        <w:rPr>
          <w:rFonts w:eastAsia="Calibri"/>
          <w:sz w:val="22"/>
          <w:szCs w:val="22"/>
        </w:rPr>
        <w:t xml:space="preserve"> chemoterapijos kursų, jei vienas iš jų buvo atliekamas </w:t>
      </w:r>
      <w:proofErr w:type="spellStart"/>
      <w:r w:rsidRPr="004F572A">
        <w:rPr>
          <w:rFonts w:eastAsia="Calibri"/>
          <w:sz w:val="22"/>
          <w:szCs w:val="22"/>
        </w:rPr>
        <w:t>neoadjuvantinio</w:t>
      </w:r>
      <w:proofErr w:type="spellEnd"/>
      <w:r w:rsidRPr="004F572A">
        <w:rPr>
          <w:rFonts w:eastAsia="Calibri"/>
          <w:sz w:val="22"/>
          <w:szCs w:val="22"/>
        </w:rPr>
        <w:t xml:space="preserve"> ar </w:t>
      </w:r>
      <w:proofErr w:type="spellStart"/>
      <w:r w:rsidRPr="004F572A">
        <w:rPr>
          <w:rFonts w:eastAsia="Calibri"/>
          <w:sz w:val="22"/>
          <w:szCs w:val="22"/>
        </w:rPr>
        <w:t>adjuvantinio</w:t>
      </w:r>
      <w:proofErr w:type="spellEnd"/>
      <w:r w:rsidRPr="004F572A">
        <w:rPr>
          <w:rFonts w:eastAsia="Calibri"/>
          <w:sz w:val="22"/>
          <w:szCs w:val="22"/>
        </w:rPr>
        <w:t xml:space="preserve"> gydymo sąlygomis. </w:t>
      </w:r>
      <w:r w:rsidR="00F74DFC">
        <w:rPr>
          <w:rFonts w:eastAsia="Calibri"/>
          <w:sz w:val="22"/>
          <w:szCs w:val="22"/>
        </w:rPr>
        <w:t>T</w:t>
      </w:r>
      <w:r w:rsidR="001317B8" w:rsidRPr="004F572A">
        <w:rPr>
          <w:rFonts w:eastAsia="Calibri"/>
          <w:sz w:val="22"/>
          <w:szCs w:val="22"/>
        </w:rPr>
        <w:t>yrim</w:t>
      </w:r>
      <w:r w:rsidR="00F74DFC">
        <w:rPr>
          <w:rFonts w:eastAsia="Calibri"/>
          <w:sz w:val="22"/>
          <w:szCs w:val="22"/>
        </w:rPr>
        <w:t>e nedalyvavo</w:t>
      </w:r>
      <w:r w:rsidRPr="004F572A">
        <w:rPr>
          <w:rFonts w:eastAsia="Calibri"/>
          <w:sz w:val="22"/>
          <w:szCs w:val="22"/>
        </w:rPr>
        <w:t xml:space="preserve"> pacientės, sergančios </w:t>
      </w:r>
      <w:proofErr w:type="spellStart"/>
      <w:r w:rsidRPr="004F572A">
        <w:rPr>
          <w:rFonts w:eastAsia="Calibri"/>
          <w:sz w:val="22"/>
          <w:szCs w:val="22"/>
        </w:rPr>
        <w:t>endometriumo</w:t>
      </w:r>
      <w:proofErr w:type="spellEnd"/>
      <w:r w:rsidRPr="004F572A">
        <w:rPr>
          <w:rFonts w:eastAsia="Calibri"/>
          <w:sz w:val="22"/>
          <w:szCs w:val="22"/>
        </w:rPr>
        <w:t xml:space="preserve"> sarkoma (įskaitant </w:t>
      </w:r>
      <w:proofErr w:type="spellStart"/>
      <w:r w:rsidRPr="004F572A">
        <w:rPr>
          <w:rFonts w:eastAsia="Calibri"/>
          <w:sz w:val="22"/>
          <w:szCs w:val="22"/>
        </w:rPr>
        <w:t>karcinomosarkomą</w:t>
      </w:r>
      <w:proofErr w:type="spellEnd"/>
      <w:r w:rsidRPr="004F572A">
        <w:rPr>
          <w:rFonts w:eastAsia="Calibri"/>
          <w:sz w:val="22"/>
          <w:szCs w:val="22"/>
        </w:rPr>
        <w:t xml:space="preserve">), arba pacientės, </w:t>
      </w:r>
      <w:r w:rsidR="00F74DFC">
        <w:rPr>
          <w:rFonts w:eastAsia="Calibri"/>
          <w:sz w:val="22"/>
          <w:szCs w:val="22"/>
        </w:rPr>
        <w:t xml:space="preserve">sergančios </w:t>
      </w:r>
      <w:r w:rsidRPr="004F572A">
        <w:rPr>
          <w:rFonts w:eastAsia="Calibri"/>
          <w:sz w:val="22"/>
          <w:szCs w:val="22"/>
        </w:rPr>
        <w:t>aktyvi</w:t>
      </w:r>
      <w:r w:rsidR="00F74DFC">
        <w:rPr>
          <w:rFonts w:eastAsia="Calibri"/>
          <w:sz w:val="22"/>
          <w:szCs w:val="22"/>
        </w:rPr>
        <w:t>a</w:t>
      </w:r>
      <w:r w:rsidRPr="004F572A">
        <w:rPr>
          <w:rFonts w:eastAsia="Calibri"/>
          <w:sz w:val="22"/>
          <w:szCs w:val="22"/>
        </w:rPr>
        <w:t xml:space="preserve"> autoimunin</w:t>
      </w:r>
      <w:r w:rsidR="00F74DFC">
        <w:rPr>
          <w:rFonts w:eastAsia="Calibri"/>
          <w:sz w:val="22"/>
          <w:szCs w:val="22"/>
        </w:rPr>
        <w:t>e</w:t>
      </w:r>
      <w:r w:rsidRPr="004F572A">
        <w:rPr>
          <w:rFonts w:eastAsia="Calibri"/>
          <w:sz w:val="22"/>
          <w:szCs w:val="22"/>
        </w:rPr>
        <w:t xml:space="preserve"> liga arba </w:t>
      </w:r>
      <w:r w:rsidR="00F74DFC">
        <w:rPr>
          <w:rFonts w:eastAsia="Calibri"/>
          <w:sz w:val="22"/>
          <w:szCs w:val="22"/>
        </w:rPr>
        <w:t xml:space="preserve">turinčios </w:t>
      </w:r>
      <w:r w:rsidRPr="004F572A">
        <w:rPr>
          <w:rFonts w:eastAsia="Calibri"/>
          <w:sz w:val="22"/>
          <w:szCs w:val="22"/>
        </w:rPr>
        <w:t xml:space="preserve">sveikatos sutrikimų, </w:t>
      </w:r>
      <w:r w:rsidR="00F74DFC">
        <w:rPr>
          <w:rFonts w:eastAsia="Calibri"/>
          <w:sz w:val="22"/>
          <w:szCs w:val="22"/>
        </w:rPr>
        <w:t xml:space="preserve">kurioms reikėjo taikyti gydymą </w:t>
      </w:r>
      <w:proofErr w:type="spellStart"/>
      <w:r w:rsidR="00F74DFC">
        <w:rPr>
          <w:rFonts w:eastAsia="Calibri"/>
          <w:sz w:val="22"/>
          <w:szCs w:val="22"/>
        </w:rPr>
        <w:t>imunosupresantais</w:t>
      </w:r>
      <w:proofErr w:type="spellEnd"/>
      <w:r w:rsidRPr="004F572A">
        <w:rPr>
          <w:rFonts w:eastAsia="Calibri"/>
          <w:sz w:val="22"/>
          <w:szCs w:val="22"/>
        </w:rPr>
        <w:t xml:space="preserve">. Pacientės buvo </w:t>
      </w:r>
      <w:proofErr w:type="spellStart"/>
      <w:r w:rsidR="00F74DFC">
        <w:rPr>
          <w:rFonts w:eastAsia="Calibri"/>
          <w:sz w:val="22"/>
          <w:szCs w:val="22"/>
        </w:rPr>
        <w:t>randomizuotos</w:t>
      </w:r>
      <w:proofErr w:type="spellEnd"/>
      <w:r w:rsidR="00F74DFC">
        <w:rPr>
          <w:rFonts w:eastAsia="Calibri"/>
          <w:sz w:val="22"/>
          <w:szCs w:val="22"/>
        </w:rPr>
        <w:t xml:space="preserve"> pagal</w:t>
      </w:r>
      <w:r w:rsidRPr="004F572A">
        <w:rPr>
          <w:rFonts w:eastAsia="Calibri"/>
          <w:sz w:val="22"/>
          <w:szCs w:val="22"/>
        </w:rPr>
        <w:t xml:space="preserve"> neatitikimų korekcijos (MMR) būseną (</w:t>
      </w:r>
      <w:proofErr w:type="spellStart"/>
      <w:r w:rsidRPr="004F572A">
        <w:rPr>
          <w:rFonts w:eastAsia="Calibri"/>
          <w:sz w:val="22"/>
          <w:szCs w:val="22"/>
        </w:rPr>
        <w:t>dMMR</w:t>
      </w:r>
      <w:proofErr w:type="spellEnd"/>
      <w:r w:rsidRPr="004F572A">
        <w:rPr>
          <w:rFonts w:eastAsia="Calibri"/>
          <w:sz w:val="22"/>
          <w:szCs w:val="22"/>
        </w:rPr>
        <w:t xml:space="preserve"> arba </w:t>
      </w:r>
      <w:proofErr w:type="spellStart"/>
      <w:r w:rsidRPr="004F572A">
        <w:rPr>
          <w:rFonts w:eastAsia="Calibri"/>
          <w:sz w:val="22"/>
          <w:szCs w:val="22"/>
        </w:rPr>
        <w:t>pMMR</w:t>
      </w:r>
      <w:proofErr w:type="spellEnd"/>
      <w:r w:rsidRPr="004F572A">
        <w:rPr>
          <w:rFonts w:eastAsia="Calibri"/>
          <w:sz w:val="22"/>
          <w:szCs w:val="22"/>
        </w:rPr>
        <w:t xml:space="preserve"> [ne </w:t>
      </w:r>
      <w:proofErr w:type="spellStart"/>
      <w:r w:rsidRPr="004F572A">
        <w:rPr>
          <w:rFonts w:eastAsia="Calibri"/>
          <w:sz w:val="22"/>
          <w:szCs w:val="22"/>
        </w:rPr>
        <w:t>dMMR</w:t>
      </w:r>
      <w:proofErr w:type="spellEnd"/>
      <w:r w:rsidRPr="004F572A">
        <w:rPr>
          <w:rFonts w:eastAsia="Calibri"/>
          <w:sz w:val="22"/>
          <w:szCs w:val="22"/>
        </w:rPr>
        <w:t xml:space="preserve">]), naudojant patvirtintą IHC testą. PMMR imtis buvo taip pat </w:t>
      </w:r>
      <w:proofErr w:type="spellStart"/>
      <w:r w:rsidRPr="004F572A">
        <w:rPr>
          <w:rFonts w:eastAsia="Calibri"/>
          <w:sz w:val="22"/>
          <w:szCs w:val="22"/>
        </w:rPr>
        <w:t>stratifikuota</w:t>
      </w:r>
      <w:proofErr w:type="spellEnd"/>
      <w:r w:rsidRPr="004F572A">
        <w:rPr>
          <w:rFonts w:eastAsia="Calibri"/>
          <w:sz w:val="22"/>
          <w:szCs w:val="22"/>
        </w:rPr>
        <w:t xml:space="preserve"> pagal ECOG </w:t>
      </w:r>
      <w:r w:rsidR="00F74DFC">
        <w:rPr>
          <w:rFonts w:eastAsia="Calibri"/>
          <w:sz w:val="22"/>
          <w:szCs w:val="22"/>
        </w:rPr>
        <w:t>veiklos būklę</w:t>
      </w:r>
      <w:r w:rsidRPr="004F572A">
        <w:rPr>
          <w:rFonts w:eastAsia="Calibri"/>
          <w:sz w:val="22"/>
          <w:szCs w:val="22"/>
        </w:rPr>
        <w:t>, geografinį regioną ir dubens srities švitinimo istoriją. Pacientės atsitikti</w:t>
      </w:r>
      <w:r w:rsidR="00C625F4" w:rsidRPr="004F572A">
        <w:rPr>
          <w:rFonts w:eastAsia="Calibri"/>
          <w:sz w:val="22"/>
          <w:szCs w:val="22"/>
        </w:rPr>
        <w:t>n</w:t>
      </w:r>
      <w:r w:rsidR="00F74DFC">
        <w:rPr>
          <w:rFonts w:eastAsia="Calibri"/>
          <w:sz w:val="22"/>
          <w:szCs w:val="22"/>
        </w:rPr>
        <w:t>e tvarka</w:t>
      </w:r>
      <w:r w:rsidRPr="004F572A">
        <w:rPr>
          <w:rFonts w:eastAsia="Calibri"/>
          <w:sz w:val="22"/>
          <w:szCs w:val="22"/>
        </w:rPr>
        <w:t xml:space="preserve"> (1: 1) buvo priskirtos į vieną iš šių gydymo </w:t>
      </w:r>
      <w:r w:rsidR="009A7626">
        <w:rPr>
          <w:rFonts w:eastAsia="Calibri"/>
          <w:sz w:val="22"/>
          <w:szCs w:val="22"/>
        </w:rPr>
        <w:t>grupių</w:t>
      </w:r>
      <w:r w:rsidRPr="004F572A">
        <w:rPr>
          <w:rFonts w:eastAsia="Calibri"/>
          <w:sz w:val="22"/>
          <w:szCs w:val="22"/>
        </w:rPr>
        <w:t>:</w:t>
      </w:r>
    </w:p>
    <w:p w14:paraId="7D36DE7A" w14:textId="309D5384" w:rsidR="0071492A" w:rsidRPr="004F572A" w:rsidRDefault="0071492A">
      <w:pPr>
        <w:pStyle w:val="Sraopastraipa"/>
        <w:widowControl w:val="0"/>
        <w:numPr>
          <w:ilvl w:val="0"/>
          <w:numId w:val="9"/>
        </w:numPr>
        <w:tabs>
          <w:tab w:val="clear" w:pos="567"/>
        </w:tabs>
        <w:ind w:left="540" w:hanging="540"/>
        <w:rPr>
          <w:rFonts w:eastAsia="Calibri"/>
          <w:sz w:val="22"/>
          <w:szCs w:val="22"/>
        </w:rPr>
      </w:pPr>
      <w:r w:rsidRPr="004F572A">
        <w:rPr>
          <w:rFonts w:eastAsia="Calibri"/>
          <w:sz w:val="22"/>
          <w:szCs w:val="22"/>
        </w:rPr>
        <w:t>20</w:t>
      </w:r>
      <w:r w:rsidR="007F7C31" w:rsidRPr="004F572A">
        <w:rPr>
          <w:rFonts w:eastAsia="Calibri"/>
          <w:sz w:val="22"/>
          <w:szCs w:val="22"/>
        </w:rPr>
        <w:t> </w:t>
      </w:r>
      <w:r w:rsidRPr="004F572A">
        <w:rPr>
          <w:rFonts w:eastAsia="Calibri"/>
          <w:sz w:val="22"/>
          <w:szCs w:val="22"/>
        </w:rPr>
        <w:t xml:space="preserve">mg </w:t>
      </w:r>
      <w:proofErr w:type="spellStart"/>
      <w:r w:rsidRPr="004F572A">
        <w:rPr>
          <w:rFonts w:eastAsia="Calibri"/>
          <w:sz w:val="22"/>
          <w:szCs w:val="22"/>
        </w:rPr>
        <w:t>lenvatinibo</w:t>
      </w:r>
      <w:proofErr w:type="spellEnd"/>
      <w:r w:rsidRPr="004F572A">
        <w:rPr>
          <w:rFonts w:eastAsia="Calibri"/>
          <w:sz w:val="22"/>
          <w:szCs w:val="22"/>
        </w:rPr>
        <w:t xml:space="preserve"> kartą per parą kartu su 200</w:t>
      </w:r>
      <w:r w:rsidR="007F7C31" w:rsidRPr="004F572A">
        <w:rPr>
          <w:rFonts w:eastAsia="Calibri"/>
          <w:sz w:val="22"/>
          <w:szCs w:val="22"/>
        </w:rPr>
        <w:t> </w:t>
      </w:r>
      <w:r w:rsidRPr="004F572A">
        <w:rPr>
          <w:rFonts w:eastAsia="Calibri"/>
          <w:sz w:val="22"/>
          <w:szCs w:val="22"/>
        </w:rPr>
        <w:t xml:space="preserve">mg </w:t>
      </w:r>
      <w:proofErr w:type="spellStart"/>
      <w:r w:rsidRPr="004F572A">
        <w:rPr>
          <w:rFonts w:eastAsia="Calibri"/>
          <w:sz w:val="22"/>
          <w:szCs w:val="22"/>
        </w:rPr>
        <w:t>pembrolizumabo</w:t>
      </w:r>
      <w:proofErr w:type="spellEnd"/>
      <w:r w:rsidRPr="004F572A">
        <w:rPr>
          <w:rFonts w:eastAsia="Calibri"/>
          <w:sz w:val="22"/>
          <w:szCs w:val="22"/>
        </w:rPr>
        <w:t xml:space="preserve"> į veną kas 3</w:t>
      </w:r>
      <w:r w:rsidR="00115D7F">
        <w:rPr>
          <w:rFonts w:eastAsia="Calibri"/>
          <w:sz w:val="22"/>
          <w:szCs w:val="22"/>
        </w:rPr>
        <w:t> </w:t>
      </w:r>
      <w:r w:rsidRPr="004F572A">
        <w:rPr>
          <w:rFonts w:eastAsia="Calibri"/>
          <w:sz w:val="22"/>
          <w:szCs w:val="22"/>
        </w:rPr>
        <w:t>savaites.</w:t>
      </w:r>
    </w:p>
    <w:p w14:paraId="0FC649CF" w14:textId="712932B6" w:rsidR="0071492A" w:rsidRPr="004F572A" w:rsidRDefault="0071492A">
      <w:pPr>
        <w:pStyle w:val="Sraopastraipa"/>
        <w:widowControl w:val="0"/>
        <w:numPr>
          <w:ilvl w:val="0"/>
          <w:numId w:val="9"/>
        </w:numPr>
        <w:tabs>
          <w:tab w:val="clear" w:pos="567"/>
        </w:tabs>
        <w:ind w:left="540" w:hanging="540"/>
        <w:rPr>
          <w:rFonts w:eastAsia="Calibri"/>
          <w:sz w:val="22"/>
          <w:szCs w:val="22"/>
        </w:rPr>
      </w:pPr>
      <w:r w:rsidRPr="004F572A">
        <w:rPr>
          <w:rFonts w:eastAsia="Calibri"/>
          <w:sz w:val="22"/>
          <w:szCs w:val="22"/>
        </w:rPr>
        <w:t>tyrėjo pasirinkimu</w:t>
      </w:r>
      <w:r w:rsidR="007F7C31" w:rsidRPr="004F572A">
        <w:rPr>
          <w:rFonts w:eastAsia="Calibri"/>
          <w:sz w:val="22"/>
          <w:szCs w:val="22"/>
        </w:rPr>
        <w:t xml:space="preserve"> </w:t>
      </w:r>
      <w:r w:rsidR="009A7626">
        <w:rPr>
          <w:rFonts w:eastAsia="Calibri"/>
          <w:sz w:val="22"/>
          <w:szCs w:val="22"/>
        </w:rPr>
        <w:t>gauti</w:t>
      </w:r>
      <w:r w:rsidR="009A7626" w:rsidRPr="004F572A">
        <w:rPr>
          <w:rFonts w:eastAsia="Calibri"/>
          <w:sz w:val="22"/>
          <w:szCs w:val="22"/>
        </w:rPr>
        <w:t xml:space="preserve"> </w:t>
      </w:r>
      <w:r w:rsidRPr="004F572A">
        <w:rPr>
          <w:rFonts w:eastAsia="Calibri"/>
          <w:sz w:val="22"/>
          <w:szCs w:val="22"/>
        </w:rPr>
        <w:t>60</w:t>
      </w:r>
      <w:r w:rsidR="007F7C31" w:rsidRPr="004F572A">
        <w:rPr>
          <w:rFonts w:eastAsia="Calibri"/>
          <w:sz w:val="22"/>
          <w:szCs w:val="22"/>
        </w:rPr>
        <w:t> </w:t>
      </w:r>
      <w:r w:rsidRPr="004F572A">
        <w:rPr>
          <w:rFonts w:eastAsia="Calibri"/>
          <w:sz w:val="22"/>
          <w:szCs w:val="22"/>
        </w:rPr>
        <w:t>mg/m</w:t>
      </w:r>
      <w:r w:rsidRPr="004F572A">
        <w:rPr>
          <w:rFonts w:eastAsia="Calibri"/>
          <w:sz w:val="22"/>
          <w:szCs w:val="22"/>
          <w:vertAlign w:val="superscript"/>
        </w:rPr>
        <w:t>2</w:t>
      </w:r>
      <w:r w:rsidRPr="004F572A">
        <w:rPr>
          <w:rFonts w:eastAsia="Calibri"/>
          <w:sz w:val="22"/>
          <w:szCs w:val="22"/>
        </w:rPr>
        <w:t xml:space="preserve"> </w:t>
      </w:r>
      <w:proofErr w:type="spellStart"/>
      <w:r w:rsidRPr="004F572A">
        <w:rPr>
          <w:rFonts w:eastAsia="Calibri"/>
          <w:sz w:val="22"/>
          <w:szCs w:val="22"/>
        </w:rPr>
        <w:t>doksorubicino</w:t>
      </w:r>
      <w:proofErr w:type="spellEnd"/>
      <w:r w:rsidRPr="004F572A">
        <w:rPr>
          <w:rFonts w:eastAsia="Calibri"/>
          <w:sz w:val="22"/>
          <w:szCs w:val="22"/>
        </w:rPr>
        <w:t xml:space="preserve"> kas 3</w:t>
      </w:r>
      <w:r w:rsidR="00115D7F">
        <w:rPr>
          <w:rFonts w:eastAsia="Calibri"/>
          <w:sz w:val="22"/>
          <w:szCs w:val="22"/>
        </w:rPr>
        <w:t> </w:t>
      </w:r>
      <w:r w:rsidRPr="004F572A">
        <w:rPr>
          <w:rFonts w:eastAsia="Calibri"/>
          <w:sz w:val="22"/>
          <w:szCs w:val="22"/>
        </w:rPr>
        <w:t>savaites arba 80</w:t>
      </w:r>
      <w:r w:rsidR="007F7C31" w:rsidRPr="004F572A">
        <w:rPr>
          <w:rFonts w:eastAsia="Calibri"/>
          <w:sz w:val="22"/>
          <w:szCs w:val="22"/>
        </w:rPr>
        <w:t> </w:t>
      </w:r>
      <w:r w:rsidRPr="004F572A">
        <w:rPr>
          <w:rFonts w:eastAsia="Calibri"/>
          <w:sz w:val="22"/>
          <w:szCs w:val="22"/>
        </w:rPr>
        <w:t>mg/m</w:t>
      </w:r>
      <w:r w:rsidRPr="004F572A">
        <w:rPr>
          <w:rFonts w:eastAsia="Calibri"/>
          <w:sz w:val="22"/>
          <w:szCs w:val="22"/>
          <w:vertAlign w:val="superscript"/>
        </w:rPr>
        <w:t>2</w:t>
      </w:r>
      <w:r w:rsidRPr="004F572A">
        <w:rPr>
          <w:rFonts w:eastAsia="Calibri"/>
          <w:sz w:val="22"/>
          <w:szCs w:val="22"/>
        </w:rPr>
        <w:t xml:space="preserve"> </w:t>
      </w:r>
      <w:proofErr w:type="spellStart"/>
      <w:r w:rsidRPr="004F572A">
        <w:rPr>
          <w:rFonts w:eastAsia="Calibri"/>
          <w:sz w:val="22"/>
          <w:szCs w:val="22"/>
        </w:rPr>
        <w:t>paklitakselio</w:t>
      </w:r>
      <w:proofErr w:type="spellEnd"/>
      <w:r w:rsidRPr="004F572A">
        <w:rPr>
          <w:rFonts w:eastAsia="Calibri"/>
          <w:sz w:val="22"/>
          <w:szCs w:val="22"/>
        </w:rPr>
        <w:t>,</w:t>
      </w:r>
      <w:r w:rsidR="007F7C31" w:rsidRPr="004F572A">
        <w:rPr>
          <w:rFonts w:eastAsia="Calibri"/>
          <w:sz w:val="22"/>
          <w:szCs w:val="22"/>
        </w:rPr>
        <w:t xml:space="preserve"> </w:t>
      </w:r>
      <w:r w:rsidR="009A7626">
        <w:rPr>
          <w:rFonts w:eastAsia="Calibri"/>
          <w:sz w:val="22"/>
          <w:szCs w:val="22"/>
        </w:rPr>
        <w:t xml:space="preserve">vartojamo </w:t>
      </w:r>
      <w:r w:rsidRPr="004F572A">
        <w:rPr>
          <w:rFonts w:eastAsia="Calibri"/>
          <w:sz w:val="22"/>
          <w:szCs w:val="22"/>
        </w:rPr>
        <w:t>kas savaitę 3</w:t>
      </w:r>
      <w:r w:rsidR="00115D7F">
        <w:rPr>
          <w:rFonts w:eastAsia="Calibri"/>
          <w:sz w:val="22"/>
          <w:szCs w:val="22"/>
        </w:rPr>
        <w:t> </w:t>
      </w:r>
      <w:r w:rsidRPr="004F572A">
        <w:rPr>
          <w:rFonts w:eastAsia="Calibri"/>
          <w:sz w:val="22"/>
          <w:szCs w:val="22"/>
        </w:rPr>
        <w:t>savaites su 1</w:t>
      </w:r>
      <w:r w:rsidR="00115D7F">
        <w:rPr>
          <w:rFonts w:eastAsia="Calibri"/>
          <w:sz w:val="22"/>
          <w:szCs w:val="22"/>
        </w:rPr>
        <w:t> </w:t>
      </w:r>
      <w:r w:rsidRPr="004F572A">
        <w:rPr>
          <w:rFonts w:eastAsia="Calibri"/>
          <w:sz w:val="22"/>
          <w:szCs w:val="22"/>
        </w:rPr>
        <w:t>savaitės pertrauka.</w:t>
      </w:r>
    </w:p>
    <w:p w14:paraId="689408C1" w14:textId="77777777" w:rsidR="00694CA3" w:rsidRPr="004F572A" w:rsidRDefault="00694CA3" w:rsidP="0071492A">
      <w:pPr>
        <w:widowControl w:val="0"/>
        <w:tabs>
          <w:tab w:val="clear" w:pos="567"/>
        </w:tabs>
        <w:rPr>
          <w:rFonts w:eastAsia="Calibri"/>
          <w:sz w:val="22"/>
          <w:szCs w:val="22"/>
        </w:rPr>
      </w:pPr>
    </w:p>
    <w:p w14:paraId="450A3236" w14:textId="1A3C890C" w:rsidR="0071492A" w:rsidRPr="004F572A" w:rsidRDefault="0071492A" w:rsidP="0071492A">
      <w:pPr>
        <w:widowControl w:val="0"/>
        <w:tabs>
          <w:tab w:val="clear" w:pos="567"/>
        </w:tabs>
        <w:rPr>
          <w:rFonts w:eastAsia="Calibri"/>
          <w:sz w:val="22"/>
          <w:szCs w:val="22"/>
        </w:rPr>
      </w:pPr>
      <w:r w:rsidRPr="004F572A">
        <w:rPr>
          <w:rFonts w:eastAsia="Calibri"/>
          <w:sz w:val="22"/>
          <w:szCs w:val="22"/>
        </w:rPr>
        <w:t xml:space="preserve">Gydymas </w:t>
      </w:r>
      <w:proofErr w:type="spellStart"/>
      <w:r w:rsidRPr="004F572A">
        <w:rPr>
          <w:rFonts w:eastAsia="Calibri"/>
          <w:sz w:val="22"/>
          <w:szCs w:val="22"/>
        </w:rPr>
        <w:t>lenvatinibu</w:t>
      </w:r>
      <w:proofErr w:type="spellEnd"/>
      <w:r w:rsidRPr="004F572A">
        <w:rPr>
          <w:rFonts w:eastAsia="Calibri"/>
          <w:sz w:val="22"/>
          <w:szCs w:val="22"/>
        </w:rPr>
        <w:t xml:space="preserve"> ir </w:t>
      </w:r>
      <w:proofErr w:type="spellStart"/>
      <w:r w:rsidRPr="004F572A">
        <w:rPr>
          <w:rFonts w:eastAsia="Calibri"/>
          <w:sz w:val="22"/>
          <w:szCs w:val="22"/>
        </w:rPr>
        <w:t>pembrolizumabu</w:t>
      </w:r>
      <w:proofErr w:type="spellEnd"/>
      <w:r w:rsidRPr="004F572A">
        <w:rPr>
          <w:rFonts w:eastAsia="Calibri"/>
          <w:sz w:val="22"/>
          <w:szCs w:val="22"/>
        </w:rPr>
        <w:t xml:space="preserve"> buvo tęsiamas iki RECIST v1.1 apibrėžto</w:t>
      </w:r>
      <w:r w:rsidR="009A7626">
        <w:rPr>
          <w:rFonts w:eastAsia="Calibri"/>
          <w:sz w:val="22"/>
          <w:szCs w:val="22"/>
        </w:rPr>
        <w:t>s</w:t>
      </w:r>
      <w:r w:rsidRPr="004F572A">
        <w:rPr>
          <w:rFonts w:eastAsia="Calibri"/>
          <w:sz w:val="22"/>
          <w:szCs w:val="22"/>
        </w:rPr>
        <w:t xml:space="preserve"> ligos progresavimo, patvirtinto pagal </w:t>
      </w:r>
      <w:r w:rsidR="009A7626">
        <w:rPr>
          <w:rFonts w:eastAsia="Calibri"/>
          <w:sz w:val="22"/>
          <w:szCs w:val="22"/>
        </w:rPr>
        <w:t>maskuotą</w:t>
      </w:r>
      <w:r w:rsidR="009A7626" w:rsidRPr="004F572A">
        <w:rPr>
          <w:rFonts w:eastAsia="Calibri"/>
          <w:sz w:val="22"/>
          <w:szCs w:val="22"/>
        </w:rPr>
        <w:t xml:space="preserve"> </w:t>
      </w:r>
      <w:r w:rsidRPr="004F572A">
        <w:rPr>
          <w:rFonts w:eastAsia="Calibri"/>
          <w:sz w:val="22"/>
          <w:szCs w:val="22"/>
        </w:rPr>
        <w:t xml:space="preserve">nepriklausomą centrinę peržiūrą (angl. </w:t>
      </w:r>
      <w:proofErr w:type="spellStart"/>
      <w:r w:rsidRPr="004F572A">
        <w:rPr>
          <w:rFonts w:eastAsia="Calibri"/>
          <w:i/>
          <w:iCs/>
          <w:sz w:val="22"/>
          <w:szCs w:val="22"/>
        </w:rPr>
        <w:t>Blinded</w:t>
      </w:r>
      <w:proofErr w:type="spellEnd"/>
      <w:r w:rsidRPr="004F572A">
        <w:rPr>
          <w:rFonts w:eastAsia="Calibri"/>
          <w:i/>
          <w:iCs/>
          <w:sz w:val="22"/>
          <w:szCs w:val="22"/>
        </w:rPr>
        <w:t xml:space="preserve"> </w:t>
      </w:r>
      <w:proofErr w:type="spellStart"/>
      <w:r w:rsidRPr="004F572A">
        <w:rPr>
          <w:rFonts w:eastAsia="Calibri"/>
          <w:i/>
          <w:iCs/>
          <w:sz w:val="22"/>
          <w:szCs w:val="22"/>
        </w:rPr>
        <w:t>Independent</w:t>
      </w:r>
      <w:proofErr w:type="spellEnd"/>
      <w:r w:rsidRPr="004F572A">
        <w:rPr>
          <w:rFonts w:eastAsia="Calibri"/>
          <w:i/>
          <w:iCs/>
          <w:sz w:val="22"/>
          <w:szCs w:val="22"/>
        </w:rPr>
        <w:t xml:space="preserve"> Centrai </w:t>
      </w:r>
      <w:proofErr w:type="spellStart"/>
      <w:r w:rsidRPr="004F572A">
        <w:rPr>
          <w:rFonts w:eastAsia="Calibri"/>
          <w:i/>
          <w:iCs/>
          <w:sz w:val="22"/>
          <w:szCs w:val="22"/>
        </w:rPr>
        <w:t>Review</w:t>
      </w:r>
      <w:proofErr w:type="spellEnd"/>
      <w:r w:rsidRPr="004F572A">
        <w:rPr>
          <w:rFonts w:eastAsia="Calibri"/>
          <w:sz w:val="22"/>
          <w:szCs w:val="22"/>
        </w:rPr>
        <w:t xml:space="preserve">, BICR), nepriimtino toksiškumo arba </w:t>
      </w:r>
      <w:proofErr w:type="spellStart"/>
      <w:r w:rsidR="009A7626" w:rsidRPr="004F572A">
        <w:rPr>
          <w:rFonts w:eastAsia="Calibri"/>
          <w:sz w:val="22"/>
          <w:szCs w:val="22"/>
        </w:rPr>
        <w:t>pembrolizumabo</w:t>
      </w:r>
      <w:proofErr w:type="spellEnd"/>
      <w:r w:rsidR="00794CEC">
        <w:rPr>
          <w:rFonts w:eastAsia="Calibri"/>
          <w:sz w:val="22"/>
          <w:szCs w:val="22"/>
        </w:rPr>
        <w:t xml:space="preserve"> atveju</w:t>
      </w:r>
      <w:r w:rsidR="009A7626">
        <w:rPr>
          <w:rFonts w:eastAsia="Calibri"/>
          <w:sz w:val="22"/>
          <w:szCs w:val="22"/>
        </w:rPr>
        <w:t>,</w:t>
      </w:r>
      <w:r w:rsidR="009A7626" w:rsidRPr="004F572A">
        <w:rPr>
          <w:rFonts w:eastAsia="Calibri"/>
          <w:sz w:val="22"/>
          <w:szCs w:val="22"/>
        </w:rPr>
        <w:t xml:space="preserve"> </w:t>
      </w:r>
      <w:r w:rsidR="00694CA3" w:rsidRPr="004F572A">
        <w:rPr>
          <w:rFonts w:eastAsia="Calibri"/>
          <w:sz w:val="22"/>
          <w:szCs w:val="22"/>
        </w:rPr>
        <w:t>ne ilgiau kaip 24</w:t>
      </w:r>
      <w:r w:rsidR="00115D7F">
        <w:rPr>
          <w:rFonts w:eastAsia="Calibri"/>
          <w:sz w:val="22"/>
          <w:szCs w:val="22"/>
        </w:rPr>
        <w:t> </w:t>
      </w:r>
      <w:r w:rsidR="00694CA3" w:rsidRPr="004F572A">
        <w:rPr>
          <w:rFonts w:eastAsia="Calibri"/>
          <w:sz w:val="22"/>
          <w:szCs w:val="22"/>
        </w:rPr>
        <w:t>mėnesius</w:t>
      </w:r>
      <w:r w:rsidRPr="004F572A">
        <w:rPr>
          <w:rFonts w:eastAsia="Calibri"/>
          <w:sz w:val="22"/>
          <w:szCs w:val="22"/>
        </w:rPr>
        <w:t xml:space="preserve">. Tiriamąjį gydymą buvo leidžiama taikyti toliau, nei </w:t>
      </w:r>
      <w:r w:rsidR="009A7626">
        <w:rPr>
          <w:rFonts w:eastAsia="Calibri"/>
          <w:sz w:val="22"/>
          <w:szCs w:val="22"/>
        </w:rPr>
        <w:t xml:space="preserve">nustatyta </w:t>
      </w:r>
      <w:r w:rsidRPr="004F572A">
        <w:rPr>
          <w:rFonts w:eastAsia="Calibri"/>
          <w:sz w:val="22"/>
          <w:szCs w:val="22"/>
        </w:rPr>
        <w:t>RECIST ligos progres</w:t>
      </w:r>
      <w:r w:rsidR="009A7626">
        <w:rPr>
          <w:rFonts w:eastAsia="Calibri"/>
          <w:sz w:val="22"/>
          <w:szCs w:val="22"/>
        </w:rPr>
        <w:t>ija</w:t>
      </w:r>
      <w:r w:rsidRPr="004F572A">
        <w:rPr>
          <w:rFonts w:eastAsia="Calibri"/>
          <w:sz w:val="22"/>
          <w:szCs w:val="22"/>
        </w:rPr>
        <w:t>, jei gyd</w:t>
      </w:r>
      <w:r w:rsidR="009A7626">
        <w:rPr>
          <w:rFonts w:eastAsia="Calibri"/>
          <w:sz w:val="22"/>
          <w:szCs w:val="22"/>
        </w:rPr>
        <w:t>antis</w:t>
      </w:r>
      <w:r w:rsidRPr="004F572A">
        <w:rPr>
          <w:rFonts w:eastAsia="Calibri"/>
          <w:sz w:val="22"/>
          <w:szCs w:val="22"/>
        </w:rPr>
        <w:t xml:space="preserve"> tyrėjas nusprendė, kad pacient</w:t>
      </w:r>
      <w:r w:rsidR="009A7626">
        <w:rPr>
          <w:rFonts w:eastAsia="Calibri"/>
          <w:sz w:val="22"/>
          <w:szCs w:val="22"/>
        </w:rPr>
        <w:t>ė turi</w:t>
      </w:r>
      <w:r w:rsidRPr="004F572A">
        <w:rPr>
          <w:rFonts w:eastAsia="Calibri"/>
          <w:sz w:val="22"/>
          <w:szCs w:val="22"/>
        </w:rPr>
        <w:t xml:space="preserve"> klinikinė</w:t>
      </w:r>
      <w:r w:rsidR="009A7626">
        <w:rPr>
          <w:rFonts w:eastAsia="Calibri"/>
          <w:sz w:val="22"/>
          <w:szCs w:val="22"/>
        </w:rPr>
        <w:t>s</w:t>
      </w:r>
      <w:r w:rsidRPr="004F572A">
        <w:rPr>
          <w:rFonts w:eastAsia="Calibri"/>
          <w:sz w:val="22"/>
          <w:szCs w:val="22"/>
        </w:rPr>
        <w:t xml:space="preserve"> naud</w:t>
      </w:r>
      <w:r w:rsidR="009A7626">
        <w:rPr>
          <w:rFonts w:eastAsia="Calibri"/>
          <w:sz w:val="22"/>
          <w:szCs w:val="22"/>
        </w:rPr>
        <w:t>os</w:t>
      </w:r>
      <w:r w:rsidRPr="004F572A">
        <w:rPr>
          <w:rFonts w:eastAsia="Calibri"/>
          <w:sz w:val="22"/>
          <w:szCs w:val="22"/>
        </w:rPr>
        <w:t xml:space="preserve"> ir gydymas buvo toleruojamas. Iš viso 121 iš 411 (29</w:t>
      </w:r>
      <w:r w:rsidR="00694CA3" w:rsidRPr="004F572A">
        <w:rPr>
          <w:rFonts w:eastAsia="Calibri"/>
          <w:sz w:val="22"/>
          <w:szCs w:val="22"/>
        </w:rPr>
        <w:t> </w:t>
      </w:r>
      <w:r w:rsidRPr="004F572A">
        <w:rPr>
          <w:rFonts w:eastAsia="Calibri"/>
          <w:sz w:val="22"/>
          <w:szCs w:val="22"/>
        </w:rPr>
        <w:t xml:space="preserve">%) pacienčių, gydytų </w:t>
      </w:r>
      <w:proofErr w:type="spellStart"/>
      <w:r w:rsidRPr="004F572A">
        <w:rPr>
          <w:rFonts w:eastAsia="Calibri"/>
          <w:sz w:val="22"/>
          <w:szCs w:val="22"/>
        </w:rPr>
        <w:t>lenvatinibu</w:t>
      </w:r>
      <w:proofErr w:type="spellEnd"/>
      <w:r w:rsidRPr="004F572A">
        <w:rPr>
          <w:rFonts w:eastAsia="Calibri"/>
          <w:sz w:val="22"/>
          <w:szCs w:val="22"/>
        </w:rPr>
        <w:t xml:space="preserve"> ir </w:t>
      </w:r>
      <w:proofErr w:type="spellStart"/>
      <w:r w:rsidRPr="004F572A">
        <w:rPr>
          <w:rFonts w:eastAsia="Calibri"/>
          <w:sz w:val="22"/>
          <w:szCs w:val="22"/>
        </w:rPr>
        <w:t>pembrolizumabu</w:t>
      </w:r>
      <w:proofErr w:type="spellEnd"/>
      <w:r w:rsidRPr="004F572A">
        <w:rPr>
          <w:rFonts w:eastAsia="Calibri"/>
          <w:sz w:val="22"/>
          <w:szCs w:val="22"/>
        </w:rPr>
        <w:t xml:space="preserve">, buvo toliau gydomos, nepaisant RECIST </w:t>
      </w:r>
      <w:r w:rsidR="009A7626">
        <w:rPr>
          <w:rFonts w:eastAsia="Calibri"/>
          <w:sz w:val="22"/>
          <w:szCs w:val="22"/>
        </w:rPr>
        <w:t>nustatytos</w:t>
      </w:r>
      <w:r w:rsidRPr="004F572A">
        <w:rPr>
          <w:rFonts w:eastAsia="Calibri"/>
          <w:sz w:val="22"/>
          <w:szCs w:val="22"/>
        </w:rPr>
        <w:t xml:space="preserve"> ligos progresavimo. Gydymo po progresavimo mediana </w:t>
      </w:r>
      <w:r w:rsidR="00694CA3" w:rsidRPr="004F572A">
        <w:rPr>
          <w:rFonts w:eastAsia="Calibri"/>
          <w:sz w:val="22"/>
          <w:szCs w:val="22"/>
        </w:rPr>
        <w:t>buvo</w:t>
      </w:r>
      <w:r w:rsidRPr="004F572A">
        <w:rPr>
          <w:rFonts w:eastAsia="Calibri"/>
          <w:sz w:val="22"/>
          <w:szCs w:val="22"/>
        </w:rPr>
        <w:t xml:space="preserve"> 2,8</w:t>
      </w:r>
      <w:r w:rsidR="00115D7F">
        <w:rPr>
          <w:rFonts w:eastAsia="Calibri"/>
          <w:sz w:val="22"/>
          <w:szCs w:val="22"/>
        </w:rPr>
        <w:t> </w:t>
      </w:r>
      <w:r w:rsidRPr="004F572A">
        <w:rPr>
          <w:rFonts w:eastAsia="Calibri"/>
          <w:sz w:val="22"/>
          <w:szCs w:val="22"/>
        </w:rPr>
        <w:t>mėnesio. Naviko būklė buvo vertinama kas 8</w:t>
      </w:r>
      <w:r w:rsidR="00115D7F">
        <w:rPr>
          <w:rFonts w:eastAsia="Calibri"/>
          <w:sz w:val="22"/>
          <w:szCs w:val="22"/>
        </w:rPr>
        <w:t> </w:t>
      </w:r>
      <w:r w:rsidRPr="004F572A">
        <w:rPr>
          <w:rFonts w:eastAsia="Calibri"/>
          <w:sz w:val="22"/>
          <w:szCs w:val="22"/>
        </w:rPr>
        <w:t>savaites.</w:t>
      </w:r>
    </w:p>
    <w:p w14:paraId="31F625A9" w14:textId="77777777" w:rsidR="00694CA3" w:rsidRPr="004F572A" w:rsidRDefault="00694CA3" w:rsidP="0071492A">
      <w:pPr>
        <w:widowControl w:val="0"/>
        <w:tabs>
          <w:tab w:val="clear" w:pos="567"/>
        </w:tabs>
        <w:rPr>
          <w:rFonts w:eastAsia="Calibri"/>
          <w:sz w:val="22"/>
          <w:szCs w:val="22"/>
        </w:rPr>
      </w:pPr>
    </w:p>
    <w:p w14:paraId="10F4D485" w14:textId="3AEB20D5" w:rsidR="005934BB" w:rsidRPr="004F572A" w:rsidRDefault="0071492A" w:rsidP="0071492A">
      <w:pPr>
        <w:widowControl w:val="0"/>
        <w:tabs>
          <w:tab w:val="clear" w:pos="567"/>
        </w:tabs>
        <w:rPr>
          <w:rFonts w:eastAsia="Calibri"/>
          <w:sz w:val="22"/>
          <w:szCs w:val="22"/>
        </w:rPr>
      </w:pPr>
      <w:r w:rsidRPr="004F572A">
        <w:rPr>
          <w:rFonts w:eastAsia="Calibri"/>
          <w:sz w:val="22"/>
          <w:szCs w:val="22"/>
        </w:rPr>
        <w:t>Iš viso buvo įtrauktos 827 pacientės, kuri</w:t>
      </w:r>
      <w:r w:rsidR="00694CA3" w:rsidRPr="004F572A">
        <w:rPr>
          <w:rFonts w:eastAsia="Calibri"/>
          <w:sz w:val="22"/>
          <w:szCs w:val="22"/>
        </w:rPr>
        <w:t>os</w:t>
      </w:r>
      <w:r w:rsidRPr="004F572A">
        <w:rPr>
          <w:rFonts w:eastAsia="Calibri"/>
          <w:sz w:val="22"/>
          <w:szCs w:val="22"/>
        </w:rPr>
        <w:t xml:space="preserve"> buvo </w:t>
      </w:r>
      <w:proofErr w:type="spellStart"/>
      <w:r w:rsidR="009A7626">
        <w:rPr>
          <w:rFonts w:eastAsia="Calibri"/>
          <w:sz w:val="22"/>
          <w:szCs w:val="22"/>
        </w:rPr>
        <w:t>randomizuotos</w:t>
      </w:r>
      <w:proofErr w:type="spellEnd"/>
      <w:r w:rsidR="009A7626">
        <w:rPr>
          <w:rFonts w:eastAsia="Calibri"/>
          <w:sz w:val="22"/>
          <w:szCs w:val="22"/>
        </w:rPr>
        <w:t xml:space="preserve"> gauti</w:t>
      </w:r>
      <w:r w:rsidR="00694CA3" w:rsidRPr="004F572A">
        <w:rPr>
          <w:rFonts w:eastAsia="Calibri"/>
          <w:sz w:val="22"/>
          <w:szCs w:val="22"/>
        </w:rPr>
        <w:t xml:space="preserve"> </w:t>
      </w:r>
      <w:proofErr w:type="spellStart"/>
      <w:r w:rsidRPr="004F572A">
        <w:rPr>
          <w:rFonts w:eastAsia="Calibri"/>
          <w:sz w:val="22"/>
          <w:szCs w:val="22"/>
        </w:rPr>
        <w:t>lenvatinib</w:t>
      </w:r>
      <w:r w:rsidR="00694CA3" w:rsidRPr="004F572A">
        <w:rPr>
          <w:rFonts w:eastAsia="Calibri"/>
          <w:sz w:val="22"/>
          <w:szCs w:val="22"/>
        </w:rPr>
        <w:t>o</w:t>
      </w:r>
      <w:proofErr w:type="spellEnd"/>
      <w:r w:rsidRPr="004F572A">
        <w:rPr>
          <w:rFonts w:eastAsia="Calibri"/>
          <w:sz w:val="22"/>
          <w:szCs w:val="22"/>
        </w:rPr>
        <w:t xml:space="preserve"> kartu su </w:t>
      </w:r>
      <w:proofErr w:type="spellStart"/>
      <w:r w:rsidRPr="004F572A">
        <w:rPr>
          <w:rFonts w:eastAsia="Calibri"/>
          <w:sz w:val="22"/>
          <w:szCs w:val="22"/>
        </w:rPr>
        <w:t>pembrolizumabu</w:t>
      </w:r>
      <w:proofErr w:type="spellEnd"/>
      <w:r w:rsidRPr="004F572A">
        <w:rPr>
          <w:rFonts w:eastAsia="Calibri"/>
          <w:sz w:val="22"/>
          <w:szCs w:val="22"/>
        </w:rPr>
        <w:t xml:space="preserve"> (n</w:t>
      </w:r>
      <w:r w:rsidR="00115D7F">
        <w:rPr>
          <w:rFonts w:eastAsia="Calibri"/>
          <w:sz w:val="22"/>
          <w:szCs w:val="22"/>
        </w:rPr>
        <w:t> </w:t>
      </w:r>
      <w:r w:rsidRPr="004F572A">
        <w:rPr>
          <w:rFonts w:eastAsia="Calibri"/>
          <w:sz w:val="22"/>
          <w:szCs w:val="22"/>
        </w:rPr>
        <w:t>=</w:t>
      </w:r>
      <w:r w:rsidR="00115D7F">
        <w:rPr>
          <w:rFonts w:eastAsia="Calibri"/>
          <w:sz w:val="22"/>
          <w:szCs w:val="22"/>
        </w:rPr>
        <w:t> </w:t>
      </w:r>
      <w:r w:rsidRPr="004F572A">
        <w:rPr>
          <w:rFonts w:eastAsia="Calibri"/>
          <w:sz w:val="22"/>
          <w:szCs w:val="22"/>
        </w:rPr>
        <w:t>411) arba tyrėjo pasirinktinai paskirt</w:t>
      </w:r>
      <w:r w:rsidR="009A7626">
        <w:rPr>
          <w:rFonts w:eastAsia="Calibri"/>
          <w:sz w:val="22"/>
          <w:szCs w:val="22"/>
        </w:rPr>
        <w:t>u</w:t>
      </w:r>
      <w:r w:rsidRPr="004F572A">
        <w:rPr>
          <w:rFonts w:eastAsia="Calibri"/>
          <w:sz w:val="22"/>
          <w:szCs w:val="22"/>
        </w:rPr>
        <w:t xml:space="preserve"> </w:t>
      </w:r>
      <w:proofErr w:type="spellStart"/>
      <w:r w:rsidRPr="004F572A">
        <w:rPr>
          <w:rFonts w:eastAsia="Calibri"/>
          <w:sz w:val="22"/>
          <w:szCs w:val="22"/>
        </w:rPr>
        <w:t>doksorubicin</w:t>
      </w:r>
      <w:r w:rsidR="009A7626">
        <w:rPr>
          <w:rFonts w:eastAsia="Calibri"/>
          <w:sz w:val="22"/>
          <w:szCs w:val="22"/>
        </w:rPr>
        <w:t>u</w:t>
      </w:r>
      <w:proofErr w:type="spellEnd"/>
      <w:r w:rsidRPr="004F572A">
        <w:rPr>
          <w:rFonts w:eastAsia="Calibri"/>
          <w:sz w:val="22"/>
          <w:szCs w:val="22"/>
        </w:rPr>
        <w:t xml:space="preserve"> (n</w:t>
      </w:r>
      <w:r w:rsidR="00115D7F">
        <w:rPr>
          <w:rFonts w:eastAsia="Calibri"/>
          <w:sz w:val="22"/>
          <w:szCs w:val="22"/>
        </w:rPr>
        <w:t> </w:t>
      </w:r>
      <w:r w:rsidRPr="004F572A">
        <w:rPr>
          <w:rFonts w:eastAsia="Calibri"/>
          <w:sz w:val="22"/>
          <w:szCs w:val="22"/>
        </w:rPr>
        <w:t>=</w:t>
      </w:r>
      <w:r w:rsidR="00115D7F">
        <w:rPr>
          <w:rFonts w:eastAsia="Calibri"/>
          <w:sz w:val="22"/>
          <w:szCs w:val="22"/>
        </w:rPr>
        <w:t> </w:t>
      </w:r>
      <w:r w:rsidRPr="004F572A">
        <w:rPr>
          <w:rFonts w:eastAsia="Calibri"/>
          <w:sz w:val="22"/>
          <w:szCs w:val="22"/>
        </w:rPr>
        <w:t xml:space="preserve">306) arba </w:t>
      </w:r>
      <w:proofErr w:type="spellStart"/>
      <w:r w:rsidRPr="004F572A">
        <w:rPr>
          <w:rFonts w:eastAsia="Calibri"/>
          <w:sz w:val="22"/>
          <w:szCs w:val="22"/>
        </w:rPr>
        <w:t>paklitakseli</w:t>
      </w:r>
      <w:r w:rsidR="009A7626">
        <w:rPr>
          <w:rFonts w:eastAsia="Calibri"/>
          <w:sz w:val="22"/>
          <w:szCs w:val="22"/>
        </w:rPr>
        <w:t>u</w:t>
      </w:r>
      <w:proofErr w:type="spellEnd"/>
      <w:r w:rsidRPr="004F572A">
        <w:rPr>
          <w:rFonts w:eastAsia="Calibri"/>
          <w:sz w:val="22"/>
          <w:szCs w:val="22"/>
        </w:rPr>
        <w:t xml:space="preserve"> (n</w:t>
      </w:r>
      <w:r w:rsidR="00115D7F">
        <w:rPr>
          <w:rFonts w:eastAsia="Calibri"/>
          <w:sz w:val="22"/>
          <w:szCs w:val="22"/>
        </w:rPr>
        <w:t> </w:t>
      </w:r>
      <w:r w:rsidRPr="004F572A">
        <w:rPr>
          <w:rFonts w:eastAsia="Calibri"/>
          <w:sz w:val="22"/>
          <w:szCs w:val="22"/>
        </w:rPr>
        <w:t>=</w:t>
      </w:r>
      <w:r w:rsidR="00115D7F">
        <w:rPr>
          <w:rFonts w:eastAsia="Calibri"/>
          <w:sz w:val="22"/>
          <w:szCs w:val="22"/>
        </w:rPr>
        <w:t> </w:t>
      </w:r>
      <w:r w:rsidRPr="004F572A">
        <w:rPr>
          <w:rFonts w:eastAsia="Calibri"/>
          <w:sz w:val="22"/>
          <w:szCs w:val="22"/>
        </w:rPr>
        <w:t>110). Pradinės šių pacienčių charakteristikos buvo tokios: amžiaus vidurkis 65</w:t>
      </w:r>
      <w:r w:rsidR="00115D7F">
        <w:rPr>
          <w:rFonts w:eastAsia="Calibri"/>
          <w:sz w:val="22"/>
          <w:szCs w:val="22"/>
        </w:rPr>
        <w:t> </w:t>
      </w:r>
      <w:r w:rsidRPr="004F572A">
        <w:rPr>
          <w:rFonts w:eastAsia="Calibri"/>
          <w:sz w:val="22"/>
          <w:szCs w:val="22"/>
        </w:rPr>
        <w:t>metai (nuo 30 iki 86</w:t>
      </w:r>
      <w:r w:rsidR="00115D7F">
        <w:rPr>
          <w:rFonts w:eastAsia="Calibri"/>
          <w:sz w:val="22"/>
          <w:szCs w:val="22"/>
        </w:rPr>
        <w:t> </w:t>
      </w:r>
      <w:r w:rsidRPr="004F572A">
        <w:rPr>
          <w:rFonts w:eastAsia="Calibri"/>
          <w:sz w:val="22"/>
          <w:szCs w:val="22"/>
        </w:rPr>
        <w:t>metų), 50</w:t>
      </w:r>
      <w:r w:rsidR="00694CA3" w:rsidRPr="004F572A">
        <w:rPr>
          <w:rFonts w:eastAsia="Calibri"/>
          <w:sz w:val="22"/>
          <w:szCs w:val="22"/>
        </w:rPr>
        <w:t> </w:t>
      </w:r>
      <w:r w:rsidRPr="004F572A">
        <w:rPr>
          <w:rFonts w:eastAsia="Calibri"/>
          <w:sz w:val="22"/>
          <w:szCs w:val="22"/>
        </w:rPr>
        <w:t>% 65</w:t>
      </w:r>
      <w:r w:rsidR="00115D7F">
        <w:rPr>
          <w:rFonts w:eastAsia="Calibri"/>
          <w:sz w:val="22"/>
          <w:szCs w:val="22"/>
        </w:rPr>
        <w:t> </w:t>
      </w:r>
      <w:r w:rsidRPr="004F572A">
        <w:rPr>
          <w:rFonts w:eastAsia="Calibri"/>
          <w:sz w:val="22"/>
          <w:szCs w:val="22"/>
        </w:rPr>
        <w:t>metų ar vyresnės; 61</w:t>
      </w:r>
      <w:r w:rsidR="005934BB" w:rsidRPr="004F572A">
        <w:rPr>
          <w:rFonts w:eastAsia="Calibri"/>
          <w:sz w:val="22"/>
          <w:szCs w:val="22"/>
        </w:rPr>
        <w:t> </w:t>
      </w:r>
      <w:r w:rsidRPr="004F572A">
        <w:rPr>
          <w:rFonts w:eastAsia="Calibri"/>
          <w:sz w:val="22"/>
          <w:szCs w:val="22"/>
        </w:rPr>
        <w:t>% baltaodės, 21</w:t>
      </w:r>
      <w:r w:rsidR="005934BB" w:rsidRPr="004F572A">
        <w:rPr>
          <w:rFonts w:eastAsia="Calibri"/>
          <w:sz w:val="22"/>
          <w:szCs w:val="22"/>
        </w:rPr>
        <w:t> </w:t>
      </w:r>
      <w:r w:rsidRPr="004F572A">
        <w:rPr>
          <w:rFonts w:eastAsia="Calibri"/>
          <w:sz w:val="22"/>
          <w:szCs w:val="22"/>
        </w:rPr>
        <w:t>% azijietės ir 4</w:t>
      </w:r>
      <w:r w:rsidR="005934BB" w:rsidRPr="004F572A">
        <w:rPr>
          <w:rFonts w:eastAsia="Calibri"/>
          <w:sz w:val="22"/>
          <w:szCs w:val="22"/>
        </w:rPr>
        <w:t> </w:t>
      </w:r>
      <w:r w:rsidRPr="004F572A">
        <w:rPr>
          <w:rFonts w:eastAsia="Calibri"/>
          <w:sz w:val="22"/>
          <w:szCs w:val="22"/>
        </w:rPr>
        <w:t>% juodaodės; ECOG PS 0 (59</w:t>
      </w:r>
      <w:r w:rsidR="005934BB" w:rsidRPr="004F572A">
        <w:rPr>
          <w:rFonts w:eastAsia="Calibri"/>
          <w:sz w:val="22"/>
          <w:szCs w:val="22"/>
        </w:rPr>
        <w:t> </w:t>
      </w:r>
      <w:r w:rsidRPr="004F572A">
        <w:rPr>
          <w:rFonts w:eastAsia="Calibri"/>
          <w:sz w:val="22"/>
          <w:szCs w:val="22"/>
        </w:rPr>
        <w:t>%) arba 1 (41</w:t>
      </w:r>
      <w:r w:rsidR="005934BB" w:rsidRPr="004F572A">
        <w:rPr>
          <w:rFonts w:eastAsia="Calibri"/>
          <w:sz w:val="22"/>
          <w:szCs w:val="22"/>
        </w:rPr>
        <w:t> </w:t>
      </w:r>
      <w:r w:rsidRPr="004F572A">
        <w:rPr>
          <w:rFonts w:eastAsia="Calibri"/>
          <w:sz w:val="22"/>
          <w:szCs w:val="22"/>
        </w:rPr>
        <w:t>%), 84</w:t>
      </w:r>
      <w:r w:rsidR="005934BB" w:rsidRPr="004F572A">
        <w:rPr>
          <w:rFonts w:eastAsia="Calibri"/>
          <w:sz w:val="22"/>
          <w:szCs w:val="22"/>
        </w:rPr>
        <w:t> </w:t>
      </w:r>
      <w:r w:rsidRPr="004F572A">
        <w:rPr>
          <w:rFonts w:eastAsia="Calibri"/>
          <w:sz w:val="22"/>
          <w:szCs w:val="22"/>
        </w:rPr>
        <w:t xml:space="preserve">% - esant </w:t>
      </w:r>
      <w:proofErr w:type="spellStart"/>
      <w:r w:rsidRPr="004F572A">
        <w:rPr>
          <w:rFonts w:eastAsia="Calibri"/>
          <w:sz w:val="22"/>
          <w:szCs w:val="22"/>
        </w:rPr>
        <w:t>pMMR</w:t>
      </w:r>
      <w:proofErr w:type="spellEnd"/>
      <w:r w:rsidRPr="004F572A">
        <w:rPr>
          <w:rFonts w:eastAsia="Calibri"/>
          <w:sz w:val="22"/>
          <w:szCs w:val="22"/>
        </w:rPr>
        <w:t xml:space="preserve"> naviko būklei ir 16</w:t>
      </w:r>
      <w:r w:rsidR="005934BB" w:rsidRPr="004F572A">
        <w:rPr>
          <w:rFonts w:eastAsia="Calibri"/>
          <w:sz w:val="22"/>
          <w:szCs w:val="22"/>
        </w:rPr>
        <w:t> </w:t>
      </w:r>
      <w:r w:rsidRPr="004F572A">
        <w:rPr>
          <w:rFonts w:eastAsia="Calibri"/>
          <w:sz w:val="22"/>
          <w:szCs w:val="22"/>
        </w:rPr>
        <w:t xml:space="preserve">% - esant </w:t>
      </w:r>
      <w:proofErr w:type="spellStart"/>
      <w:r w:rsidRPr="004F572A">
        <w:rPr>
          <w:rFonts w:eastAsia="Calibri"/>
          <w:sz w:val="22"/>
          <w:szCs w:val="22"/>
        </w:rPr>
        <w:t>dMMR</w:t>
      </w:r>
      <w:proofErr w:type="spellEnd"/>
      <w:r w:rsidRPr="004F572A">
        <w:rPr>
          <w:rFonts w:eastAsia="Calibri"/>
          <w:sz w:val="22"/>
          <w:szCs w:val="22"/>
        </w:rPr>
        <w:t xml:space="preserve"> naviko būklei. Histologiniai potipiai: </w:t>
      </w:r>
      <w:proofErr w:type="spellStart"/>
      <w:r w:rsidRPr="004F572A">
        <w:rPr>
          <w:rFonts w:eastAsia="Calibri"/>
          <w:sz w:val="22"/>
          <w:szCs w:val="22"/>
        </w:rPr>
        <w:t>endometrioidinė</w:t>
      </w:r>
      <w:proofErr w:type="spellEnd"/>
      <w:r w:rsidRPr="004F572A">
        <w:rPr>
          <w:rFonts w:eastAsia="Calibri"/>
          <w:sz w:val="22"/>
          <w:szCs w:val="22"/>
        </w:rPr>
        <w:t xml:space="preserve"> karcinoma (60</w:t>
      </w:r>
      <w:r w:rsidR="005934BB" w:rsidRPr="004F572A">
        <w:rPr>
          <w:rFonts w:eastAsia="Calibri"/>
          <w:sz w:val="22"/>
          <w:szCs w:val="22"/>
        </w:rPr>
        <w:t> </w:t>
      </w:r>
      <w:r w:rsidRPr="004F572A">
        <w:rPr>
          <w:rFonts w:eastAsia="Calibri"/>
          <w:sz w:val="22"/>
          <w:szCs w:val="22"/>
        </w:rPr>
        <w:t xml:space="preserve">%), </w:t>
      </w:r>
      <w:proofErr w:type="spellStart"/>
      <w:r w:rsidRPr="004F572A">
        <w:rPr>
          <w:rFonts w:eastAsia="Calibri"/>
          <w:sz w:val="22"/>
          <w:szCs w:val="22"/>
        </w:rPr>
        <w:t>serozinė</w:t>
      </w:r>
      <w:proofErr w:type="spellEnd"/>
      <w:r w:rsidRPr="004F572A">
        <w:rPr>
          <w:rFonts w:eastAsia="Calibri"/>
          <w:sz w:val="22"/>
          <w:szCs w:val="22"/>
        </w:rPr>
        <w:t xml:space="preserve"> (26</w:t>
      </w:r>
      <w:r w:rsidR="005934BB" w:rsidRPr="004F572A">
        <w:rPr>
          <w:rFonts w:eastAsia="Calibri"/>
          <w:sz w:val="22"/>
          <w:szCs w:val="22"/>
        </w:rPr>
        <w:t> </w:t>
      </w:r>
      <w:r w:rsidRPr="004F572A">
        <w:rPr>
          <w:rFonts w:eastAsia="Calibri"/>
          <w:sz w:val="22"/>
          <w:szCs w:val="22"/>
        </w:rPr>
        <w:t>%), skaidriųjų ląstelių karcinoma (6</w:t>
      </w:r>
      <w:r w:rsidR="005934BB" w:rsidRPr="004F572A">
        <w:rPr>
          <w:rFonts w:eastAsia="Calibri"/>
          <w:sz w:val="22"/>
          <w:szCs w:val="22"/>
        </w:rPr>
        <w:t> </w:t>
      </w:r>
      <w:r w:rsidRPr="004F572A">
        <w:rPr>
          <w:rFonts w:eastAsia="Calibri"/>
          <w:sz w:val="22"/>
          <w:szCs w:val="22"/>
        </w:rPr>
        <w:t>%), mišri (5</w:t>
      </w:r>
      <w:r w:rsidR="005934BB" w:rsidRPr="004F572A">
        <w:rPr>
          <w:rFonts w:eastAsia="Calibri"/>
          <w:sz w:val="22"/>
          <w:szCs w:val="22"/>
        </w:rPr>
        <w:t> </w:t>
      </w:r>
      <w:r w:rsidRPr="004F572A">
        <w:rPr>
          <w:rFonts w:eastAsia="Calibri"/>
          <w:sz w:val="22"/>
          <w:szCs w:val="22"/>
        </w:rPr>
        <w:t>%) ir kitokia karcinoma (3</w:t>
      </w:r>
      <w:r w:rsidR="005934BB" w:rsidRPr="004F572A">
        <w:rPr>
          <w:rFonts w:eastAsia="Calibri"/>
          <w:sz w:val="22"/>
          <w:szCs w:val="22"/>
        </w:rPr>
        <w:t> </w:t>
      </w:r>
      <w:r w:rsidRPr="004F572A">
        <w:rPr>
          <w:rFonts w:eastAsia="Calibri"/>
          <w:sz w:val="22"/>
          <w:szCs w:val="22"/>
        </w:rPr>
        <w:t>%). Vis</w:t>
      </w:r>
      <w:r w:rsidR="005934BB" w:rsidRPr="004F572A">
        <w:rPr>
          <w:rFonts w:eastAsia="Calibri"/>
          <w:sz w:val="22"/>
          <w:szCs w:val="22"/>
        </w:rPr>
        <w:t>os</w:t>
      </w:r>
      <w:r w:rsidRPr="004F572A">
        <w:rPr>
          <w:rFonts w:eastAsia="Calibri"/>
          <w:sz w:val="22"/>
          <w:szCs w:val="22"/>
        </w:rPr>
        <w:t xml:space="preserve"> 827 </w:t>
      </w:r>
      <w:r w:rsidR="009A7626">
        <w:rPr>
          <w:rFonts w:eastAsia="Calibri"/>
          <w:sz w:val="22"/>
          <w:szCs w:val="22"/>
        </w:rPr>
        <w:t>iš šių</w:t>
      </w:r>
      <w:r w:rsidRPr="004F572A">
        <w:rPr>
          <w:rFonts w:eastAsia="Calibri"/>
          <w:sz w:val="22"/>
          <w:szCs w:val="22"/>
        </w:rPr>
        <w:t xml:space="preserve"> pacien</w:t>
      </w:r>
      <w:r w:rsidR="009A7626">
        <w:rPr>
          <w:rFonts w:eastAsia="Calibri"/>
          <w:sz w:val="22"/>
          <w:szCs w:val="22"/>
        </w:rPr>
        <w:t>čių</w:t>
      </w:r>
      <w:r w:rsidRPr="004F572A">
        <w:rPr>
          <w:rFonts w:eastAsia="Calibri"/>
          <w:sz w:val="22"/>
          <w:szCs w:val="22"/>
        </w:rPr>
        <w:t xml:space="preserve"> anksčiau buvo</w:t>
      </w:r>
      <w:r w:rsidR="005934BB" w:rsidRPr="004F572A">
        <w:rPr>
          <w:rFonts w:eastAsia="Calibri"/>
          <w:sz w:val="22"/>
          <w:szCs w:val="22"/>
        </w:rPr>
        <w:t xml:space="preserve"> </w:t>
      </w:r>
      <w:r w:rsidR="009A7626">
        <w:rPr>
          <w:rFonts w:eastAsia="Calibri"/>
          <w:sz w:val="22"/>
          <w:szCs w:val="22"/>
        </w:rPr>
        <w:t>gavusios</w:t>
      </w:r>
      <w:r w:rsidRPr="004F572A">
        <w:rPr>
          <w:rFonts w:eastAsia="Calibri"/>
          <w:sz w:val="22"/>
          <w:szCs w:val="22"/>
        </w:rPr>
        <w:t xml:space="preserve"> sistemin</w:t>
      </w:r>
      <w:r w:rsidR="009A7626">
        <w:rPr>
          <w:rFonts w:eastAsia="Calibri"/>
          <w:sz w:val="22"/>
          <w:szCs w:val="22"/>
        </w:rPr>
        <w:t>į</w:t>
      </w:r>
      <w:r w:rsidRPr="004F572A">
        <w:rPr>
          <w:rFonts w:eastAsia="Calibri"/>
          <w:sz w:val="22"/>
          <w:szCs w:val="22"/>
        </w:rPr>
        <w:t xml:space="preserve"> gydym</w:t>
      </w:r>
      <w:r w:rsidR="009A7626">
        <w:rPr>
          <w:rFonts w:eastAsia="Calibri"/>
          <w:sz w:val="22"/>
          <w:szCs w:val="22"/>
        </w:rPr>
        <w:t>ą</w:t>
      </w:r>
      <w:r w:rsidRPr="004F572A">
        <w:rPr>
          <w:rFonts w:eastAsia="Calibri"/>
          <w:sz w:val="22"/>
          <w:szCs w:val="22"/>
        </w:rPr>
        <w:t xml:space="preserve"> nuo EK: 69</w:t>
      </w:r>
      <w:r w:rsidR="005934BB" w:rsidRPr="004F572A">
        <w:rPr>
          <w:rFonts w:eastAsia="Calibri"/>
          <w:sz w:val="22"/>
          <w:szCs w:val="22"/>
        </w:rPr>
        <w:t> </w:t>
      </w:r>
      <w:r w:rsidRPr="004F572A">
        <w:rPr>
          <w:rFonts w:eastAsia="Calibri"/>
          <w:sz w:val="22"/>
          <w:szCs w:val="22"/>
        </w:rPr>
        <w:t>% buvo taikomas vienas, 28</w:t>
      </w:r>
      <w:r w:rsidR="005934BB" w:rsidRPr="004F572A">
        <w:rPr>
          <w:rFonts w:eastAsia="Calibri"/>
          <w:sz w:val="22"/>
          <w:szCs w:val="22"/>
        </w:rPr>
        <w:t> </w:t>
      </w:r>
      <w:r w:rsidRPr="004F572A">
        <w:rPr>
          <w:rFonts w:eastAsia="Calibri"/>
          <w:sz w:val="22"/>
          <w:szCs w:val="22"/>
        </w:rPr>
        <w:t>% - du ir 3</w:t>
      </w:r>
      <w:r w:rsidR="005934BB" w:rsidRPr="004F572A">
        <w:rPr>
          <w:rFonts w:eastAsia="Calibri"/>
          <w:sz w:val="22"/>
          <w:szCs w:val="22"/>
        </w:rPr>
        <w:t> </w:t>
      </w:r>
      <w:r w:rsidRPr="004F572A">
        <w:rPr>
          <w:rFonts w:eastAsia="Calibri"/>
          <w:sz w:val="22"/>
          <w:szCs w:val="22"/>
        </w:rPr>
        <w:t>% - trys ar daugiau ankstesnių sistemini</w:t>
      </w:r>
      <w:r w:rsidR="009A7626">
        <w:rPr>
          <w:rFonts w:eastAsia="Calibri"/>
          <w:sz w:val="22"/>
          <w:szCs w:val="22"/>
        </w:rPr>
        <w:t>ų</w:t>
      </w:r>
      <w:r w:rsidRPr="004F572A">
        <w:rPr>
          <w:rFonts w:eastAsia="Calibri"/>
          <w:sz w:val="22"/>
          <w:szCs w:val="22"/>
        </w:rPr>
        <w:t xml:space="preserve"> gydymo kursų. Trisdešimt septyn</w:t>
      </w:r>
      <w:r w:rsidR="005934BB" w:rsidRPr="004F572A">
        <w:rPr>
          <w:rFonts w:eastAsia="Calibri"/>
          <w:sz w:val="22"/>
          <w:szCs w:val="22"/>
        </w:rPr>
        <w:t>i</w:t>
      </w:r>
      <w:r w:rsidRPr="004F572A">
        <w:rPr>
          <w:rFonts w:eastAsia="Calibri"/>
          <w:sz w:val="22"/>
          <w:szCs w:val="22"/>
        </w:rPr>
        <w:t xml:space="preserve"> procenta</w:t>
      </w:r>
      <w:r w:rsidR="009A7626">
        <w:rPr>
          <w:rFonts w:eastAsia="Calibri"/>
          <w:sz w:val="22"/>
          <w:szCs w:val="22"/>
        </w:rPr>
        <w:t>i</w:t>
      </w:r>
      <w:r w:rsidRPr="004F572A">
        <w:rPr>
          <w:rFonts w:eastAsia="Calibri"/>
          <w:sz w:val="22"/>
          <w:szCs w:val="22"/>
        </w:rPr>
        <w:t xml:space="preserve"> pacienčių </w:t>
      </w:r>
      <w:r w:rsidR="005934BB" w:rsidRPr="004F572A">
        <w:rPr>
          <w:rFonts w:eastAsia="Calibri"/>
          <w:sz w:val="22"/>
          <w:szCs w:val="22"/>
        </w:rPr>
        <w:t xml:space="preserve">anksčiau buvo </w:t>
      </w:r>
      <w:r w:rsidR="009A7626">
        <w:rPr>
          <w:rFonts w:eastAsia="Calibri"/>
          <w:sz w:val="22"/>
          <w:szCs w:val="22"/>
        </w:rPr>
        <w:t>gydomos</w:t>
      </w:r>
      <w:r w:rsidRPr="004F572A">
        <w:rPr>
          <w:rFonts w:eastAsia="Calibri"/>
          <w:sz w:val="22"/>
          <w:szCs w:val="22"/>
        </w:rPr>
        <w:t xml:space="preserve"> tik </w:t>
      </w:r>
      <w:proofErr w:type="spellStart"/>
      <w:r w:rsidRPr="004F572A">
        <w:rPr>
          <w:rFonts w:eastAsia="Calibri"/>
          <w:sz w:val="22"/>
          <w:szCs w:val="22"/>
        </w:rPr>
        <w:t>neoadjuvantini</w:t>
      </w:r>
      <w:r w:rsidR="009A7626">
        <w:rPr>
          <w:rFonts w:eastAsia="Calibri"/>
          <w:sz w:val="22"/>
          <w:szCs w:val="22"/>
        </w:rPr>
        <w:t>u</w:t>
      </w:r>
      <w:proofErr w:type="spellEnd"/>
      <w:r w:rsidRPr="004F572A">
        <w:rPr>
          <w:rFonts w:eastAsia="Calibri"/>
          <w:sz w:val="22"/>
          <w:szCs w:val="22"/>
        </w:rPr>
        <w:t xml:space="preserve"> ar </w:t>
      </w:r>
      <w:proofErr w:type="spellStart"/>
      <w:r w:rsidRPr="004F572A">
        <w:rPr>
          <w:rFonts w:eastAsia="Calibri"/>
          <w:sz w:val="22"/>
          <w:szCs w:val="22"/>
        </w:rPr>
        <w:t>adjuvantini</w:t>
      </w:r>
      <w:r w:rsidR="009A7626">
        <w:rPr>
          <w:rFonts w:eastAsia="Calibri"/>
          <w:sz w:val="22"/>
          <w:szCs w:val="22"/>
        </w:rPr>
        <w:t>u</w:t>
      </w:r>
      <w:proofErr w:type="spellEnd"/>
      <w:r w:rsidR="005934BB" w:rsidRPr="004F572A">
        <w:rPr>
          <w:rFonts w:eastAsia="Calibri"/>
          <w:sz w:val="22"/>
          <w:szCs w:val="22"/>
        </w:rPr>
        <w:t xml:space="preserve"> </w:t>
      </w:r>
      <w:r w:rsidR="009A7626">
        <w:rPr>
          <w:rFonts w:eastAsia="Calibri"/>
          <w:sz w:val="22"/>
          <w:szCs w:val="22"/>
        </w:rPr>
        <w:t>būdu</w:t>
      </w:r>
      <w:r w:rsidRPr="004F572A">
        <w:rPr>
          <w:rFonts w:eastAsia="Calibri"/>
          <w:sz w:val="22"/>
          <w:szCs w:val="22"/>
        </w:rPr>
        <w:t>.</w:t>
      </w:r>
      <w:r w:rsidR="005934BB" w:rsidRPr="004F572A">
        <w:rPr>
          <w:rFonts w:eastAsia="Calibri"/>
          <w:sz w:val="22"/>
          <w:szCs w:val="22"/>
        </w:rPr>
        <w:t xml:space="preserve"> Tiriamojo gydymo trukmės mediana buvo 7,6</w:t>
      </w:r>
      <w:r w:rsidR="00115D7F">
        <w:rPr>
          <w:rFonts w:eastAsia="Calibri"/>
          <w:sz w:val="22"/>
          <w:szCs w:val="22"/>
        </w:rPr>
        <w:t> </w:t>
      </w:r>
      <w:r w:rsidR="005934BB" w:rsidRPr="004F572A">
        <w:rPr>
          <w:rFonts w:eastAsia="Calibri"/>
          <w:sz w:val="22"/>
          <w:szCs w:val="22"/>
        </w:rPr>
        <w:t>mėnesio (</w:t>
      </w:r>
      <w:r w:rsidR="006B4C8D" w:rsidRPr="004F572A">
        <w:rPr>
          <w:rFonts w:eastAsia="Calibri"/>
          <w:sz w:val="22"/>
          <w:szCs w:val="22"/>
        </w:rPr>
        <w:t xml:space="preserve">intervalas </w:t>
      </w:r>
      <w:r w:rsidR="005934BB" w:rsidRPr="004F572A">
        <w:rPr>
          <w:rFonts w:eastAsia="Calibri"/>
          <w:sz w:val="22"/>
          <w:szCs w:val="22"/>
        </w:rPr>
        <w:t>nuo 1</w:t>
      </w:r>
      <w:r w:rsidR="00115D7F">
        <w:rPr>
          <w:rFonts w:eastAsia="Calibri"/>
          <w:sz w:val="22"/>
          <w:szCs w:val="22"/>
        </w:rPr>
        <w:t> </w:t>
      </w:r>
      <w:r w:rsidR="005934BB" w:rsidRPr="004F572A">
        <w:rPr>
          <w:rFonts w:eastAsia="Calibri"/>
          <w:sz w:val="22"/>
          <w:szCs w:val="22"/>
        </w:rPr>
        <w:t>dienos iki 26,8</w:t>
      </w:r>
      <w:r w:rsidR="00115D7F">
        <w:rPr>
          <w:rFonts w:eastAsia="Calibri"/>
          <w:sz w:val="22"/>
          <w:szCs w:val="22"/>
        </w:rPr>
        <w:t> </w:t>
      </w:r>
      <w:r w:rsidR="005934BB" w:rsidRPr="004F572A">
        <w:rPr>
          <w:rFonts w:eastAsia="Calibri"/>
          <w:sz w:val="22"/>
          <w:szCs w:val="22"/>
        </w:rPr>
        <w:t>mėnesi</w:t>
      </w:r>
      <w:r w:rsidR="009A7626">
        <w:rPr>
          <w:rFonts w:eastAsia="Calibri"/>
          <w:sz w:val="22"/>
          <w:szCs w:val="22"/>
        </w:rPr>
        <w:t>ų</w:t>
      </w:r>
      <w:r w:rsidR="005934BB" w:rsidRPr="004F572A">
        <w:rPr>
          <w:rFonts w:eastAsia="Calibri"/>
          <w:sz w:val="22"/>
          <w:szCs w:val="22"/>
        </w:rPr>
        <w:t xml:space="preserve">). </w:t>
      </w:r>
      <w:proofErr w:type="spellStart"/>
      <w:r w:rsidR="005934BB" w:rsidRPr="004F572A">
        <w:rPr>
          <w:rFonts w:eastAsia="Calibri"/>
          <w:sz w:val="22"/>
          <w:szCs w:val="22"/>
        </w:rPr>
        <w:t>Lenvatinibo</w:t>
      </w:r>
      <w:proofErr w:type="spellEnd"/>
      <w:r w:rsidR="005934BB" w:rsidRPr="004F572A">
        <w:rPr>
          <w:rFonts w:eastAsia="Calibri"/>
          <w:sz w:val="22"/>
          <w:szCs w:val="22"/>
        </w:rPr>
        <w:t xml:space="preserve"> ekspozicijos trukmės mediana buvo 6,9</w:t>
      </w:r>
      <w:r w:rsidR="00115D7F">
        <w:rPr>
          <w:rFonts w:eastAsia="Calibri"/>
          <w:sz w:val="22"/>
          <w:szCs w:val="22"/>
        </w:rPr>
        <w:t> </w:t>
      </w:r>
      <w:r w:rsidR="005934BB" w:rsidRPr="004F572A">
        <w:rPr>
          <w:rFonts w:eastAsia="Calibri"/>
          <w:sz w:val="22"/>
          <w:szCs w:val="22"/>
        </w:rPr>
        <w:t>mėnesio (</w:t>
      </w:r>
      <w:r w:rsidR="006B4C8D" w:rsidRPr="004F572A">
        <w:rPr>
          <w:rFonts w:eastAsia="Calibri"/>
          <w:sz w:val="22"/>
          <w:szCs w:val="22"/>
        </w:rPr>
        <w:t xml:space="preserve">intervalas </w:t>
      </w:r>
      <w:r w:rsidR="005934BB" w:rsidRPr="004F572A">
        <w:rPr>
          <w:rFonts w:eastAsia="Calibri"/>
          <w:sz w:val="22"/>
          <w:szCs w:val="22"/>
        </w:rPr>
        <w:t>nuo 1</w:t>
      </w:r>
      <w:r w:rsidR="00115D7F">
        <w:rPr>
          <w:rFonts w:eastAsia="Calibri"/>
          <w:sz w:val="22"/>
          <w:szCs w:val="22"/>
        </w:rPr>
        <w:t> </w:t>
      </w:r>
      <w:r w:rsidR="005934BB" w:rsidRPr="004F572A">
        <w:rPr>
          <w:rFonts w:eastAsia="Calibri"/>
          <w:sz w:val="22"/>
          <w:szCs w:val="22"/>
        </w:rPr>
        <w:t>dienos iki 26,8</w:t>
      </w:r>
      <w:r w:rsidR="00115D7F">
        <w:rPr>
          <w:rFonts w:eastAsia="Calibri"/>
          <w:sz w:val="22"/>
          <w:szCs w:val="22"/>
        </w:rPr>
        <w:t> </w:t>
      </w:r>
      <w:r w:rsidR="005934BB" w:rsidRPr="004F572A">
        <w:rPr>
          <w:rFonts w:eastAsia="Calibri"/>
          <w:sz w:val="22"/>
          <w:szCs w:val="22"/>
        </w:rPr>
        <w:t>mėnesi</w:t>
      </w:r>
      <w:r w:rsidR="009A7626">
        <w:rPr>
          <w:rFonts w:eastAsia="Calibri"/>
          <w:sz w:val="22"/>
          <w:szCs w:val="22"/>
        </w:rPr>
        <w:t>ų</w:t>
      </w:r>
      <w:r w:rsidR="005934BB" w:rsidRPr="004F572A">
        <w:rPr>
          <w:rFonts w:eastAsia="Calibri"/>
          <w:sz w:val="22"/>
          <w:szCs w:val="22"/>
        </w:rPr>
        <w:t>).</w:t>
      </w:r>
    </w:p>
    <w:p w14:paraId="21EDE09E" w14:textId="77777777" w:rsidR="006B4C8D" w:rsidRPr="004F572A" w:rsidRDefault="006B4C8D" w:rsidP="0071492A">
      <w:pPr>
        <w:widowControl w:val="0"/>
        <w:tabs>
          <w:tab w:val="clear" w:pos="567"/>
        </w:tabs>
        <w:rPr>
          <w:rFonts w:eastAsia="Calibri"/>
          <w:sz w:val="22"/>
          <w:szCs w:val="22"/>
        </w:rPr>
      </w:pPr>
    </w:p>
    <w:p w14:paraId="1369C683" w14:textId="31738CA1" w:rsidR="0071492A" w:rsidRPr="004F572A" w:rsidRDefault="009A7626" w:rsidP="0071492A">
      <w:pPr>
        <w:widowControl w:val="0"/>
        <w:tabs>
          <w:tab w:val="clear" w:pos="567"/>
        </w:tabs>
        <w:rPr>
          <w:rFonts w:eastAsia="Calibri"/>
          <w:sz w:val="22"/>
          <w:szCs w:val="22"/>
        </w:rPr>
      </w:pPr>
      <w:r>
        <w:rPr>
          <w:rFonts w:eastAsia="Calibri"/>
          <w:sz w:val="22"/>
          <w:szCs w:val="22"/>
        </w:rPr>
        <w:t>Pirminiai</w:t>
      </w:r>
      <w:r w:rsidRPr="004F572A">
        <w:rPr>
          <w:rFonts w:eastAsia="Calibri"/>
          <w:sz w:val="22"/>
          <w:szCs w:val="22"/>
        </w:rPr>
        <w:t xml:space="preserve"> </w:t>
      </w:r>
      <w:r w:rsidR="0071492A" w:rsidRPr="004F572A">
        <w:rPr>
          <w:rFonts w:eastAsia="Calibri"/>
          <w:sz w:val="22"/>
          <w:szCs w:val="22"/>
        </w:rPr>
        <w:t xml:space="preserve">veiksmingumo rezultatų </w:t>
      </w:r>
      <w:r>
        <w:rPr>
          <w:rFonts w:eastAsia="Calibri"/>
          <w:sz w:val="22"/>
          <w:szCs w:val="22"/>
        </w:rPr>
        <w:t>matai</w:t>
      </w:r>
      <w:r w:rsidR="006B4C8D" w:rsidRPr="004F572A">
        <w:rPr>
          <w:rFonts w:eastAsia="Calibri"/>
          <w:sz w:val="22"/>
          <w:szCs w:val="22"/>
        </w:rPr>
        <w:t xml:space="preserve"> </w:t>
      </w:r>
      <w:r w:rsidR="0071492A" w:rsidRPr="004F572A">
        <w:rPr>
          <w:rFonts w:eastAsia="Calibri"/>
          <w:sz w:val="22"/>
          <w:szCs w:val="22"/>
        </w:rPr>
        <w:t xml:space="preserve">buvo bendrasis išgyvenamumas ir išgyvenamumas ligai neprogresuojant (įvertinti BICR, naudojant RECIST 1.1). </w:t>
      </w:r>
      <w:r>
        <w:rPr>
          <w:rFonts w:eastAsia="Calibri"/>
          <w:sz w:val="22"/>
          <w:szCs w:val="22"/>
        </w:rPr>
        <w:t>Antrinio</w:t>
      </w:r>
      <w:r w:rsidR="006B4C8D" w:rsidRPr="004F572A">
        <w:rPr>
          <w:rFonts w:eastAsia="Calibri"/>
          <w:sz w:val="22"/>
          <w:szCs w:val="22"/>
        </w:rPr>
        <w:t xml:space="preserve"> </w:t>
      </w:r>
      <w:r w:rsidR="0071492A" w:rsidRPr="004F572A">
        <w:rPr>
          <w:rFonts w:eastAsia="Calibri"/>
          <w:sz w:val="22"/>
          <w:szCs w:val="22"/>
        </w:rPr>
        <w:t xml:space="preserve">veiksmingumo rezultatų </w:t>
      </w:r>
      <w:r w:rsidR="003E7FA5">
        <w:rPr>
          <w:rFonts w:eastAsia="Calibri"/>
          <w:sz w:val="22"/>
          <w:szCs w:val="22"/>
        </w:rPr>
        <w:t>matai</w:t>
      </w:r>
      <w:r w:rsidR="0071492A" w:rsidRPr="004F572A">
        <w:rPr>
          <w:rFonts w:eastAsia="Calibri"/>
          <w:sz w:val="22"/>
          <w:szCs w:val="22"/>
        </w:rPr>
        <w:t xml:space="preserve"> apėmė O</w:t>
      </w:r>
      <w:r w:rsidR="0010408A">
        <w:rPr>
          <w:rFonts w:eastAsia="Calibri"/>
          <w:sz w:val="22"/>
          <w:szCs w:val="22"/>
        </w:rPr>
        <w:t>AD</w:t>
      </w:r>
      <w:r w:rsidR="0071492A" w:rsidRPr="004F572A">
        <w:rPr>
          <w:rFonts w:eastAsia="Calibri"/>
          <w:sz w:val="22"/>
          <w:szCs w:val="22"/>
        </w:rPr>
        <w:t>, įvertintą pagal BICR, naudojant RECIST 1.1. Iš anksto nustatytos tarpinės analizės duomenimis, kai stebėjimo laikotarpio mediana buvo 11,4</w:t>
      </w:r>
      <w:r w:rsidR="00115D7F">
        <w:rPr>
          <w:rFonts w:eastAsia="Calibri"/>
          <w:sz w:val="22"/>
          <w:szCs w:val="22"/>
        </w:rPr>
        <w:t> </w:t>
      </w:r>
      <w:r w:rsidR="0071492A" w:rsidRPr="004F572A">
        <w:rPr>
          <w:rFonts w:eastAsia="Calibri"/>
          <w:sz w:val="22"/>
          <w:szCs w:val="22"/>
        </w:rPr>
        <w:t>mėnesio (intervalas nuo 0,3 iki 26,9</w:t>
      </w:r>
      <w:r w:rsidR="00115D7F">
        <w:rPr>
          <w:rFonts w:eastAsia="Calibri"/>
          <w:sz w:val="22"/>
          <w:szCs w:val="22"/>
        </w:rPr>
        <w:t> </w:t>
      </w:r>
      <w:r w:rsidR="0071492A" w:rsidRPr="004F572A">
        <w:rPr>
          <w:rFonts w:eastAsia="Calibri"/>
          <w:sz w:val="22"/>
          <w:szCs w:val="22"/>
        </w:rPr>
        <w:t xml:space="preserve">mėnesio), tyrimas parodė statistiškai reikšmingą BI ir ILN pagerėjimą visų </w:t>
      </w:r>
      <w:r w:rsidR="003E7FA5">
        <w:rPr>
          <w:rFonts w:eastAsia="Calibri"/>
          <w:sz w:val="22"/>
          <w:szCs w:val="22"/>
        </w:rPr>
        <w:t>pacientų</w:t>
      </w:r>
      <w:r w:rsidR="003E7FA5" w:rsidRPr="004F572A">
        <w:rPr>
          <w:rFonts w:eastAsia="Calibri"/>
          <w:sz w:val="22"/>
          <w:szCs w:val="22"/>
        </w:rPr>
        <w:t xml:space="preserve"> </w:t>
      </w:r>
      <w:r w:rsidR="0071492A" w:rsidRPr="004F572A">
        <w:rPr>
          <w:rFonts w:eastAsia="Calibri"/>
          <w:sz w:val="22"/>
          <w:szCs w:val="22"/>
        </w:rPr>
        <w:t>populiacijoje.</w:t>
      </w:r>
    </w:p>
    <w:p w14:paraId="74AB31F9" w14:textId="77777777" w:rsidR="006B4C8D" w:rsidRPr="004F572A" w:rsidRDefault="006B4C8D" w:rsidP="0071492A">
      <w:pPr>
        <w:widowControl w:val="0"/>
        <w:tabs>
          <w:tab w:val="clear" w:pos="567"/>
        </w:tabs>
        <w:rPr>
          <w:rFonts w:eastAsia="Calibri"/>
          <w:sz w:val="22"/>
          <w:szCs w:val="22"/>
        </w:rPr>
      </w:pPr>
    </w:p>
    <w:p w14:paraId="5BF1465C" w14:textId="695ECB54" w:rsidR="0071492A" w:rsidRPr="004F572A" w:rsidRDefault="0071492A" w:rsidP="0071492A">
      <w:pPr>
        <w:widowControl w:val="0"/>
        <w:tabs>
          <w:tab w:val="clear" w:pos="567"/>
        </w:tabs>
        <w:rPr>
          <w:rFonts w:eastAsia="Calibri"/>
          <w:sz w:val="22"/>
          <w:szCs w:val="22"/>
        </w:rPr>
      </w:pPr>
      <w:r w:rsidRPr="004F572A">
        <w:rPr>
          <w:rFonts w:eastAsia="Calibri"/>
          <w:sz w:val="22"/>
          <w:szCs w:val="22"/>
        </w:rPr>
        <w:t>Veiksmingumo rezultatai pagal MMR pogrupius atitiko bendruosius tyrimo rezultatus.</w:t>
      </w:r>
    </w:p>
    <w:p w14:paraId="01B86493" w14:textId="77777777" w:rsidR="006B4C8D" w:rsidRPr="004F572A" w:rsidRDefault="006B4C8D" w:rsidP="0071492A">
      <w:pPr>
        <w:widowControl w:val="0"/>
        <w:tabs>
          <w:tab w:val="clear" w:pos="567"/>
        </w:tabs>
        <w:rPr>
          <w:rFonts w:eastAsia="Calibri"/>
          <w:sz w:val="22"/>
          <w:szCs w:val="22"/>
        </w:rPr>
      </w:pPr>
    </w:p>
    <w:p w14:paraId="2634A126" w14:textId="5C8F47C4" w:rsidR="008C53D4" w:rsidRPr="004F572A" w:rsidRDefault="0071492A" w:rsidP="0071492A">
      <w:pPr>
        <w:widowControl w:val="0"/>
        <w:tabs>
          <w:tab w:val="clear" w:pos="567"/>
        </w:tabs>
        <w:rPr>
          <w:rFonts w:eastAsia="Calibri"/>
          <w:sz w:val="22"/>
          <w:szCs w:val="22"/>
        </w:rPr>
      </w:pPr>
      <w:r w:rsidRPr="004F572A">
        <w:rPr>
          <w:rFonts w:eastAsia="Calibri"/>
          <w:sz w:val="22"/>
          <w:szCs w:val="22"/>
        </w:rPr>
        <w:t>Iš anksto nustatyta galutinė BI analizė su maždaug 16</w:t>
      </w:r>
      <w:r w:rsidR="00115D7F">
        <w:rPr>
          <w:rFonts w:eastAsia="Calibri"/>
          <w:sz w:val="22"/>
          <w:szCs w:val="22"/>
        </w:rPr>
        <w:t> </w:t>
      </w:r>
      <w:r w:rsidRPr="004F572A">
        <w:rPr>
          <w:rFonts w:eastAsia="Calibri"/>
          <w:sz w:val="22"/>
          <w:szCs w:val="22"/>
        </w:rPr>
        <w:t>mėnesių papildoma stebėjimo trukme nuo tarpinės analizės (bendra stebėjimo trukmės mediana 14,7</w:t>
      </w:r>
      <w:r w:rsidR="00115D7F">
        <w:rPr>
          <w:rFonts w:eastAsia="Calibri"/>
          <w:sz w:val="22"/>
          <w:szCs w:val="22"/>
        </w:rPr>
        <w:t> </w:t>
      </w:r>
      <w:r w:rsidRPr="004F572A">
        <w:rPr>
          <w:rFonts w:eastAsia="Calibri"/>
          <w:sz w:val="22"/>
          <w:szCs w:val="22"/>
        </w:rPr>
        <w:t>mėnesio [intervalas nuo 0,3 iki 43,0</w:t>
      </w:r>
      <w:r w:rsidR="00115D7F">
        <w:rPr>
          <w:rFonts w:eastAsia="Calibri"/>
          <w:sz w:val="22"/>
          <w:szCs w:val="22"/>
        </w:rPr>
        <w:t> </w:t>
      </w:r>
      <w:r w:rsidRPr="004F572A">
        <w:rPr>
          <w:rFonts w:eastAsia="Calibri"/>
          <w:sz w:val="22"/>
          <w:szCs w:val="22"/>
        </w:rPr>
        <w:t>mėnesi</w:t>
      </w:r>
      <w:r w:rsidR="003E7FA5">
        <w:rPr>
          <w:rFonts w:eastAsia="Calibri"/>
          <w:sz w:val="22"/>
          <w:szCs w:val="22"/>
        </w:rPr>
        <w:t>o</w:t>
      </w:r>
      <w:r w:rsidRPr="004F572A">
        <w:rPr>
          <w:rFonts w:eastAsia="Calibri"/>
          <w:sz w:val="22"/>
          <w:szCs w:val="22"/>
        </w:rPr>
        <w:t xml:space="preserve">]) buvo atlikta be daugybinio koregavimo. Visos </w:t>
      </w:r>
      <w:r w:rsidR="003E7FA5">
        <w:rPr>
          <w:rFonts w:eastAsia="Calibri"/>
          <w:sz w:val="22"/>
          <w:szCs w:val="22"/>
        </w:rPr>
        <w:t>pacientų</w:t>
      </w:r>
      <w:r w:rsidR="003E7FA5" w:rsidRPr="004F572A">
        <w:rPr>
          <w:rFonts w:eastAsia="Calibri"/>
          <w:sz w:val="22"/>
          <w:szCs w:val="22"/>
        </w:rPr>
        <w:t xml:space="preserve"> </w:t>
      </w:r>
      <w:r w:rsidRPr="004F572A">
        <w:rPr>
          <w:rFonts w:eastAsia="Calibri"/>
          <w:sz w:val="22"/>
          <w:szCs w:val="22"/>
        </w:rPr>
        <w:t>populiacijos veiksmingumo rezultatai apibendrinti 9</w:t>
      </w:r>
      <w:r w:rsidR="00115D7F">
        <w:rPr>
          <w:rFonts w:eastAsia="Calibri"/>
          <w:sz w:val="22"/>
          <w:szCs w:val="22"/>
        </w:rPr>
        <w:t> </w:t>
      </w:r>
      <w:r w:rsidRPr="004F572A">
        <w:rPr>
          <w:rFonts w:eastAsia="Calibri"/>
          <w:sz w:val="22"/>
          <w:szCs w:val="22"/>
        </w:rPr>
        <w:t xml:space="preserve">lentelėje. Galutinės </w:t>
      </w:r>
      <w:r w:rsidR="006B4C8D" w:rsidRPr="004F572A">
        <w:rPr>
          <w:rFonts w:eastAsia="Calibri"/>
          <w:sz w:val="22"/>
          <w:szCs w:val="22"/>
        </w:rPr>
        <w:t>BI</w:t>
      </w:r>
      <w:r w:rsidRPr="004F572A">
        <w:rPr>
          <w:rFonts w:eastAsia="Calibri"/>
          <w:sz w:val="22"/>
          <w:szCs w:val="22"/>
        </w:rPr>
        <w:t xml:space="preserve"> ir tarpinės </w:t>
      </w:r>
      <w:r w:rsidR="006B4C8D" w:rsidRPr="004F572A">
        <w:rPr>
          <w:rFonts w:eastAsia="Calibri"/>
          <w:sz w:val="22"/>
          <w:szCs w:val="22"/>
        </w:rPr>
        <w:t>ILN</w:t>
      </w:r>
      <w:r w:rsidRPr="004F572A">
        <w:rPr>
          <w:rFonts w:eastAsia="Calibri"/>
          <w:sz w:val="22"/>
          <w:szCs w:val="22"/>
        </w:rPr>
        <w:t xml:space="preserve"> analizių </w:t>
      </w:r>
      <w:proofErr w:type="spellStart"/>
      <w:r w:rsidRPr="000D1CAE">
        <w:rPr>
          <w:rFonts w:eastAsia="Calibri"/>
          <w:i/>
          <w:sz w:val="22"/>
          <w:szCs w:val="22"/>
        </w:rPr>
        <w:t>Kaplan-Me</w:t>
      </w:r>
      <w:r w:rsidR="006B4C8D" w:rsidRPr="000D1CAE">
        <w:rPr>
          <w:rFonts w:eastAsia="Calibri"/>
          <w:i/>
          <w:sz w:val="22"/>
          <w:szCs w:val="22"/>
        </w:rPr>
        <w:t>i</w:t>
      </w:r>
      <w:r w:rsidRPr="000D1CAE">
        <w:rPr>
          <w:rFonts w:eastAsia="Calibri"/>
          <w:i/>
          <w:sz w:val="22"/>
          <w:szCs w:val="22"/>
        </w:rPr>
        <w:t>er</w:t>
      </w:r>
      <w:proofErr w:type="spellEnd"/>
      <w:r w:rsidRPr="004F572A">
        <w:rPr>
          <w:rFonts w:eastAsia="Calibri"/>
          <w:sz w:val="22"/>
          <w:szCs w:val="22"/>
        </w:rPr>
        <w:t xml:space="preserve"> kreivės pavaizduotos atitinkamai 3 ir 4</w:t>
      </w:r>
      <w:r w:rsidR="00115D7F">
        <w:rPr>
          <w:rFonts w:eastAsia="Calibri"/>
          <w:sz w:val="22"/>
          <w:szCs w:val="22"/>
        </w:rPr>
        <w:t> </w:t>
      </w:r>
      <w:r w:rsidRPr="004F572A">
        <w:rPr>
          <w:rFonts w:eastAsia="Calibri"/>
          <w:sz w:val="22"/>
          <w:szCs w:val="22"/>
        </w:rPr>
        <w:t>paveiksluose.</w:t>
      </w:r>
    </w:p>
    <w:p w14:paraId="78DDBE61" w14:textId="77777777" w:rsidR="00E236E3" w:rsidRPr="004F572A" w:rsidRDefault="00E236E3" w:rsidP="000928CA">
      <w:pPr>
        <w:widowControl w:val="0"/>
        <w:tabs>
          <w:tab w:val="clear" w:pos="567"/>
        </w:tabs>
        <w:rPr>
          <w:rFonts w:eastAsia="Calibri"/>
          <w:sz w:val="22"/>
          <w:szCs w:val="22"/>
        </w:rPr>
      </w:pPr>
    </w:p>
    <w:tbl>
      <w:tblPr>
        <w:tblStyle w:val="Lentelstinklelis"/>
        <w:tblW w:w="9085" w:type="dxa"/>
        <w:tblLook w:val="04A0" w:firstRow="1" w:lastRow="0" w:firstColumn="1" w:lastColumn="0" w:noHBand="0" w:noVBand="1"/>
      </w:tblPr>
      <w:tblGrid>
        <w:gridCol w:w="4495"/>
        <w:gridCol w:w="2250"/>
        <w:gridCol w:w="2340"/>
      </w:tblGrid>
      <w:tr w:rsidR="006D70E3" w:rsidRPr="004F572A" w14:paraId="1FE8C98F" w14:textId="77777777" w:rsidTr="00FD2440">
        <w:tc>
          <w:tcPr>
            <w:tcW w:w="9085" w:type="dxa"/>
            <w:gridSpan w:val="3"/>
          </w:tcPr>
          <w:p w14:paraId="194F3D02" w14:textId="2BC7A008" w:rsidR="006D70E3" w:rsidRPr="004F572A" w:rsidRDefault="00BD27E6" w:rsidP="000928CA">
            <w:pPr>
              <w:widowControl w:val="0"/>
              <w:tabs>
                <w:tab w:val="clear" w:pos="567"/>
              </w:tabs>
              <w:rPr>
                <w:rFonts w:eastAsia="Calibri"/>
                <w:b/>
                <w:bCs/>
                <w:sz w:val="22"/>
                <w:szCs w:val="22"/>
              </w:rPr>
            </w:pPr>
            <w:r w:rsidRPr="004F572A">
              <w:rPr>
                <w:rFonts w:eastAsia="Calibri"/>
                <w:b/>
                <w:bCs/>
                <w:sz w:val="22"/>
                <w:szCs w:val="22"/>
              </w:rPr>
              <w:t>9</w:t>
            </w:r>
            <w:r w:rsidR="00115D7F">
              <w:rPr>
                <w:rFonts w:eastAsia="Calibri"/>
                <w:b/>
                <w:bCs/>
                <w:sz w:val="22"/>
                <w:szCs w:val="22"/>
              </w:rPr>
              <w:t> </w:t>
            </w:r>
            <w:r w:rsidRPr="004F572A">
              <w:rPr>
                <w:rFonts w:eastAsia="Calibri"/>
                <w:b/>
                <w:bCs/>
                <w:sz w:val="22"/>
                <w:szCs w:val="22"/>
              </w:rPr>
              <w:t xml:space="preserve">lentelė. </w:t>
            </w:r>
            <w:proofErr w:type="spellStart"/>
            <w:r w:rsidRPr="004F572A">
              <w:rPr>
                <w:rFonts w:eastAsia="Calibri"/>
                <w:b/>
                <w:bCs/>
                <w:sz w:val="22"/>
                <w:szCs w:val="22"/>
              </w:rPr>
              <w:t>Endometriumo</w:t>
            </w:r>
            <w:proofErr w:type="spellEnd"/>
            <w:r w:rsidRPr="004F572A">
              <w:rPr>
                <w:rFonts w:eastAsia="Calibri"/>
                <w:b/>
                <w:bCs/>
                <w:sz w:val="22"/>
                <w:szCs w:val="22"/>
              </w:rPr>
              <w:t xml:space="preserve"> karcinomos tyrimo veiksmingumo rezultatai – </w:t>
            </w:r>
            <w:r w:rsidR="003E7FA5">
              <w:rPr>
                <w:rFonts w:eastAsia="Calibri"/>
                <w:b/>
                <w:bCs/>
                <w:sz w:val="22"/>
                <w:szCs w:val="22"/>
              </w:rPr>
              <w:t xml:space="preserve">tyrimas Nr. </w:t>
            </w:r>
            <w:r w:rsidRPr="004F572A">
              <w:rPr>
                <w:rFonts w:eastAsia="Calibri"/>
                <w:b/>
                <w:bCs/>
                <w:sz w:val="22"/>
                <w:szCs w:val="22"/>
              </w:rPr>
              <w:t xml:space="preserve">309 </w:t>
            </w:r>
          </w:p>
        </w:tc>
      </w:tr>
      <w:tr w:rsidR="00F45BBF" w:rsidRPr="004F572A" w14:paraId="010881E4" w14:textId="77777777" w:rsidTr="00FD2440">
        <w:tc>
          <w:tcPr>
            <w:tcW w:w="4495" w:type="dxa"/>
            <w:vAlign w:val="center"/>
          </w:tcPr>
          <w:p w14:paraId="40894931" w14:textId="6C6BFEEB" w:rsidR="00F45BBF" w:rsidRPr="004F572A" w:rsidRDefault="00BD27E6" w:rsidP="00BD27E6">
            <w:pPr>
              <w:widowControl w:val="0"/>
              <w:tabs>
                <w:tab w:val="clear" w:pos="567"/>
              </w:tabs>
              <w:rPr>
                <w:rFonts w:eastAsia="Calibri"/>
                <w:b/>
                <w:bCs/>
                <w:sz w:val="22"/>
                <w:szCs w:val="22"/>
              </w:rPr>
            </w:pPr>
            <w:r w:rsidRPr="004F572A">
              <w:rPr>
                <w:rFonts w:eastAsia="Calibri"/>
                <w:b/>
                <w:bCs/>
                <w:sz w:val="22"/>
                <w:szCs w:val="22"/>
              </w:rPr>
              <w:t>Vertinamoji baigtis</w:t>
            </w:r>
          </w:p>
        </w:tc>
        <w:tc>
          <w:tcPr>
            <w:tcW w:w="2250" w:type="dxa"/>
            <w:vAlign w:val="center"/>
          </w:tcPr>
          <w:p w14:paraId="02E962B8" w14:textId="49D708BE" w:rsidR="00BD27E6" w:rsidRPr="004F572A" w:rsidRDefault="00BD27E6" w:rsidP="00BD27E6">
            <w:pPr>
              <w:widowControl w:val="0"/>
              <w:tabs>
                <w:tab w:val="clear" w:pos="567"/>
              </w:tabs>
              <w:jc w:val="center"/>
              <w:rPr>
                <w:rFonts w:eastAsia="Calibri"/>
                <w:b/>
                <w:bCs/>
                <w:sz w:val="22"/>
                <w:szCs w:val="22"/>
              </w:rPr>
            </w:pPr>
            <w:proofErr w:type="spellStart"/>
            <w:r w:rsidRPr="004F572A">
              <w:rPr>
                <w:rFonts w:eastAsia="Calibri"/>
                <w:b/>
                <w:bCs/>
                <w:sz w:val="22"/>
                <w:szCs w:val="22"/>
              </w:rPr>
              <w:t>Lenvatinibas</w:t>
            </w:r>
            <w:proofErr w:type="spellEnd"/>
            <w:r w:rsidRPr="004F572A">
              <w:rPr>
                <w:rFonts w:eastAsia="Calibri"/>
                <w:b/>
                <w:bCs/>
                <w:sz w:val="22"/>
                <w:szCs w:val="22"/>
              </w:rPr>
              <w:t xml:space="preserve"> su </w:t>
            </w:r>
            <w:proofErr w:type="spellStart"/>
            <w:r w:rsidRPr="004F572A">
              <w:rPr>
                <w:rFonts w:eastAsia="Calibri"/>
                <w:b/>
                <w:bCs/>
                <w:sz w:val="22"/>
                <w:szCs w:val="22"/>
              </w:rPr>
              <w:t>pembrolizumabu</w:t>
            </w:r>
            <w:proofErr w:type="spellEnd"/>
          </w:p>
          <w:p w14:paraId="6DC9B943" w14:textId="182A61A2" w:rsidR="00F45BBF" w:rsidRPr="004F572A" w:rsidRDefault="00BD27E6" w:rsidP="00BD27E6">
            <w:pPr>
              <w:widowControl w:val="0"/>
              <w:tabs>
                <w:tab w:val="clear" w:pos="567"/>
              </w:tabs>
              <w:jc w:val="center"/>
              <w:rPr>
                <w:rFonts w:eastAsia="Calibri"/>
                <w:b/>
                <w:bCs/>
                <w:sz w:val="22"/>
                <w:szCs w:val="22"/>
              </w:rPr>
            </w:pPr>
            <w:r w:rsidRPr="004F572A">
              <w:rPr>
                <w:rFonts w:eastAsia="Calibri"/>
                <w:b/>
                <w:bCs/>
                <w:sz w:val="22"/>
                <w:szCs w:val="22"/>
              </w:rPr>
              <w:t>N</w:t>
            </w:r>
            <w:r w:rsidR="00115D7F">
              <w:rPr>
                <w:rFonts w:eastAsia="Calibri"/>
                <w:b/>
                <w:bCs/>
                <w:sz w:val="22"/>
                <w:szCs w:val="22"/>
              </w:rPr>
              <w:t> </w:t>
            </w:r>
            <w:r w:rsidRPr="004F572A">
              <w:rPr>
                <w:rFonts w:eastAsia="Calibri"/>
                <w:b/>
                <w:bCs/>
                <w:sz w:val="22"/>
                <w:szCs w:val="22"/>
              </w:rPr>
              <w:t>=</w:t>
            </w:r>
            <w:r w:rsidR="00115D7F">
              <w:rPr>
                <w:rFonts w:eastAsia="Calibri"/>
                <w:b/>
                <w:bCs/>
                <w:sz w:val="22"/>
                <w:szCs w:val="22"/>
              </w:rPr>
              <w:t> </w:t>
            </w:r>
            <w:r w:rsidRPr="004F572A">
              <w:rPr>
                <w:rFonts w:eastAsia="Calibri"/>
                <w:b/>
                <w:bCs/>
                <w:sz w:val="22"/>
                <w:szCs w:val="22"/>
              </w:rPr>
              <w:t>411</w:t>
            </w:r>
          </w:p>
        </w:tc>
        <w:tc>
          <w:tcPr>
            <w:tcW w:w="2340" w:type="dxa"/>
            <w:vAlign w:val="center"/>
          </w:tcPr>
          <w:p w14:paraId="3D5DB1C8" w14:textId="77777777" w:rsidR="00BD27E6" w:rsidRPr="004F572A" w:rsidRDefault="00BD27E6" w:rsidP="00BD27E6">
            <w:pPr>
              <w:widowControl w:val="0"/>
              <w:tabs>
                <w:tab w:val="clear" w:pos="567"/>
              </w:tabs>
              <w:jc w:val="center"/>
              <w:rPr>
                <w:rFonts w:eastAsia="Calibri"/>
                <w:b/>
                <w:bCs/>
                <w:sz w:val="22"/>
                <w:szCs w:val="22"/>
              </w:rPr>
            </w:pPr>
            <w:proofErr w:type="spellStart"/>
            <w:r w:rsidRPr="004F572A">
              <w:rPr>
                <w:rFonts w:eastAsia="Calibri"/>
                <w:b/>
                <w:bCs/>
                <w:sz w:val="22"/>
                <w:szCs w:val="22"/>
              </w:rPr>
              <w:t>Doksorubicinas</w:t>
            </w:r>
            <w:proofErr w:type="spellEnd"/>
            <w:r w:rsidRPr="004F572A">
              <w:rPr>
                <w:rFonts w:eastAsia="Calibri"/>
                <w:b/>
                <w:bCs/>
                <w:sz w:val="22"/>
                <w:szCs w:val="22"/>
              </w:rPr>
              <w:t xml:space="preserve"> arba</w:t>
            </w:r>
          </w:p>
          <w:p w14:paraId="6ED51EB9" w14:textId="4E7A27E3" w:rsidR="00BD27E6" w:rsidRPr="004F572A" w:rsidRDefault="00BD27E6" w:rsidP="00BD27E6">
            <w:pPr>
              <w:widowControl w:val="0"/>
              <w:tabs>
                <w:tab w:val="clear" w:pos="567"/>
              </w:tabs>
              <w:jc w:val="center"/>
              <w:rPr>
                <w:rFonts w:eastAsia="Calibri"/>
                <w:b/>
                <w:bCs/>
                <w:sz w:val="22"/>
                <w:szCs w:val="22"/>
              </w:rPr>
            </w:pPr>
            <w:proofErr w:type="spellStart"/>
            <w:r w:rsidRPr="004F572A">
              <w:rPr>
                <w:rFonts w:eastAsia="Calibri"/>
                <w:b/>
                <w:bCs/>
                <w:sz w:val="22"/>
                <w:szCs w:val="22"/>
              </w:rPr>
              <w:t>paklitakselis</w:t>
            </w:r>
            <w:proofErr w:type="spellEnd"/>
          </w:p>
          <w:p w14:paraId="4B2B2216" w14:textId="22001A11" w:rsidR="00F45BBF" w:rsidRPr="004F572A" w:rsidRDefault="00BD27E6" w:rsidP="00BD27E6">
            <w:pPr>
              <w:widowControl w:val="0"/>
              <w:tabs>
                <w:tab w:val="clear" w:pos="567"/>
              </w:tabs>
              <w:jc w:val="center"/>
              <w:rPr>
                <w:rFonts w:eastAsia="Calibri"/>
                <w:sz w:val="22"/>
                <w:szCs w:val="22"/>
              </w:rPr>
            </w:pPr>
            <w:r w:rsidRPr="004F572A">
              <w:rPr>
                <w:rFonts w:eastAsia="Calibri"/>
                <w:b/>
                <w:bCs/>
                <w:sz w:val="22"/>
                <w:szCs w:val="22"/>
              </w:rPr>
              <w:t>N</w:t>
            </w:r>
            <w:r w:rsidR="00115D7F">
              <w:rPr>
                <w:rFonts w:eastAsia="Calibri"/>
                <w:b/>
                <w:bCs/>
                <w:sz w:val="22"/>
                <w:szCs w:val="22"/>
              </w:rPr>
              <w:t> </w:t>
            </w:r>
            <w:r w:rsidRPr="004F572A">
              <w:rPr>
                <w:rFonts w:eastAsia="Calibri"/>
                <w:b/>
                <w:bCs/>
                <w:sz w:val="22"/>
                <w:szCs w:val="22"/>
              </w:rPr>
              <w:t>=</w:t>
            </w:r>
            <w:r w:rsidR="00115D7F">
              <w:rPr>
                <w:rFonts w:eastAsia="Calibri"/>
                <w:b/>
                <w:bCs/>
                <w:sz w:val="22"/>
                <w:szCs w:val="22"/>
              </w:rPr>
              <w:t> </w:t>
            </w:r>
            <w:r w:rsidRPr="004F572A">
              <w:rPr>
                <w:rFonts w:eastAsia="Calibri"/>
                <w:b/>
                <w:bCs/>
                <w:sz w:val="22"/>
                <w:szCs w:val="22"/>
              </w:rPr>
              <w:t>416</w:t>
            </w:r>
          </w:p>
        </w:tc>
      </w:tr>
      <w:tr w:rsidR="00F45BBF" w:rsidRPr="004F572A" w14:paraId="3B9A5774" w14:textId="77777777" w:rsidTr="00FD2440">
        <w:tc>
          <w:tcPr>
            <w:tcW w:w="4495" w:type="dxa"/>
          </w:tcPr>
          <w:p w14:paraId="3E6BC3D9" w14:textId="609D506E" w:rsidR="00F45BBF" w:rsidRPr="004F572A" w:rsidRDefault="00BD27E6" w:rsidP="000928CA">
            <w:pPr>
              <w:widowControl w:val="0"/>
              <w:tabs>
                <w:tab w:val="clear" w:pos="567"/>
              </w:tabs>
              <w:rPr>
                <w:rFonts w:eastAsia="Calibri"/>
                <w:b/>
                <w:bCs/>
                <w:sz w:val="22"/>
                <w:szCs w:val="22"/>
              </w:rPr>
            </w:pPr>
            <w:r w:rsidRPr="004F572A">
              <w:rPr>
                <w:rFonts w:eastAsia="Calibri"/>
                <w:b/>
                <w:bCs/>
                <w:sz w:val="22"/>
                <w:szCs w:val="22"/>
              </w:rPr>
              <w:t>Bendrasis išgyvenamumas</w:t>
            </w:r>
          </w:p>
        </w:tc>
        <w:tc>
          <w:tcPr>
            <w:tcW w:w="2250" w:type="dxa"/>
          </w:tcPr>
          <w:p w14:paraId="47452244" w14:textId="58C97D7E" w:rsidR="00F45BBF" w:rsidRPr="004F572A" w:rsidRDefault="00F45BBF" w:rsidP="00BD27E6">
            <w:pPr>
              <w:widowControl w:val="0"/>
              <w:tabs>
                <w:tab w:val="clear" w:pos="567"/>
              </w:tabs>
              <w:jc w:val="center"/>
              <w:rPr>
                <w:rFonts w:eastAsia="Calibri"/>
                <w:sz w:val="22"/>
                <w:szCs w:val="22"/>
              </w:rPr>
            </w:pPr>
          </w:p>
        </w:tc>
        <w:tc>
          <w:tcPr>
            <w:tcW w:w="2340" w:type="dxa"/>
          </w:tcPr>
          <w:p w14:paraId="4240661E" w14:textId="246CCC7E" w:rsidR="00F45BBF" w:rsidRPr="004F572A" w:rsidRDefault="00F45BBF" w:rsidP="00BD27E6">
            <w:pPr>
              <w:widowControl w:val="0"/>
              <w:tabs>
                <w:tab w:val="clear" w:pos="567"/>
              </w:tabs>
              <w:jc w:val="center"/>
              <w:rPr>
                <w:rFonts w:eastAsia="Calibri"/>
                <w:sz w:val="22"/>
                <w:szCs w:val="22"/>
              </w:rPr>
            </w:pPr>
          </w:p>
        </w:tc>
      </w:tr>
      <w:tr w:rsidR="00F45BBF" w:rsidRPr="004F572A" w14:paraId="0EAC9ABA" w14:textId="77777777" w:rsidTr="00FD2440">
        <w:tc>
          <w:tcPr>
            <w:tcW w:w="4495" w:type="dxa"/>
          </w:tcPr>
          <w:p w14:paraId="2B19CCB7" w14:textId="78F4BFE2" w:rsidR="00F45BBF" w:rsidRPr="004F572A" w:rsidRDefault="00BD27E6" w:rsidP="000928CA">
            <w:pPr>
              <w:widowControl w:val="0"/>
              <w:tabs>
                <w:tab w:val="clear" w:pos="567"/>
              </w:tabs>
              <w:rPr>
                <w:rFonts w:eastAsia="Calibri"/>
                <w:sz w:val="22"/>
                <w:szCs w:val="22"/>
              </w:rPr>
            </w:pPr>
            <w:r w:rsidRPr="004F572A">
              <w:rPr>
                <w:rFonts w:eastAsia="Calibri"/>
                <w:sz w:val="22"/>
                <w:szCs w:val="22"/>
              </w:rPr>
              <w:t xml:space="preserve">Pacienčių, kurioms buvo </w:t>
            </w:r>
            <w:r w:rsidR="003E7FA5">
              <w:rPr>
                <w:rFonts w:eastAsia="Calibri"/>
                <w:sz w:val="22"/>
                <w:szCs w:val="22"/>
              </w:rPr>
              <w:t>įvykis</w:t>
            </w:r>
            <w:r w:rsidRPr="004F572A">
              <w:rPr>
                <w:rFonts w:eastAsia="Calibri"/>
                <w:sz w:val="22"/>
                <w:szCs w:val="22"/>
              </w:rPr>
              <w:t>, skaičius (%)</w:t>
            </w:r>
          </w:p>
        </w:tc>
        <w:tc>
          <w:tcPr>
            <w:tcW w:w="2250" w:type="dxa"/>
          </w:tcPr>
          <w:p w14:paraId="17CF5E93" w14:textId="44E02523" w:rsidR="00F45BBF" w:rsidRPr="004F572A" w:rsidRDefault="00FD2440" w:rsidP="00BD27E6">
            <w:pPr>
              <w:widowControl w:val="0"/>
              <w:tabs>
                <w:tab w:val="clear" w:pos="567"/>
              </w:tabs>
              <w:jc w:val="center"/>
              <w:rPr>
                <w:rFonts w:eastAsia="Calibri"/>
                <w:sz w:val="22"/>
                <w:szCs w:val="22"/>
              </w:rPr>
            </w:pPr>
            <w:r w:rsidRPr="004F572A">
              <w:rPr>
                <w:rFonts w:eastAsia="Calibri"/>
                <w:sz w:val="22"/>
                <w:szCs w:val="22"/>
              </w:rPr>
              <w:t>276 (67 %)</w:t>
            </w:r>
          </w:p>
        </w:tc>
        <w:tc>
          <w:tcPr>
            <w:tcW w:w="2340" w:type="dxa"/>
          </w:tcPr>
          <w:p w14:paraId="096BFBEE" w14:textId="7CEDD31D" w:rsidR="00F45BBF" w:rsidRPr="004F572A" w:rsidRDefault="00FD2440" w:rsidP="00BD27E6">
            <w:pPr>
              <w:widowControl w:val="0"/>
              <w:tabs>
                <w:tab w:val="clear" w:pos="567"/>
              </w:tabs>
              <w:jc w:val="center"/>
              <w:rPr>
                <w:rFonts w:eastAsia="Calibri"/>
                <w:sz w:val="22"/>
                <w:szCs w:val="22"/>
              </w:rPr>
            </w:pPr>
            <w:r w:rsidRPr="004F572A">
              <w:rPr>
                <w:rFonts w:eastAsia="Calibri"/>
                <w:sz w:val="22"/>
                <w:szCs w:val="22"/>
              </w:rPr>
              <w:t>329 (79 %)</w:t>
            </w:r>
          </w:p>
        </w:tc>
      </w:tr>
      <w:tr w:rsidR="00F45BBF" w:rsidRPr="004F572A" w14:paraId="6182BA87" w14:textId="77777777" w:rsidTr="00FD2440">
        <w:tc>
          <w:tcPr>
            <w:tcW w:w="4495" w:type="dxa"/>
          </w:tcPr>
          <w:p w14:paraId="0EB88D11" w14:textId="05653F4A" w:rsidR="00F45BBF" w:rsidRPr="004F572A" w:rsidRDefault="00FD2440" w:rsidP="000928CA">
            <w:pPr>
              <w:widowControl w:val="0"/>
              <w:tabs>
                <w:tab w:val="clear" w:pos="567"/>
              </w:tabs>
              <w:rPr>
                <w:rFonts w:eastAsia="Calibri"/>
                <w:sz w:val="22"/>
                <w:szCs w:val="22"/>
              </w:rPr>
            </w:pPr>
            <w:r w:rsidRPr="004F572A">
              <w:rPr>
                <w:rFonts w:eastAsia="Calibri"/>
                <w:sz w:val="22"/>
                <w:szCs w:val="22"/>
              </w:rPr>
              <w:lastRenderedPageBreak/>
              <w:t>Mediana mėnesiais (95 % PI)</w:t>
            </w:r>
          </w:p>
        </w:tc>
        <w:tc>
          <w:tcPr>
            <w:tcW w:w="2250" w:type="dxa"/>
          </w:tcPr>
          <w:p w14:paraId="59088131" w14:textId="0366017A" w:rsidR="00F45BBF" w:rsidRPr="004F572A" w:rsidRDefault="00FD2440" w:rsidP="00BD27E6">
            <w:pPr>
              <w:widowControl w:val="0"/>
              <w:tabs>
                <w:tab w:val="clear" w:pos="567"/>
              </w:tabs>
              <w:jc w:val="center"/>
              <w:rPr>
                <w:rFonts w:eastAsia="Calibri"/>
                <w:sz w:val="22"/>
                <w:szCs w:val="22"/>
              </w:rPr>
            </w:pPr>
            <w:r w:rsidRPr="004F572A">
              <w:rPr>
                <w:rFonts w:eastAsia="Calibri"/>
                <w:sz w:val="22"/>
                <w:szCs w:val="22"/>
              </w:rPr>
              <w:t>18,7 (15,6, 21,3)</w:t>
            </w:r>
          </w:p>
        </w:tc>
        <w:tc>
          <w:tcPr>
            <w:tcW w:w="2340" w:type="dxa"/>
          </w:tcPr>
          <w:p w14:paraId="36512199" w14:textId="2F431C21" w:rsidR="00F45BBF" w:rsidRPr="004F572A" w:rsidRDefault="00FD2440" w:rsidP="00BD27E6">
            <w:pPr>
              <w:widowControl w:val="0"/>
              <w:tabs>
                <w:tab w:val="clear" w:pos="567"/>
              </w:tabs>
              <w:jc w:val="center"/>
              <w:rPr>
                <w:rFonts w:eastAsia="Calibri"/>
                <w:sz w:val="22"/>
                <w:szCs w:val="22"/>
              </w:rPr>
            </w:pPr>
            <w:r w:rsidRPr="004F572A">
              <w:rPr>
                <w:rFonts w:eastAsia="Calibri"/>
                <w:sz w:val="22"/>
                <w:szCs w:val="22"/>
              </w:rPr>
              <w:t>11,9 (10,7, 13,3)</w:t>
            </w:r>
          </w:p>
        </w:tc>
      </w:tr>
      <w:tr w:rsidR="00FD2440" w:rsidRPr="004F572A" w14:paraId="51B1F208" w14:textId="77777777" w:rsidTr="00FD2440">
        <w:tc>
          <w:tcPr>
            <w:tcW w:w="4495" w:type="dxa"/>
          </w:tcPr>
          <w:p w14:paraId="6F3AC5FA" w14:textId="60724CC4" w:rsidR="00FD2440" w:rsidRPr="004F572A" w:rsidRDefault="003E7FA5" w:rsidP="000928CA">
            <w:pPr>
              <w:widowControl w:val="0"/>
              <w:tabs>
                <w:tab w:val="clear" w:pos="567"/>
              </w:tabs>
              <w:rPr>
                <w:rFonts w:eastAsia="Calibri"/>
                <w:sz w:val="22"/>
                <w:szCs w:val="22"/>
              </w:rPr>
            </w:pPr>
            <w:r>
              <w:rPr>
                <w:rFonts w:eastAsia="Calibri"/>
                <w:sz w:val="22"/>
                <w:szCs w:val="22"/>
              </w:rPr>
              <w:t xml:space="preserve">Santykinė </w:t>
            </w:r>
            <w:proofErr w:type="spellStart"/>
            <w:r>
              <w:rPr>
                <w:rFonts w:eastAsia="Calibri"/>
                <w:sz w:val="22"/>
                <w:szCs w:val="22"/>
              </w:rPr>
              <w:t>rizika</w:t>
            </w:r>
            <w:r w:rsidR="00FD2440" w:rsidRPr="004F572A">
              <w:rPr>
                <w:rFonts w:eastAsia="Calibri"/>
                <w:sz w:val="22"/>
                <w:szCs w:val="22"/>
                <w:vertAlign w:val="superscript"/>
              </w:rPr>
              <w:t>a</w:t>
            </w:r>
            <w:proofErr w:type="spellEnd"/>
            <w:r w:rsidR="00FD2440" w:rsidRPr="004F572A">
              <w:rPr>
                <w:rFonts w:eastAsia="Calibri"/>
                <w:sz w:val="22"/>
                <w:szCs w:val="22"/>
              </w:rPr>
              <w:t xml:space="preserve"> (95 % PI)</w:t>
            </w:r>
          </w:p>
        </w:tc>
        <w:tc>
          <w:tcPr>
            <w:tcW w:w="4590" w:type="dxa"/>
            <w:gridSpan w:val="2"/>
          </w:tcPr>
          <w:p w14:paraId="3CC9E81B" w14:textId="63D35B66" w:rsidR="00FD2440" w:rsidRPr="004F572A" w:rsidRDefault="00FD2440" w:rsidP="00BD27E6">
            <w:pPr>
              <w:widowControl w:val="0"/>
              <w:tabs>
                <w:tab w:val="clear" w:pos="567"/>
              </w:tabs>
              <w:jc w:val="center"/>
              <w:rPr>
                <w:rFonts w:eastAsia="Calibri"/>
                <w:sz w:val="22"/>
                <w:szCs w:val="22"/>
              </w:rPr>
            </w:pPr>
            <w:r w:rsidRPr="004F572A">
              <w:rPr>
                <w:rFonts w:eastAsia="Calibri"/>
                <w:sz w:val="22"/>
                <w:szCs w:val="22"/>
              </w:rPr>
              <w:t>0,65 (0,55, 0,77)</w:t>
            </w:r>
          </w:p>
        </w:tc>
      </w:tr>
      <w:tr w:rsidR="00FD2440" w:rsidRPr="004F572A" w14:paraId="6CFEE902" w14:textId="77777777" w:rsidTr="00FD2440">
        <w:tc>
          <w:tcPr>
            <w:tcW w:w="4495" w:type="dxa"/>
          </w:tcPr>
          <w:p w14:paraId="45848277" w14:textId="2F96C63A" w:rsidR="00FD2440" w:rsidRPr="004F572A" w:rsidRDefault="00FD2440" w:rsidP="000928CA">
            <w:pPr>
              <w:widowControl w:val="0"/>
              <w:tabs>
                <w:tab w:val="clear" w:pos="567"/>
              </w:tabs>
              <w:rPr>
                <w:rFonts w:eastAsia="Calibri"/>
                <w:sz w:val="22"/>
                <w:szCs w:val="22"/>
              </w:rPr>
            </w:pPr>
            <w:r w:rsidRPr="004F572A">
              <w:rPr>
                <w:rFonts w:eastAsia="Calibri"/>
                <w:sz w:val="22"/>
                <w:szCs w:val="22"/>
              </w:rPr>
              <w:t>P-</w:t>
            </w:r>
            <w:proofErr w:type="spellStart"/>
            <w:r w:rsidRPr="004F572A">
              <w:rPr>
                <w:rFonts w:eastAsia="Calibri"/>
                <w:sz w:val="22"/>
                <w:szCs w:val="22"/>
              </w:rPr>
              <w:t>vertė</w:t>
            </w:r>
            <w:r w:rsidRPr="004F572A">
              <w:rPr>
                <w:rFonts w:eastAsia="Calibri"/>
                <w:sz w:val="22"/>
                <w:szCs w:val="22"/>
                <w:vertAlign w:val="superscript"/>
              </w:rPr>
              <w:t>b</w:t>
            </w:r>
            <w:proofErr w:type="spellEnd"/>
          </w:p>
        </w:tc>
        <w:tc>
          <w:tcPr>
            <w:tcW w:w="4590" w:type="dxa"/>
            <w:gridSpan w:val="2"/>
          </w:tcPr>
          <w:p w14:paraId="078DFBBB" w14:textId="6221225E" w:rsidR="00FD2440" w:rsidRPr="004F572A" w:rsidRDefault="00FD2440" w:rsidP="00BD27E6">
            <w:pPr>
              <w:widowControl w:val="0"/>
              <w:tabs>
                <w:tab w:val="clear" w:pos="567"/>
              </w:tabs>
              <w:jc w:val="center"/>
              <w:rPr>
                <w:rFonts w:eastAsia="Calibri"/>
                <w:sz w:val="22"/>
                <w:szCs w:val="22"/>
              </w:rPr>
            </w:pPr>
            <w:r w:rsidRPr="004F572A">
              <w:rPr>
                <w:rFonts w:eastAsia="Calibri"/>
                <w:sz w:val="22"/>
                <w:szCs w:val="22"/>
              </w:rPr>
              <w:t>&lt; 0,0001</w:t>
            </w:r>
          </w:p>
        </w:tc>
      </w:tr>
      <w:tr w:rsidR="00FD2440" w:rsidRPr="004F572A" w14:paraId="40E17F79" w14:textId="77777777" w:rsidTr="00F67D19">
        <w:tc>
          <w:tcPr>
            <w:tcW w:w="4495" w:type="dxa"/>
          </w:tcPr>
          <w:p w14:paraId="17D7F01C" w14:textId="1AA7EFC5" w:rsidR="00FD2440" w:rsidRPr="004F572A" w:rsidRDefault="00FD2440" w:rsidP="00F67D19">
            <w:pPr>
              <w:widowControl w:val="0"/>
              <w:tabs>
                <w:tab w:val="clear" w:pos="567"/>
              </w:tabs>
              <w:rPr>
                <w:rFonts w:eastAsia="Calibri"/>
                <w:b/>
                <w:bCs/>
                <w:sz w:val="22"/>
                <w:szCs w:val="22"/>
              </w:rPr>
            </w:pPr>
            <w:proofErr w:type="spellStart"/>
            <w:r w:rsidRPr="004F572A">
              <w:rPr>
                <w:rFonts w:eastAsia="Calibri"/>
                <w:b/>
                <w:bCs/>
                <w:sz w:val="22"/>
                <w:szCs w:val="22"/>
              </w:rPr>
              <w:t>ILN</w:t>
            </w:r>
            <w:r w:rsidRPr="004F572A">
              <w:rPr>
                <w:rFonts w:eastAsia="Calibri"/>
                <w:b/>
                <w:bCs/>
                <w:sz w:val="22"/>
                <w:szCs w:val="22"/>
                <w:vertAlign w:val="superscript"/>
              </w:rPr>
              <w:t>d</w:t>
            </w:r>
            <w:proofErr w:type="spellEnd"/>
            <w:r w:rsidRPr="004F572A">
              <w:rPr>
                <w:rFonts w:eastAsia="Calibri"/>
                <w:b/>
                <w:bCs/>
                <w:sz w:val="22"/>
                <w:szCs w:val="22"/>
              </w:rPr>
              <w:t xml:space="preserve"> </w:t>
            </w:r>
            <w:r w:rsidRPr="004F572A">
              <w:rPr>
                <w:rFonts w:eastAsia="Calibri"/>
                <w:sz w:val="22"/>
                <w:szCs w:val="22"/>
              </w:rPr>
              <w:t>(Išgyvenamumas ligai neprogresuojant)</w:t>
            </w:r>
            <w:r w:rsidRPr="004F572A">
              <w:rPr>
                <w:rFonts w:eastAsia="Calibri"/>
                <w:b/>
                <w:bCs/>
                <w:sz w:val="22"/>
                <w:szCs w:val="22"/>
              </w:rPr>
              <w:t xml:space="preserve"> </w:t>
            </w:r>
          </w:p>
        </w:tc>
        <w:tc>
          <w:tcPr>
            <w:tcW w:w="2250" w:type="dxa"/>
          </w:tcPr>
          <w:p w14:paraId="52230DEE" w14:textId="77777777" w:rsidR="00FD2440" w:rsidRPr="004F572A" w:rsidRDefault="00FD2440" w:rsidP="00F67D19">
            <w:pPr>
              <w:widowControl w:val="0"/>
              <w:tabs>
                <w:tab w:val="clear" w:pos="567"/>
              </w:tabs>
              <w:jc w:val="center"/>
              <w:rPr>
                <w:rFonts w:eastAsia="Calibri"/>
                <w:sz w:val="22"/>
                <w:szCs w:val="22"/>
              </w:rPr>
            </w:pPr>
          </w:p>
        </w:tc>
        <w:tc>
          <w:tcPr>
            <w:tcW w:w="2340" w:type="dxa"/>
          </w:tcPr>
          <w:p w14:paraId="25DA404D" w14:textId="77777777" w:rsidR="00FD2440" w:rsidRPr="004F572A" w:rsidRDefault="00FD2440" w:rsidP="00F67D19">
            <w:pPr>
              <w:widowControl w:val="0"/>
              <w:tabs>
                <w:tab w:val="clear" w:pos="567"/>
              </w:tabs>
              <w:jc w:val="center"/>
              <w:rPr>
                <w:rFonts w:eastAsia="Calibri"/>
                <w:sz w:val="22"/>
                <w:szCs w:val="22"/>
              </w:rPr>
            </w:pPr>
          </w:p>
        </w:tc>
      </w:tr>
      <w:tr w:rsidR="00FD2440" w:rsidRPr="004F572A" w14:paraId="34BBB58C" w14:textId="77777777" w:rsidTr="00F67D19">
        <w:tc>
          <w:tcPr>
            <w:tcW w:w="4495" w:type="dxa"/>
          </w:tcPr>
          <w:p w14:paraId="25E412F6" w14:textId="77777777" w:rsidR="00FD2440" w:rsidRPr="004F572A" w:rsidRDefault="00FD2440" w:rsidP="00F67D19">
            <w:pPr>
              <w:widowControl w:val="0"/>
              <w:tabs>
                <w:tab w:val="clear" w:pos="567"/>
              </w:tabs>
              <w:rPr>
                <w:rFonts w:eastAsia="Calibri"/>
                <w:sz w:val="22"/>
                <w:szCs w:val="22"/>
              </w:rPr>
            </w:pPr>
            <w:r w:rsidRPr="004F572A">
              <w:rPr>
                <w:rFonts w:eastAsia="Calibri"/>
                <w:sz w:val="22"/>
                <w:szCs w:val="22"/>
              </w:rPr>
              <w:t>Pacienčių, kurioms buvo reiškinys, skaičius (%)</w:t>
            </w:r>
          </w:p>
        </w:tc>
        <w:tc>
          <w:tcPr>
            <w:tcW w:w="2250" w:type="dxa"/>
          </w:tcPr>
          <w:p w14:paraId="39B81E37" w14:textId="0FF4BE89" w:rsidR="00FD2440" w:rsidRPr="004F572A" w:rsidRDefault="00FD2440" w:rsidP="00F67D19">
            <w:pPr>
              <w:widowControl w:val="0"/>
              <w:tabs>
                <w:tab w:val="clear" w:pos="567"/>
              </w:tabs>
              <w:jc w:val="center"/>
              <w:rPr>
                <w:rFonts w:eastAsia="Calibri"/>
                <w:sz w:val="22"/>
                <w:szCs w:val="22"/>
              </w:rPr>
            </w:pPr>
            <w:r w:rsidRPr="004F572A">
              <w:rPr>
                <w:rFonts w:eastAsia="Calibri"/>
                <w:sz w:val="22"/>
                <w:szCs w:val="22"/>
              </w:rPr>
              <w:t>281 (68 %)</w:t>
            </w:r>
          </w:p>
        </w:tc>
        <w:tc>
          <w:tcPr>
            <w:tcW w:w="2340" w:type="dxa"/>
          </w:tcPr>
          <w:p w14:paraId="676BFC52" w14:textId="1E23FA52" w:rsidR="00FD2440" w:rsidRPr="004F572A" w:rsidRDefault="00FD2440" w:rsidP="00F67D19">
            <w:pPr>
              <w:widowControl w:val="0"/>
              <w:tabs>
                <w:tab w:val="clear" w:pos="567"/>
              </w:tabs>
              <w:jc w:val="center"/>
              <w:rPr>
                <w:rFonts w:eastAsia="Calibri"/>
                <w:sz w:val="22"/>
                <w:szCs w:val="22"/>
              </w:rPr>
            </w:pPr>
            <w:r w:rsidRPr="004F572A">
              <w:rPr>
                <w:rFonts w:eastAsia="Calibri"/>
                <w:sz w:val="22"/>
                <w:szCs w:val="22"/>
              </w:rPr>
              <w:t>286 (69 %)</w:t>
            </w:r>
          </w:p>
        </w:tc>
      </w:tr>
      <w:tr w:rsidR="00FD2440" w:rsidRPr="004F572A" w14:paraId="197AEE4B" w14:textId="77777777" w:rsidTr="00F67D19">
        <w:tc>
          <w:tcPr>
            <w:tcW w:w="4495" w:type="dxa"/>
          </w:tcPr>
          <w:p w14:paraId="20309AF2" w14:textId="77777777" w:rsidR="00FD2440" w:rsidRPr="004F572A" w:rsidRDefault="00FD2440" w:rsidP="00F67D19">
            <w:pPr>
              <w:widowControl w:val="0"/>
              <w:tabs>
                <w:tab w:val="clear" w:pos="567"/>
              </w:tabs>
              <w:rPr>
                <w:rFonts w:eastAsia="Calibri"/>
                <w:sz w:val="22"/>
                <w:szCs w:val="22"/>
              </w:rPr>
            </w:pPr>
            <w:r w:rsidRPr="004F572A">
              <w:rPr>
                <w:rFonts w:eastAsia="Calibri"/>
                <w:sz w:val="22"/>
                <w:szCs w:val="22"/>
              </w:rPr>
              <w:t>Mediana mėnesiais (95 % PI)</w:t>
            </w:r>
          </w:p>
        </w:tc>
        <w:tc>
          <w:tcPr>
            <w:tcW w:w="2250" w:type="dxa"/>
          </w:tcPr>
          <w:p w14:paraId="03B4FCA6" w14:textId="77D468D9" w:rsidR="00FD2440" w:rsidRPr="004F572A" w:rsidRDefault="00FD2440" w:rsidP="00F67D19">
            <w:pPr>
              <w:widowControl w:val="0"/>
              <w:tabs>
                <w:tab w:val="clear" w:pos="567"/>
              </w:tabs>
              <w:jc w:val="center"/>
              <w:rPr>
                <w:rFonts w:eastAsia="Calibri"/>
                <w:sz w:val="22"/>
                <w:szCs w:val="22"/>
              </w:rPr>
            </w:pPr>
            <w:r w:rsidRPr="004F572A">
              <w:rPr>
                <w:rFonts w:eastAsia="Calibri"/>
                <w:sz w:val="22"/>
                <w:szCs w:val="22"/>
              </w:rPr>
              <w:t>7,2 (5,7, 7,6)</w:t>
            </w:r>
          </w:p>
        </w:tc>
        <w:tc>
          <w:tcPr>
            <w:tcW w:w="2340" w:type="dxa"/>
          </w:tcPr>
          <w:p w14:paraId="514D31C3" w14:textId="191E34FA" w:rsidR="00FD2440" w:rsidRPr="004F572A" w:rsidRDefault="00FD2440" w:rsidP="00F67D19">
            <w:pPr>
              <w:widowControl w:val="0"/>
              <w:tabs>
                <w:tab w:val="clear" w:pos="567"/>
              </w:tabs>
              <w:jc w:val="center"/>
              <w:rPr>
                <w:rFonts w:eastAsia="Calibri"/>
                <w:sz w:val="22"/>
                <w:szCs w:val="22"/>
              </w:rPr>
            </w:pPr>
            <w:r w:rsidRPr="004F572A">
              <w:rPr>
                <w:rFonts w:eastAsia="Calibri"/>
                <w:sz w:val="22"/>
                <w:szCs w:val="22"/>
              </w:rPr>
              <w:t>3,8 (3,6, 4.2)</w:t>
            </w:r>
          </w:p>
        </w:tc>
      </w:tr>
      <w:tr w:rsidR="00FD2440" w:rsidRPr="004F572A" w14:paraId="5BDEA189" w14:textId="77777777" w:rsidTr="00F67D19">
        <w:tc>
          <w:tcPr>
            <w:tcW w:w="4495" w:type="dxa"/>
          </w:tcPr>
          <w:p w14:paraId="1C146EAB" w14:textId="1107B264" w:rsidR="00FD2440" w:rsidRPr="004F572A" w:rsidRDefault="003E7FA5" w:rsidP="00F67D19">
            <w:pPr>
              <w:widowControl w:val="0"/>
              <w:tabs>
                <w:tab w:val="clear" w:pos="567"/>
              </w:tabs>
              <w:rPr>
                <w:rFonts w:eastAsia="Calibri"/>
                <w:sz w:val="22"/>
                <w:szCs w:val="22"/>
              </w:rPr>
            </w:pPr>
            <w:r w:rsidRPr="003E7FA5">
              <w:rPr>
                <w:rFonts w:eastAsia="Calibri"/>
                <w:sz w:val="22"/>
                <w:szCs w:val="22"/>
              </w:rPr>
              <w:t xml:space="preserve">Santykinė </w:t>
            </w:r>
            <w:proofErr w:type="spellStart"/>
            <w:r w:rsidRPr="003E7FA5">
              <w:rPr>
                <w:rFonts w:eastAsia="Calibri"/>
                <w:sz w:val="22"/>
                <w:szCs w:val="22"/>
              </w:rPr>
              <w:t>rizika</w:t>
            </w:r>
            <w:r w:rsidR="00FD2440" w:rsidRPr="004F572A">
              <w:rPr>
                <w:rFonts w:eastAsia="Calibri"/>
                <w:sz w:val="22"/>
                <w:szCs w:val="22"/>
                <w:vertAlign w:val="superscript"/>
              </w:rPr>
              <w:t>a</w:t>
            </w:r>
            <w:proofErr w:type="spellEnd"/>
            <w:r w:rsidR="00FD2440" w:rsidRPr="004F572A">
              <w:rPr>
                <w:rFonts w:eastAsia="Calibri"/>
                <w:sz w:val="22"/>
                <w:szCs w:val="22"/>
              </w:rPr>
              <w:t xml:space="preserve"> (95 % PI)</w:t>
            </w:r>
          </w:p>
        </w:tc>
        <w:tc>
          <w:tcPr>
            <w:tcW w:w="4590" w:type="dxa"/>
            <w:gridSpan w:val="2"/>
          </w:tcPr>
          <w:p w14:paraId="56E64B2B" w14:textId="25C28B61" w:rsidR="00FD2440" w:rsidRPr="004F572A" w:rsidRDefault="00FD2440" w:rsidP="00F67D19">
            <w:pPr>
              <w:widowControl w:val="0"/>
              <w:tabs>
                <w:tab w:val="clear" w:pos="567"/>
              </w:tabs>
              <w:jc w:val="center"/>
              <w:rPr>
                <w:rFonts w:eastAsia="Calibri"/>
                <w:sz w:val="22"/>
                <w:szCs w:val="22"/>
              </w:rPr>
            </w:pPr>
            <w:r w:rsidRPr="004F572A">
              <w:rPr>
                <w:rFonts w:eastAsia="Calibri"/>
                <w:sz w:val="22"/>
                <w:szCs w:val="22"/>
              </w:rPr>
              <w:t>0,56 (0,47, 0,66)</w:t>
            </w:r>
          </w:p>
        </w:tc>
      </w:tr>
      <w:tr w:rsidR="00FD2440" w:rsidRPr="004F572A" w14:paraId="1CC49E5C" w14:textId="77777777" w:rsidTr="00F67D19">
        <w:tc>
          <w:tcPr>
            <w:tcW w:w="4495" w:type="dxa"/>
          </w:tcPr>
          <w:p w14:paraId="06E7FAB6" w14:textId="7FFA834D" w:rsidR="00FD2440" w:rsidRPr="004F572A" w:rsidRDefault="00FD2440" w:rsidP="00F67D19">
            <w:pPr>
              <w:widowControl w:val="0"/>
              <w:tabs>
                <w:tab w:val="clear" w:pos="567"/>
              </w:tabs>
              <w:rPr>
                <w:rFonts w:eastAsia="Calibri"/>
                <w:sz w:val="22"/>
                <w:szCs w:val="22"/>
              </w:rPr>
            </w:pPr>
            <w:r w:rsidRPr="004F572A">
              <w:rPr>
                <w:rFonts w:eastAsia="Calibri"/>
                <w:sz w:val="22"/>
                <w:szCs w:val="22"/>
              </w:rPr>
              <w:t>P-</w:t>
            </w:r>
            <w:proofErr w:type="spellStart"/>
            <w:r w:rsidRPr="004F572A">
              <w:rPr>
                <w:rFonts w:eastAsia="Calibri"/>
                <w:sz w:val="22"/>
                <w:szCs w:val="22"/>
              </w:rPr>
              <w:t>vertė</w:t>
            </w:r>
            <w:r w:rsidR="00577A71" w:rsidRPr="004F572A">
              <w:rPr>
                <w:rFonts w:eastAsia="Calibri"/>
                <w:sz w:val="22"/>
                <w:szCs w:val="22"/>
                <w:vertAlign w:val="superscript"/>
              </w:rPr>
              <w:t>c</w:t>
            </w:r>
            <w:proofErr w:type="spellEnd"/>
          </w:p>
        </w:tc>
        <w:tc>
          <w:tcPr>
            <w:tcW w:w="4590" w:type="dxa"/>
            <w:gridSpan w:val="2"/>
          </w:tcPr>
          <w:p w14:paraId="0C89C7DA" w14:textId="77777777" w:rsidR="00FD2440" w:rsidRPr="004F572A" w:rsidRDefault="00FD2440" w:rsidP="00F67D19">
            <w:pPr>
              <w:widowControl w:val="0"/>
              <w:tabs>
                <w:tab w:val="clear" w:pos="567"/>
              </w:tabs>
              <w:jc w:val="center"/>
              <w:rPr>
                <w:rFonts w:eastAsia="Calibri"/>
                <w:sz w:val="22"/>
                <w:szCs w:val="22"/>
              </w:rPr>
            </w:pPr>
            <w:r w:rsidRPr="004F572A">
              <w:rPr>
                <w:rFonts w:eastAsia="Calibri"/>
                <w:sz w:val="22"/>
                <w:szCs w:val="22"/>
              </w:rPr>
              <w:t>&lt; 0,0001</w:t>
            </w:r>
          </w:p>
        </w:tc>
      </w:tr>
      <w:tr w:rsidR="00577A71" w:rsidRPr="004F572A" w14:paraId="4D0EF28D" w14:textId="77777777" w:rsidTr="00F67D19">
        <w:tc>
          <w:tcPr>
            <w:tcW w:w="4495" w:type="dxa"/>
          </w:tcPr>
          <w:p w14:paraId="19455317" w14:textId="7620C7FF" w:rsidR="00577A71" w:rsidRPr="004F572A" w:rsidRDefault="00577A71" w:rsidP="00F67D19">
            <w:pPr>
              <w:widowControl w:val="0"/>
              <w:tabs>
                <w:tab w:val="clear" w:pos="567"/>
              </w:tabs>
              <w:rPr>
                <w:rFonts w:eastAsia="Calibri"/>
                <w:b/>
                <w:bCs/>
                <w:sz w:val="22"/>
                <w:szCs w:val="22"/>
              </w:rPr>
            </w:pPr>
            <w:proofErr w:type="spellStart"/>
            <w:r w:rsidRPr="004F572A">
              <w:rPr>
                <w:rFonts w:eastAsia="Calibri"/>
                <w:b/>
                <w:bCs/>
                <w:sz w:val="22"/>
                <w:szCs w:val="22"/>
              </w:rPr>
              <w:t>OAD</w:t>
            </w:r>
            <w:r w:rsidRPr="004F572A">
              <w:rPr>
                <w:rFonts w:eastAsia="Calibri"/>
                <w:b/>
                <w:bCs/>
                <w:sz w:val="22"/>
                <w:szCs w:val="22"/>
                <w:vertAlign w:val="superscript"/>
              </w:rPr>
              <w:t>d</w:t>
            </w:r>
            <w:proofErr w:type="spellEnd"/>
            <w:r w:rsidRPr="004F572A">
              <w:rPr>
                <w:rFonts w:eastAsia="Calibri"/>
                <w:b/>
                <w:bCs/>
                <w:sz w:val="22"/>
                <w:szCs w:val="22"/>
              </w:rPr>
              <w:t xml:space="preserve"> </w:t>
            </w:r>
            <w:r w:rsidRPr="004F572A">
              <w:rPr>
                <w:rFonts w:eastAsia="Calibri"/>
                <w:sz w:val="22"/>
                <w:szCs w:val="22"/>
              </w:rPr>
              <w:t>(Objektyvaus atsako dažnis)</w:t>
            </w:r>
            <w:r w:rsidRPr="004F572A">
              <w:rPr>
                <w:rFonts w:eastAsia="Calibri"/>
                <w:b/>
                <w:bCs/>
                <w:sz w:val="22"/>
                <w:szCs w:val="22"/>
              </w:rPr>
              <w:t xml:space="preserve"> </w:t>
            </w:r>
          </w:p>
        </w:tc>
        <w:tc>
          <w:tcPr>
            <w:tcW w:w="2250" w:type="dxa"/>
          </w:tcPr>
          <w:p w14:paraId="13915154" w14:textId="77777777" w:rsidR="00577A71" w:rsidRPr="004F572A" w:rsidRDefault="00577A71" w:rsidP="00F67D19">
            <w:pPr>
              <w:widowControl w:val="0"/>
              <w:tabs>
                <w:tab w:val="clear" w:pos="567"/>
              </w:tabs>
              <w:jc w:val="center"/>
              <w:rPr>
                <w:rFonts w:eastAsia="Calibri"/>
                <w:sz w:val="22"/>
                <w:szCs w:val="22"/>
              </w:rPr>
            </w:pPr>
          </w:p>
        </w:tc>
        <w:tc>
          <w:tcPr>
            <w:tcW w:w="2340" w:type="dxa"/>
          </w:tcPr>
          <w:p w14:paraId="48E9D14A" w14:textId="77777777" w:rsidR="00577A71" w:rsidRPr="004F572A" w:rsidRDefault="00577A71" w:rsidP="00F67D19">
            <w:pPr>
              <w:widowControl w:val="0"/>
              <w:tabs>
                <w:tab w:val="clear" w:pos="567"/>
              </w:tabs>
              <w:jc w:val="center"/>
              <w:rPr>
                <w:rFonts w:eastAsia="Calibri"/>
                <w:sz w:val="22"/>
                <w:szCs w:val="22"/>
              </w:rPr>
            </w:pPr>
          </w:p>
        </w:tc>
      </w:tr>
      <w:tr w:rsidR="00577A71" w:rsidRPr="004F572A" w14:paraId="22F6A251" w14:textId="77777777" w:rsidTr="00F67D19">
        <w:tc>
          <w:tcPr>
            <w:tcW w:w="4495" w:type="dxa"/>
          </w:tcPr>
          <w:p w14:paraId="517BEFED" w14:textId="6A9F5625" w:rsidR="00577A71" w:rsidRPr="004F572A" w:rsidRDefault="00577A71" w:rsidP="00F67D19">
            <w:pPr>
              <w:widowControl w:val="0"/>
              <w:tabs>
                <w:tab w:val="clear" w:pos="567"/>
              </w:tabs>
              <w:rPr>
                <w:rFonts w:eastAsia="Calibri"/>
                <w:sz w:val="22"/>
                <w:szCs w:val="22"/>
              </w:rPr>
            </w:pPr>
            <w:proofErr w:type="spellStart"/>
            <w:r w:rsidRPr="004F572A">
              <w:rPr>
                <w:rFonts w:eastAsia="Calibri"/>
                <w:sz w:val="22"/>
                <w:szCs w:val="22"/>
              </w:rPr>
              <w:t>OAD</w:t>
            </w:r>
            <w:r w:rsidRPr="004F572A">
              <w:rPr>
                <w:rFonts w:eastAsia="Calibri"/>
                <w:sz w:val="22"/>
                <w:szCs w:val="22"/>
                <w:vertAlign w:val="superscript"/>
              </w:rPr>
              <w:t>e</w:t>
            </w:r>
            <w:proofErr w:type="spellEnd"/>
            <w:r w:rsidRPr="004F572A">
              <w:rPr>
                <w:rFonts w:eastAsia="Calibri"/>
                <w:sz w:val="22"/>
                <w:szCs w:val="22"/>
              </w:rPr>
              <w:t xml:space="preserve"> (%)</w:t>
            </w:r>
          </w:p>
        </w:tc>
        <w:tc>
          <w:tcPr>
            <w:tcW w:w="2250" w:type="dxa"/>
          </w:tcPr>
          <w:p w14:paraId="1AB035BC" w14:textId="3E963F18" w:rsidR="00577A71" w:rsidRPr="004F572A" w:rsidRDefault="00577A71" w:rsidP="00F67D19">
            <w:pPr>
              <w:widowControl w:val="0"/>
              <w:tabs>
                <w:tab w:val="clear" w:pos="567"/>
              </w:tabs>
              <w:jc w:val="center"/>
              <w:rPr>
                <w:rFonts w:eastAsia="Calibri"/>
                <w:sz w:val="22"/>
                <w:szCs w:val="22"/>
              </w:rPr>
            </w:pPr>
            <w:r w:rsidRPr="004F572A">
              <w:rPr>
                <w:rFonts w:eastAsia="Calibri"/>
                <w:sz w:val="22"/>
                <w:szCs w:val="22"/>
              </w:rPr>
              <w:t>32 % (27, 37)</w:t>
            </w:r>
          </w:p>
        </w:tc>
        <w:tc>
          <w:tcPr>
            <w:tcW w:w="2340" w:type="dxa"/>
          </w:tcPr>
          <w:p w14:paraId="750A3094" w14:textId="31B2DA53" w:rsidR="00577A71" w:rsidRPr="004F572A" w:rsidRDefault="00577A71" w:rsidP="00F67D19">
            <w:pPr>
              <w:widowControl w:val="0"/>
              <w:tabs>
                <w:tab w:val="clear" w:pos="567"/>
              </w:tabs>
              <w:jc w:val="center"/>
              <w:rPr>
                <w:rFonts w:eastAsia="Calibri"/>
                <w:sz w:val="22"/>
                <w:szCs w:val="22"/>
              </w:rPr>
            </w:pPr>
            <w:r w:rsidRPr="004F572A">
              <w:rPr>
                <w:rFonts w:eastAsia="Calibri"/>
                <w:sz w:val="22"/>
                <w:szCs w:val="22"/>
              </w:rPr>
              <w:t>15 % (11,18)</w:t>
            </w:r>
          </w:p>
        </w:tc>
      </w:tr>
      <w:tr w:rsidR="00577A71" w:rsidRPr="004F572A" w14:paraId="63F729C5" w14:textId="77777777" w:rsidTr="00F67D19">
        <w:tc>
          <w:tcPr>
            <w:tcW w:w="4495" w:type="dxa"/>
          </w:tcPr>
          <w:p w14:paraId="6ABDBD56" w14:textId="7FAA02EB" w:rsidR="00577A71" w:rsidRPr="004F572A" w:rsidRDefault="00577A71" w:rsidP="00F67D19">
            <w:pPr>
              <w:widowControl w:val="0"/>
              <w:tabs>
                <w:tab w:val="clear" w:pos="567"/>
              </w:tabs>
              <w:rPr>
                <w:rFonts w:eastAsia="Calibri"/>
                <w:sz w:val="22"/>
                <w:szCs w:val="22"/>
              </w:rPr>
            </w:pPr>
            <w:r w:rsidRPr="004F572A">
              <w:rPr>
                <w:rFonts w:eastAsia="Calibri"/>
                <w:sz w:val="22"/>
                <w:szCs w:val="22"/>
              </w:rPr>
              <w:t>Visiškas atsakas</w:t>
            </w:r>
          </w:p>
        </w:tc>
        <w:tc>
          <w:tcPr>
            <w:tcW w:w="2250" w:type="dxa"/>
          </w:tcPr>
          <w:p w14:paraId="0C158A20" w14:textId="5F92C32B" w:rsidR="00577A71" w:rsidRPr="004F572A" w:rsidRDefault="00577A71" w:rsidP="00F67D19">
            <w:pPr>
              <w:widowControl w:val="0"/>
              <w:tabs>
                <w:tab w:val="clear" w:pos="567"/>
              </w:tabs>
              <w:jc w:val="center"/>
              <w:rPr>
                <w:rFonts w:eastAsia="Calibri"/>
                <w:sz w:val="22"/>
                <w:szCs w:val="22"/>
              </w:rPr>
            </w:pPr>
            <w:r w:rsidRPr="004F572A">
              <w:rPr>
                <w:rFonts w:eastAsia="Calibri"/>
                <w:sz w:val="22"/>
                <w:szCs w:val="22"/>
              </w:rPr>
              <w:t>7 %</w:t>
            </w:r>
          </w:p>
        </w:tc>
        <w:tc>
          <w:tcPr>
            <w:tcW w:w="2340" w:type="dxa"/>
          </w:tcPr>
          <w:p w14:paraId="3160A719" w14:textId="0D075E7F" w:rsidR="00577A71" w:rsidRPr="004F572A" w:rsidRDefault="00577A71" w:rsidP="00F67D19">
            <w:pPr>
              <w:widowControl w:val="0"/>
              <w:tabs>
                <w:tab w:val="clear" w:pos="567"/>
              </w:tabs>
              <w:jc w:val="center"/>
              <w:rPr>
                <w:rFonts w:eastAsia="Calibri"/>
                <w:sz w:val="22"/>
                <w:szCs w:val="22"/>
              </w:rPr>
            </w:pPr>
            <w:r w:rsidRPr="004F572A">
              <w:rPr>
                <w:rFonts w:eastAsia="Calibri"/>
                <w:sz w:val="22"/>
                <w:szCs w:val="22"/>
              </w:rPr>
              <w:t>3 %</w:t>
            </w:r>
          </w:p>
        </w:tc>
      </w:tr>
      <w:tr w:rsidR="00577A71" w:rsidRPr="004F572A" w14:paraId="795D47D7" w14:textId="77777777" w:rsidTr="00F67D19">
        <w:tc>
          <w:tcPr>
            <w:tcW w:w="4495" w:type="dxa"/>
          </w:tcPr>
          <w:p w14:paraId="50E5FC68" w14:textId="7F144FCB" w:rsidR="00577A71" w:rsidRPr="004F572A" w:rsidRDefault="00577A71" w:rsidP="00F67D19">
            <w:pPr>
              <w:widowControl w:val="0"/>
              <w:tabs>
                <w:tab w:val="clear" w:pos="567"/>
              </w:tabs>
              <w:rPr>
                <w:rFonts w:eastAsia="Calibri"/>
                <w:sz w:val="22"/>
                <w:szCs w:val="22"/>
              </w:rPr>
            </w:pPr>
            <w:r w:rsidRPr="004F572A">
              <w:rPr>
                <w:rFonts w:eastAsia="Calibri"/>
                <w:sz w:val="22"/>
                <w:szCs w:val="22"/>
              </w:rPr>
              <w:t>Dalinis atsakas</w:t>
            </w:r>
          </w:p>
        </w:tc>
        <w:tc>
          <w:tcPr>
            <w:tcW w:w="2250" w:type="dxa"/>
          </w:tcPr>
          <w:p w14:paraId="22110104" w14:textId="3B79DEAB" w:rsidR="00577A71" w:rsidRPr="004F572A" w:rsidRDefault="00577A71" w:rsidP="00F67D19">
            <w:pPr>
              <w:widowControl w:val="0"/>
              <w:tabs>
                <w:tab w:val="clear" w:pos="567"/>
              </w:tabs>
              <w:jc w:val="center"/>
              <w:rPr>
                <w:rFonts w:eastAsia="Calibri"/>
                <w:sz w:val="22"/>
                <w:szCs w:val="22"/>
              </w:rPr>
            </w:pPr>
            <w:r w:rsidRPr="004F572A">
              <w:rPr>
                <w:rFonts w:eastAsia="Calibri"/>
                <w:sz w:val="22"/>
                <w:szCs w:val="22"/>
              </w:rPr>
              <w:t>25 %</w:t>
            </w:r>
          </w:p>
        </w:tc>
        <w:tc>
          <w:tcPr>
            <w:tcW w:w="2340" w:type="dxa"/>
          </w:tcPr>
          <w:p w14:paraId="0160CB20" w14:textId="7D0002A0" w:rsidR="00577A71" w:rsidRPr="004F572A" w:rsidRDefault="00577A71" w:rsidP="00F67D19">
            <w:pPr>
              <w:widowControl w:val="0"/>
              <w:tabs>
                <w:tab w:val="clear" w:pos="567"/>
              </w:tabs>
              <w:jc w:val="center"/>
              <w:rPr>
                <w:rFonts w:eastAsia="Calibri"/>
                <w:sz w:val="22"/>
                <w:szCs w:val="22"/>
              </w:rPr>
            </w:pPr>
            <w:r w:rsidRPr="004F572A">
              <w:rPr>
                <w:rFonts w:eastAsia="Calibri"/>
                <w:sz w:val="22"/>
                <w:szCs w:val="22"/>
              </w:rPr>
              <w:t>12 %</w:t>
            </w:r>
          </w:p>
        </w:tc>
      </w:tr>
      <w:tr w:rsidR="00577A71" w:rsidRPr="004F572A" w14:paraId="647A7463" w14:textId="77777777" w:rsidTr="00F67D19">
        <w:tc>
          <w:tcPr>
            <w:tcW w:w="4495" w:type="dxa"/>
          </w:tcPr>
          <w:p w14:paraId="43C11A97" w14:textId="19EEC2F4" w:rsidR="00577A71" w:rsidRPr="004F572A" w:rsidRDefault="00577A71" w:rsidP="00F67D19">
            <w:pPr>
              <w:widowControl w:val="0"/>
              <w:tabs>
                <w:tab w:val="clear" w:pos="567"/>
              </w:tabs>
              <w:rPr>
                <w:rFonts w:eastAsia="Calibri"/>
                <w:sz w:val="22"/>
                <w:szCs w:val="22"/>
              </w:rPr>
            </w:pPr>
            <w:r w:rsidRPr="004F572A">
              <w:rPr>
                <w:rFonts w:eastAsia="Calibri"/>
                <w:sz w:val="22"/>
                <w:szCs w:val="22"/>
              </w:rPr>
              <w:t>P-</w:t>
            </w:r>
            <w:proofErr w:type="spellStart"/>
            <w:r w:rsidRPr="004F572A">
              <w:rPr>
                <w:rFonts w:eastAsia="Calibri"/>
                <w:sz w:val="22"/>
                <w:szCs w:val="22"/>
              </w:rPr>
              <w:t>vertė</w:t>
            </w:r>
            <w:r w:rsidRPr="004F572A">
              <w:rPr>
                <w:rFonts w:eastAsia="Calibri"/>
                <w:sz w:val="22"/>
                <w:szCs w:val="22"/>
                <w:vertAlign w:val="superscript"/>
              </w:rPr>
              <w:t>f</w:t>
            </w:r>
            <w:proofErr w:type="spellEnd"/>
          </w:p>
        </w:tc>
        <w:tc>
          <w:tcPr>
            <w:tcW w:w="4590" w:type="dxa"/>
            <w:gridSpan w:val="2"/>
          </w:tcPr>
          <w:p w14:paraId="6225F024" w14:textId="77777777" w:rsidR="00577A71" w:rsidRPr="004F572A" w:rsidRDefault="00577A71" w:rsidP="00F67D19">
            <w:pPr>
              <w:widowControl w:val="0"/>
              <w:tabs>
                <w:tab w:val="clear" w:pos="567"/>
              </w:tabs>
              <w:jc w:val="center"/>
              <w:rPr>
                <w:rFonts w:eastAsia="Calibri"/>
                <w:sz w:val="22"/>
                <w:szCs w:val="22"/>
              </w:rPr>
            </w:pPr>
            <w:r w:rsidRPr="004F572A">
              <w:rPr>
                <w:rFonts w:eastAsia="Calibri"/>
                <w:sz w:val="22"/>
                <w:szCs w:val="22"/>
              </w:rPr>
              <w:t>&lt; 0,0001</w:t>
            </w:r>
          </w:p>
        </w:tc>
      </w:tr>
      <w:tr w:rsidR="00577A71" w:rsidRPr="004F572A" w14:paraId="66456C3B" w14:textId="77777777" w:rsidTr="00F67D19">
        <w:tc>
          <w:tcPr>
            <w:tcW w:w="4495" w:type="dxa"/>
          </w:tcPr>
          <w:p w14:paraId="3E7DA478" w14:textId="34A9AFEF" w:rsidR="00577A71" w:rsidRPr="004F572A" w:rsidRDefault="00577A71" w:rsidP="00F67D19">
            <w:pPr>
              <w:widowControl w:val="0"/>
              <w:tabs>
                <w:tab w:val="clear" w:pos="567"/>
              </w:tabs>
              <w:rPr>
                <w:rFonts w:eastAsia="Calibri"/>
                <w:b/>
                <w:bCs/>
                <w:sz w:val="22"/>
                <w:szCs w:val="22"/>
              </w:rPr>
            </w:pPr>
            <w:r w:rsidRPr="004F572A">
              <w:rPr>
                <w:rFonts w:eastAsia="Calibri"/>
                <w:b/>
                <w:bCs/>
                <w:sz w:val="22"/>
                <w:szCs w:val="22"/>
              </w:rPr>
              <w:t xml:space="preserve">Atsako </w:t>
            </w:r>
            <w:proofErr w:type="spellStart"/>
            <w:r w:rsidRPr="004F572A">
              <w:rPr>
                <w:rFonts w:eastAsia="Calibri"/>
                <w:b/>
                <w:bCs/>
                <w:sz w:val="22"/>
                <w:szCs w:val="22"/>
              </w:rPr>
              <w:t>trukmė</w:t>
            </w:r>
            <w:r w:rsidRPr="004F572A">
              <w:rPr>
                <w:rFonts w:eastAsia="Calibri"/>
                <w:b/>
                <w:bCs/>
                <w:sz w:val="22"/>
                <w:szCs w:val="22"/>
                <w:vertAlign w:val="superscript"/>
              </w:rPr>
              <w:t>d</w:t>
            </w:r>
            <w:proofErr w:type="spellEnd"/>
            <w:r w:rsidRPr="004F572A">
              <w:rPr>
                <w:rFonts w:eastAsia="Calibri"/>
                <w:b/>
                <w:bCs/>
                <w:sz w:val="22"/>
                <w:szCs w:val="22"/>
              </w:rPr>
              <w:t xml:space="preserve"> </w:t>
            </w:r>
          </w:p>
        </w:tc>
        <w:tc>
          <w:tcPr>
            <w:tcW w:w="2250" w:type="dxa"/>
          </w:tcPr>
          <w:p w14:paraId="751B5786" w14:textId="77777777" w:rsidR="00577A71" w:rsidRPr="004F572A" w:rsidRDefault="00577A71" w:rsidP="00F67D19">
            <w:pPr>
              <w:widowControl w:val="0"/>
              <w:tabs>
                <w:tab w:val="clear" w:pos="567"/>
              </w:tabs>
              <w:jc w:val="center"/>
              <w:rPr>
                <w:rFonts w:eastAsia="Calibri"/>
                <w:sz w:val="22"/>
                <w:szCs w:val="22"/>
              </w:rPr>
            </w:pPr>
          </w:p>
        </w:tc>
        <w:tc>
          <w:tcPr>
            <w:tcW w:w="2340" w:type="dxa"/>
          </w:tcPr>
          <w:p w14:paraId="34F997E8" w14:textId="77777777" w:rsidR="00577A71" w:rsidRPr="004F572A" w:rsidRDefault="00577A71" w:rsidP="00F67D19">
            <w:pPr>
              <w:widowControl w:val="0"/>
              <w:tabs>
                <w:tab w:val="clear" w:pos="567"/>
              </w:tabs>
              <w:jc w:val="center"/>
              <w:rPr>
                <w:rFonts w:eastAsia="Calibri"/>
                <w:sz w:val="22"/>
                <w:szCs w:val="22"/>
              </w:rPr>
            </w:pPr>
          </w:p>
        </w:tc>
      </w:tr>
      <w:tr w:rsidR="00577A71" w:rsidRPr="004F572A" w14:paraId="3A16F68A" w14:textId="77777777" w:rsidTr="00F67D19">
        <w:tc>
          <w:tcPr>
            <w:tcW w:w="4495" w:type="dxa"/>
          </w:tcPr>
          <w:p w14:paraId="1056022E" w14:textId="42EE4122" w:rsidR="00577A71" w:rsidRPr="004F572A" w:rsidRDefault="00577A71" w:rsidP="00F67D19">
            <w:pPr>
              <w:widowControl w:val="0"/>
              <w:tabs>
                <w:tab w:val="clear" w:pos="567"/>
              </w:tabs>
              <w:rPr>
                <w:rFonts w:eastAsia="Calibri"/>
                <w:sz w:val="22"/>
                <w:szCs w:val="22"/>
              </w:rPr>
            </w:pPr>
            <w:r w:rsidRPr="004F572A">
              <w:rPr>
                <w:rFonts w:eastAsia="Calibri"/>
                <w:sz w:val="22"/>
                <w:szCs w:val="22"/>
              </w:rPr>
              <w:t xml:space="preserve">Mediana </w:t>
            </w:r>
            <w:proofErr w:type="spellStart"/>
            <w:r w:rsidRPr="004F572A">
              <w:rPr>
                <w:rFonts w:eastAsia="Calibri"/>
                <w:sz w:val="22"/>
                <w:szCs w:val="22"/>
              </w:rPr>
              <w:t>mėnesiais</w:t>
            </w:r>
            <w:r w:rsidRPr="004F572A">
              <w:rPr>
                <w:rFonts w:eastAsia="Calibri"/>
                <w:sz w:val="22"/>
                <w:szCs w:val="22"/>
                <w:vertAlign w:val="superscript"/>
              </w:rPr>
              <w:t>g</w:t>
            </w:r>
            <w:proofErr w:type="spellEnd"/>
            <w:r w:rsidRPr="004F572A">
              <w:rPr>
                <w:rFonts w:eastAsia="Calibri"/>
                <w:sz w:val="22"/>
                <w:szCs w:val="22"/>
              </w:rPr>
              <w:t xml:space="preserve"> (intervalas)</w:t>
            </w:r>
          </w:p>
        </w:tc>
        <w:tc>
          <w:tcPr>
            <w:tcW w:w="2250" w:type="dxa"/>
          </w:tcPr>
          <w:p w14:paraId="4E9E6405" w14:textId="7AF53178" w:rsidR="00577A71" w:rsidRPr="004F572A" w:rsidRDefault="00577A71" w:rsidP="00F67D19">
            <w:pPr>
              <w:widowControl w:val="0"/>
              <w:tabs>
                <w:tab w:val="clear" w:pos="567"/>
              </w:tabs>
              <w:jc w:val="center"/>
              <w:rPr>
                <w:rFonts w:eastAsia="Calibri"/>
                <w:sz w:val="22"/>
                <w:szCs w:val="22"/>
              </w:rPr>
            </w:pPr>
            <w:r w:rsidRPr="004F572A">
              <w:rPr>
                <w:rFonts w:eastAsia="Calibri"/>
                <w:sz w:val="22"/>
                <w:szCs w:val="22"/>
              </w:rPr>
              <w:t>14,4 (1,6+, 23,7+)</w:t>
            </w:r>
          </w:p>
        </w:tc>
        <w:tc>
          <w:tcPr>
            <w:tcW w:w="2340" w:type="dxa"/>
          </w:tcPr>
          <w:p w14:paraId="2D6FEE55" w14:textId="5975F49D" w:rsidR="00577A71" w:rsidRPr="004F572A" w:rsidRDefault="00577A71" w:rsidP="00F67D19">
            <w:pPr>
              <w:widowControl w:val="0"/>
              <w:tabs>
                <w:tab w:val="clear" w:pos="567"/>
              </w:tabs>
              <w:jc w:val="center"/>
              <w:rPr>
                <w:rFonts w:eastAsia="Calibri"/>
                <w:sz w:val="22"/>
                <w:szCs w:val="22"/>
              </w:rPr>
            </w:pPr>
            <w:r w:rsidRPr="004F572A">
              <w:rPr>
                <w:rFonts w:eastAsia="Calibri"/>
                <w:sz w:val="22"/>
                <w:szCs w:val="22"/>
              </w:rPr>
              <w:t>5,7 (0,0+, 24,2+)</w:t>
            </w:r>
          </w:p>
        </w:tc>
      </w:tr>
      <w:tr w:rsidR="00577A71" w:rsidRPr="004F572A" w14:paraId="5C4AB3B1" w14:textId="77777777" w:rsidTr="00577A71">
        <w:tc>
          <w:tcPr>
            <w:tcW w:w="9085" w:type="dxa"/>
            <w:gridSpan w:val="3"/>
          </w:tcPr>
          <w:p w14:paraId="2EA7238D" w14:textId="77777777" w:rsidR="009D285B" w:rsidRPr="004F572A" w:rsidRDefault="009D285B" w:rsidP="009D285B">
            <w:pPr>
              <w:widowControl w:val="0"/>
              <w:tabs>
                <w:tab w:val="clear" w:pos="567"/>
              </w:tabs>
              <w:ind w:left="360" w:hanging="360"/>
              <w:rPr>
                <w:rFonts w:eastAsia="Calibri"/>
                <w:sz w:val="22"/>
                <w:szCs w:val="22"/>
              </w:rPr>
            </w:pPr>
            <w:r w:rsidRPr="004F572A">
              <w:rPr>
                <w:rFonts w:eastAsia="Calibri"/>
                <w:sz w:val="22"/>
                <w:szCs w:val="22"/>
              </w:rPr>
              <w:t>a</w:t>
            </w:r>
            <w:r w:rsidRPr="004F572A">
              <w:rPr>
                <w:rFonts w:eastAsia="Calibri"/>
                <w:sz w:val="22"/>
                <w:szCs w:val="22"/>
              </w:rPr>
              <w:tab/>
              <w:t xml:space="preserve">Remiantis </w:t>
            </w:r>
            <w:proofErr w:type="spellStart"/>
            <w:r w:rsidRPr="004F572A">
              <w:rPr>
                <w:rFonts w:eastAsia="Calibri"/>
                <w:sz w:val="22"/>
                <w:szCs w:val="22"/>
              </w:rPr>
              <w:t>stratifikuotu</w:t>
            </w:r>
            <w:proofErr w:type="spellEnd"/>
            <w:r w:rsidRPr="004F572A">
              <w:rPr>
                <w:rFonts w:eastAsia="Calibri"/>
                <w:sz w:val="22"/>
                <w:szCs w:val="22"/>
              </w:rPr>
              <w:t xml:space="preserve"> </w:t>
            </w:r>
            <w:proofErr w:type="spellStart"/>
            <w:r w:rsidRPr="000D1CAE">
              <w:rPr>
                <w:rFonts w:eastAsia="Calibri"/>
                <w:i/>
                <w:sz w:val="22"/>
                <w:szCs w:val="22"/>
              </w:rPr>
              <w:t>Cox</w:t>
            </w:r>
            <w:proofErr w:type="spellEnd"/>
            <w:r w:rsidRPr="004F572A">
              <w:rPr>
                <w:rFonts w:eastAsia="Calibri"/>
                <w:sz w:val="22"/>
                <w:szCs w:val="22"/>
              </w:rPr>
              <w:t xml:space="preserve"> regresijos modeliu</w:t>
            </w:r>
          </w:p>
          <w:p w14:paraId="5D0BA3F9" w14:textId="38E6DC66" w:rsidR="009D285B" w:rsidRPr="004F572A" w:rsidRDefault="009D285B" w:rsidP="009D285B">
            <w:pPr>
              <w:widowControl w:val="0"/>
              <w:tabs>
                <w:tab w:val="clear" w:pos="567"/>
              </w:tabs>
              <w:ind w:left="360" w:hanging="360"/>
              <w:rPr>
                <w:rFonts w:eastAsia="Calibri"/>
                <w:sz w:val="22"/>
                <w:szCs w:val="22"/>
              </w:rPr>
            </w:pPr>
            <w:r w:rsidRPr="004F572A">
              <w:rPr>
                <w:rFonts w:eastAsia="Calibri"/>
                <w:sz w:val="22"/>
                <w:szCs w:val="22"/>
              </w:rPr>
              <w:t>b</w:t>
            </w:r>
            <w:r w:rsidRPr="004F572A">
              <w:rPr>
                <w:rFonts w:eastAsia="Calibri"/>
                <w:sz w:val="22"/>
                <w:szCs w:val="22"/>
              </w:rPr>
              <w:tab/>
              <w:t xml:space="preserve">Vienpusė nominalioji p vertė, remiantis </w:t>
            </w:r>
            <w:proofErr w:type="spellStart"/>
            <w:r w:rsidRPr="004F572A">
              <w:rPr>
                <w:rFonts w:eastAsia="Calibri"/>
                <w:sz w:val="22"/>
                <w:szCs w:val="22"/>
              </w:rPr>
              <w:t>stratifikuotu</w:t>
            </w:r>
            <w:proofErr w:type="spellEnd"/>
            <w:r w:rsidRPr="004F572A">
              <w:rPr>
                <w:rFonts w:eastAsia="Calibri"/>
                <w:sz w:val="22"/>
                <w:szCs w:val="22"/>
              </w:rPr>
              <w:t xml:space="preserve"> rezultatų gradacijos testu (galutinė analizė). Atlikus iš anksto nustatytą tarpinę BI analizę, kurios stebėjimo laikotarpio mediana buvo 11,4</w:t>
            </w:r>
            <w:r w:rsidR="0010408A">
              <w:rPr>
                <w:rFonts w:eastAsia="Calibri"/>
                <w:sz w:val="22"/>
                <w:szCs w:val="22"/>
              </w:rPr>
              <w:t> </w:t>
            </w:r>
            <w:r w:rsidRPr="004F572A">
              <w:rPr>
                <w:rFonts w:eastAsia="Calibri"/>
                <w:sz w:val="22"/>
                <w:szCs w:val="22"/>
              </w:rPr>
              <w:t>mėn. (intervalas: 0,3</w:t>
            </w:r>
            <w:r w:rsidR="00B10CAA">
              <w:rPr>
                <w:rFonts w:eastAsia="Calibri"/>
                <w:sz w:val="22"/>
                <w:szCs w:val="22"/>
              </w:rPr>
              <w:noBreakHyphen/>
            </w:r>
            <w:r w:rsidRPr="004F572A">
              <w:rPr>
                <w:rFonts w:eastAsia="Calibri"/>
                <w:sz w:val="22"/>
                <w:szCs w:val="22"/>
              </w:rPr>
              <w:t xml:space="preserve">26,9 mėn.), buvo pasiektas statistiškai reikšmingas BI pranašumas lyginant </w:t>
            </w:r>
            <w:proofErr w:type="spellStart"/>
            <w:r w:rsidRPr="004F572A">
              <w:rPr>
                <w:rFonts w:eastAsia="Calibri"/>
                <w:sz w:val="22"/>
                <w:szCs w:val="22"/>
              </w:rPr>
              <w:t>lenvatinibo</w:t>
            </w:r>
            <w:proofErr w:type="spellEnd"/>
            <w:r w:rsidRPr="004F572A">
              <w:rPr>
                <w:rFonts w:eastAsia="Calibri"/>
                <w:sz w:val="22"/>
                <w:szCs w:val="22"/>
              </w:rPr>
              <w:t xml:space="preserve"> ir </w:t>
            </w:r>
            <w:proofErr w:type="spellStart"/>
            <w:r w:rsidRPr="004F572A">
              <w:rPr>
                <w:rFonts w:eastAsia="Calibri"/>
                <w:sz w:val="22"/>
                <w:szCs w:val="22"/>
              </w:rPr>
              <w:t>pembrolizumabo</w:t>
            </w:r>
            <w:proofErr w:type="spellEnd"/>
            <w:r w:rsidRPr="004F572A">
              <w:rPr>
                <w:rFonts w:eastAsia="Calibri"/>
                <w:sz w:val="22"/>
                <w:szCs w:val="22"/>
              </w:rPr>
              <w:t xml:space="preserve"> derinį su </w:t>
            </w:r>
            <w:proofErr w:type="spellStart"/>
            <w:r w:rsidRPr="004F572A">
              <w:rPr>
                <w:rFonts w:eastAsia="Calibri"/>
                <w:sz w:val="22"/>
                <w:szCs w:val="22"/>
              </w:rPr>
              <w:t>doksorubicinu</w:t>
            </w:r>
            <w:proofErr w:type="spellEnd"/>
            <w:r w:rsidRPr="004F572A">
              <w:rPr>
                <w:rFonts w:eastAsia="Calibri"/>
                <w:sz w:val="22"/>
                <w:szCs w:val="22"/>
              </w:rPr>
              <w:t xml:space="preserve"> arba </w:t>
            </w:r>
            <w:proofErr w:type="spellStart"/>
            <w:r w:rsidRPr="004F572A">
              <w:rPr>
                <w:rFonts w:eastAsia="Calibri"/>
                <w:sz w:val="22"/>
                <w:szCs w:val="22"/>
              </w:rPr>
              <w:t>paklitakseliu</w:t>
            </w:r>
            <w:proofErr w:type="spellEnd"/>
            <w:r w:rsidRPr="004F572A">
              <w:rPr>
                <w:rFonts w:eastAsia="Calibri"/>
                <w:sz w:val="22"/>
                <w:szCs w:val="22"/>
              </w:rPr>
              <w:t>. (RS: 0,62 [95 % PI: 0,51, 0,75] p reikšmė &lt; 0,0001).</w:t>
            </w:r>
          </w:p>
          <w:p w14:paraId="50C77976" w14:textId="77777777" w:rsidR="009D285B" w:rsidRPr="004F572A" w:rsidRDefault="009D285B" w:rsidP="009D285B">
            <w:pPr>
              <w:widowControl w:val="0"/>
              <w:tabs>
                <w:tab w:val="clear" w:pos="567"/>
              </w:tabs>
              <w:ind w:left="360" w:hanging="360"/>
              <w:rPr>
                <w:rFonts w:eastAsia="Calibri"/>
                <w:sz w:val="22"/>
                <w:szCs w:val="22"/>
              </w:rPr>
            </w:pPr>
            <w:r w:rsidRPr="004F572A">
              <w:rPr>
                <w:rFonts w:eastAsia="Calibri"/>
                <w:sz w:val="22"/>
                <w:szCs w:val="22"/>
              </w:rPr>
              <w:t>c</w:t>
            </w:r>
            <w:r w:rsidRPr="004F572A">
              <w:rPr>
                <w:rFonts w:eastAsia="Calibri"/>
                <w:sz w:val="22"/>
                <w:szCs w:val="22"/>
              </w:rPr>
              <w:tab/>
              <w:t xml:space="preserve">Vienpusė p-vertė, pagrįsta </w:t>
            </w:r>
            <w:proofErr w:type="spellStart"/>
            <w:r w:rsidRPr="004F572A">
              <w:rPr>
                <w:rFonts w:eastAsia="Calibri"/>
                <w:sz w:val="22"/>
                <w:szCs w:val="22"/>
              </w:rPr>
              <w:t>stratifikuotu</w:t>
            </w:r>
            <w:proofErr w:type="spellEnd"/>
            <w:r w:rsidRPr="004F572A">
              <w:rPr>
                <w:rFonts w:eastAsia="Calibri"/>
                <w:sz w:val="22"/>
                <w:szCs w:val="22"/>
              </w:rPr>
              <w:t xml:space="preserve"> rezultatų gradacijos testu.</w:t>
            </w:r>
          </w:p>
          <w:p w14:paraId="229E79CD" w14:textId="77777777" w:rsidR="009D285B" w:rsidRPr="004F572A" w:rsidRDefault="009D285B" w:rsidP="009D285B">
            <w:pPr>
              <w:widowControl w:val="0"/>
              <w:tabs>
                <w:tab w:val="clear" w:pos="567"/>
              </w:tabs>
              <w:ind w:left="360" w:hanging="360"/>
              <w:rPr>
                <w:rFonts w:eastAsia="Calibri"/>
                <w:sz w:val="22"/>
                <w:szCs w:val="22"/>
              </w:rPr>
            </w:pPr>
            <w:r w:rsidRPr="004F572A">
              <w:rPr>
                <w:rFonts w:eastAsia="Calibri"/>
                <w:sz w:val="22"/>
                <w:szCs w:val="22"/>
              </w:rPr>
              <w:t>d</w:t>
            </w:r>
            <w:r w:rsidRPr="004F572A">
              <w:rPr>
                <w:rFonts w:eastAsia="Calibri"/>
                <w:sz w:val="22"/>
                <w:szCs w:val="22"/>
              </w:rPr>
              <w:tab/>
              <w:t>Atliekant iš anksto nustatytą tarpinę analizę.</w:t>
            </w:r>
          </w:p>
          <w:p w14:paraId="34B367FE" w14:textId="03BA6B69" w:rsidR="009D285B" w:rsidRPr="004F572A" w:rsidRDefault="009D285B" w:rsidP="009D285B">
            <w:pPr>
              <w:widowControl w:val="0"/>
              <w:tabs>
                <w:tab w:val="clear" w:pos="567"/>
              </w:tabs>
              <w:ind w:left="360" w:hanging="360"/>
              <w:rPr>
                <w:rFonts w:eastAsia="Calibri"/>
                <w:sz w:val="22"/>
                <w:szCs w:val="22"/>
              </w:rPr>
            </w:pPr>
            <w:r w:rsidRPr="004F572A">
              <w:rPr>
                <w:rFonts w:eastAsia="Calibri"/>
                <w:sz w:val="22"/>
                <w:szCs w:val="22"/>
              </w:rPr>
              <w:t>e</w:t>
            </w:r>
            <w:r w:rsidRPr="004F572A">
              <w:rPr>
                <w:rFonts w:eastAsia="Calibri"/>
                <w:sz w:val="22"/>
                <w:szCs w:val="22"/>
              </w:rPr>
              <w:tab/>
              <w:t>Atsakas: geriausias objektyvus atsakas, kaip patvirtintas pilnas atsakas arba dalinis atsakas</w:t>
            </w:r>
          </w:p>
          <w:p w14:paraId="31A91030" w14:textId="6CC2B8D5" w:rsidR="00577A71" w:rsidRPr="004F572A" w:rsidRDefault="009D285B" w:rsidP="009D285B">
            <w:pPr>
              <w:widowControl w:val="0"/>
              <w:tabs>
                <w:tab w:val="clear" w:pos="567"/>
              </w:tabs>
              <w:ind w:left="360" w:hanging="360"/>
              <w:rPr>
                <w:rFonts w:eastAsia="Calibri"/>
                <w:sz w:val="22"/>
                <w:szCs w:val="22"/>
              </w:rPr>
            </w:pPr>
            <w:r w:rsidRPr="004F572A">
              <w:rPr>
                <w:rFonts w:eastAsia="Calibri"/>
                <w:sz w:val="22"/>
                <w:szCs w:val="22"/>
              </w:rPr>
              <w:t>f</w:t>
            </w:r>
            <w:r w:rsidRPr="004F572A">
              <w:rPr>
                <w:rFonts w:eastAsia="Calibri"/>
                <w:sz w:val="22"/>
                <w:szCs w:val="22"/>
              </w:rPr>
              <w:tab/>
              <w:t xml:space="preserve">Remiantis </w:t>
            </w:r>
            <w:proofErr w:type="spellStart"/>
            <w:r w:rsidRPr="004F572A">
              <w:rPr>
                <w:rFonts w:eastAsia="Calibri"/>
                <w:sz w:val="22"/>
                <w:szCs w:val="22"/>
              </w:rPr>
              <w:t>Miettinen</w:t>
            </w:r>
            <w:r w:rsidR="003E7FA5">
              <w:rPr>
                <w:rFonts w:eastAsia="Calibri"/>
                <w:sz w:val="22"/>
                <w:szCs w:val="22"/>
              </w:rPr>
              <w:t>o</w:t>
            </w:r>
            <w:proofErr w:type="spellEnd"/>
            <w:r w:rsidRPr="004F572A">
              <w:rPr>
                <w:rFonts w:eastAsia="Calibri"/>
                <w:sz w:val="22"/>
                <w:szCs w:val="22"/>
              </w:rPr>
              <w:t xml:space="preserve"> ir </w:t>
            </w:r>
            <w:proofErr w:type="spellStart"/>
            <w:r w:rsidRPr="004F572A">
              <w:rPr>
                <w:rFonts w:eastAsia="Calibri"/>
                <w:sz w:val="22"/>
                <w:szCs w:val="22"/>
              </w:rPr>
              <w:t>Nurminen</w:t>
            </w:r>
            <w:r w:rsidR="003E7FA5">
              <w:rPr>
                <w:rFonts w:eastAsia="Calibri"/>
                <w:sz w:val="22"/>
                <w:szCs w:val="22"/>
              </w:rPr>
              <w:t>o</w:t>
            </w:r>
            <w:proofErr w:type="spellEnd"/>
            <w:r w:rsidRPr="004F572A">
              <w:rPr>
                <w:rFonts w:eastAsia="Calibri"/>
                <w:sz w:val="22"/>
                <w:szCs w:val="22"/>
              </w:rPr>
              <w:t xml:space="preserve"> metodu, suskirsčius pagal ECOG </w:t>
            </w:r>
            <w:r w:rsidR="003E7FA5">
              <w:rPr>
                <w:rFonts w:eastAsia="Calibri"/>
                <w:sz w:val="22"/>
                <w:szCs w:val="22"/>
              </w:rPr>
              <w:t>veiklos</w:t>
            </w:r>
            <w:r w:rsidR="003E7FA5" w:rsidRPr="004F572A">
              <w:rPr>
                <w:rFonts w:eastAsia="Calibri"/>
                <w:sz w:val="22"/>
                <w:szCs w:val="22"/>
              </w:rPr>
              <w:t xml:space="preserve"> </w:t>
            </w:r>
            <w:r w:rsidRPr="004F572A">
              <w:rPr>
                <w:rFonts w:eastAsia="Calibri"/>
                <w:sz w:val="22"/>
                <w:szCs w:val="22"/>
              </w:rPr>
              <w:t>būklę, geografinį regioną ir dubens srities švitinimo istoriją.</w:t>
            </w:r>
          </w:p>
          <w:p w14:paraId="1DFCE6CC" w14:textId="01F2F5DA" w:rsidR="009853FA" w:rsidRPr="004F572A" w:rsidRDefault="009853FA" w:rsidP="009853FA">
            <w:pPr>
              <w:widowControl w:val="0"/>
              <w:tabs>
                <w:tab w:val="clear" w:pos="567"/>
              </w:tabs>
              <w:ind w:left="360" w:hanging="360"/>
              <w:rPr>
                <w:rFonts w:eastAsia="Calibri"/>
                <w:sz w:val="22"/>
                <w:szCs w:val="22"/>
              </w:rPr>
            </w:pPr>
            <w:r w:rsidRPr="004F572A">
              <w:rPr>
                <w:rFonts w:eastAsia="Calibri"/>
                <w:sz w:val="22"/>
                <w:szCs w:val="22"/>
              </w:rPr>
              <w:t>g</w:t>
            </w:r>
            <w:r w:rsidRPr="004F572A">
              <w:rPr>
                <w:rFonts w:eastAsia="Calibri"/>
                <w:sz w:val="22"/>
                <w:szCs w:val="22"/>
              </w:rPr>
              <w:tab/>
              <w:t xml:space="preserve">Remiantis </w:t>
            </w:r>
            <w:proofErr w:type="spellStart"/>
            <w:r w:rsidRPr="000D1CAE">
              <w:rPr>
                <w:rFonts w:eastAsia="Calibri"/>
                <w:i/>
                <w:sz w:val="22"/>
                <w:szCs w:val="22"/>
              </w:rPr>
              <w:t>Kaplan-Meier</w:t>
            </w:r>
            <w:proofErr w:type="spellEnd"/>
            <w:r w:rsidRPr="004F572A">
              <w:rPr>
                <w:rFonts w:eastAsia="Calibri"/>
                <w:sz w:val="22"/>
                <w:szCs w:val="22"/>
              </w:rPr>
              <w:t xml:space="preserve"> </w:t>
            </w:r>
            <w:r w:rsidR="008B7761" w:rsidRPr="004F572A">
              <w:rPr>
                <w:rFonts w:eastAsia="Calibri"/>
                <w:sz w:val="22"/>
                <w:szCs w:val="22"/>
              </w:rPr>
              <w:t>į</w:t>
            </w:r>
            <w:r w:rsidRPr="004F572A">
              <w:rPr>
                <w:rFonts w:eastAsia="Calibri"/>
                <w:sz w:val="22"/>
                <w:szCs w:val="22"/>
              </w:rPr>
              <w:t>vertinimu</w:t>
            </w:r>
          </w:p>
        </w:tc>
      </w:tr>
    </w:tbl>
    <w:p w14:paraId="649BB8D6" w14:textId="77777777" w:rsidR="00E236E3" w:rsidRPr="004F572A" w:rsidRDefault="00E236E3" w:rsidP="000928CA">
      <w:pPr>
        <w:widowControl w:val="0"/>
        <w:tabs>
          <w:tab w:val="clear" w:pos="567"/>
        </w:tabs>
        <w:rPr>
          <w:rFonts w:eastAsia="Calibri"/>
          <w:sz w:val="22"/>
          <w:szCs w:val="22"/>
        </w:rPr>
      </w:pPr>
    </w:p>
    <w:p w14:paraId="2FB436A7" w14:textId="20E96771" w:rsidR="00E236E3" w:rsidRPr="004F572A" w:rsidRDefault="008B7761" w:rsidP="008B7761">
      <w:pPr>
        <w:widowControl w:val="0"/>
        <w:tabs>
          <w:tab w:val="clear" w:pos="567"/>
        </w:tabs>
        <w:spacing w:after="120"/>
        <w:rPr>
          <w:rFonts w:eastAsia="Calibri"/>
          <w:sz w:val="22"/>
          <w:szCs w:val="22"/>
        </w:rPr>
      </w:pPr>
      <w:r w:rsidRPr="004F572A">
        <w:rPr>
          <w:rFonts w:eastAsia="Calibri"/>
          <w:b/>
          <w:bCs/>
          <w:sz w:val="22"/>
          <w:szCs w:val="22"/>
        </w:rPr>
        <w:t>3</w:t>
      </w:r>
      <w:r w:rsidR="00B10CAA">
        <w:rPr>
          <w:rFonts w:eastAsia="Calibri"/>
          <w:b/>
          <w:bCs/>
          <w:sz w:val="22"/>
          <w:szCs w:val="22"/>
        </w:rPr>
        <w:t> </w:t>
      </w:r>
      <w:r w:rsidRPr="004F572A">
        <w:rPr>
          <w:rFonts w:eastAsia="Calibri"/>
          <w:b/>
          <w:bCs/>
          <w:sz w:val="22"/>
          <w:szCs w:val="22"/>
        </w:rPr>
        <w:t>pav</w:t>
      </w:r>
      <w:r w:rsidR="00AF3E62" w:rsidRPr="004F572A">
        <w:rPr>
          <w:rFonts w:eastAsia="Calibri"/>
          <w:b/>
          <w:bCs/>
          <w:sz w:val="22"/>
          <w:szCs w:val="22"/>
        </w:rPr>
        <w:t>eikslas</w:t>
      </w:r>
      <w:r w:rsidRPr="004F572A">
        <w:rPr>
          <w:rFonts w:eastAsia="Calibri"/>
          <w:b/>
          <w:bCs/>
          <w:sz w:val="22"/>
          <w:szCs w:val="22"/>
        </w:rPr>
        <w:t xml:space="preserve">. </w:t>
      </w:r>
      <w:r w:rsidR="003E7FA5">
        <w:rPr>
          <w:rFonts w:eastAsia="Calibri"/>
          <w:b/>
          <w:bCs/>
          <w:sz w:val="22"/>
          <w:szCs w:val="22"/>
        </w:rPr>
        <w:t xml:space="preserve">Tyrimo Nr. 309 bendro išgyvenamumo </w:t>
      </w:r>
      <w:proofErr w:type="spellStart"/>
      <w:r w:rsidR="00AF3E62" w:rsidRPr="000D1CAE">
        <w:rPr>
          <w:rFonts w:eastAsia="Calibri"/>
          <w:b/>
          <w:bCs/>
          <w:i/>
          <w:sz w:val="22"/>
          <w:szCs w:val="22"/>
        </w:rPr>
        <w:t>Kaplan-Meier</w:t>
      </w:r>
      <w:proofErr w:type="spellEnd"/>
      <w:r w:rsidR="00AF3E62" w:rsidRPr="004F572A">
        <w:rPr>
          <w:rFonts w:eastAsia="Calibri"/>
          <w:b/>
          <w:bCs/>
          <w:sz w:val="22"/>
          <w:szCs w:val="22"/>
        </w:rPr>
        <w:t xml:space="preserve"> kreivės </w:t>
      </w:r>
    </w:p>
    <w:p w14:paraId="46648DC2" w14:textId="35320CB4" w:rsidR="009853FA" w:rsidRPr="004F572A" w:rsidRDefault="009853FA" w:rsidP="000928CA">
      <w:pPr>
        <w:widowControl w:val="0"/>
        <w:tabs>
          <w:tab w:val="clear" w:pos="567"/>
        </w:tabs>
        <w:rPr>
          <w:rFonts w:eastAsia="Calibri"/>
          <w:sz w:val="22"/>
          <w:szCs w:val="22"/>
        </w:rPr>
      </w:pPr>
    </w:p>
    <w:p w14:paraId="341FFAE9" w14:textId="2FCB1FD8" w:rsidR="003E4417" w:rsidRDefault="003E4417" w:rsidP="000928CA">
      <w:pPr>
        <w:widowControl w:val="0"/>
        <w:tabs>
          <w:tab w:val="clear" w:pos="567"/>
        </w:tabs>
        <w:rPr>
          <w:rFonts w:eastAsia="Calibri"/>
          <w:sz w:val="22"/>
          <w:szCs w:val="22"/>
        </w:rPr>
      </w:pPr>
      <w:r>
        <w:rPr>
          <w:rFonts w:eastAsia="Calibri"/>
          <w:noProof/>
          <w:sz w:val="22"/>
          <w:szCs w:val="22"/>
        </w:rPr>
        <w:drawing>
          <wp:inline distT="0" distB="0" distL="0" distR="0" wp14:anchorId="1E916265" wp14:editId="675847F1">
            <wp:extent cx="5759450" cy="2960370"/>
            <wp:effectExtent l="0" t="0" r="0" b="0"/>
            <wp:docPr id="1489340951" name="Picture 1" descr="A graph of a number of pati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340951" name="Picture 1" descr="A graph of a number of patients&#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759450" cy="2960370"/>
                    </a:xfrm>
                    <a:prstGeom prst="rect">
                      <a:avLst/>
                    </a:prstGeom>
                  </pic:spPr>
                </pic:pic>
              </a:graphicData>
            </a:graphic>
          </wp:inline>
        </w:drawing>
      </w:r>
    </w:p>
    <w:p w14:paraId="63E38311" w14:textId="6AF0D4C8" w:rsidR="009853FA" w:rsidRPr="004F572A" w:rsidRDefault="008B7761" w:rsidP="000928CA">
      <w:pPr>
        <w:widowControl w:val="0"/>
        <w:tabs>
          <w:tab w:val="clear" w:pos="567"/>
        </w:tabs>
        <w:rPr>
          <w:rFonts w:eastAsia="Calibri"/>
          <w:sz w:val="22"/>
          <w:szCs w:val="22"/>
        </w:rPr>
      </w:pPr>
      <w:r w:rsidRPr="004F572A">
        <w:rPr>
          <w:rFonts w:eastAsia="Calibri"/>
          <w:sz w:val="22"/>
          <w:szCs w:val="22"/>
        </w:rPr>
        <w:t>* Remiantis protokole nurodyta galutine analize</w:t>
      </w:r>
    </w:p>
    <w:p w14:paraId="5B6D10C3" w14:textId="77777777" w:rsidR="009853FA" w:rsidRPr="004F572A" w:rsidRDefault="009853FA" w:rsidP="000928CA">
      <w:pPr>
        <w:widowControl w:val="0"/>
        <w:tabs>
          <w:tab w:val="clear" w:pos="567"/>
        </w:tabs>
        <w:rPr>
          <w:rFonts w:eastAsia="Calibri"/>
          <w:sz w:val="22"/>
          <w:szCs w:val="22"/>
        </w:rPr>
      </w:pPr>
    </w:p>
    <w:p w14:paraId="5FB8E755" w14:textId="7A381E5F" w:rsidR="00E236E3" w:rsidRPr="004F572A" w:rsidRDefault="00AF3E62" w:rsidP="00AF3E62">
      <w:pPr>
        <w:widowControl w:val="0"/>
        <w:tabs>
          <w:tab w:val="clear" w:pos="567"/>
        </w:tabs>
        <w:spacing w:after="120"/>
        <w:rPr>
          <w:rFonts w:eastAsia="Calibri"/>
          <w:sz w:val="22"/>
          <w:szCs w:val="22"/>
        </w:rPr>
      </w:pPr>
      <w:r w:rsidRPr="004F572A">
        <w:rPr>
          <w:rFonts w:eastAsia="Calibri"/>
          <w:b/>
          <w:bCs/>
          <w:sz w:val="22"/>
          <w:szCs w:val="22"/>
        </w:rPr>
        <w:t>4</w:t>
      </w:r>
      <w:r w:rsidR="00B10CAA">
        <w:rPr>
          <w:rFonts w:eastAsia="Calibri"/>
          <w:b/>
          <w:bCs/>
          <w:sz w:val="22"/>
          <w:szCs w:val="22"/>
        </w:rPr>
        <w:t> </w:t>
      </w:r>
      <w:r w:rsidRPr="004F572A">
        <w:rPr>
          <w:rFonts w:eastAsia="Calibri"/>
          <w:b/>
          <w:bCs/>
          <w:sz w:val="22"/>
          <w:szCs w:val="22"/>
        </w:rPr>
        <w:t xml:space="preserve">paveikslas. </w:t>
      </w:r>
      <w:r w:rsidR="003E7FA5">
        <w:rPr>
          <w:rFonts w:eastAsia="Calibri"/>
          <w:b/>
          <w:bCs/>
          <w:sz w:val="22"/>
          <w:szCs w:val="22"/>
        </w:rPr>
        <w:t xml:space="preserve">Tyrimo Nr. 309 išgyvenamumo </w:t>
      </w:r>
      <w:r w:rsidR="003E7FA5" w:rsidRPr="004F572A">
        <w:rPr>
          <w:rFonts w:eastAsia="Calibri"/>
          <w:b/>
          <w:bCs/>
          <w:sz w:val="22"/>
          <w:szCs w:val="22"/>
        </w:rPr>
        <w:t xml:space="preserve">be ligos progresavimo </w:t>
      </w:r>
      <w:proofErr w:type="spellStart"/>
      <w:r w:rsidRPr="000D1CAE">
        <w:rPr>
          <w:rFonts w:eastAsia="Calibri"/>
          <w:b/>
          <w:bCs/>
          <w:i/>
          <w:sz w:val="22"/>
          <w:szCs w:val="22"/>
        </w:rPr>
        <w:t>Kaplan-Meier</w:t>
      </w:r>
      <w:proofErr w:type="spellEnd"/>
      <w:r w:rsidRPr="004F572A">
        <w:rPr>
          <w:rFonts w:eastAsia="Calibri"/>
          <w:b/>
          <w:bCs/>
          <w:sz w:val="22"/>
          <w:szCs w:val="22"/>
        </w:rPr>
        <w:t xml:space="preserve"> kreivės </w:t>
      </w:r>
    </w:p>
    <w:p w14:paraId="60593B24" w14:textId="55F2099D" w:rsidR="00AF3E62" w:rsidRPr="004F572A" w:rsidRDefault="00AF3E62" w:rsidP="000928CA">
      <w:pPr>
        <w:widowControl w:val="0"/>
        <w:tabs>
          <w:tab w:val="clear" w:pos="567"/>
        </w:tabs>
        <w:rPr>
          <w:rFonts w:eastAsia="Calibri"/>
          <w:sz w:val="22"/>
          <w:szCs w:val="22"/>
        </w:rPr>
      </w:pPr>
    </w:p>
    <w:p w14:paraId="32FEB265" w14:textId="3534024E" w:rsidR="00AF3E62" w:rsidRDefault="003E4417" w:rsidP="000928CA">
      <w:pPr>
        <w:widowControl w:val="0"/>
        <w:tabs>
          <w:tab w:val="clear" w:pos="567"/>
        </w:tabs>
        <w:rPr>
          <w:rFonts w:eastAsia="Calibri"/>
          <w:sz w:val="22"/>
          <w:szCs w:val="22"/>
        </w:rPr>
      </w:pPr>
      <w:r>
        <w:rPr>
          <w:rFonts w:eastAsia="Calibri"/>
          <w:noProof/>
          <w:sz w:val="22"/>
          <w:szCs w:val="22"/>
        </w:rPr>
        <w:lastRenderedPageBreak/>
        <w:drawing>
          <wp:inline distT="0" distB="0" distL="0" distR="0" wp14:anchorId="27492CA6" wp14:editId="0E241B6A">
            <wp:extent cx="5759450" cy="2988945"/>
            <wp:effectExtent l="0" t="0" r="0" b="1905"/>
            <wp:docPr id="1048012894" name="Picture 2" descr="A graph of a number of pati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012894" name="Picture 2" descr="A graph of a number of patients&#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5759450" cy="2988945"/>
                    </a:xfrm>
                    <a:prstGeom prst="rect">
                      <a:avLst/>
                    </a:prstGeom>
                  </pic:spPr>
                </pic:pic>
              </a:graphicData>
            </a:graphic>
          </wp:inline>
        </w:drawing>
      </w:r>
    </w:p>
    <w:p w14:paraId="321CC199" w14:textId="77777777" w:rsidR="003E4417" w:rsidRPr="004F572A" w:rsidRDefault="003E4417" w:rsidP="000928CA">
      <w:pPr>
        <w:widowControl w:val="0"/>
        <w:tabs>
          <w:tab w:val="clear" w:pos="567"/>
        </w:tabs>
        <w:rPr>
          <w:rFonts w:eastAsia="Calibri"/>
          <w:sz w:val="22"/>
          <w:szCs w:val="22"/>
        </w:rPr>
      </w:pPr>
    </w:p>
    <w:p w14:paraId="04A9BED4" w14:textId="2B4F810E" w:rsidR="00CA58C7" w:rsidRPr="004F572A" w:rsidRDefault="00CA58C7" w:rsidP="00CA58C7">
      <w:pPr>
        <w:widowControl w:val="0"/>
        <w:tabs>
          <w:tab w:val="clear" w:pos="567"/>
        </w:tabs>
        <w:rPr>
          <w:rFonts w:eastAsia="Calibri"/>
          <w:sz w:val="22"/>
          <w:szCs w:val="22"/>
          <w:u w:val="single"/>
        </w:rPr>
      </w:pPr>
      <w:r w:rsidRPr="004F572A">
        <w:rPr>
          <w:rFonts w:eastAsia="Calibri"/>
          <w:sz w:val="22"/>
          <w:szCs w:val="22"/>
          <w:u w:val="single"/>
        </w:rPr>
        <w:t>QT intervalo pailgėjimas</w:t>
      </w:r>
    </w:p>
    <w:p w14:paraId="45718A0B" w14:textId="77777777" w:rsidR="00CA58C7" w:rsidRPr="004F572A" w:rsidRDefault="00CA58C7" w:rsidP="00CA58C7">
      <w:pPr>
        <w:widowControl w:val="0"/>
        <w:tabs>
          <w:tab w:val="clear" w:pos="567"/>
        </w:tabs>
        <w:rPr>
          <w:rFonts w:eastAsia="Calibri"/>
          <w:sz w:val="22"/>
          <w:szCs w:val="22"/>
        </w:rPr>
      </w:pPr>
    </w:p>
    <w:p w14:paraId="7F0A6DB4" w14:textId="12493E57" w:rsidR="00CA58C7" w:rsidRPr="004F572A" w:rsidRDefault="00CA58C7" w:rsidP="00CA58C7">
      <w:pPr>
        <w:widowControl w:val="0"/>
        <w:tabs>
          <w:tab w:val="clear" w:pos="567"/>
        </w:tabs>
        <w:rPr>
          <w:rFonts w:eastAsia="Calibri"/>
          <w:sz w:val="22"/>
          <w:szCs w:val="22"/>
        </w:rPr>
      </w:pPr>
      <w:r w:rsidRPr="004F572A">
        <w:rPr>
          <w:rFonts w:eastAsia="Calibri"/>
          <w:sz w:val="22"/>
          <w:szCs w:val="22"/>
        </w:rPr>
        <w:t xml:space="preserve">Remiantis išsamaus QT tyrimo, kuriame dalyvavo sveiki savanoriai, rezultatais, vienkartinė 32 mg </w:t>
      </w:r>
      <w:proofErr w:type="spellStart"/>
      <w:r w:rsidRPr="004F572A">
        <w:rPr>
          <w:rFonts w:eastAsia="Calibri"/>
          <w:sz w:val="22"/>
          <w:szCs w:val="22"/>
        </w:rPr>
        <w:t>lenvatinibo</w:t>
      </w:r>
      <w:proofErr w:type="spellEnd"/>
      <w:r w:rsidRPr="004F572A">
        <w:rPr>
          <w:rFonts w:eastAsia="Calibri"/>
          <w:sz w:val="22"/>
          <w:szCs w:val="22"/>
        </w:rPr>
        <w:t xml:space="preserve"> dozė QT/</w:t>
      </w:r>
      <w:proofErr w:type="spellStart"/>
      <w:r w:rsidRPr="004F572A">
        <w:rPr>
          <w:rFonts w:eastAsia="Calibri"/>
          <w:sz w:val="22"/>
          <w:szCs w:val="22"/>
        </w:rPr>
        <w:t>QTc</w:t>
      </w:r>
      <w:proofErr w:type="spellEnd"/>
      <w:r w:rsidRPr="004F572A">
        <w:rPr>
          <w:rFonts w:eastAsia="Calibri"/>
          <w:sz w:val="22"/>
          <w:szCs w:val="22"/>
        </w:rPr>
        <w:t xml:space="preserve"> intervalo nepailgino, tačiau </w:t>
      </w:r>
      <w:r w:rsidR="003E4417">
        <w:rPr>
          <w:rFonts w:eastAsia="Calibri"/>
          <w:sz w:val="22"/>
          <w:szCs w:val="22"/>
        </w:rPr>
        <w:t>pailgėjęs</w:t>
      </w:r>
      <w:r w:rsidR="003E4417" w:rsidRPr="004F572A">
        <w:rPr>
          <w:rFonts w:eastAsia="Calibri"/>
          <w:sz w:val="22"/>
          <w:szCs w:val="22"/>
        </w:rPr>
        <w:t xml:space="preserve"> </w:t>
      </w:r>
      <w:r w:rsidRPr="004F572A">
        <w:rPr>
          <w:rFonts w:eastAsia="Calibri"/>
          <w:sz w:val="22"/>
          <w:szCs w:val="22"/>
        </w:rPr>
        <w:t>QT/</w:t>
      </w:r>
      <w:proofErr w:type="spellStart"/>
      <w:r w:rsidRPr="004F572A">
        <w:rPr>
          <w:rFonts w:eastAsia="Calibri"/>
          <w:sz w:val="22"/>
          <w:szCs w:val="22"/>
        </w:rPr>
        <w:t>QTc</w:t>
      </w:r>
      <w:proofErr w:type="spellEnd"/>
      <w:r w:rsidRPr="004F572A">
        <w:rPr>
          <w:rFonts w:eastAsia="Calibri"/>
          <w:sz w:val="22"/>
          <w:szCs w:val="22"/>
        </w:rPr>
        <w:t xml:space="preserve"> interval</w:t>
      </w:r>
      <w:r w:rsidR="003E4417">
        <w:rPr>
          <w:rFonts w:eastAsia="Calibri"/>
          <w:sz w:val="22"/>
          <w:szCs w:val="22"/>
        </w:rPr>
        <w:t>as</w:t>
      </w:r>
      <w:r w:rsidRPr="004F572A">
        <w:rPr>
          <w:rFonts w:eastAsia="Calibri"/>
          <w:sz w:val="22"/>
          <w:szCs w:val="22"/>
        </w:rPr>
        <w:t xml:space="preserve"> dažniau </w:t>
      </w:r>
      <w:r w:rsidR="003E4417">
        <w:rPr>
          <w:rFonts w:eastAsia="Calibri"/>
          <w:sz w:val="22"/>
          <w:szCs w:val="22"/>
        </w:rPr>
        <w:t xml:space="preserve">nustatytas </w:t>
      </w:r>
      <w:proofErr w:type="spellStart"/>
      <w:r w:rsidRPr="004F572A">
        <w:rPr>
          <w:rFonts w:eastAsia="Calibri"/>
          <w:sz w:val="22"/>
          <w:szCs w:val="22"/>
        </w:rPr>
        <w:t>lenvatinibu</w:t>
      </w:r>
      <w:proofErr w:type="spellEnd"/>
      <w:r w:rsidRPr="004F572A">
        <w:rPr>
          <w:rFonts w:eastAsia="Calibri"/>
          <w:sz w:val="22"/>
          <w:szCs w:val="22"/>
        </w:rPr>
        <w:t xml:space="preserve"> ne</w:t>
      </w:r>
      <w:r w:rsidR="003E4417">
        <w:rPr>
          <w:rFonts w:eastAsia="Calibri"/>
          <w:sz w:val="22"/>
          <w:szCs w:val="22"/>
        </w:rPr>
        <w:t>i</w:t>
      </w:r>
      <w:r w:rsidRPr="004F572A">
        <w:rPr>
          <w:rFonts w:eastAsia="Calibri"/>
          <w:sz w:val="22"/>
          <w:szCs w:val="22"/>
        </w:rPr>
        <w:t xml:space="preserve"> </w:t>
      </w:r>
      <w:r w:rsidR="003E4417">
        <w:rPr>
          <w:rFonts w:eastAsia="Calibri"/>
          <w:sz w:val="22"/>
          <w:szCs w:val="22"/>
        </w:rPr>
        <w:t xml:space="preserve">placebu gydytiems </w:t>
      </w:r>
      <w:r w:rsidRPr="004F572A">
        <w:rPr>
          <w:rFonts w:eastAsia="Calibri"/>
          <w:sz w:val="22"/>
          <w:szCs w:val="22"/>
        </w:rPr>
        <w:t>pacientams</w:t>
      </w:r>
      <w:r w:rsidR="003E4417">
        <w:rPr>
          <w:rFonts w:eastAsia="Calibri"/>
          <w:sz w:val="22"/>
          <w:szCs w:val="22"/>
        </w:rPr>
        <w:t xml:space="preserve"> </w:t>
      </w:r>
      <w:r w:rsidRPr="004F572A">
        <w:rPr>
          <w:rFonts w:eastAsia="Calibri"/>
          <w:sz w:val="22"/>
          <w:szCs w:val="22"/>
        </w:rPr>
        <w:t>(žr. 4.4 ir 4.8 skyrius).</w:t>
      </w:r>
    </w:p>
    <w:p w14:paraId="0A5928AB" w14:textId="77777777" w:rsidR="00CA58C7" w:rsidRPr="004F572A" w:rsidRDefault="00CA58C7" w:rsidP="00CA58C7">
      <w:pPr>
        <w:widowControl w:val="0"/>
        <w:tabs>
          <w:tab w:val="clear" w:pos="567"/>
        </w:tabs>
        <w:rPr>
          <w:rFonts w:eastAsia="Calibri"/>
          <w:sz w:val="22"/>
          <w:szCs w:val="22"/>
        </w:rPr>
      </w:pPr>
    </w:p>
    <w:p w14:paraId="4E1F966A" w14:textId="608C8863" w:rsidR="00CA58C7" w:rsidRPr="004F572A" w:rsidRDefault="00CA58C7" w:rsidP="00CA58C7">
      <w:pPr>
        <w:widowControl w:val="0"/>
        <w:tabs>
          <w:tab w:val="clear" w:pos="567"/>
        </w:tabs>
        <w:rPr>
          <w:rFonts w:eastAsia="Calibri"/>
          <w:sz w:val="22"/>
          <w:szCs w:val="22"/>
          <w:u w:val="single"/>
        </w:rPr>
      </w:pPr>
      <w:r w:rsidRPr="004F572A">
        <w:rPr>
          <w:rFonts w:eastAsia="Calibri"/>
          <w:sz w:val="22"/>
          <w:szCs w:val="22"/>
          <w:u w:val="single"/>
        </w:rPr>
        <w:t>Vaikų populiacija</w:t>
      </w:r>
    </w:p>
    <w:p w14:paraId="70F06503" w14:textId="77777777" w:rsidR="00CA58C7" w:rsidRPr="004F572A" w:rsidRDefault="00CA58C7" w:rsidP="00CA58C7">
      <w:pPr>
        <w:widowControl w:val="0"/>
        <w:tabs>
          <w:tab w:val="clear" w:pos="567"/>
        </w:tabs>
        <w:rPr>
          <w:rFonts w:eastAsia="Calibri"/>
          <w:sz w:val="22"/>
          <w:szCs w:val="22"/>
        </w:rPr>
      </w:pPr>
    </w:p>
    <w:p w14:paraId="2CDA3C72" w14:textId="1EE93EBD" w:rsidR="00CA58C7" w:rsidRPr="004F572A" w:rsidRDefault="00EF6715" w:rsidP="00CA58C7">
      <w:pPr>
        <w:widowControl w:val="0"/>
        <w:tabs>
          <w:tab w:val="clear" w:pos="567"/>
        </w:tabs>
        <w:rPr>
          <w:rFonts w:eastAsia="Calibri"/>
          <w:sz w:val="22"/>
          <w:szCs w:val="22"/>
        </w:rPr>
      </w:pPr>
      <w:r w:rsidRPr="00EF6715">
        <w:rPr>
          <w:rFonts w:eastAsia="Calibri"/>
          <w:sz w:val="22"/>
          <w:szCs w:val="22"/>
        </w:rPr>
        <w:t xml:space="preserve">Europos vaistų agentūra atidėjo įpareigojimą pateikti referencinio vaistinio preparato, kurio sudėtyje yra </w:t>
      </w:r>
      <w:proofErr w:type="spellStart"/>
      <w:r>
        <w:rPr>
          <w:rFonts w:eastAsia="Calibri"/>
          <w:sz w:val="22"/>
          <w:szCs w:val="22"/>
        </w:rPr>
        <w:t>lenvatinibo</w:t>
      </w:r>
      <w:proofErr w:type="spellEnd"/>
      <w:r>
        <w:rPr>
          <w:rFonts w:eastAsia="Calibri"/>
          <w:sz w:val="22"/>
          <w:szCs w:val="22"/>
        </w:rPr>
        <w:t xml:space="preserve"> </w:t>
      </w:r>
      <w:r w:rsidRPr="00EF6715">
        <w:rPr>
          <w:rFonts w:eastAsia="Calibri"/>
          <w:sz w:val="22"/>
          <w:szCs w:val="22"/>
        </w:rPr>
        <w:t xml:space="preserve">tyrimų su vienu ar daugiau vaikų populiacijos pogrupių duomenis gydant </w:t>
      </w:r>
      <w:proofErr w:type="spellStart"/>
      <w:r w:rsidRPr="00EF6715">
        <w:rPr>
          <w:rFonts w:eastAsia="Calibri"/>
          <w:sz w:val="22"/>
          <w:szCs w:val="22"/>
        </w:rPr>
        <w:t>hepatoceliulinę</w:t>
      </w:r>
      <w:proofErr w:type="spellEnd"/>
      <w:r w:rsidRPr="00EF6715">
        <w:rPr>
          <w:rFonts w:eastAsia="Calibri"/>
          <w:sz w:val="22"/>
          <w:szCs w:val="22"/>
        </w:rPr>
        <w:t xml:space="preserve"> karcinomą (HCK) ir </w:t>
      </w:r>
      <w:proofErr w:type="spellStart"/>
      <w:r w:rsidRPr="00EF6715">
        <w:rPr>
          <w:rFonts w:eastAsia="Calibri"/>
          <w:sz w:val="22"/>
          <w:szCs w:val="22"/>
        </w:rPr>
        <w:t>endometriumo</w:t>
      </w:r>
      <w:proofErr w:type="spellEnd"/>
      <w:r w:rsidRPr="00EF6715">
        <w:rPr>
          <w:rFonts w:eastAsia="Calibri"/>
          <w:sz w:val="22"/>
          <w:szCs w:val="22"/>
        </w:rPr>
        <w:t xml:space="preserve"> karcinomą (EK)</w:t>
      </w:r>
      <w:r>
        <w:rPr>
          <w:rFonts w:eastAsia="Calibri"/>
          <w:sz w:val="22"/>
          <w:szCs w:val="22"/>
        </w:rPr>
        <w:t xml:space="preserve"> </w:t>
      </w:r>
      <w:r w:rsidRPr="00EF6715">
        <w:rPr>
          <w:rFonts w:eastAsia="Calibri"/>
          <w:sz w:val="22"/>
          <w:szCs w:val="22"/>
        </w:rPr>
        <w:t>(vartojimo vaikams informacija pateikiama 4.2 skyriuje).</w:t>
      </w:r>
    </w:p>
    <w:p w14:paraId="6FC1E9F9" w14:textId="77777777" w:rsidR="00CA58C7" w:rsidRPr="004F572A" w:rsidRDefault="00CA58C7" w:rsidP="00CA58C7">
      <w:pPr>
        <w:widowControl w:val="0"/>
        <w:tabs>
          <w:tab w:val="clear" w:pos="567"/>
        </w:tabs>
        <w:rPr>
          <w:rFonts w:eastAsia="Calibri"/>
          <w:i/>
          <w:iCs/>
          <w:sz w:val="22"/>
          <w:szCs w:val="22"/>
        </w:rPr>
      </w:pPr>
    </w:p>
    <w:p w14:paraId="4B4DB662" w14:textId="751895CC" w:rsidR="00CA58C7" w:rsidRPr="00E27691" w:rsidRDefault="003E4417" w:rsidP="00CA58C7">
      <w:pPr>
        <w:widowControl w:val="0"/>
        <w:tabs>
          <w:tab w:val="clear" w:pos="567"/>
        </w:tabs>
        <w:rPr>
          <w:rFonts w:eastAsia="Calibri"/>
          <w:i/>
          <w:iCs/>
          <w:sz w:val="22"/>
          <w:szCs w:val="22"/>
          <w:u w:val="single"/>
        </w:rPr>
      </w:pPr>
      <w:r w:rsidRPr="00E27691">
        <w:rPr>
          <w:rFonts w:eastAsia="Calibri"/>
          <w:i/>
          <w:iCs/>
          <w:sz w:val="22"/>
          <w:szCs w:val="22"/>
          <w:u w:val="single"/>
        </w:rPr>
        <w:t>Pediatriniai</w:t>
      </w:r>
      <w:r w:rsidR="00CA58C7" w:rsidRPr="00E27691">
        <w:rPr>
          <w:rFonts w:eastAsia="Calibri"/>
          <w:i/>
          <w:iCs/>
          <w:sz w:val="22"/>
          <w:szCs w:val="22"/>
          <w:u w:val="single"/>
        </w:rPr>
        <w:t xml:space="preserve"> tyrimai</w:t>
      </w:r>
    </w:p>
    <w:p w14:paraId="33670802" w14:textId="77777777" w:rsidR="00CA58C7" w:rsidRPr="004F572A" w:rsidRDefault="00CA58C7" w:rsidP="00CA58C7">
      <w:pPr>
        <w:widowControl w:val="0"/>
        <w:tabs>
          <w:tab w:val="clear" w:pos="567"/>
        </w:tabs>
        <w:rPr>
          <w:rFonts w:eastAsia="Calibri"/>
          <w:sz w:val="22"/>
          <w:szCs w:val="22"/>
        </w:rPr>
      </w:pPr>
    </w:p>
    <w:p w14:paraId="7F5AA6B0" w14:textId="6D9D6C8A" w:rsidR="00CA58C7" w:rsidRDefault="00CA58C7" w:rsidP="00CA58C7">
      <w:pPr>
        <w:widowControl w:val="0"/>
        <w:tabs>
          <w:tab w:val="clear" w:pos="567"/>
        </w:tabs>
        <w:rPr>
          <w:rFonts w:eastAsia="Calibri"/>
          <w:sz w:val="22"/>
          <w:szCs w:val="22"/>
        </w:rPr>
      </w:pPr>
      <w:proofErr w:type="spellStart"/>
      <w:r w:rsidRPr="004F572A">
        <w:rPr>
          <w:rFonts w:eastAsia="Calibri"/>
          <w:sz w:val="22"/>
          <w:szCs w:val="22"/>
        </w:rPr>
        <w:t>Lenvatinibo</w:t>
      </w:r>
      <w:proofErr w:type="spellEnd"/>
      <w:r w:rsidRPr="004F572A">
        <w:rPr>
          <w:rFonts w:eastAsia="Calibri"/>
          <w:sz w:val="22"/>
          <w:szCs w:val="22"/>
        </w:rPr>
        <w:t xml:space="preserve"> veiksmingumas buvo </w:t>
      </w:r>
      <w:r w:rsidR="003E4417">
        <w:rPr>
          <w:rFonts w:eastAsia="Calibri"/>
          <w:sz w:val="22"/>
          <w:szCs w:val="22"/>
        </w:rPr>
        <w:t>į</w:t>
      </w:r>
      <w:r w:rsidRPr="004F572A">
        <w:rPr>
          <w:rFonts w:eastAsia="Calibri"/>
          <w:sz w:val="22"/>
          <w:szCs w:val="22"/>
        </w:rPr>
        <w:t>vertin</w:t>
      </w:r>
      <w:r w:rsidR="003E4417">
        <w:rPr>
          <w:rFonts w:eastAsia="Calibri"/>
          <w:sz w:val="22"/>
          <w:szCs w:val="22"/>
        </w:rPr>
        <w:t>tas</w:t>
      </w:r>
      <w:r w:rsidRPr="004F572A">
        <w:rPr>
          <w:rFonts w:eastAsia="Calibri"/>
          <w:sz w:val="22"/>
          <w:szCs w:val="22"/>
        </w:rPr>
        <w:t>, bet nenustatytas keturi</w:t>
      </w:r>
      <w:r w:rsidR="003E4417">
        <w:rPr>
          <w:rFonts w:eastAsia="Calibri"/>
          <w:sz w:val="22"/>
          <w:szCs w:val="22"/>
        </w:rPr>
        <w:t>uose</w:t>
      </w:r>
      <w:r w:rsidRPr="004F572A">
        <w:rPr>
          <w:rFonts w:eastAsia="Calibri"/>
          <w:sz w:val="22"/>
          <w:szCs w:val="22"/>
        </w:rPr>
        <w:t xml:space="preserve"> atvir</w:t>
      </w:r>
      <w:r w:rsidR="003E4417">
        <w:rPr>
          <w:rFonts w:eastAsia="Calibri"/>
          <w:sz w:val="22"/>
          <w:szCs w:val="22"/>
        </w:rPr>
        <w:t>uose</w:t>
      </w:r>
      <w:r w:rsidRPr="004F572A">
        <w:rPr>
          <w:rFonts w:eastAsia="Calibri"/>
          <w:sz w:val="22"/>
          <w:szCs w:val="22"/>
        </w:rPr>
        <w:t xml:space="preserve"> klinikini</w:t>
      </w:r>
      <w:r w:rsidR="003E4417">
        <w:rPr>
          <w:rFonts w:eastAsia="Calibri"/>
          <w:sz w:val="22"/>
          <w:szCs w:val="22"/>
        </w:rPr>
        <w:t>uose</w:t>
      </w:r>
      <w:r w:rsidRPr="004F572A">
        <w:rPr>
          <w:rFonts w:eastAsia="Calibri"/>
          <w:sz w:val="22"/>
          <w:szCs w:val="22"/>
        </w:rPr>
        <w:t xml:space="preserve"> tyrim</w:t>
      </w:r>
      <w:r w:rsidR="003E4417">
        <w:rPr>
          <w:rFonts w:eastAsia="Calibri"/>
          <w:sz w:val="22"/>
          <w:szCs w:val="22"/>
        </w:rPr>
        <w:t>uose</w:t>
      </w:r>
      <w:r w:rsidRPr="004F572A">
        <w:rPr>
          <w:rFonts w:eastAsia="Calibri"/>
          <w:sz w:val="22"/>
          <w:szCs w:val="22"/>
        </w:rPr>
        <w:t>.</w:t>
      </w:r>
    </w:p>
    <w:p w14:paraId="0B3DD7DF" w14:textId="77777777" w:rsidR="003E4417" w:rsidRPr="004F572A" w:rsidRDefault="003E4417" w:rsidP="00CA58C7">
      <w:pPr>
        <w:widowControl w:val="0"/>
        <w:tabs>
          <w:tab w:val="clear" w:pos="567"/>
        </w:tabs>
        <w:rPr>
          <w:rFonts w:eastAsia="Calibri"/>
          <w:sz w:val="22"/>
          <w:szCs w:val="22"/>
        </w:rPr>
      </w:pPr>
    </w:p>
    <w:p w14:paraId="53B9AD04" w14:textId="5FCEA31F" w:rsidR="00CA58C7" w:rsidRPr="004F572A" w:rsidRDefault="003E4417" w:rsidP="00CA58C7">
      <w:pPr>
        <w:widowControl w:val="0"/>
        <w:tabs>
          <w:tab w:val="clear" w:pos="567"/>
        </w:tabs>
        <w:rPr>
          <w:rFonts w:eastAsia="Calibri"/>
          <w:sz w:val="22"/>
          <w:szCs w:val="22"/>
        </w:rPr>
      </w:pPr>
      <w:r>
        <w:rPr>
          <w:rFonts w:eastAsia="Calibri"/>
          <w:sz w:val="22"/>
          <w:szCs w:val="22"/>
        </w:rPr>
        <w:t xml:space="preserve">Tyrimas Nr. </w:t>
      </w:r>
      <w:r w:rsidR="00CA58C7" w:rsidRPr="004F572A">
        <w:rPr>
          <w:rFonts w:eastAsia="Calibri"/>
          <w:sz w:val="22"/>
          <w:szCs w:val="22"/>
        </w:rPr>
        <w:t>207 buvo 1/2</w:t>
      </w:r>
      <w:r w:rsidR="00B10CAA">
        <w:rPr>
          <w:rFonts w:eastAsia="Calibri"/>
          <w:sz w:val="22"/>
          <w:szCs w:val="22"/>
        </w:rPr>
        <w:t> </w:t>
      </w:r>
      <w:r w:rsidR="00CA58C7" w:rsidRPr="004F572A">
        <w:rPr>
          <w:rFonts w:eastAsia="Calibri"/>
          <w:sz w:val="22"/>
          <w:szCs w:val="22"/>
        </w:rPr>
        <w:t>faz</w:t>
      </w:r>
      <w:r w:rsidR="00DA7A45" w:rsidRPr="004F572A">
        <w:rPr>
          <w:rFonts w:eastAsia="Calibri"/>
          <w:sz w:val="22"/>
          <w:szCs w:val="22"/>
        </w:rPr>
        <w:t>ės</w:t>
      </w:r>
      <w:r w:rsidR="00CA58C7" w:rsidRPr="004F572A">
        <w:rPr>
          <w:rFonts w:eastAsia="Calibri"/>
          <w:sz w:val="22"/>
          <w:szCs w:val="22"/>
        </w:rPr>
        <w:t xml:space="preserve">, atvirasis, </w:t>
      </w:r>
      <w:proofErr w:type="spellStart"/>
      <w:r w:rsidR="00CA58C7" w:rsidRPr="004F572A">
        <w:rPr>
          <w:rFonts w:eastAsia="Calibri"/>
          <w:sz w:val="22"/>
          <w:szCs w:val="22"/>
        </w:rPr>
        <w:t>daugiacentris</w:t>
      </w:r>
      <w:proofErr w:type="spellEnd"/>
      <w:r w:rsidR="00CA58C7" w:rsidRPr="004F572A">
        <w:rPr>
          <w:rFonts w:eastAsia="Calibri"/>
          <w:sz w:val="22"/>
          <w:szCs w:val="22"/>
        </w:rPr>
        <w:t>, dozės nustatymo ir aktyvumo įvertinimo tyrimas, kurio metu vaikams (nuo 2</w:t>
      </w:r>
      <w:r w:rsidR="00DA7A45" w:rsidRPr="004F572A">
        <w:rPr>
          <w:rFonts w:eastAsia="Calibri"/>
          <w:sz w:val="22"/>
          <w:szCs w:val="22"/>
        </w:rPr>
        <w:t> </w:t>
      </w:r>
      <w:r w:rsidR="00CA58C7" w:rsidRPr="004F572A">
        <w:rPr>
          <w:rFonts w:eastAsia="Calibri"/>
          <w:sz w:val="22"/>
          <w:szCs w:val="22"/>
        </w:rPr>
        <w:t>iki &lt;</w:t>
      </w:r>
      <w:r w:rsidR="00B10CAA">
        <w:rPr>
          <w:rFonts w:eastAsia="Calibri"/>
          <w:sz w:val="22"/>
          <w:szCs w:val="22"/>
        </w:rPr>
        <w:t> </w:t>
      </w:r>
      <w:r w:rsidR="00CA58C7" w:rsidRPr="004F572A">
        <w:rPr>
          <w:rFonts w:eastAsia="Calibri"/>
          <w:sz w:val="22"/>
          <w:szCs w:val="22"/>
        </w:rPr>
        <w:t>18</w:t>
      </w:r>
      <w:r w:rsidR="00DA7A45" w:rsidRPr="004F572A">
        <w:rPr>
          <w:rFonts w:eastAsia="Calibri"/>
          <w:sz w:val="22"/>
          <w:szCs w:val="22"/>
        </w:rPr>
        <w:t> </w:t>
      </w:r>
      <w:r w:rsidR="00CA58C7" w:rsidRPr="004F572A">
        <w:rPr>
          <w:rFonts w:eastAsia="Calibri"/>
          <w:sz w:val="22"/>
          <w:szCs w:val="22"/>
        </w:rPr>
        <w:t xml:space="preserve">metų; </w:t>
      </w:r>
      <w:proofErr w:type="spellStart"/>
      <w:r w:rsidR="00CA58C7" w:rsidRPr="004F572A">
        <w:rPr>
          <w:rFonts w:eastAsia="Calibri"/>
          <w:sz w:val="22"/>
          <w:szCs w:val="22"/>
        </w:rPr>
        <w:t>osteosarkomos</w:t>
      </w:r>
      <w:proofErr w:type="spellEnd"/>
      <w:r w:rsidR="00CA58C7" w:rsidRPr="004F572A">
        <w:rPr>
          <w:rFonts w:eastAsia="Calibri"/>
          <w:sz w:val="22"/>
          <w:szCs w:val="22"/>
        </w:rPr>
        <w:t xml:space="preserve"> atveju – nuo 2 iki ≤</w:t>
      </w:r>
      <w:r w:rsidR="00DA7A45" w:rsidRPr="004F572A">
        <w:rPr>
          <w:rFonts w:eastAsia="Calibri"/>
          <w:sz w:val="22"/>
          <w:szCs w:val="22"/>
        </w:rPr>
        <w:t> </w:t>
      </w:r>
      <w:r w:rsidR="00CA58C7" w:rsidRPr="004F572A">
        <w:rPr>
          <w:rFonts w:eastAsia="Calibri"/>
          <w:sz w:val="22"/>
          <w:szCs w:val="22"/>
        </w:rPr>
        <w:t>25</w:t>
      </w:r>
      <w:r w:rsidR="00DA7A45" w:rsidRPr="004F572A">
        <w:rPr>
          <w:rFonts w:eastAsia="Calibri"/>
          <w:sz w:val="22"/>
          <w:szCs w:val="22"/>
        </w:rPr>
        <w:t> </w:t>
      </w:r>
      <w:r w:rsidR="00CA58C7" w:rsidRPr="004F572A">
        <w:rPr>
          <w:rFonts w:eastAsia="Calibri"/>
          <w:sz w:val="22"/>
          <w:szCs w:val="22"/>
        </w:rPr>
        <w:t xml:space="preserve">metų), kuriems buvo </w:t>
      </w:r>
      <w:r>
        <w:rPr>
          <w:rFonts w:eastAsia="Calibri"/>
          <w:sz w:val="22"/>
          <w:szCs w:val="22"/>
        </w:rPr>
        <w:t xml:space="preserve">nustatyti </w:t>
      </w:r>
      <w:proofErr w:type="spellStart"/>
      <w:r w:rsidR="00CA58C7" w:rsidRPr="004F572A">
        <w:rPr>
          <w:rFonts w:eastAsia="Calibri"/>
          <w:sz w:val="22"/>
          <w:szCs w:val="22"/>
        </w:rPr>
        <w:t>recidyv</w:t>
      </w:r>
      <w:r>
        <w:rPr>
          <w:rFonts w:eastAsia="Calibri"/>
          <w:sz w:val="22"/>
          <w:szCs w:val="22"/>
        </w:rPr>
        <w:t>uojantys</w:t>
      </w:r>
      <w:proofErr w:type="spellEnd"/>
      <w:r w:rsidR="00CA58C7" w:rsidRPr="004F572A">
        <w:rPr>
          <w:rFonts w:eastAsia="Calibri"/>
          <w:sz w:val="22"/>
          <w:szCs w:val="22"/>
        </w:rPr>
        <w:t xml:space="preserve"> arba </w:t>
      </w:r>
      <w:proofErr w:type="spellStart"/>
      <w:r>
        <w:rPr>
          <w:rFonts w:eastAsia="Calibri"/>
          <w:sz w:val="22"/>
          <w:szCs w:val="22"/>
        </w:rPr>
        <w:t>refrakteriniai</w:t>
      </w:r>
      <w:proofErr w:type="spellEnd"/>
      <w:r w:rsidR="00CA58C7" w:rsidRPr="004F572A">
        <w:rPr>
          <w:rFonts w:eastAsia="Calibri"/>
          <w:sz w:val="22"/>
          <w:szCs w:val="22"/>
        </w:rPr>
        <w:t xml:space="preserve"> </w:t>
      </w:r>
      <w:proofErr w:type="spellStart"/>
      <w:r w:rsidR="00CA58C7" w:rsidRPr="004F572A">
        <w:rPr>
          <w:rFonts w:eastAsia="Calibri"/>
          <w:sz w:val="22"/>
          <w:szCs w:val="22"/>
        </w:rPr>
        <w:t>solidini</w:t>
      </w:r>
      <w:r>
        <w:rPr>
          <w:rFonts w:eastAsia="Calibri"/>
          <w:sz w:val="22"/>
          <w:szCs w:val="22"/>
        </w:rPr>
        <w:t>ai</w:t>
      </w:r>
      <w:proofErr w:type="spellEnd"/>
      <w:r w:rsidR="00CA58C7" w:rsidRPr="004F572A">
        <w:rPr>
          <w:rFonts w:eastAsia="Calibri"/>
          <w:sz w:val="22"/>
          <w:szCs w:val="22"/>
        </w:rPr>
        <w:t xml:space="preserve"> navik</w:t>
      </w:r>
      <w:r>
        <w:rPr>
          <w:rFonts w:eastAsia="Calibri"/>
          <w:sz w:val="22"/>
          <w:szCs w:val="22"/>
        </w:rPr>
        <w:t>ai</w:t>
      </w:r>
      <w:r w:rsidR="00CA58C7" w:rsidRPr="004F572A">
        <w:rPr>
          <w:rFonts w:eastAsia="Calibri"/>
          <w:sz w:val="22"/>
          <w:szCs w:val="22"/>
        </w:rPr>
        <w:t xml:space="preserve">, </w:t>
      </w:r>
      <w:proofErr w:type="spellStart"/>
      <w:r w:rsidR="00CA58C7" w:rsidRPr="004F572A">
        <w:rPr>
          <w:rFonts w:eastAsia="Calibri"/>
          <w:sz w:val="22"/>
          <w:szCs w:val="22"/>
        </w:rPr>
        <w:t>lenvatinib</w:t>
      </w:r>
      <w:r>
        <w:rPr>
          <w:rFonts w:eastAsia="Calibri"/>
          <w:sz w:val="22"/>
          <w:szCs w:val="22"/>
        </w:rPr>
        <w:t>as</w:t>
      </w:r>
      <w:proofErr w:type="spellEnd"/>
      <w:r w:rsidR="00CA58C7" w:rsidRPr="004F572A">
        <w:rPr>
          <w:rFonts w:eastAsia="Calibri"/>
          <w:sz w:val="22"/>
          <w:szCs w:val="22"/>
        </w:rPr>
        <w:t xml:space="preserve"> buvo skiriama</w:t>
      </w:r>
      <w:r>
        <w:rPr>
          <w:rFonts w:eastAsia="Calibri"/>
          <w:sz w:val="22"/>
          <w:szCs w:val="22"/>
        </w:rPr>
        <w:t>s</w:t>
      </w:r>
      <w:r w:rsidR="00DA7A45" w:rsidRPr="004F572A">
        <w:rPr>
          <w:rFonts w:eastAsia="Calibri"/>
          <w:sz w:val="22"/>
          <w:szCs w:val="22"/>
        </w:rPr>
        <w:t xml:space="preserve"> </w:t>
      </w:r>
      <w:r>
        <w:rPr>
          <w:rFonts w:eastAsia="Calibri"/>
          <w:sz w:val="22"/>
          <w:szCs w:val="22"/>
        </w:rPr>
        <w:t xml:space="preserve">kaip </w:t>
      </w:r>
      <w:r w:rsidR="00DA7A45" w:rsidRPr="004F572A">
        <w:rPr>
          <w:rFonts w:eastAsia="Calibri"/>
          <w:sz w:val="22"/>
          <w:szCs w:val="22"/>
        </w:rPr>
        <w:t>vien</w:t>
      </w:r>
      <w:r>
        <w:rPr>
          <w:rFonts w:eastAsia="Calibri"/>
          <w:sz w:val="22"/>
          <w:szCs w:val="22"/>
        </w:rPr>
        <w:t>as vaistinis preparatas</w:t>
      </w:r>
      <w:r w:rsidR="00DA7A45" w:rsidRPr="004F572A">
        <w:rPr>
          <w:rFonts w:eastAsia="Calibri"/>
          <w:sz w:val="22"/>
          <w:szCs w:val="22"/>
        </w:rPr>
        <w:t xml:space="preserve"> arba </w:t>
      </w:r>
      <w:r>
        <w:rPr>
          <w:rFonts w:eastAsia="Calibri"/>
          <w:sz w:val="22"/>
          <w:szCs w:val="22"/>
        </w:rPr>
        <w:t xml:space="preserve">skiriamas kartu </w:t>
      </w:r>
      <w:r w:rsidR="00DA7A45" w:rsidRPr="004F572A">
        <w:rPr>
          <w:rFonts w:eastAsia="Calibri"/>
          <w:sz w:val="22"/>
          <w:szCs w:val="22"/>
        </w:rPr>
        <w:t>su</w:t>
      </w:r>
      <w:r w:rsidR="00CA58C7" w:rsidRPr="004F572A">
        <w:rPr>
          <w:rFonts w:eastAsia="Calibri"/>
          <w:sz w:val="22"/>
          <w:szCs w:val="22"/>
        </w:rPr>
        <w:t xml:space="preserve"> </w:t>
      </w:r>
      <w:proofErr w:type="spellStart"/>
      <w:r w:rsidR="00CA58C7" w:rsidRPr="004F572A">
        <w:rPr>
          <w:rFonts w:eastAsia="Calibri"/>
          <w:sz w:val="22"/>
          <w:szCs w:val="22"/>
        </w:rPr>
        <w:t>ifosfamidu</w:t>
      </w:r>
      <w:proofErr w:type="spellEnd"/>
      <w:r w:rsidR="00CA58C7" w:rsidRPr="004F572A">
        <w:rPr>
          <w:rFonts w:eastAsia="Calibri"/>
          <w:sz w:val="22"/>
          <w:szCs w:val="22"/>
        </w:rPr>
        <w:t xml:space="preserve"> ir </w:t>
      </w:r>
      <w:proofErr w:type="spellStart"/>
      <w:r w:rsidR="00CA58C7" w:rsidRPr="004F572A">
        <w:rPr>
          <w:rFonts w:eastAsia="Calibri"/>
          <w:sz w:val="22"/>
          <w:szCs w:val="22"/>
        </w:rPr>
        <w:t>etopozidu</w:t>
      </w:r>
      <w:proofErr w:type="spellEnd"/>
      <w:r w:rsidR="00CA58C7" w:rsidRPr="004F572A">
        <w:rPr>
          <w:rFonts w:eastAsia="Calibri"/>
          <w:sz w:val="22"/>
          <w:szCs w:val="22"/>
        </w:rPr>
        <w:t>. Į tyrimą iš viso buvo įtraukti 97</w:t>
      </w:r>
      <w:r w:rsidR="00B10CAA">
        <w:rPr>
          <w:rFonts w:eastAsia="Calibri"/>
          <w:sz w:val="22"/>
          <w:szCs w:val="22"/>
        </w:rPr>
        <w:t> </w:t>
      </w:r>
      <w:r w:rsidR="00CA58C7" w:rsidRPr="004F572A">
        <w:rPr>
          <w:rFonts w:eastAsia="Calibri"/>
          <w:sz w:val="22"/>
          <w:szCs w:val="22"/>
        </w:rPr>
        <w:t xml:space="preserve">pacientai. Į </w:t>
      </w:r>
      <w:proofErr w:type="spellStart"/>
      <w:r w:rsidR="00CA58C7" w:rsidRPr="004F572A">
        <w:rPr>
          <w:rFonts w:eastAsia="Calibri"/>
          <w:sz w:val="22"/>
          <w:szCs w:val="22"/>
        </w:rPr>
        <w:t>lenvatinibo</w:t>
      </w:r>
      <w:proofErr w:type="spellEnd"/>
      <w:r w:rsidR="00CA58C7" w:rsidRPr="004F572A">
        <w:rPr>
          <w:rFonts w:eastAsia="Calibri"/>
          <w:sz w:val="22"/>
          <w:szCs w:val="22"/>
        </w:rPr>
        <w:t xml:space="preserve">, skiriamo </w:t>
      </w:r>
      <w:r>
        <w:rPr>
          <w:rFonts w:eastAsia="Calibri"/>
          <w:sz w:val="22"/>
          <w:szCs w:val="22"/>
        </w:rPr>
        <w:t>kaip vieno vaistinio preparato</w:t>
      </w:r>
      <w:r w:rsidR="00CA58C7" w:rsidRPr="004F572A">
        <w:rPr>
          <w:rFonts w:eastAsia="Calibri"/>
          <w:sz w:val="22"/>
          <w:szCs w:val="22"/>
        </w:rPr>
        <w:t>, dozės nustatymo grupę buvo įtraukti 23</w:t>
      </w:r>
      <w:r w:rsidR="00B10CAA">
        <w:rPr>
          <w:rFonts w:eastAsia="Calibri"/>
          <w:sz w:val="22"/>
          <w:szCs w:val="22"/>
        </w:rPr>
        <w:t> </w:t>
      </w:r>
      <w:r w:rsidR="00CA58C7" w:rsidRPr="004F572A">
        <w:rPr>
          <w:rFonts w:eastAsia="Calibri"/>
          <w:sz w:val="22"/>
          <w:szCs w:val="22"/>
        </w:rPr>
        <w:t xml:space="preserve">pacientai, kurie </w:t>
      </w:r>
      <w:proofErr w:type="spellStart"/>
      <w:r w:rsidR="00CA58C7" w:rsidRPr="004F572A">
        <w:rPr>
          <w:rFonts w:eastAsia="Calibri"/>
          <w:sz w:val="22"/>
          <w:szCs w:val="22"/>
        </w:rPr>
        <w:t>lenvatinib</w:t>
      </w:r>
      <w:r w:rsidR="00DA7A45" w:rsidRPr="004F572A">
        <w:rPr>
          <w:rFonts w:eastAsia="Calibri"/>
          <w:sz w:val="22"/>
          <w:szCs w:val="22"/>
        </w:rPr>
        <w:t>o</w:t>
      </w:r>
      <w:proofErr w:type="spellEnd"/>
      <w:r w:rsidR="00CA58C7" w:rsidRPr="004F572A">
        <w:rPr>
          <w:rFonts w:eastAsia="Calibri"/>
          <w:sz w:val="22"/>
          <w:szCs w:val="22"/>
        </w:rPr>
        <w:t xml:space="preserve"> vartojo per burną kartą per parą, taikant 3</w:t>
      </w:r>
      <w:r w:rsidR="00B10CAA">
        <w:rPr>
          <w:rFonts w:eastAsia="Calibri"/>
          <w:sz w:val="22"/>
          <w:szCs w:val="22"/>
        </w:rPr>
        <w:t> </w:t>
      </w:r>
      <w:r w:rsidR="00CA58C7" w:rsidRPr="004F572A">
        <w:rPr>
          <w:rFonts w:eastAsia="Calibri"/>
          <w:sz w:val="22"/>
          <w:szCs w:val="22"/>
        </w:rPr>
        <w:t>doz</w:t>
      </w:r>
      <w:r>
        <w:rPr>
          <w:rFonts w:eastAsia="Calibri"/>
          <w:sz w:val="22"/>
          <w:szCs w:val="22"/>
        </w:rPr>
        <w:t>ių</w:t>
      </w:r>
      <w:r w:rsidR="00CA58C7" w:rsidRPr="004F572A">
        <w:rPr>
          <w:rFonts w:eastAsia="Calibri"/>
          <w:sz w:val="22"/>
          <w:szCs w:val="22"/>
        </w:rPr>
        <w:t xml:space="preserve"> lygius (11, 14 arba 17</w:t>
      </w:r>
      <w:r w:rsidR="00DA7A45" w:rsidRPr="004F572A">
        <w:rPr>
          <w:rFonts w:eastAsia="Calibri"/>
          <w:sz w:val="22"/>
          <w:szCs w:val="22"/>
        </w:rPr>
        <w:t> </w:t>
      </w:r>
      <w:r w:rsidR="00CA58C7" w:rsidRPr="004F572A">
        <w:rPr>
          <w:rFonts w:eastAsia="Calibri"/>
          <w:sz w:val="22"/>
          <w:szCs w:val="22"/>
        </w:rPr>
        <w:t>mg/m</w:t>
      </w:r>
      <w:r w:rsidR="00CA58C7" w:rsidRPr="004F572A">
        <w:rPr>
          <w:rFonts w:eastAsia="Calibri"/>
          <w:sz w:val="22"/>
          <w:szCs w:val="22"/>
          <w:vertAlign w:val="superscript"/>
        </w:rPr>
        <w:t>2</w:t>
      </w:r>
      <w:r w:rsidR="00CA58C7" w:rsidRPr="004F572A">
        <w:rPr>
          <w:rFonts w:eastAsia="Calibri"/>
          <w:sz w:val="22"/>
          <w:szCs w:val="22"/>
        </w:rPr>
        <w:t xml:space="preserve">). Į </w:t>
      </w:r>
      <w:proofErr w:type="spellStart"/>
      <w:r w:rsidR="00CA58C7" w:rsidRPr="004F572A">
        <w:rPr>
          <w:rFonts w:eastAsia="Calibri"/>
          <w:sz w:val="22"/>
          <w:szCs w:val="22"/>
        </w:rPr>
        <w:t>lenvatinibo</w:t>
      </w:r>
      <w:proofErr w:type="spellEnd"/>
      <w:r w:rsidR="00CA58C7" w:rsidRPr="004F572A">
        <w:rPr>
          <w:rFonts w:eastAsia="Calibri"/>
          <w:sz w:val="22"/>
          <w:szCs w:val="22"/>
        </w:rPr>
        <w:t xml:space="preserve"> </w:t>
      </w:r>
      <w:r>
        <w:rPr>
          <w:rFonts w:eastAsia="Calibri"/>
          <w:sz w:val="22"/>
          <w:szCs w:val="22"/>
        </w:rPr>
        <w:t>kartu</w:t>
      </w:r>
      <w:r w:rsidR="00CA58C7" w:rsidRPr="004F572A">
        <w:rPr>
          <w:rFonts w:eastAsia="Calibri"/>
          <w:sz w:val="22"/>
          <w:szCs w:val="22"/>
        </w:rPr>
        <w:t xml:space="preserve"> su </w:t>
      </w:r>
      <w:proofErr w:type="spellStart"/>
      <w:r w:rsidR="00CA58C7" w:rsidRPr="004F572A">
        <w:rPr>
          <w:rFonts w:eastAsia="Calibri"/>
          <w:sz w:val="22"/>
          <w:szCs w:val="22"/>
        </w:rPr>
        <w:t>ifosfamidu</w:t>
      </w:r>
      <w:proofErr w:type="spellEnd"/>
      <w:r w:rsidR="00CA58C7" w:rsidRPr="004F572A">
        <w:rPr>
          <w:rFonts w:eastAsia="Calibri"/>
          <w:sz w:val="22"/>
          <w:szCs w:val="22"/>
        </w:rPr>
        <w:t xml:space="preserve"> ir </w:t>
      </w:r>
      <w:proofErr w:type="spellStart"/>
      <w:r w:rsidR="00CA58C7" w:rsidRPr="004F572A">
        <w:rPr>
          <w:rFonts w:eastAsia="Calibri"/>
          <w:sz w:val="22"/>
          <w:szCs w:val="22"/>
        </w:rPr>
        <w:t>etopozidu</w:t>
      </w:r>
      <w:proofErr w:type="spellEnd"/>
      <w:r w:rsidR="00CA58C7" w:rsidRPr="004F572A">
        <w:rPr>
          <w:rFonts w:eastAsia="Calibri"/>
          <w:sz w:val="22"/>
          <w:szCs w:val="22"/>
        </w:rPr>
        <w:t xml:space="preserve"> dozės nustatymo grupę iš viso buvo įtraukti 22</w:t>
      </w:r>
      <w:r w:rsidR="00B10CAA">
        <w:rPr>
          <w:rFonts w:eastAsia="Calibri"/>
          <w:sz w:val="22"/>
          <w:szCs w:val="22"/>
        </w:rPr>
        <w:t> </w:t>
      </w:r>
      <w:r w:rsidR="00CA58C7" w:rsidRPr="004F572A">
        <w:rPr>
          <w:rFonts w:eastAsia="Calibri"/>
          <w:sz w:val="22"/>
          <w:szCs w:val="22"/>
        </w:rPr>
        <w:t>pacientai, kurie</w:t>
      </w:r>
      <w:r>
        <w:rPr>
          <w:rFonts w:eastAsia="Calibri"/>
          <w:sz w:val="22"/>
          <w:szCs w:val="22"/>
        </w:rPr>
        <w:t>ms</w:t>
      </w:r>
      <w:r w:rsidR="00CA58C7" w:rsidRPr="004F572A">
        <w:rPr>
          <w:rFonts w:eastAsia="Calibri"/>
          <w:sz w:val="22"/>
          <w:szCs w:val="22"/>
        </w:rPr>
        <w:t xml:space="preserve"> </w:t>
      </w:r>
      <w:proofErr w:type="spellStart"/>
      <w:r w:rsidR="00CA58C7" w:rsidRPr="004F572A">
        <w:rPr>
          <w:rFonts w:eastAsia="Calibri"/>
          <w:sz w:val="22"/>
          <w:szCs w:val="22"/>
        </w:rPr>
        <w:t>lenvatinib</w:t>
      </w:r>
      <w:r>
        <w:rPr>
          <w:rFonts w:eastAsia="Calibri"/>
          <w:sz w:val="22"/>
          <w:szCs w:val="22"/>
        </w:rPr>
        <w:t>as</w:t>
      </w:r>
      <w:proofErr w:type="spellEnd"/>
      <w:r w:rsidR="00CA58C7" w:rsidRPr="004F572A">
        <w:rPr>
          <w:rFonts w:eastAsia="Calibri"/>
          <w:sz w:val="22"/>
          <w:szCs w:val="22"/>
        </w:rPr>
        <w:t xml:space="preserve"> buvo skiriam</w:t>
      </w:r>
      <w:r w:rsidR="00DA7A45" w:rsidRPr="004F572A">
        <w:rPr>
          <w:rFonts w:eastAsia="Calibri"/>
          <w:sz w:val="22"/>
          <w:szCs w:val="22"/>
        </w:rPr>
        <w:t>a</w:t>
      </w:r>
      <w:r>
        <w:rPr>
          <w:rFonts w:eastAsia="Calibri"/>
          <w:sz w:val="22"/>
          <w:szCs w:val="22"/>
        </w:rPr>
        <w:t>s</w:t>
      </w:r>
      <w:r w:rsidR="00CA58C7" w:rsidRPr="004F572A">
        <w:rPr>
          <w:rFonts w:eastAsia="Calibri"/>
          <w:sz w:val="22"/>
          <w:szCs w:val="22"/>
        </w:rPr>
        <w:t xml:space="preserve"> 2</w:t>
      </w:r>
      <w:r w:rsidR="00B10CAA">
        <w:rPr>
          <w:rFonts w:eastAsia="Calibri"/>
          <w:sz w:val="22"/>
          <w:szCs w:val="22"/>
        </w:rPr>
        <w:t> </w:t>
      </w:r>
      <w:r w:rsidR="00CA58C7" w:rsidRPr="004F572A">
        <w:rPr>
          <w:rFonts w:eastAsia="Calibri"/>
          <w:sz w:val="22"/>
          <w:szCs w:val="22"/>
        </w:rPr>
        <w:t>dozė</w:t>
      </w:r>
      <w:r>
        <w:rPr>
          <w:rFonts w:eastAsia="Calibri"/>
          <w:sz w:val="22"/>
          <w:szCs w:val="22"/>
        </w:rPr>
        <w:t>mis</w:t>
      </w:r>
      <w:r w:rsidR="00CA58C7" w:rsidRPr="004F572A">
        <w:rPr>
          <w:rFonts w:eastAsia="Calibri"/>
          <w:sz w:val="22"/>
          <w:szCs w:val="22"/>
        </w:rPr>
        <w:t xml:space="preserve"> (11 arba 14</w:t>
      </w:r>
      <w:r w:rsidR="00DA7A45" w:rsidRPr="004F572A">
        <w:rPr>
          <w:rFonts w:eastAsia="Calibri"/>
          <w:sz w:val="22"/>
          <w:szCs w:val="22"/>
        </w:rPr>
        <w:t> </w:t>
      </w:r>
      <w:r w:rsidR="00CA58C7" w:rsidRPr="004F572A">
        <w:rPr>
          <w:rFonts w:eastAsia="Calibri"/>
          <w:sz w:val="22"/>
          <w:szCs w:val="22"/>
        </w:rPr>
        <w:t>mg/m</w:t>
      </w:r>
      <w:r w:rsidR="00CA58C7" w:rsidRPr="004F572A">
        <w:rPr>
          <w:rFonts w:eastAsia="Calibri"/>
          <w:sz w:val="22"/>
          <w:szCs w:val="22"/>
          <w:vertAlign w:val="superscript"/>
        </w:rPr>
        <w:t>2</w:t>
      </w:r>
      <w:r w:rsidR="00CA58C7" w:rsidRPr="004F572A">
        <w:rPr>
          <w:rFonts w:eastAsia="Calibri"/>
          <w:sz w:val="22"/>
          <w:szCs w:val="22"/>
        </w:rPr>
        <w:t xml:space="preserve">). Nustatyta, kad rekomenduojama </w:t>
      </w:r>
      <w:proofErr w:type="spellStart"/>
      <w:r w:rsidR="00CA58C7" w:rsidRPr="004F572A">
        <w:rPr>
          <w:rFonts w:eastAsia="Calibri"/>
          <w:sz w:val="22"/>
          <w:szCs w:val="22"/>
        </w:rPr>
        <w:t>lenvatinibo</w:t>
      </w:r>
      <w:proofErr w:type="spellEnd"/>
      <w:r w:rsidR="00CA58C7" w:rsidRPr="004F572A">
        <w:rPr>
          <w:rFonts w:eastAsia="Calibri"/>
          <w:sz w:val="22"/>
          <w:szCs w:val="22"/>
        </w:rPr>
        <w:t xml:space="preserve">, skiriamo </w:t>
      </w:r>
      <w:r>
        <w:rPr>
          <w:rFonts w:eastAsia="Calibri"/>
          <w:sz w:val="22"/>
          <w:szCs w:val="22"/>
        </w:rPr>
        <w:t xml:space="preserve">kaip </w:t>
      </w:r>
      <w:r w:rsidR="00CA58C7" w:rsidRPr="004F572A">
        <w:rPr>
          <w:rFonts w:eastAsia="Calibri"/>
          <w:sz w:val="22"/>
          <w:szCs w:val="22"/>
        </w:rPr>
        <w:t xml:space="preserve">vieno </w:t>
      </w:r>
      <w:r>
        <w:rPr>
          <w:rFonts w:eastAsia="Calibri"/>
          <w:sz w:val="22"/>
          <w:szCs w:val="22"/>
        </w:rPr>
        <w:t xml:space="preserve">vaistinio preparato </w:t>
      </w:r>
      <w:r w:rsidR="00CA58C7" w:rsidRPr="004F572A">
        <w:rPr>
          <w:rFonts w:eastAsia="Calibri"/>
          <w:sz w:val="22"/>
          <w:szCs w:val="22"/>
        </w:rPr>
        <w:t>ir skiriamo derin</w:t>
      </w:r>
      <w:r>
        <w:rPr>
          <w:rFonts w:eastAsia="Calibri"/>
          <w:sz w:val="22"/>
          <w:szCs w:val="22"/>
        </w:rPr>
        <w:t>iu</w:t>
      </w:r>
      <w:r w:rsidR="00CA58C7" w:rsidRPr="004F572A">
        <w:rPr>
          <w:rFonts w:eastAsia="Calibri"/>
          <w:sz w:val="22"/>
          <w:szCs w:val="22"/>
        </w:rPr>
        <w:t xml:space="preserve"> su </w:t>
      </w:r>
      <w:proofErr w:type="spellStart"/>
      <w:r w:rsidR="00CA58C7" w:rsidRPr="004F572A">
        <w:rPr>
          <w:rFonts w:eastAsia="Calibri"/>
          <w:sz w:val="22"/>
          <w:szCs w:val="22"/>
        </w:rPr>
        <w:t>ifosfamidu</w:t>
      </w:r>
      <w:proofErr w:type="spellEnd"/>
      <w:r w:rsidR="00CA58C7" w:rsidRPr="004F572A">
        <w:rPr>
          <w:rFonts w:eastAsia="Calibri"/>
          <w:sz w:val="22"/>
          <w:szCs w:val="22"/>
        </w:rPr>
        <w:t xml:space="preserve"> ir </w:t>
      </w:r>
      <w:proofErr w:type="spellStart"/>
      <w:r w:rsidR="00CA58C7" w:rsidRPr="004F572A">
        <w:rPr>
          <w:rFonts w:eastAsia="Calibri"/>
          <w:sz w:val="22"/>
          <w:szCs w:val="22"/>
        </w:rPr>
        <w:t>etopozidu</w:t>
      </w:r>
      <w:proofErr w:type="spellEnd"/>
      <w:r w:rsidR="00CA58C7" w:rsidRPr="004F572A">
        <w:rPr>
          <w:rFonts w:eastAsia="Calibri"/>
          <w:sz w:val="22"/>
          <w:szCs w:val="22"/>
        </w:rPr>
        <w:t>, dozė yra 14</w:t>
      </w:r>
      <w:r w:rsidR="00DA7A45" w:rsidRPr="004F572A">
        <w:rPr>
          <w:rFonts w:eastAsia="Calibri"/>
          <w:sz w:val="22"/>
          <w:szCs w:val="22"/>
        </w:rPr>
        <w:t> </w:t>
      </w:r>
      <w:r w:rsidR="00CA58C7" w:rsidRPr="004F572A">
        <w:rPr>
          <w:rFonts w:eastAsia="Calibri"/>
          <w:sz w:val="22"/>
          <w:szCs w:val="22"/>
        </w:rPr>
        <w:t>mg/m</w:t>
      </w:r>
      <w:r w:rsidR="00CA58C7" w:rsidRPr="004F572A">
        <w:rPr>
          <w:rFonts w:eastAsia="Calibri"/>
          <w:sz w:val="22"/>
          <w:szCs w:val="22"/>
          <w:vertAlign w:val="superscript"/>
        </w:rPr>
        <w:t>2</w:t>
      </w:r>
      <w:r w:rsidR="00CA58C7" w:rsidRPr="004F572A">
        <w:rPr>
          <w:rFonts w:eastAsia="Calibri"/>
          <w:sz w:val="22"/>
          <w:szCs w:val="22"/>
        </w:rPr>
        <w:t xml:space="preserve">, </w:t>
      </w:r>
      <w:r>
        <w:rPr>
          <w:rFonts w:eastAsia="Calibri"/>
          <w:sz w:val="22"/>
          <w:szCs w:val="22"/>
        </w:rPr>
        <w:t>geriant vieną</w:t>
      </w:r>
      <w:r w:rsidR="00CA58C7" w:rsidRPr="004F572A">
        <w:rPr>
          <w:rFonts w:eastAsia="Calibri"/>
          <w:sz w:val="22"/>
          <w:szCs w:val="22"/>
        </w:rPr>
        <w:t xml:space="preserve"> kartą per parą.</w:t>
      </w:r>
    </w:p>
    <w:p w14:paraId="6C704ED1" w14:textId="77777777" w:rsidR="00DA7A45" w:rsidRPr="004F572A" w:rsidRDefault="00DA7A45" w:rsidP="00CA58C7">
      <w:pPr>
        <w:widowControl w:val="0"/>
        <w:tabs>
          <w:tab w:val="clear" w:pos="567"/>
        </w:tabs>
        <w:rPr>
          <w:rFonts w:eastAsia="Calibri"/>
          <w:sz w:val="22"/>
          <w:szCs w:val="22"/>
        </w:rPr>
      </w:pPr>
    </w:p>
    <w:p w14:paraId="152F4EB1" w14:textId="418F7009" w:rsidR="00CA58C7" w:rsidRPr="004F572A" w:rsidRDefault="00CA58C7" w:rsidP="00CA58C7">
      <w:pPr>
        <w:widowControl w:val="0"/>
        <w:tabs>
          <w:tab w:val="clear" w:pos="567"/>
        </w:tabs>
        <w:rPr>
          <w:rFonts w:eastAsia="Calibri"/>
          <w:sz w:val="22"/>
          <w:szCs w:val="22"/>
        </w:rPr>
      </w:pPr>
      <w:r w:rsidRPr="004F572A">
        <w:rPr>
          <w:rFonts w:eastAsia="Calibri"/>
          <w:sz w:val="22"/>
          <w:szCs w:val="22"/>
        </w:rPr>
        <w:t xml:space="preserve">Pacientų, kuriems nustatyta </w:t>
      </w:r>
      <w:proofErr w:type="spellStart"/>
      <w:r w:rsidRPr="004F572A">
        <w:rPr>
          <w:rFonts w:eastAsia="Calibri"/>
          <w:sz w:val="22"/>
          <w:szCs w:val="22"/>
        </w:rPr>
        <w:t>recidyv</w:t>
      </w:r>
      <w:r w:rsidR="00E267B9" w:rsidRPr="004F572A">
        <w:rPr>
          <w:rFonts w:eastAsia="Calibri"/>
          <w:sz w:val="22"/>
          <w:szCs w:val="22"/>
        </w:rPr>
        <w:t>av</w:t>
      </w:r>
      <w:r w:rsidR="00B57967">
        <w:rPr>
          <w:rFonts w:eastAsia="Calibri"/>
          <w:sz w:val="22"/>
          <w:szCs w:val="22"/>
        </w:rPr>
        <w:t>uojanti</w:t>
      </w:r>
      <w:proofErr w:type="spellEnd"/>
      <w:r w:rsidRPr="004F572A">
        <w:rPr>
          <w:rFonts w:eastAsia="Calibri"/>
          <w:sz w:val="22"/>
          <w:szCs w:val="22"/>
        </w:rPr>
        <w:t xml:space="preserve"> arba </w:t>
      </w:r>
      <w:proofErr w:type="spellStart"/>
      <w:r w:rsidR="00B57967">
        <w:rPr>
          <w:rFonts w:eastAsia="Calibri"/>
          <w:sz w:val="22"/>
          <w:szCs w:val="22"/>
        </w:rPr>
        <w:t>refrakterinė</w:t>
      </w:r>
      <w:proofErr w:type="spellEnd"/>
      <w:r w:rsidR="00A07C53" w:rsidRPr="004F572A">
        <w:rPr>
          <w:rFonts w:eastAsia="Calibri"/>
          <w:sz w:val="22"/>
          <w:szCs w:val="22"/>
        </w:rPr>
        <w:t xml:space="preserve"> </w:t>
      </w:r>
      <w:r w:rsidRPr="004F572A">
        <w:rPr>
          <w:rFonts w:eastAsia="Calibri"/>
          <w:sz w:val="22"/>
          <w:szCs w:val="22"/>
        </w:rPr>
        <w:t xml:space="preserve">DSK, </w:t>
      </w:r>
      <w:proofErr w:type="spellStart"/>
      <w:r w:rsidRPr="004F572A">
        <w:rPr>
          <w:rFonts w:eastAsia="Calibri"/>
          <w:sz w:val="22"/>
          <w:szCs w:val="22"/>
        </w:rPr>
        <w:t>lenvatinibo</w:t>
      </w:r>
      <w:proofErr w:type="spellEnd"/>
      <w:r w:rsidRPr="004F572A">
        <w:rPr>
          <w:rFonts w:eastAsia="Calibri"/>
          <w:sz w:val="22"/>
          <w:szCs w:val="22"/>
        </w:rPr>
        <w:t xml:space="preserve">, skiriamo </w:t>
      </w:r>
      <w:r w:rsidR="00B57967">
        <w:rPr>
          <w:rFonts w:eastAsia="Calibri"/>
          <w:sz w:val="22"/>
          <w:szCs w:val="22"/>
        </w:rPr>
        <w:t xml:space="preserve">kaip </w:t>
      </w:r>
      <w:r w:rsidRPr="004F572A">
        <w:rPr>
          <w:rFonts w:eastAsia="Calibri"/>
          <w:sz w:val="22"/>
          <w:szCs w:val="22"/>
        </w:rPr>
        <w:t>vieno</w:t>
      </w:r>
      <w:r w:rsidR="00B57967">
        <w:rPr>
          <w:rFonts w:eastAsia="Calibri"/>
          <w:sz w:val="22"/>
          <w:szCs w:val="22"/>
        </w:rPr>
        <w:t xml:space="preserve"> vaistinio preparato</w:t>
      </w:r>
      <w:r w:rsidRPr="004F572A">
        <w:rPr>
          <w:rFonts w:eastAsia="Calibri"/>
          <w:sz w:val="22"/>
          <w:szCs w:val="22"/>
        </w:rPr>
        <w:t xml:space="preserve">, dozės išplėtimo grupėje </w:t>
      </w:r>
      <w:r w:rsidR="00B57967">
        <w:rPr>
          <w:rFonts w:eastAsia="Calibri"/>
          <w:sz w:val="22"/>
          <w:szCs w:val="22"/>
        </w:rPr>
        <w:t>pirminiu</w:t>
      </w:r>
      <w:r w:rsidR="00A07C53" w:rsidRPr="004F572A">
        <w:rPr>
          <w:rFonts w:eastAsia="Calibri"/>
          <w:sz w:val="22"/>
          <w:szCs w:val="22"/>
        </w:rPr>
        <w:t xml:space="preserve"> </w:t>
      </w:r>
      <w:r w:rsidR="00EC3D25" w:rsidRPr="004F572A">
        <w:rPr>
          <w:rFonts w:eastAsia="Calibri"/>
          <w:sz w:val="22"/>
          <w:szCs w:val="22"/>
        </w:rPr>
        <w:t xml:space="preserve">veiksmingumo </w:t>
      </w:r>
      <w:r w:rsidR="00B57967">
        <w:rPr>
          <w:rFonts w:eastAsia="Calibri"/>
          <w:sz w:val="22"/>
          <w:szCs w:val="22"/>
        </w:rPr>
        <w:t>rezultatų vertinimo rodikliu</w:t>
      </w:r>
      <w:r w:rsidRPr="004F572A">
        <w:rPr>
          <w:rFonts w:eastAsia="Calibri"/>
          <w:sz w:val="22"/>
          <w:szCs w:val="22"/>
        </w:rPr>
        <w:t xml:space="preserve"> buvo laikomas objektyvaus atsako dažnis (OAD; </w:t>
      </w:r>
      <w:r w:rsidR="00A07C53" w:rsidRPr="004F572A">
        <w:rPr>
          <w:rFonts w:eastAsia="Calibri"/>
          <w:sz w:val="22"/>
          <w:szCs w:val="22"/>
        </w:rPr>
        <w:t>visiškas</w:t>
      </w:r>
      <w:r w:rsidRPr="004F572A">
        <w:rPr>
          <w:rFonts w:eastAsia="Calibri"/>
          <w:sz w:val="22"/>
          <w:szCs w:val="22"/>
        </w:rPr>
        <w:t xml:space="preserve"> atsakas [</w:t>
      </w:r>
      <w:r w:rsidR="00A07C53" w:rsidRPr="004F572A">
        <w:rPr>
          <w:rFonts w:eastAsia="Calibri"/>
          <w:sz w:val="22"/>
          <w:szCs w:val="22"/>
        </w:rPr>
        <w:t>V</w:t>
      </w:r>
      <w:r w:rsidRPr="004F572A">
        <w:rPr>
          <w:rFonts w:eastAsia="Calibri"/>
          <w:sz w:val="22"/>
          <w:szCs w:val="22"/>
        </w:rPr>
        <w:t xml:space="preserve">A] + dalinis atsakas [DA]). Į tyrimą buvo įtrauktas vienas pacientas, kuriam buvo pasiektas DA. Pacientų, kuriems nustatyta </w:t>
      </w:r>
      <w:proofErr w:type="spellStart"/>
      <w:r w:rsidRPr="004F572A">
        <w:rPr>
          <w:rFonts w:eastAsia="Calibri"/>
          <w:sz w:val="22"/>
          <w:szCs w:val="22"/>
        </w:rPr>
        <w:t>recidyv</w:t>
      </w:r>
      <w:r w:rsidR="00A07C53" w:rsidRPr="004F572A">
        <w:rPr>
          <w:rFonts w:eastAsia="Calibri"/>
          <w:sz w:val="22"/>
          <w:szCs w:val="22"/>
        </w:rPr>
        <w:t>avu</w:t>
      </w:r>
      <w:r w:rsidR="00B57967">
        <w:rPr>
          <w:rFonts w:eastAsia="Calibri"/>
          <w:sz w:val="22"/>
          <w:szCs w:val="22"/>
        </w:rPr>
        <w:t>ojanti</w:t>
      </w:r>
      <w:proofErr w:type="spellEnd"/>
      <w:r w:rsidRPr="004F572A">
        <w:rPr>
          <w:rFonts w:eastAsia="Calibri"/>
          <w:sz w:val="22"/>
          <w:szCs w:val="22"/>
        </w:rPr>
        <w:t xml:space="preserve"> arba </w:t>
      </w:r>
      <w:proofErr w:type="spellStart"/>
      <w:r w:rsidR="00B57967">
        <w:rPr>
          <w:rFonts w:eastAsia="Calibri"/>
          <w:sz w:val="22"/>
          <w:szCs w:val="22"/>
        </w:rPr>
        <w:t>refrakterinė</w:t>
      </w:r>
      <w:proofErr w:type="spellEnd"/>
      <w:r w:rsidRPr="004F572A">
        <w:rPr>
          <w:rFonts w:eastAsia="Calibri"/>
          <w:sz w:val="22"/>
          <w:szCs w:val="22"/>
        </w:rPr>
        <w:t xml:space="preserve"> </w:t>
      </w:r>
      <w:proofErr w:type="spellStart"/>
      <w:r w:rsidRPr="004F572A">
        <w:rPr>
          <w:rFonts w:eastAsia="Calibri"/>
          <w:sz w:val="22"/>
          <w:szCs w:val="22"/>
        </w:rPr>
        <w:t>osteosarkoma</w:t>
      </w:r>
      <w:proofErr w:type="spellEnd"/>
      <w:r w:rsidRPr="004F572A">
        <w:rPr>
          <w:rFonts w:eastAsia="Calibri"/>
          <w:sz w:val="22"/>
          <w:szCs w:val="22"/>
        </w:rPr>
        <w:t xml:space="preserve">, </w:t>
      </w:r>
      <w:proofErr w:type="spellStart"/>
      <w:r w:rsidRPr="004F572A">
        <w:rPr>
          <w:rFonts w:eastAsia="Calibri"/>
          <w:sz w:val="22"/>
          <w:szCs w:val="22"/>
        </w:rPr>
        <w:t>lenvatinibo</w:t>
      </w:r>
      <w:proofErr w:type="spellEnd"/>
      <w:r w:rsidRPr="004F572A">
        <w:rPr>
          <w:rFonts w:eastAsia="Calibri"/>
          <w:sz w:val="22"/>
          <w:szCs w:val="22"/>
        </w:rPr>
        <w:t xml:space="preserve">, skiriamo </w:t>
      </w:r>
      <w:r w:rsidR="00B57967">
        <w:rPr>
          <w:rFonts w:eastAsia="Calibri"/>
          <w:sz w:val="22"/>
          <w:szCs w:val="22"/>
        </w:rPr>
        <w:t xml:space="preserve">kaip </w:t>
      </w:r>
      <w:r w:rsidRPr="004F572A">
        <w:rPr>
          <w:rFonts w:eastAsia="Calibri"/>
          <w:sz w:val="22"/>
          <w:szCs w:val="22"/>
        </w:rPr>
        <w:t xml:space="preserve">vieno </w:t>
      </w:r>
      <w:r w:rsidR="00B57967">
        <w:rPr>
          <w:rFonts w:eastAsia="Calibri"/>
          <w:sz w:val="22"/>
          <w:szCs w:val="22"/>
        </w:rPr>
        <w:t xml:space="preserve">vaistinio preparato </w:t>
      </w:r>
      <w:r w:rsidRPr="004F572A">
        <w:rPr>
          <w:rFonts w:eastAsia="Calibri"/>
          <w:sz w:val="22"/>
          <w:szCs w:val="22"/>
        </w:rPr>
        <w:t xml:space="preserve">ir skiriamo </w:t>
      </w:r>
      <w:r w:rsidR="00B57967">
        <w:rPr>
          <w:rFonts w:eastAsia="Calibri"/>
          <w:sz w:val="22"/>
          <w:szCs w:val="22"/>
        </w:rPr>
        <w:t>kartu</w:t>
      </w:r>
      <w:r w:rsidRPr="004F572A">
        <w:rPr>
          <w:rFonts w:eastAsia="Calibri"/>
          <w:sz w:val="22"/>
          <w:szCs w:val="22"/>
        </w:rPr>
        <w:t xml:space="preserve"> su </w:t>
      </w:r>
      <w:proofErr w:type="spellStart"/>
      <w:r w:rsidRPr="004F572A">
        <w:rPr>
          <w:rFonts w:eastAsia="Calibri"/>
          <w:sz w:val="22"/>
          <w:szCs w:val="22"/>
        </w:rPr>
        <w:t>ifosfamidu</w:t>
      </w:r>
      <w:proofErr w:type="spellEnd"/>
      <w:r w:rsidRPr="004F572A">
        <w:rPr>
          <w:rFonts w:eastAsia="Calibri"/>
          <w:sz w:val="22"/>
          <w:szCs w:val="22"/>
        </w:rPr>
        <w:t xml:space="preserve"> ir </w:t>
      </w:r>
      <w:proofErr w:type="spellStart"/>
      <w:r w:rsidRPr="004F572A">
        <w:rPr>
          <w:rFonts w:eastAsia="Calibri"/>
          <w:sz w:val="22"/>
          <w:szCs w:val="22"/>
        </w:rPr>
        <w:t>etopozidu</w:t>
      </w:r>
      <w:proofErr w:type="spellEnd"/>
      <w:r w:rsidRPr="004F572A">
        <w:rPr>
          <w:rFonts w:eastAsia="Calibri"/>
          <w:sz w:val="22"/>
          <w:szCs w:val="22"/>
        </w:rPr>
        <w:t xml:space="preserve">, grupėje </w:t>
      </w:r>
      <w:r w:rsidR="00B57967">
        <w:rPr>
          <w:rFonts w:eastAsia="Calibri"/>
          <w:sz w:val="22"/>
          <w:szCs w:val="22"/>
        </w:rPr>
        <w:t>pirminiu</w:t>
      </w:r>
      <w:r w:rsidR="00A07C53" w:rsidRPr="004F572A">
        <w:rPr>
          <w:rFonts w:eastAsia="Calibri"/>
          <w:sz w:val="22"/>
          <w:szCs w:val="22"/>
        </w:rPr>
        <w:t xml:space="preserve"> </w:t>
      </w:r>
      <w:r w:rsidR="00EC3D25" w:rsidRPr="004F572A">
        <w:rPr>
          <w:rFonts w:eastAsia="Calibri"/>
          <w:sz w:val="22"/>
          <w:szCs w:val="22"/>
        </w:rPr>
        <w:t xml:space="preserve">veiksmingumo </w:t>
      </w:r>
      <w:r w:rsidR="00B57967">
        <w:rPr>
          <w:rFonts w:eastAsia="Calibri"/>
          <w:sz w:val="22"/>
          <w:szCs w:val="22"/>
        </w:rPr>
        <w:t>rezultatų vertinimo</w:t>
      </w:r>
      <w:r w:rsidR="00A07C53" w:rsidRPr="004F572A">
        <w:rPr>
          <w:rFonts w:eastAsia="Calibri"/>
          <w:sz w:val="22"/>
          <w:szCs w:val="22"/>
        </w:rPr>
        <w:t xml:space="preserve"> rodikliu </w:t>
      </w:r>
      <w:r w:rsidRPr="004F572A">
        <w:rPr>
          <w:rFonts w:eastAsia="Calibri"/>
          <w:sz w:val="22"/>
          <w:szCs w:val="22"/>
        </w:rPr>
        <w:t>buvo laikomas išgyvenamumas be ligos progresavimo po 4</w:t>
      </w:r>
      <w:r w:rsidR="00B10CAA">
        <w:rPr>
          <w:rFonts w:eastAsia="Calibri"/>
          <w:sz w:val="22"/>
          <w:szCs w:val="22"/>
        </w:rPr>
        <w:t> </w:t>
      </w:r>
      <w:r w:rsidRPr="004F572A">
        <w:rPr>
          <w:rFonts w:eastAsia="Calibri"/>
          <w:sz w:val="22"/>
          <w:szCs w:val="22"/>
        </w:rPr>
        <w:t>mėnesių (IBLP</w:t>
      </w:r>
      <w:r w:rsidR="00B10CAA">
        <w:rPr>
          <w:rFonts w:eastAsia="Calibri"/>
          <w:sz w:val="22"/>
          <w:szCs w:val="22"/>
        </w:rPr>
        <w:noBreakHyphen/>
      </w:r>
      <w:r w:rsidRPr="004F572A">
        <w:rPr>
          <w:rFonts w:eastAsia="Calibri"/>
          <w:sz w:val="22"/>
          <w:szCs w:val="22"/>
        </w:rPr>
        <w:t>4); 31</w:t>
      </w:r>
      <w:r w:rsidR="00B10CAA">
        <w:rPr>
          <w:rFonts w:eastAsia="Calibri"/>
          <w:sz w:val="22"/>
          <w:szCs w:val="22"/>
        </w:rPr>
        <w:t> </w:t>
      </w:r>
      <w:r w:rsidRPr="004F572A">
        <w:rPr>
          <w:rFonts w:eastAsia="Calibri"/>
          <w:sz w:val="22"/>
          <w:szCs w:val="22"/>
        </w:rPr>
        <w:t xml:space="preserve">paciento, kuriam </w:t>
      </w:r>
      <w:proofErr w:type="spellStart"/>
      <w:r w:rsidRPr="004F572A">
        <w:rPr>
          <w:rFonts w:eastAsia="Calibri"/>
          <w:sz w:val="22"/>
          <w:szCs w:val="22"/>
        </w:rPr>
        <w:t>lenvatinib</w:t>
      </w:r>
      <w:r w:rsidR="00B57967">
        <w:rPr>
          <w:rFonts w:eastAsia="Calibri"/>
          <w:sz w:val="22"/>
          <w:szCs w:val="22"/>
        </w:rPr>
        <w:t>as</w:t>
      </w:r>
      <w:proofErr w:type="spellEnd"/>
      <w:r w:rsidRPr="004F572A">
        <w:rPr>
          <w:rFonts w:eastAsia="Calibri"/>
          <w:sz w:val="22"/>
          <w:szCs w:val="22"/>
        </w:rPr>
        <w:t xml:space="preserve"> buvo skiriama</w:t>
      </w:r>
      <w:r w:rsidR="00B57967">
        <w:rPr>
          <w:rFonts w:eastAsia="Calibri"/>
          <w:sz w:val="22"/>
          <w:szCs w:val="22"/>
        </w:rPr>
        <w:t>s kaip</w:t>
      </w:r>
      <w:r w:rsidR="00A07C53" w:rsidRPr="004F572A">
        <w:rPr>
          <w:rFonts w:eastAsia="Calibri"/>
          <w:sz w:val="22"/>
          <w:szCs w:val="22"/>
        </w:rPr>
        <w:t xml:space="preserve"> vien</w:t>
      </w:r>
      <w:r w:rsidR="00B57967">
        <w:rPr>
          <w:rFonts w:eastAsia="Calibri"/>
          <w:sz w:val="22"/>
          <w:szCs w:val="22"/>
        </w:rPr>
        <w:t>as vaistinis preparatas</w:t>
      </w:r>
      <w:r w:rsidRPr="004F572A">
        <w:rPr>
          <w:rFonts w:eastAsia="Calibri"/>
          <w:sz w:val="22"/>
          <w:szCs w:val="22"/>
        </w:rPr>
        <w:t>, IBLP</w:t>
      </w:r>
      <w:r w:rsidR="00B10CAA">
        <w:rPr>
          <w:rFonts w:eastAsia="Calibri"/>
          <w:sz w:val="22"/>
          <w:szCs w:val="22"/>
        </w:rPr>
        <w:noBreakHyphen/>
      </w:r>
      <w:r w:rsidRPr="004F572A">
        <w:rPr>
          <w:rFonts w:eastAsia="Calibri"/>
          <w:sz w:val="22"/>
          <w:szCs w:val="22"/>
        </w:rPr>
        <w:t xml:space="preserve">4 pagal binominį įvertį </w:t>
      </w:r>
      <w:r w:rsidRPr="004F572A">
        <w:rPr>
          <w:rFonts w:eastAsia="Calibri"/>
          <w:sz w:val="22"/>
          <w:szCs w:val="22"/>
        </w:rPr>
        <w:lastRenderedPageBreak/>
        <w:t>buvo lygus 29</w:t>
      </w:r>
      <w:r w:rsidR="00A07C53" w:rsidRPr="004F572A">
        <w:rPr>
          <w:rFonts w:eastAsia="Calibri"/>
          <w:sz w:val="22"/>
          <w:szCs w:val="22"/>
        </w:rPr>
        <w:t> </w:t>
      </w:r>
      <w:r w:rsidRPr="004F572A">
        <w:rPr>
          <w:rFonts w:eastAsia="Calibri"/>
          <w:sz w:val="22"/>
          <w:szCs w:val="22"/>
        </w:rPr>
        <w:t>% (95</w:t>
      </w:r>
      <w:r w:rsidR="00A07C53" w:rsidRPr="004F572A">
        <w:rPr>
          <w:rFonts w:eastAsia="Calibri"/>
          <w:sz w:val="22"/>
          <w:szCs w:val="22"/>
        </w:rPr>
        <w:t> </w:t>
      </w:r>
      <w:r w:rsidRPr="004F572A">
        <w:rPr>
          <w:rFonts w:eastAsia="Calibri"/>
          <w:sz w:val="22"/>
          <w:szCs w:val="22"/>
        </w:rPr>
        <w:t>% PI: 14,2; 48,0); visų 20</w:t>
      </w:r>
      <w:r w:rsidR="00B10CAA">
        <w:rPr>
          <w:rFonts w:eastAsia="Calibri"/>
          <w:sz w:val="22"/>
          <w:szCs w:val="22"/>
        </w:rPr>
        <w:t> </w:t>
      </w:r>
      <w:r w:rsidRPr="004F572A">
        <w:rPr>
          <w:rFonts w:eastAsia="Calibri"/>
          <w:sz w:val="22"/>
          <w:szCs w:val="22"/>
        </w:rPr>
        <w:t xml:space="preserve">pacientų, kuriems </w:t>
      </w:r>
      <w:proofErr w:type="spellStart"/>
      <w:r w:rsidRPr="004F572A">
        <w:rPr>
          <w:rFonts w:eastAsia="Calibri"/>
          <w:sz w:val="22"/>
          <w:szCs w:val="22"/>
        </w:rPr>
        <w:t>lenvatinib</w:t>
      </w:r>
      <w:r w:rsidR="00B57967">
        <w:rPr>
          <w:rFonts w:eastAsia="Calibri"/>
          <w:sz w:val="22"/>
          <w:szCs w:val="22"/>
        </w:rPr>
        <w:t>as</w:t>
      </w:r>
      <w:proofErr w:type="spellEnd"/>
      <w:r w:rsidRPr="004F572A">
        <w:rPr>
          <w:rFonts w:eastAsia="Calibri"/>
          <w:sz w:val="22"/>
          <w:szCs w:val="22"/>
        </w:rPr>
        <w:t xml:space="preserve"> buvo skiriam</w:t>
      </w:r>
      <w:r w:rsidR="00A07C53" w:rsidRPr="004F572A">
        <w:rPr>
          <w:rFonts w:eastAsia="Calibri"/>
          <w:sz w:val="22"/>
          <w:szCs w:val="22"/>
        </w:rPr>
        <w:t>a</w:t>
      </w:r>
      <w:r w:rsidR="00B57967">
        <w:rPr>
          <w:rFonts w:eastAsia="Calibri"/>
          <w:sz w:val="22"/>
          <w:szCs w:val="22"/>
        </w:rPr>
        <w:t>s</w:t>
      </w:r>
      <w:r w:rsidR="00A07C53" w:rsidRPr="004F572A">
        <w:rPr>
          <w:rFonts w:eastAsia="Calibri"/>
          <w:sz w:val="22"/>
          <w:szCs w:val="22"/>
        </w:rPr>
        <w:t xml:space="preserve"> </w:t>
      </w:r>
      <w:r w:rsidR="00B57967">
        <w:rPr>
          <w:rFonts w:eastAsia="Calibri"/>
          <w:sz w:val="22"/>
          <w:szCs w:val="22"/>
        </w:rPr>
        <w:t>kartu</w:t>
      </w:r>
      <w:r w:rsidRPr="004F572A">
        <w:rPr>
          <w:rFonts w:eastAsia="Calibri"/>
          <w:sz w:val="22"/>
          <w:szCs w:val="22"/>
        </w:rPr>
        <w:t xml:space="preserve"> su </w:t>
      </w:r>
      <w:proofErr w:type="spellStart"/>
      <w:r w:rsidRPr="004F572A">
        <w:rPr>
          <w:rFonts w:eastAsia="Calibri"/>
          <w:sz w:val="22"/>
          <w:szCs w:val="22"/>
        </w:rPr>
        <w:t>ifosfamidu</w:t>
      </w:r>
      <w:proofErr w:type="spellEnd"/>
      <w:r w:rsidRPr="004F572A">
        <w:rPr>
          <w:rFonts w:eastAsia="Calibri"/>
          <w:sz w:val="22"/>
          <w:szCs w:val="22"/>
        </w:rPr>
        <w:t xml:space="preserve"> ir </w:t>
      </w:r>
      <w:proofErr w:type="spellStart"/>
      <w:r w:rsidRPr="004F572A">
        <w:rPr>
          <w:rFonts w:eastAsia="Calibri"/>
          <w:sz w:val="22"/>
          <w:szCs w:val="22"/>
        </w:rPr>
        <w:t>etopozidu</w:t>
      </w:r>
      <w:proofErr w:type="spellEnd"/>
      <w:r w:rsidRPr="004F572A">
        <w:rPr>
          <w:rFonts w:eastAsia="Calibri"/>
          <w:sz w:val="22"/>
          <w:szCs w:val="22"/>
        </w:rPr>
        <w:t>, dozės išplėtimo grupėje IBLP-</w:t>
      </w:r>
      <w:r w:rsidR="00A07C53" w:rsidRPr="004F572A">
        <w:rPr>
          <w:rFonts w:eastAsia="Calibri"/>
          <w:sz w:val="22"/>
          <w:szCs w:val="22"/>
        </w:rPr>
        <w:t> </w:t>
      </w:r>
      <w:r w:rsidRPr="004F572A">
        <w:rPr>
          <w:rFonts w:eastAsia="Calibri"/>
          <w:sz w:val="22"/>
          <w:szCs w:val="22"/>
        </w:rPr>
        <w:t>4 pagal binominį įvertį buvo lygus 50</w:t>
      </w:r>
      <w:r w:rsidR="00A07C53" w:rsidRPr="004F572A">
        <w:rPr>
          <w:rFonts w:eastAsia="Calibri"/>
          <w:sz w:val="22"/>
          <w:szCs w:val="22"/>
        </w:rPr>
        <w:t> </w:t>
      </w:r>
      <w:r w:rsidRPr="004F572A">
        <w:rPr>
          <w:rFonts w:eastAsia="Calibri"/>
          <w:sz w:val="22"/>
          <w:szCs w:val="22"/>
        </w:rPr>
        <w:t>% (95</w:t>
      </w:r>
      <w:r w:rsidR="00A07C53" w:rsidRPr="004F572A">
        <w:rPr>
          <w:rFonts w:eastAsia="Calibri"/>
          <w:sz w:val="22"/>
          <w:szCs w:val="22"/>
        </w:rPr>
        <w:t> </w:t>
      </w:r>
      <w:r w:rsidRPr="004F572A">
        <w:rPr>
          <w:rFonts w:eastAsia="Calibri"/>
          <w:sz w:val="22"/>
          <w:szCs w:val="22"/>
        </w:rPr>
        <w:t>% PI: 27,2; 72,8).</w:t>
      </w:r>
    </w:p>
    <w:p w14:paraId="6B6668FB" w14:textId="77777777" w:rsidR="00A07C53" w:rsidRPr="004F572A" w:rsidRDefault="00A07C53" w:rsidP="00CA58C7">
      <w:pPr>
        <w:widowControl w:val="0"/>
        <w:tabs>
          <w:tab w:val="clear" w:pos="567"/>
        </w:tabs>
        <w:rPr>
          <w:rFonts w:eastAsia="Calibri"/>
          <w:sz w:val="22"/>
          <w:szCs w:val="22"/>
        </w:rPr>
      </w:pPr>
    </w:p>
    <w:p w14:paraId="52EAA6C7" w14:textId="588D3F5D" w:rsidR="00CA58C7" w:rsidRPr="004F572A" w:rsidRDefault="00B57967" w:rsidP="00CA58C7">
      <w:pPr>
        <w:widowControl w:val="0"/>
        <w:tabs>
          <w:tab w:val="clear" w:pos="567"/>
        </w:tabs>
        <w:rPr>
          <w:rFonts w:eastAsia="Calibri"/>
          <w:sz w:val="22"/>
          <w:szCs w:val="22"/>
        </w:rPr>
      </w:pPr>
      <w:r>
        <w:rPr>
          <w:rFonts w:eastAsia="Calibri"/>
          <w:sz w:val="22"/>
          <w:szCs w:val="22"/>
        </w:rPr>
        <w:t xml:space="preserve">Tyrimas Nr. </w:t>
      </w:r>
      <w:r w:rsidR="0033113A" w:rsidRPr="004F572A">
        <w:rPr>
          <w:rFonts w:eastAsia="Calibri"/>
          <w:sz w:val="22"/>
          <w:szCs w:val="22"/>
        </w:rPr>
        <w:t xml:space="preserve">216 </w:t>
      </w:r>
      <w:r w:rsidR="00CA58C7" w:rsidRPr="004F572A">
        <w:rPr>
          <w:rFonts w:eastAsia="Calibri"/>
          <w:sz w:val="22"/>
          <w:szCs w:val="22"/>
        </w:rPr>
        <w:t xml:space="preserve">buvo </w:t>
      </w:r>
      <w:proofErr w:type="spellStart"/>
      <w:r w:rsidR="00CA58C7" w:rsidRPr="004F572A">
        <w:rPr>
          <w:rFonts w:eastAsia="Calibri"/>
          <w:sz w:val="22"/>
          <w:szCs w:val="22"/>
        </w:rPr>
        <w:t>daugiacentris</w:t>
      </w:r>
      <w:proofErr w:type="spellEnd"/>
      <w:r w:rsidR="00CA58C7" w:rsidRPr="004F572A">
        <w:rPr>
          <w:rFonts w:eastAsia="Calibri"/>
          <w:sz w:val="22"/>
          <w:szCs w:val="22"/>
        </w:rPr>
        <w:t xml:space="preserve">, atvirasis, vienos grupės, 1/2 fazės tyrimas, kuriuo siekiama nustatyti </w:t>
      </w:r>
      <w:proofErr w:type="spellStart"/>
      <w:r w:rsidR="00CA58C7" w:rsidRPr="004F572A">
        <w:rPr>
          <w:rFonts w:eastAsia="Calibri"/>
          <w:sz w:val="22"/>
          <w:szCs w:val="22"/>
        </w:rPr>
        <w:t>lenvatinibo</w:t>
      </w:r>
      <w:proofErr w:type="spellEnd"/>
      <w:r w:rsidR="00CA58C7" w:rsidRPr="004F572A">
        <w:rPr>
          <w:rFonts w:eastAsia="Calibri"/>
          <w:sz w:val="22"/>
          <w:szCs w:val="22"/>
        </w:rPr>
        <w:t xml:space="preserve">, vartojamo kartu su </w:t>
      </w:r>
      <w:proofErr w:type="spellStart"/>
      <w:r w:rsidR="00CA58C7" w:rsidRPr="004F572A">
        <w:rPr>
          <w:rFonts w:eastAsia="Calibri"/>
          <w:sz w:val="22"/>
          <w:szCs w:val="22"/>
        </w:rPr>
        <w:t>everolimuzu</w:t>
      </w:r>
      <w:proofErr w:type="spellEnd"/>
      <w:r w:rsidR="00CA58C7" w:rsidRPr="004F572A">
        <w:rPr>
          <w:rFonts w:eastAsia="Calibri"/>
          <w:sz w:val="22"/>
          <w:szCs w:val="22"/>
        </w:rPr>
        <w:t xml:space="preserve">, saugumą, toleravimą ir </w:t>
      </w:r>
      <w:proofErr w:type="spellStart"/>
      <w:r w:rsidR="00CA58C7" w:rsidRPr="004F572A">
        <w:rPr>
          <w:rFonts w:eastAsia="Calibri"/>
          <w:sz w:val="22"/>
          <w:szCs w:val="22"/>
        </w:rPr>
        <w:t>priešnavikinį</w:t>
      </w:r>
      <w:proofErr w:type="spellEnd"/>
      <w:r w:rsidR="00CA58C7" w:rsidRPr="004F572A">
        <w:rPr>
          <w:rFonts w:eastAsia="Calibri"/>
          <w:sz w:val="22"/>
          <w:szCs w:val="22"/>
        </w:rPr>
        <w:t xml:space="preserve"> aktyvumą vaikų populiacijos pacientams (ir jauniems ≤</w:t>
      </w:r>
      <w:r w:rsidR="0033113A" w:rsidRPr="004F572A">
        <w:rPr>
          <w:rFonts w:eastAsia="Calibri"/>
          <w:sz w:val="22"/>
          <w:szCs w:val="22"/>
        </w:rPr>
        <w:t> </w:t>
      </w:r>
      <w:r w:rsidR="00CA58C7" w:rsidRPr="004F572A">
        <w:rPr>
          <w:rFonts w:eastAsia="Calibri"/>
          <w:sz w:val="22"/>
          <w:szCs w:val="22"/>
        </w:rPr>
        <w:t>21</w:t>
      </w:r>
      <w:r w:rsidR="00B10CAA">
        <w:rPr>
          <w:rFonts w:eastAsia="Calibri"/>
          <w:sz w:val="22"/>
          <w:szCs w:val="22"/>
        </w:rPr>
        <w:t> </w:t>
      </w:r>
      <w:r w:rsidR="00CA58C7" w:rsidRPr="004F572A">
        <w:rPr>
          <w:rFonts w:eastAsia="Calibri"/>
          <w:sz w:val="22"/>
          <w:szCs w:val="22"/>
        </w:rPr>
        <w:t xml:space="preserve">metų suaugusiesiems), kuriems buvo nustatyti </w:t>
      </w:r>
      <w:proofErr w:type="spellStart"/>
      <w:r w:rsidR="00CA58C7" w:rsidRPr="004F572A">
        <w:rPr>
          <w:rFonts w:eastAsia="Calibri"/>
          <w:sz w:val="22"/>
          <w:szCs w:val="22"/>
        </w:rPr>
        <w:t>recidyv</w:t>
      </w:r>
      <w:r w:rsidR="0033113A" w:rsidRPr="004F572A">
        <w:rPr>
          <w:rFonts w:eastAsia="Calibri"/>
          <w:sz w:val="22"/>
          <w:szCs w:val="22"/>
        </w:rPr>
        <w:t>u</w:t>
      </w:r>
      <w:r>
        <w:rPr>
          <w:rFonts w:eastAsia="Calibri"/>
          <w:sz w:val="22"/>
          <w:szCs w:val="22"/>
        </w:rPr>
        <w:t>ojantys</w:t>
      </w:r>
      <w:proofErr w:type="spellEnd"/>
      <w:r w:rsidR="00CA58C7" w:rsidRPr="004F572A">
        <w:rPr>
          <w:rFonts w:eastAsia="Calibri"/>
          <w:sz w:val="22"/>
          <w:szCs w:val="22"/>
        </w:rPr>
        <w:t xml:space="preserve"> arba </w:t>
      </w:r>
      <w:proofErr w:type="spellStart"/>
      <w:r>
        <w:rPr>
          <w:rFonts w:eastAsia="Calibri"/>
          <w:sz w:val="22"/>
          <w:szCs w:val="22"/>
        </w:rPr>
        <w:t>refrakteriniai</w:t>
      </w:r>
      <w:proofErr w:type="spellEnd"/>
      <w:r w:rsidR="00CA58C7" w:rsidRPr="004F572A">
        <w:rPr>
          <w:rFonts w:eastAsia="Calibri"/>
          <w:sz w:val="22"/>
          <w:szCs w:val="22"/>
        </w:rPr>
        <w:t xml:space="preserve"> </w:t>
      </w:r>
      <w:proofErr w:type="spellStart"/>
      <w:r w:rsidR="00CA58C7" w:rsidRPr="004F572A">
        <w:rPr>
          <w:rFonts w:eastAsia="Calibri"/>
          <w:sz w:val="22"/>
          <w:szCs w:val="22"/>
        </w:rPr>
        <w:t>solidini</w:t>
      </w:r>
      <w:r>
        <w:rPr>
          <w:rFonts w:eastAsia="Calibri"/>
          <w:sz w:val="22"/>
          <w:szCs w:val="22"/>
        </w:rPr>
        <w:t>ai</w:t>
      </w:r>
      <w:proofErr w:type="spellEnd"/>
      <w:r w:rsidR="00CA58C7" w:rsidRPr="004F572A">
        <w:rPr>
          <w:rFonts w:eastAsia="Calibri"/>
          <w:sz w:val="22"/>
          <w:szCs w:val="22"/>
        </w:rPr>
        <w:t xml:space="preserve"> navik</w:t>
      </w:r>
      <w:r>
        <w:rPr>
          <w:rFonts w:eastAsia="Calibri"/>
          <w:sz w:val="22"/>
          <w:szCs w:val="22"/>
        </w:rPr>
        <w:t>ai</w:t>
      </w:r>
      <w:r w:rsidR="00CA58C7" w:rsidRPr="004F572A">
        <w:rPr>
          <w:rFonts w:eastAsia="Calibri"/>
          <w:sz w:val="22"/>
          <w:szCs w:val="22"/>
        </w:rPr>
        <w:t>, įskaitant CNS navikus. Į tyrimą iš viso buvo įtraukti ir gydyti 64</w:t>
      </w:r>
      <w:r w:rsidR="00B10CAA">
        <w:rPr>
          <w:rFonts w:eastAsia="Calibri"/>
          <w:sz w:val="22"/>
          <w:szCs w:val="22"/>
        </w:rPr>
        <w:t> </w:t>
      </w:r>
      <w:r w:rsidR="00CA58C7" w:rsidRPr="004F572A">
        <w:rPr>
          <w:rFonts w:eastAsia="Calibri"/>
          <w:sz w:val="22"/>
          <w:szCs w:val="22"/>
        </w:rPr>
        <w:t>pacientai. 1</w:t>
      </w:r>
      <w:r w:rsidR="00B10CAA">
        <w:rPr>
          <w:rFonts w:eastAsia="Calibri"/>
          <w:sz w:val="22"/>
          <w:szCs w:val="22"/>
        </w:rPr>
        <w:t> </w:t>
      </w:r>
      <w:r w:rsidR="00CA58C7" w:rsidRPr="004F572A">
        <w:rPr>
          <w:rFonts w:eastAsia="Calibri"/>
          <w:sz w:val="22"/>
          <w:szCs w:val="22"/>
        </w:rPr>
        <w:t>fazė</w:t>
      </w:r>
      <w:r>
        <w:rPr>
          <w:rFonts w:eastAsia="Calibri"/>
          <w:sz w:val="22"/>
          <w:szCs w:val="22"/>
        </w:rPr>
        <w:t>je</w:t>
      </w:r>
      <w:r w:rsidR="00CA58C7" w:rsidRPr="004F572A">
        <w:rPr>
          <w:rFonts w:eastAsia="Calibri"/>
          <w:sz w:val="22"/>
          <w:szCs w:val="22"/>
        </w:rPr>
        <w:t xml:space="preserve"> (kombinuoto gydymo dozės nustatymo) buvo įtraukti ir gydyti 23</w:t>
      </w:r>
      <w:r w:rsidR="00B10CAA">
        <w:rPr>
          <w:rFonts w:eastAsia="Calibri"/>
          <w:sz w:val="22"/>
          <w:szCs w:val="22"/>
        </w:rPr>
        <w:t> </w:t>
      </w:r>
      <w:r w:rsidR="00CA58C7" w:rsidRPr="004F572A">
        <w:rPr>
          <w:rFonts w:eastAsia="Calibri"/>
          <w:sz w:val="22"/>
          <w:szCs w:val="22"/>
        </w:rPr>
        <w:t xml:space="preserve">pacientai: 5 iš jų dozės lygis buvo </w:t>
      </w:r>
      <w:r>
        <w:rPr>
          <w:rFonts w:eastAsia="Calibri"/>
          <w:sz w:val="22"/>
          <w:szCs w:val="22"/>
        </w:rPr>
        <w:t>-</w:t>
      </w:r>
      <w:r w:rsidR="00CA58C7" w:rsidRPr="004F572A">
        <w:rPr>
          <w:rFonts w:eastAsia="Calibri"/>
          <w:sz w:val="22"/>
          <w:szCs w:val="22"/>
        </w:rPr>
        <w:t>1 (8</w:t>
      </w:r>
      <w:r w:rsidR="0033113A" w:rsidRPr="004F572A">
        <w:rPr>
          <w:rFonts w:eastAsia="Calibri"/>
          <w:sz w:val="22"/>
          <w:szCs w:val="22"/>
        </w:rPr>
        <w:t> </w:t>
      </w:r>
      <w:r w:rsidR="00CA58C7" w:rsidRPr="004F572A">
        <w:rPr>
          <w:rFonts w:eastAsia="Calibri"/>
          <w:sz w:val="22"/>
          <w:szCs w:val="22"/>
        </w:rPr>
        <w:t>mg/m</w:t>
      </w:r>
      <w:r w:rsidR="00CA58C7" w:rsidRPr="004F572A">
        <w:rPr>
          <w:rFonts w:eastAsia="Calibri"/>
          <w:sz w:val="22"/>
          <w:szCs w:val="22"/>
          <w:vertAlign w:val="superscript"/>
        </w:rPr>
        <w:t>2</w:t>
      </w:r>
      <w:r w:rsidR="00CA58C7" w:rsidRPr="004F572A">
        <w:rPr>
          <w:rFonts w:eastAsia="Calibri"/>
          <w:sz w:val="22"/>
          <w:szCs w:val="22"/>
        </w:rPr>
        <w:t xml:space="preserve"> </w:t>
      </w:r>
      <w:proofErr w:type="spellStart"/>
      <w:r w:rsidR="00CA58C7" w:rsidRPr="004F572A">
        <w:rPr>
          <w:rFonts w:eastAsia="Calibri"/>
          <w:sz w:val="22"/>
          <w:szCs w:val="22"/>
        </w:rPr>
        <w:t>lenvatinibo</w:t>
      </w:r>
      <w:proofErr w:type="spellEnd"/>
      <w:r w:rsidR="00CA58C7" w:rsidRPr="004F572A">
        <w:rPr>
          <w:rFonts w:eastAsia="Calibri"/>
          <w:sz w:val="22"/>
          <w:szCs w:val="22"/>
        </w:rPr>
        <w:t xml:space="preserve"> ir 3</w:t>
      </w:r>
      <w:r w:rsidR="0033113A" w:rsidRPr="004F572A">
        <w:rPr>
          <w:rFonts w:eastAsia="Calibri"/>
          <w:sz w:val="22"/>
          <w:szCs w:val="22"/>
        </w:rPr>
        <w:t> </w:t>
      </w:r>
      <w:r w:rsidR="00CA58C7" w:rsidRPr="004F572A">
        <w:rPr>
          <w:rFonts w:eastAsia="Calibri"/>
          <w:sz w:val="22"/>
          <w:szCs w:val="22"/>
        </w:rPr>
        <w:t>mg/m</w:t>
      </w:r>
      <w:r w:rsidR="00CA58C7" w:rsidRPr="004F572A">
        <w:rPr>
          <w:rFonts w:eastAsia="Calibri"/>
          <w:sz w:val="22"/>
          <w:szCs w:val="22"/>
          <w:vertAlign w:val="superscript"/>
        </w:rPr>
        <w:t>2</w:t>
      </w:r>
      <w:r w:rsidR="00CA58C7" w:rsidRPr="004F572A">
        <w:rPr>
          <w:rFonts w:eastAsia="Calibri"/>
          <w:sz w:val="22"/>
          <w:szCs w:val="22"/>
        </w:rPr>
        <w:t xml:space="preserve"> </w:t>
      </w:r>
      <w:proofErr w:type="spellStart"/>
      <w:r w:rsidR="00CA58C7" w:rsidRPr="004F572A">
        <w:rPr>
          <w:rFonts w:eastAsia="Calibri"/>
          <w:sz w:val="22"/>
          <w:szCs w:val="22"/>
        </w:rPr>
        <w:t>everolimuzo</w:t>
      </w:r>
      <w:proofErr w:type="spellEnd"/>
      <w:r w:rsidR="00CA58C7" w:rsidRPr="004F572A">
        <w:rPr>
          <w:rFonts w:eastAsia="Calibri"/>
          <w:sz w:val="22"/>
          <w:szCs w:val="22"/>
        </w:rPr>
        <w:t>), 18 – dozės lygis 1 (11</w:t>
      </w:r>
      <w:r w:rsidR="0033113A" w:rsidRPr="004F572A">
        <w:rPr>
          <w:rFonts w:eastAsia="Calibri"/>
          <w:sz w:val="22"/>
          <w:szCs w:val="22"/>
        </w:rPr>
        <w:t> </w:t>
      </w:r>
      <w:r w:rsidR="00CA58C7" w:rsidRPr="004F572A">
        <w:rPr>
          <w:rFonts w:eastAsia="Calibri"/>
          <w:sz w:val="22"/>
          <w:szCs w:val="22"/>
        </w:rPr>
        <w:t>mg/m</w:t>
      </w:r>
      <w:r w:rsidR="00CA58C7" w:rsidRPr="004F572A">
        <w:rPr>
          <w:rFonts w:eastAsia="Calibri"/>
          <w:sz w:val="22"/>
          <w:szCs w:val="22"/>
          <w:vertAlign w:val="superscript"/>
        </w:rPr>
        <w:t>2</w:t>
      </w:r>
      <w:r w:rsidR="00CA58C7" w:rsidRPr="004F572A">
        <w:rPr>
          <w:rFonts w:eastAsia="Calibri"/>
          <w:sz w:val="22"/>
          <w:szCs w:val="22"/>
        </w:rPr>
        <w:t xml:space="preserve"> </w:t>
      </w:r>
      <w:proofErr w:type="spellStart"/>
      <w:r w:rsidR="00CA58C7" w:rsidRPr="004F572A">
        <w:rPr>
          <w:rFonts w:eastAsia="Calibri"/>
          <w:sz w:val="22"/>
          <w:szCs w:val="22"/>
        </w:rPr>
        <w:t>lenvatinibo</w:t>
      </w:r>
      <w:proofErr w:type="spellEnd"/>
      <w:r w:rsidR="00CA58C7" w:rsidRPr="004F572A">
        <w:rPr>
          <w:rFonts w:eastAsia="Calibri"/>
          <w:sz w:val="22"/>
          <w:szCs w:val="22"/>
        </w:rPr>
        <w:t xml:space="preserve"> ir 3</w:t>
      </w:r>
      <w:r w:rsidR="0033113A" w:rsidRPr="004F572A">
        <w:rPr>
          <w:rFonts w:eastAsia="Calibri"/>
          <w:sz w:val="22"/>
          <w:szCs w:val="22"/>
        </w:rPr>
        <w:t> </w:t>
      </w:r>
      <w:r w:rsidR="00CA58C7" w:rsidRPr="004F572A">
        <w:rPr>
          <w:rFonts w:eastAsia="Calibri"/>
          <w:sz w:val="22"/>
          <w:szCs w:val="22"/>
        </w:rPr>
        <w:t>mg/m</w:t>
      </w:r>
      <w:r w:rsidR="00CA58C7" w:rsidRPr="004F572A">
        <w:rPr>
          <w:rFonts w:eastAsia="Calibri"/>
          <w:sz w:val="22"/>
          <w:szCs w:val="22"/>
          <w:vertAlign w:val="superscript"/>
        </w:rPr>
        <w:t>2</w:t>
      </w:r>
      <w:r w:rsidR="00CA58C7" w:rsidRPr="004F572A">
        <w:rPr>
          <w:rFonts w:eastAsia="Calibri"/>
          <w:sz w:val="22"/>
          <w:szCs w:val="22"/>
        </w:rPr>
        <w:t xml:space="preserve"> </w:t>
      </w:r>
      <w:proofErr w:type="spellStart"/>
      <w:r w:rsidR="00CA58C7" w:rsidRPr="004F572A">
        <w:rPr>
          <w:rFonts w:eastAsia="Calibri"/>
          <w:sz w:val="22"/>
          <w:szCs w:val="22"/>
        </w:rPr>
        <w:t>everolimuzo</w:t>
      </w:r>
      <w:proofErr w:type="spellEnd"/>
      <w:r w:rsidR="00CA58C7" w:rsidRPr="004F572A">
        <w:rPr>
          <w:rFonts w:eastAsia="Calibri"/>
          <w:sz w:val="22"/>
          <w:szCs w:val="22"/>
        </w:rPr>
        <w:t>). Rekomenduojama kombinuoto gydymo dozė (RD) buvo 11</w:t>
      </w:r>
      <w:r w:rsidR="0033113A" w:rsidRPr="004F572A">
        <w:rPr>
          <w:rFonts w:eastAsia="Calibri"/>
          <w:sz w:val="22"/>
          <w:szCs w:val="22"/>
        </w:rPr>
        <w:t> </w:t>
      </w:r>
      <w:r w:rsidR="00CA58C7" w:rsidRPr="004F572A">
        <w:rPr>
          <w:rFonts w:eastAsia="Calibri"/>
          <w:sz w:val="22"/>
          <w:szCs w:val="22"/>
        </w:rPr>
        <w:t>mg/m</w:t>
      </w:r>
      <w:r w:rsidR="00CA58C7" w:rsidRPr="004F572A">
        <w:rPr>
          <w:rFonts w:eastAsia="Calibri"/>
          <w:sz w:val="22"/>
          <w:szCs w:val="22"/>
          <w:vertAlign w:val="superscript"/>
        </w:rPr>
        <w:t>2</w:t>
      </w:r>
      <w:r w:rsidR="00CA58C7" w:rsidRPr="004F572A">
        <w:rPr>
          <w:rFonts w:eastAsia="Calibri"/>
          <w:sz w:val="22"/>
          <w:szCs w:val="22"/>
        </w:rPr>
        <w:t xml:space="preserve"> </w:t>
      </w:r>
      <w:proofErr w:type="spellStart"/>
      <w:r w:rsidR="00CA58C7" w:rsidRPr="004F572A">
        <w:rPr>
          <w:rFonts w:eastAsia="Calibri"/>
          <w:sz w:val="22"/>
          <w:szCs w:val="22"/>
        </w:rPr>
        <w:t>lenvatinibo</w:t>
      </w:r>
      <w:proofErr w:type="spellEnd"/>
      <w:r w:rsidR="00CA58C7" w:rsidRPr="004F572A">
        <w:rPr>
          <w:rFonts w:eastAsia="Calibri"/>
          <w:sz w:val="22"/>
          <w:szCs w:val="22"/>
        </w:rPr>
        <w:t xml:space="preserve"> ir 3</w:t>
      </w:r>
      <w:r w:rsidR="0033113A" w:rsidRPr="004F572A">
        <w:rPr>
          <w:rFonts w:eastAsia="Calibri"/>
          <w:sz w:val="22"/>
          <w:szCs w:val="22"/>
        </w:rPr>
        <w:t> </w:t>
      </w:r>
      <w:r w:rsidR="00CA58C7" w:rsidRPr="004F572A">
        <w:rPr>
          <w:rFonts w:eastAsia="Calibri"/>
          <w:sz w:val="22"/>
          <w:szCs w:val="22"/>
        </w:rPr>
        <w:t>mg/m</w:t>
      </w:r>
      <w:r w:rsidR="00CA58C7" w:rsidRPr="004F572A">
        <w:rPr>
          <w:rFonts w:eastAsia="Calibri"/>
          <w:sz w:val="22"/>
          <w:szCs w:val="22"/>
          <w:vertAlign w:val="superscript"/>
        </w:rPr>
        <w:t>2</w:t>
      </w:r>
      <w:r w:rsidR="00CA58C7" w:rsidRPr="004F572A">
        <w:rPr>
          <w:rFonts w:eastAsia="Calibri"/>
          <w:sz w:val="22"/>
          <w:szCs w:val="22"/>
        </w:rPr>
        <w:t xml:space="preserve"> </w:t>
      </w:r>
      <w:proofErr w:type="spellStart"/>
      <w:r w:rsidR="00CA58C7" w:rsidRPr="004F572A">
        <w:rPr>
          <w:rFonts w:eastAsia="Calibri"/>
          <w:sz w:val="22"/>
          <w:szCs w:val="22"/>
        </w:rPr>
        <w:t>everolimuzo</w:t>
      </w:r>
      <w:proofErr w:type="spellEnd"/>
      <w:r w:rsidR="00CA58C7" w:rsidRPr="004F572A">
        <w:rPr>
          <w:rFonts w:eastAsia="Calibri"/>
          <w:sz w:val="22"/>
          <w:szCs w:val="22"/>
        </w:rPr>
        <w:t xml:space="preserve"> kartą per parą. 2</w:t>
      </w:r>
      <w:r w:rsidR="00B10CAA">
        <w:rPr>
          <w:rFonts w:eastAsia="Calibri"/>
          <w:sz w:val="22"/>
          <w:szCs w:val="22"/>
        </w:rPr>
        <w:t> </w:t>
      </w:r>
      <w:r w:rsidR="00CA58C7" w:rsidRPr="004F572A">
        <w:rPr>
          <w:rFonts w:eastAsia="Calibri"/>
          <w:sz w:val="22"/>
          <w:szCs w:val="22"/>
        </w:rPr>
        <w:t>fazė</w:t>
      </w:r>
      <w:r>
        <w:rPr>
          <w:rFonts w:eastAsia="Calibri"/>
          <w:sz w:val="22"/>
          <w:szCs w:val="22"/>
        </w:rPr>
        <w:t>je</w:t>
      </w:r>
      <w:r w:rsidR="0033113A" w:rsidRPr="004F572A">
        <w:rPr>
          <w:rFonts w:eastAsia="Calibri"/>
          <w:sz w:val="22"/>
          <w:szCs w:val="22"/>
        </w:rPr>
        <w:t xml:space="preserve"> (kombinuoto gydymo išplėtimo) </w:t>
      </w:r>
      <w:r>
        <w:rPr>
          <w:rFonts w:eastAsia="Calibri"/>
          <w:sz w:val="22"/>
          <w:szCs w:val="22"/>
        </w:rPr>
        <w:t xml:space="preserve">buvo įtrauktas </w:t>
      </w:r>
      <w:r w:rsidR="00CA58C7" w:rsidRPr="004F572A">
        <w:rPr>
          <w:rFonts w:eastAsia="Calibri"/>
          <w:sz w:val="22"/>
          <w:szCs w:val="22"/>
        </w:rPr>
        <w:t>ir RD gyd</w:t>
      </w:r>
      <w:r w:rsidR="00EC3D25" w:rsidRPr="004F572A">
        <w:rPr>
          <w:rFonts w:eastAsia="Calibri"/>
          <w:sz w:val="22"/>
          <w:szCs w:val="22"/>
        </w:rPr>
        <w:t>y</w:t>
      </w:r>
      <w:r>
        <w:rPr>
          <w:rFonts w:eastAsia="Calibri"/>
          <w:sz w:val="22"/>
          <w:szCs w:val="22"/>
        </w:rPr>
        <w:t>tas</w:t>
      </w:r>
      <w:r w:rsidR="00CA58C7" w:rsidRPr="004F572A">
        <w:rPr>
          <w:rFonts w:eastAsia="Calibri"/>
          <w:sz w:val="22"/>
          <w:szCs w:val="22"/>
        </w:rPr>
        <w:t xml:space="preserve"> 41</w:t>
      </w:r>
      <w:r w:rsidR="00B10CAA">
        <w:rPr>
          <w:rFonts w:eastAsia="Calibri"/>
          <w:sz w:val="22"/>
          <w:szCs w:val="22"/>
        </w:rPr>
        <w:t> </w:t>
      </w:r>
      <w:r w:rsidR="00EC3D25" w:rsidRPr="004F572A">
        <w:rPr>
          <w:rFonts w:eastAsia="Calibri"/>
          <w:sz w:val="22"/>
          <w:szCs w:val="22"/>
        </w:rPr>
        <w:t>pacientu</w:t>
      </w:r>
      <w:r>
        <w:rPr>
          <w:rFonts w:eastAsia="Calibri"/>
          <w:sz w:val="22"/>
          <w:szCs w:val="22"/>
        </w:rPr>
        <w:t>s</w:t>
      </w:r>
      <w:r w:rsidR="00EC3D25" w:rsidRPr="004F572A">
        <w:rPr>
          <w:rFonts w:eastAsia="Calibri"/>
          <w:sz w:val="22"/>
          <w:szCs w:val="22"/>
        </w:rPr>
        <w:t xml:space="preserve"> </w:t>
      </w:r>
      <w:r>
        <w:rPr>
          <w:rFonts w:eastAsia="Calibri"/>
          <w:sz w:val="22"/>
          <w:szCs w:val="22"/>
        </w:rPr>
        <w:t>šioms grupėms</w:t>
      </w:r>
      <w:r w:rsidR="00CA58C7" w:rsidRPr="004F572A">
        <w:rPr>
          <w:rFonts w:eastAsia="Calibri"/>
          <w:sz w:val="22"/>
          <w:szCs w:val="22"/>
        </w:rPr>
        <w:t xml:space="preserve">: </w:t>
      </w:r>
      <w:proofErr w:type="spellStart"/>
      <w:r w:rsidR="00CA58C7" w:rsidRPr="004F572A">
        <w:rPr>
          <w:rFonts w:eastAsia="Calibri"/>
          <w:sz w:val="22"/>
          <w:szCs w:val="22"/>
        </w:rPr>
        <w:t>Evingo</w:t>
      </w:r>
      <w:proofErr w:type="spellEnd"/>
      <w:r w:rsidR="00CA58C7" w:rsidRPr="004F572A">
        <w:rPr>
          <w:rFonts w:eastAsia="Calibri"/>
          <w:sz w:val="22"/>
          <w:szCs w:val="22"/>
        </w:rPr>
        <w:t xml:space="preserve"> (</w:t>
      </w:r>
      <w:proofErr w:type="spellStart"/>
      <w:r w:rsidR="00CA58C7" w:rsidRPr="004F572A">
        <w:rPr>
          <w:rFonts w:eastAsia="Calibri"/>
          <w:i/>
          <w:iCs/>
          <w:sz w:val="22"/>
          <w:szCs w:val="22"/>
        </w:rPr>
        <w:t>Ewing</w:t>
      </w:r>
      <w:proofErr w:type="spellEnd"/>
      <w:r w:rsidR="00CA58C7" w:rsidRPr="004F572A">
        <w:rPr>
          <w:rFonts w:eastAsia="Calibri"/>
          <w:sz w:val="22"/>
          <w:szCs w:val="22"/>
        </w:rPr>
        <w:t>) sarkoma (EWS, n</w:t>
      </w:r>
      <w:r w:rsidR="00B10CAA">
        <w:rPr>
          <w:rFonts w:eastAsia="Calibri"/>
          <w:sz w:val="22"/>
          <w:szCs w:val="22"/>
        </w:rPr>
        <w:t> </w:t>
      </w:r>
      <w:r w:rsidR="00CA58C7" w:rsidRPr="004F572A">
        <w:rPr>
          <w:rFonts w:eastAsia="Calibri"/>
          <w:sz w:val="22"/>
          <w:szCs w:val="22"/>
        </w:rPr>
        <w:t>=</w:t>
      </w:r>
      <w:r w:rsidR="00B10CAA">
        <w:rPr>
          <w:rFonts w:eastAsia="Calibri"/>
          <w:sz w:val="22"/>
          <w:szCs w:val="22"/>
        </w:rPr>
        <w:t> </w:t>
      </w:r>
      <w:r w:rsidR="00CA58C7" w:rsidRPr="004F572A">
        <w:rPr>
          <w:rFonts w:eastAsia="Calibri"/>
          <w:sz w:val="22"/>
          <w:szCs w:val="22"/>
        </w:rPr>
        <w:t xml:space="preserve">10), </w:t>
      </w:r>
      <w:proofErr w:type="spellStart"/>
      <w:r w:rsidR="00CA58C7" w:rsidRPr="004F572A">
        <w:rPr>
          <w:rFonts w:eastAsia="Calibri"/>
          <w:sz w:val="22"/>
          <w:szCs w:val="22"/>
        </w:rPr>
        <w:t>rabdomiosarkoma</w:t>
      </w:r>
      <w:proofErr w:type="spellEnd"/>
      <w:r w:rsidR="00CA58C7" w:rsidRPr="004F572A">
        <w:rPr>
          <w:rFonts w:eastAsia="Calibri"/>
          <w:sz w:val="22"/>
          <w:szCs w:val="22"/>
        </w:rPr>
        <w:t xml:space="preserve"> (RMS, n</w:t>
      </w:r>
      <w:r w:rsidR="00B10CAA">
        <w:rPr>
          <w:rFonts w:eastAsia="Calibri"/>
          <w:sz w:val="22"/>
          <w:szCs w:val="22"/>
        </w:rPr>
        <w:t> </w:t>
      </w:r>
      <w:r w:rsidR="00CA58C7" w:rsidRPr="004F572A">
        <w:rPr>
          <w:rFonts w:eastAsia="Calibri"/>
          <w:sz w:val="22"/>
          <w:szCs w:val="22"/>
        </w:rPr>
        <w:t>=</w:t>
      </w:r>
      <w:r w:rsidR="00B10CAA">
        <w:rPr>
          <w:rFonts w:eastAsia="Calibri"/>
          <w:sz w:val="22"/>
          <w:szCs w:val="22"/>
        </w:rPr>
        <w:t> </w:t>
      </w:r>
      <w:r w:rsidR="00CA58C7" w:rsidRPr="004F572A">
        <w:rPr>
          <w:rFonts w:eastAsia="Calibri"/>
          <w:sz w:val="22"/>
          <w:szCs w:val="22"/>
        </w:rPr>
        <w:t xml:space="preserve">20), </w:t>
      </w:r>
      <w:r>
        <w:rPr>
          <w:rFonts w:eastAsia="Calibri"/>
          <w:sz w:val="22"/>
          <w:szCs w:val="22"/>
        </w:rPr>
        <w:t>aukšto</w:t>
      </w:r>
      <w:r w:rsidR="00CA58C7" w:rsidRPr="004F572A">
        <w:rPr>
          <w:rFonts w:eastAsia="Calibri"/>
          <w:sz w:val="22"/>
          <w:szCs w:val="22"/>
        </w:rPr>
        <w:t xml:space="preserve"> laipsnio </w:t>
      </w:r>
      <w:proofErr w:type="spellStart"/>
      <w:r w:rsidR="00CA58C7" w:rsidRPr="004F572A">
        <w:rPr>
          <w:rFonts w:eastAsia="Calibri"/>
          <w:sz w:val="22"/>
          <w:szCs w:val="22"/>
        </w:rPr>
        <w:t>glioma</w:t>
      </w:r>
      <w:proofErr w:type="spellEnd"/>
      <w:r w:rsidR="00CA58C7" w:rsidRPr="004F572A">
        <w:rPr>
          <w:rFonts w:eastAsia="Calibri"/>
          <w:sz w:val="22"/>
          <w:szCs w:val="22"/>
        </w:rPr>
        <w:t xml:space="preserve"> (ALG, n</w:t>
      </w:r>
      <w:r w:rsidR="00B10CAA">
        <w:rPr>
          <w:rFonts w:eastAsia="Calibri"/>
          <w:sz w:val="22"/>
          <w:szCs w:val="22"/>
        </w:rPr>
        <w:t> </w:t>
      </w:r>
      <w:r w:rsidR="00CA58C7" w:rsidRPr="004F572A">
        <w:rPr>
          <w:rFonts w:eastAsia="Calibri"/>
          <w:sz w:val="22"/>
          <w:szCs w:val="22"/>
        </w:rPr>
        <w:t>=</w:t>
      </w:r>
      <w:r w:rsidR="00B10CAA">
        <w:rPr>
          <w:rFonts w:eastAsia="Calibri"/>
          <w:sz w:val="22"/>
          <w:szCs w:val="22"/>
        </w:rPr>
        <w:t> </w:t>
      </w:r>
      <w:r w:rsidR="00CA58C7" w:rsidRPr="004F572A">
        <w:rPr>
          <w:rFonts w:eastAsia="Calibri"/>
          <w:sz w:val="22"/>
          <w:szCs w:val="22"/>
        </w:rPr>
        <w:t xml:space="preserve">11). </w:t>
      </w:r>
      <w:r w:rsidR="00EC3D25" w:rsidRPr="004F572A">
        <w:rPr>
          <w:rFonts w:eastAsia="Calibri"/>
          <w:sz w:val="22"/>
          <w:szCs w:val="22"/>
        </w:rPr>
        <w:t>Pagrindin</w:t>
      </w:r>
      <w:r>
        <w:rPr>
          <w:rFonts w:eastAsia="Calibri"/>
          <w:sz w:val="22"/>
          <w:szCs w:val="22"/>
        </w:rPr>
        <w:t>i</w:t>
      </w:r>
      <w:r w:rsidR="00EC3D25" w:rsidRPr="004F572A">
        <w:rPr>
          <w:rFonts w:eastAsia="Calibri"/>
          <w:sz w:val="22"/>
          <w:szCs w:val="22"/>
        </w:rPr>
        <w:t xml:space="preserve">s veiksmingumo </w:t>
      </w:r>
      <w:r>
        <w:rPr>
          <w:rFonts w:eastAsia="Calibri"/>
          <w:sz w:val="22"/>
          <w:szCs w:val="22"/>
        </w:rPr>
        <w:t>kriterijus</w:t>
      </w:r>
      <w:r w:rsidR="00EC3D25" w:rsidRPr="004F572A">
        <w:rPr>
          <w:rFonts w:eastAsia="Calibri"/>
          <w:sz w:val="22"/>
          <w:szCs w:val="22"/>
        </w:rPr>
        <w:t xml:space="preserve"> </w:t>
      </w:r>
      <w:r w:rsidR="00CA58C7" w:rsidRPr="004F572A">
        <w:rPr>
          <w:rFonts w:eastAsia="Calibri"/>
          <w:sz w:val="22"/>
          <w:szCs w:val="22"/>
        </w:rPr>
        <w:t xml:space="preserve">buvo objektyvaus atsako dažnis (OAD) 16 savaitę vertinamiems pacientams, remiantis tyrėjo vertinimu pagal RECIST 1.1 arba RANO (pacientams, sergantiems </w:t>
      </w:r>
      <w:r>
        <w:rPr>
          <w:rFonts w:eastAsia="Calibri"/>
          <w:sz w:val="22"/>
          <w:szCs w:val="22"/>
        </w:rPr>
        <w:t>aukšto</w:t>
      </w:r>
      <w:r w:rsidR="00CA58C7" w:rsidRPr="004F572A">
        <w:rPr>
          <w:rFonts w:eastAsia="Calibri"/>
          <w:sz w:val="22"/>
          <w:szCs w:val="22"/>
        </w:rPr>
        <w:t xml:space="preserve"> laipsnio </w:t>
      </w:r>
      <w:proofErr w:type="spellStart"/>
      <w:r w:rsidR="00CA58C7" w:rsidRPr="004F572A">
        <w:rPr>
          <w:rFonts w:eastAsia="Calibri"/>
          <w:sz w:val="22"/>
          <w:szCs w:val="22"/>
        </w:rPr>
        <w:t>glioma</w:t>
      </w:r>
      <w:proofErr w:type="spellEnd"/>
      <w:r w:rsidR="00CA58C7" w:rsidRPr="004F572A">
        <w:rPr>
          <w:rFonts w:eastAsia="Calibri"/>
          <w:sz w:val="22"/>
          <w:szCs w:val="22"/>
        </w:rPr>
        <w:t xml:space="preserve">). EWS ir ALG grupėse objektyvaus atsako </w:t>
      </w:r>
      <w:r>
        <w:rPr>
          <w:rFonts w:eastAsia="Calibri"/>
          <w:sz w:val="22"/>
          <w:szCs w:val="22"/>
        </w:rPr>
        <w:t>nefiksuota</w:t>
      </w:r>
      <w:r w:rsidR="00CA58C7" w:rsidRPr="004F572A">
        <w:rPr>
          <w:rFonts w:eastAsia="Calibri"/>
          <w:sz w:val="22"/>
          <w:szCs w:val="22"/>
        </w:rPr>
        <w:t xml:space="preserve">; RMS grupėje </w:t>
      </w:r>
      <w:r>
        <w:rPr>
          <w:rFonts w:eastAsia="Calibri"/>
          <w:sz w:val="22"/>
          <w:szCs w:val="22"/>
        </w:rPr>
        <w:t>fiksuoti</w:t>
      </w:r>
      <w:r w:rsidR="00CA58C7" w:rsidRPr="004F572A">
        <w:rPr>
          <w:rFonts w:eastAsia="Calibri"/>
          <w:sz w:val="22"/>
          <w:szCs w:val="22"/>
        </w:rPr>
        <w:t xml:space="preserve"> du dalinio atsako (DA) atvejai </w:t>
      </w:r>
      <w:r>
        <w:rPr>
          <w:rFonts w:eastAsia="Calibri"/>
          <w:sz w:val="22"/>
          <w:szCs w:val="22"/>
        </w:rPr>
        <w:t>vertinant</w:t>
      </w:r>
      <w:r w:rsidR="00CA58C7" w:rsidRPr="004F572A">
        <w:rPr>
          <w:rFonts w:eastAsia="Calibri"/>
          <w:sz w:val="22"/>
          <w:szCs w:val="22"/>
        </w:rPr>
        <w:t xml:space="preserve"> OAD 16 savaitę – 10</w:t>
      </w:r>
      <w:r w:rsidR="00EC3D25" w:rsidRPr="004F572A">
        <w:rPr>
          <w:rFonts w:eastAsia="Calibri"/>
          <w:sz w:val="22"/>
          <w:szCs w:val="22"/>
        </w:rPr>
        <w:t> </w:t>
      </w:r>
      <w:r w:rsidR="00CA58C7" w:rsidRPr="004F572A">
        <w:rPr>
          <w:rFonts w:eastAsia="Calibri"/>
          <w:sz w:val="22"/>
          <w:szCs w:val="22"/>
        </w:rPr>
        <w:t>% (95</w:t>
      </w:r>
      <w:r w:rsidR="00EC3D25" w:rsidRPr="004F572A">
        <w:rPr>
          <w:rFonts w:eastAsia="Calibri"/>
          <w:sz w:val="22"/>
          <w:szCs w:val="22"/>
        </w:rPr>
        <w:t> </w:t>
      </w:r>
      <w:r w:rsidR="00CA58C7" w:rsidRPr="004F572A">
        <w:rPr>
          <w:rFonts w:eastAsia="Calibri"/>
          <w:sz w:val="22"/>
          <w:szCs w:val="22"/>
        </w:rPr>
        <w:t>% PI: 1,2, 31,7).</w:t>
      </w:r>
    </w:p>
    <w:p w14:paraId="6953B416" w14:textId="77777777" w:rsidR="00EC3D25" w:rsidRPr="004F572A" w:rsidRDefault="00EC3D25" w:rsidP="00CA58C7">
      <w:pPr>
        <w:widowControl w:val="0"/>
        <w:tabs>
          <w:tab w:val="clear" w:pos="567"/>
        </w:tabs>
        <w:rPr>
          <w:rFonts w:eastAsia="Calibri"/>
          <w:sz w:val="22"/>
          <w:szCs w:val="22"/>
        </w:rPr>
      </w:pPr>
    </w:p>
    <w:p w14:paraId="341124AA" w14:textId="636A2588" w:rsidR="003C3A6B" w:rsidRPr="004F572A" w:rsidRDefault="00B57967" w:rsidP="00004592">
      <w:pPr>
        <w:widowControl w:val="0"/>
        <w:tabs>
          <w:tab w:val="clear" w:pos="567"/>
        </w:tabs>
        <w:rPr>
          <w:rFonts w:eastAsia="Calibri"/>
          <w:sz w:val="22"/>
          <w:szCs w:val="22"/>
        </w:rPr>
      </w:pPr>
      <w:r>
        <w:rPr>
          <w:rFonts w:eastAsia="Calibri"/>
          <w:sz w:val="22"/>
          <w:szCs w:val="22"/>
        </w:rPr>
        <w:t xml:space="preserve">Tyrimas </w:t>
      </w:r>
      <w:r w:rsidR="00CA58C7" w:rsidRPr="004F572A">
        <w:rPr>
          <w:rFonts w:eastAsia="Calibri"/>
          <w:sz w:val="22"/>
          <w:szCs w:val="22"/>
        </w:rPr>
        <w:t xml:space="preserve">OLIE </w:t>
      </w:r>
      <w:r w:rsidR="00EC3D25" w:rsidRPr="004F572A">
        <w:rPr>
          <w:rFonts w:eastAsia="Calibri"/>
          <w:sz w:val="22"/>
          <w:szCs w:val="22"/>
        </w:rPr>
        <w:t>(</w:t>
      </w:r>
      <w:r>
        <w:rPr>
          <w:rFonts w:eastAsia="Calibri"/>
          <w:sz w:val="22"/>
          <w:szCs w:val="22"/>
        </w:rPr>
        <w:t xml:space="preserve">tyrimas Nr. </w:t>
      </w:r>
      <w:r w:rsidR="00EC3D25" w:rsidRPr="004F572A">
        <w:rPr>
          <w:rFonts w:eastAsia="Calibri"/>
          <w:sz w:val="22"/>
          <w:szCs w:val="22"/>
        </w:rPr>
        <w:t>230</w:t>
      </w:r>
      <w:r w:rsidR="00CA58C7" w:rsidRPr="004F572A">
        <w:rPr>
          <w:rFonts w:eastAsia="Calibri"/>
          <w:sz w:val="22"/>
          <w:szCs w:val="22"/>
        </w:rPr>
        <w:t>) buvo 2</w:t>
      </w:r>
      <w:r w:rsidR="00B10CAA">
        <w:rPr>
          <w:rFonts w:eastAsia="Calibri"/>
          <w:sz w:val="22"/>
          <w:szCs w:val="22"/>
        </w:rPr>
        <w:t> </w:t>
      </w:r>
      <w:r w:rsidR="00CA58C7" w:rsidRPr="004F572A">
        <w:rPr>
          <w:rFonts w:eastAsia="Calibri"/>
          <w:sz w:val="22"/>
          <w:szCs w:val="22"/>
        </w:rPr>
        <w:t xml:space="preserve">fazės, atvirasis, </w:t>
      </w:r>
      <w:proofErr w:type="spellStart"/>
      <w:r w:rsidR="00CA58C7" w:rsidRPr="004F572A">
        <w:rPr>
          <w:rFonts w:eastAsia="Calibri"/>
          <w:sz w:val="22"/>
          <w:szCs w:val="22"/>
        </w:rPr>
        <w:t>daugiacentris</w:t>
      </w:r>
      <w:proofErr w:type="spellEnd"/>
      <w:r w:rsidR="00CA58C7" w:rsidRPr="004F572A">
        <w:rPr>
          <w:rFonts w:eastAsia="Calibri"/>
          <w:sz w:val="22"/>
          <w:szCs w:val="22"/>
        </w:rPr>
        <w:t>, atsitiktinių imčių, kontroliuojamas</w:t>
      </w:r>
      <w:r>
        <w:rPr>
          <w:rFonts w:eastAsia="Calibri"/>
          <w:sz w:val="22"/>
          <w:szCs w:val="22"/>
        </w:rPr>
        <w:t>is</w:t>
      </w:r>
      <w:r w:rsidR="00CA58C7" w:rsidRPr="004F572A">
        <w:rPr>
          <w:rFonts w:eastAsia="Calibri"/>
          <w:sz w:val="22"/>
          <w:szCs w:val="22"/>
        </w:rPr>
        <w:t xml:space="preserve"> tyrimas, </w:t>
      </w:r>
      <w:r>
        <w:rPr>
          <w:rFonts w:eastAsia="Calibri"/>
          <w:sz w:val="22"/>
          <w:szCs w:val="22"/>
        </w:rPr>
        <w:t>atliktas</w:t>
      </w:r>
      <w:r w:rsidR="00CA58C7" w:rsidRPr="004F572A">
        <w:rPr>
          <w:rFonts w:eastAsia="Calibri"/>
          <w:sz w:val="22"/>
          <w:szCs w:val="22"/>
        </w:rPr>
        <w:t xml:space="preserve"> pacientams (nuo 2 iki ≤</w:t>
      </w:r>
      <w:r w:rsidR="00EC3D25" w:rsidRPr="004F572A">
        <w:rPr>
          <w:rFonts w:eastAsia="Calibri"/>
          <w:sz w:val="22"/>
          <w:szCs w:val="22"/>
        </w:rPr>
        <w:t> </w:t>
      </w:r>
      <w:r w:rsidR="00CA58C7" w:rsidRPr="004F572A">
        <w:rPr>
          <w:rFonts w:eastAsia="Calibri"/>
          <w:sz w:val="22"/>
          <w:szCs w:val="22"/>
        </w:rPr>
        <w:t>25</w:t>
      </w:r>
      <w:r w:rsidR="00B10CAA">
        <w:rPr>
          <w:rFonts w:eastAsia="Calibri"/>
          <w:sz w:val="22"/>
          <w:szCs w:val="22"/>
        </w:rPr>
        <w:t> </w:t>
      </w:r>
      <w:r w:rsidR="00CA58C7" w:rsidRPr="004F572A">
        <w:rPr>
          <w:rFonts w:eastAsia="Calibri"/>
          <w:sz w:val="22"/>
          <w:szCs w:val="22"/>
        </w:rPr>
        <w:t>metų</w:t>
      </w:r>
      <w:r>
        <w:rPr>
          <w:rFonts w:eastAsia="Calibri"/>
          <w:sz w:val="22"/>
          <w:szCs w:val="22"/>
        </w:rPr>
        <w:t xml:space="preserve"> amžiaus</w:t>
      </w:r>
      <w:r w:rsidR="00CA58C7" w:rsidRPr="004F572A">
        <w:rPr>
          <w:rFonts w:eastAsia="Calibri"/>
          <w:sz w:val="22"/>
          <w:szCs w:val="22"/>
        </w:rPr>
        <w:t>)</w:t>
      </w:r>
      <w:r>
        <w:rPr>
          <w:rFonts w:eastAsia="Calibri"/>
          <w:sz w:val="22"/>
          <w:szCs w:val="22"/>
        </w:rPr>
        <w:t>, kuriems</w:t>
      </w:r>
      <w:r w:rsidR="00CA58C7" w:rsidRPr="004F572A">
        <w:rPr>
          <w:rFonts w:eastAsia="Calibri"/>
          <w:sz w:val="22"/>
          <w:szCs w:val="22"/>
        </w:rPr>
        <w:t xml:space="preserve"> buvo nustaty</w:t>
      </w:r>
      <w:r w:rsidR="00EC3D25" w:rsidRPr="004F572A">
        <w:rPr>
          <w:rFonts w:eastAsia="Calibri"/>
          <w:sz w:val="22"/>
          <w:szCs w:val="22"/>
        </w:rPr>
        <w:t xml:space="preserve">ta </w:t>
      </w:r>
      <w:proofErr w:type="spellStart"/>
      <w:r w:rsidR="00EC3D25" w:rsidRPr="004F572A">
        <w:rPr>
          <w:rFonts w:eastAsia="Calibri"/>
          <w:sz w:val="22"/>
          <w:szCs w:val="22"/>
        </w:rPr>
        <w:t>recidyv</w:t>
      </w:r>
      <w:r>
        <w:rPr>
          <w:rFonts w:eastAsia="Calibri"/>
          <w:sz w:val="22"/>
          <w:szCs w:val="22"/>
        </w:rPr>
        <w:t>uojanti</w:t>
      </w:r>
      <w:proofErr w:type="spellEnd"/>
      <w:r w:rsidR="00EC3D25" w:rsidRPr="004F572A">
        <w:rPr>
          <w:rFonts w:eastAsia="Calibri"/>
          <w:sz w:val="22"/>
          <w:szCs w:val="22"/>
        </w:rPr>
        <w:t xml:space="preserve"> arba </w:t>
      </w:r>
      <w:r w:rsidR="00E35994">
        <w:rPr>
          <w:rFonts w:eastAsia="Calibri"/>
          <w:sz w:val="22"/>
          <w:szCs w:val="22"/>
        </w:rPr>
        <w:t>erinė</w:t>
      </w:r>
      <w:r w:rsidR="00EC3D25" w:rsidRPr="004F572A">
        <w:rPr>
          <w:rFonts w:eastAsia="Calibri"/>
          <w:sz w:val="22"/>
          <w:szCs w:val="22"/>
        </w:rPr>
        <w:t xml:space="preserve"> </w:t>
      </w:r>
      <w:proofErr w:type="spellStart"/>
      <w:r w:rsidR="00EC3D25" w:rsidRPr="004F572A">
        <w:rPr>
          <w:rFonts w:eastAsia="Calibri"/>
          <w:sz w:val="22"/>
          <w:szCs w:val="22"/>
        </w:rPr>
        <w:t>osteosarkoma</w:t>
      </w:r>
      <w:proofErr w:type="spellEnd"/>
      <w:r w:rsidR="00EC3D25" w:rsidRPr="004F572A">
        <w:rPr>
          <w:rFonts w:eastAsia="Calibri"/>
          <w:sz w:val="22"/>
          <w:szCs w:val="22"/>
        </w:rPr>
        <w:t>.</w:t>
      </w:r>
      <w:r w:rsidR="00004592" w:rsidRPr="004F572A">
        <w:rPr>
          <w:rFonts w:eastAsia="Calibri"/>
          <w:sz w:val="22"/>
          <w:szCs w:val="22"/>
        </w:rPr>
        <w:t xml:space="preserve"> Tyrime dalyvavo 81</w:t>
      </w:r>
      <w:r w:rsidR="00B10CAA">
        <w:rPr>
          <w:rFonts w:eastAsia="Calibri"/>
          <w:sz w:val="22"/>
          <w:szCs w:val="22"/>
        </w:rPr>
        <w:t> </w:t>
      </w:r>
      <w:r w:rsidR="00004592" w:rsidRPr="004F572A">
        <w:rPr>
          <w:rFonts w:eastAsia="Calibri"/>
          <w:sz w:val="22"/>
          <w:szCs w:val="22"/>
        </w:rPr>
        <w:t xml:space="preserve">pacientas; pacientai </w:t>
      </w:r>
      <w:r w:rsidR="00E35994">
        <w:rPr>
          <w:rFonts w:eastAsia="Calibri"/>
          <w:sz w:val="22"/>
          <w:szCs w:val="22"/>
        </w:rPr>
        <w:t xml:space="preserve">buvo </w:t>
      </w:r>
      <w:r w:rsidR="00004592" w:rsidRPr="004F572A">
        <w:rPr>
          <w:rFonts w:eastAsia="Calibri"/>
          <w:sz w:val="22"/>
          <w:szCs w:val="22"/>
        </w:rPr>
        <w:t>atsitiktin</w:t>
      </w:r>
      <w:r w:rsidR="00E35994">
        <w:rPr>
          <w:rFonts w:eastAsia="Calibri"/>
          <w:sz w:val="22"/>
          <w:szCs w:val="22"/>
        </w:rPr>
        <w:t>iu</w:t>
      </w:r>
      <w:r w:rsidR="00004592" w:rsidRPr="004F572A">
        <w:rPr>
          <w:rFonts w:eastAsia="Calibri"/>
          <w:sz w:val="22"/>
          <w:szCs w:val="22"/>
        </w:rPr>
        <w:t xml:space="preserve"> būdu paskirti į grupes santykiu 1:1 (78</w:t>
      </w:r>
      <w:r w:rsidR="00B10CAA">
        <w:rPr>
          <w:rFonts w:eastAsia="Calibri"/>
          <w:sz w:val="22"/>
          <w:szCs w:val="22"/>
        </w:rPr>
        <w:t> </w:t>
      </w:r>
      <w:r w:rsidR="00004592" w:rsidRPr="004F572A">
        <w:rPr>
          <w:rFonts w:eastAsia="Calibri"/>
          <w:sz w:val="22"/>
          <w:szCs w:val="22"/>
        </w:rPr>
        <w:t>gydomieji</w:t>
      </w:r>
      <w:r w:rsidR="00E35994">
        <w:rPr>
          <w:rFonts w:eastAsia="Calibri"/>
          <w:sz w:val="22"/>
          <w:szCs w:val="22"/>
        </w:rPr>
        <w:t>, kuriems paskirtas gydymas</w:t>
      </w:r>
      <w:r w:rsidR="00004592" w:rsidRPr="004F572A">
        <w:rPr>
          <w:rFonts w:eastAsia="Calibri"/>
          <w:sz w:val="22"/>
          <w:szCs w:val="22"/>
        </w:rPr>
        <w:t>; po 39</w:t>
      </w:r>
      <w:r w:rsidR="00B10CAA">
        <w:rPr>
          <w:rFonts w:eastAsia="Calibri"/>
          <w:sz w:val="22"/>
          <w:szCs w:val="22"/>
        </w:rPr>
        <w:t> </w:t>
      </w:r>
      <w:r w:rsidR="00004592" w:rsidRPr="004F572A">
        <w:rPr>
          <w:rFonts w:eastAsia="Calibri"/>
          <w:sz w:val="22"/>
          <w:szCs w:val="22"/>
        </w:rPr>
        <w:t xml:space="preserve">kiekvienoje </w:t>
      </w:r>
      <w:r w:rsidR="00E35994">
        <w:rPr>
          <w:rFonts w:eastAsia="Calibri"/>
          <w:sz w:val="22"/>
          <w:szCs w:val="22"/>
        </w:rPr>
        <w:t>grupėje</w:t>
      </w:r>
      <w:r w:rsidR="00004592" w:rsidRPr="004F572A">
        <w:rPr>
          <w:rFonts w:eastAsia="Calibri"/>
          <w:sz w:val="22"/>
          <w:szCs w:val="22"/>
        </w:rPr>
        <w:t>), jiems buvo skiriama 14 mg/m</w:t>
      </w:r>
      <w:r w:rsidR="00004592" w:rsidRPr="004F572A">
        <w:rPr>
          <w:rFonts w:eastAsia="Calibri"/>
          <w:sz w:val="22"/>
          <w:szCs w:val="22"/>
          <w:vertAlign w:val="superscript"/>
        </w:rPr>
        <w:t>2</w:t>
      </w:r>
      <w:r w:rsidR="00004592" w:rsidRPr="004F572A">
        <w:rPr>
          <w:rFonts w:eastAsia="Calibri"/>
          <w:sz w:val="22"/>
          <w:szCs w:val="22"/>
        </w:rPr>
        <w:t xml:space="preserve"> </w:t>
      </w:r>
      <w:proofErr w:type="spellStart"/>
      <w:r w:rsidR="00004592" w:rsidRPr="004F572A">
        <w:rPr>
          <w:rFonts w:eastAsia="Calibri"/>
          <w:sz w:val="22"/>
          <w:szCs w:val="22"/>
        </w:rPr>
        <w:t>lenvatinibo</w:t>
      </w:r>
      <w:proofErr w:type="spellEnd"/>
      <w:r w:rsidR="00004592" w:rsidRPr="004F572A">
        <w:rPr>
          <w:rFonts w:eastAsia="Calibri"/>
          <w:sz w:val="22"/>
          <w:szCs w:val="22"/>
        </w:rPr>
        <w:t xml:space="preserve"> kartu su 3</w:t>
      </w:r>
      <w:r w:rsidR="00E35994">
        <w:rPr>
          <w:rFonts w:eastAsia="Calibri"/>
          <w:sz w:val="22"/>
          <w:szCs w:val="22"/>
        </w:rPr>
        <w:t> </w:t>
      </w:r>
      <w:r w:rsidR="00004592" w:rsidRPr="004F572A">
        <w:rPr>
          <w:rFonts w:eastAsia="Calibri"/>
          <w:sz w:val="22"/>
          <w:szCs w:val="22"/>
        </w:rPr>
        <w:t>000 mg/m</w:t>
      </w:r>
      <w:r w:rsidR="00004592" w:rsidRPr="004F572A">
        <w:rPr>
          <w:rFonts w:eastAsia="Calibri"/>
          <w:sz w:val="22"/>
          <w:szCs w:val="22"/>
          <w:vertAlign w:val="superscript"/>
        </w:rPr>
        <w:t>2</w:t>
      </w:r>
      <w:r w:rsidR="00004592" w:rsidRPr="004F572A">
        <w:rPr>
          <w:rFonts w:eastAsia="Calibri"/>
          <w:sz w:val="22"/>
          <w:szCs w:val="22"/>
        </w:rPr>
        <w:t xml:space="preserve"> </w:t>
      </w:r>
      <w:proofErr w:type="spellStart"/>
      <w:r w:rsidR="00004592" w:rsidRPr="004F572A">
        <w:rPr>
          <w:rFonts w:eastAsia="Calibri"/>
          <w:sz w:val="22"/>
          <w:szCs w:val="22"/>
        </w:rPr>
        <w:t>ifosfamido</w:t>
      </w:r>
      <w:proofErr w:type="spellEnd"/>
      <w:r w:rsidR="00004592" w:rsidRPr="004F572A">
        <w:rPr>
          <w:rFonts w:eastAsia="Calibri"/>
          <w:sz w:val="22"/>
          <w:szCs w:val="22"/>
        </w:rPr>
        <w:t xml:space="preserve"> ir 100 mg/m</w:t>
      </w:r>
      <w:r w:rsidR="00004592" w:rsidRPr="004F572A">
        <w:rPr>
          <w:rFonts w:eastAsia="Calibri"/>
          <w:sz w:val="22"/>
          <w:szCs w:val="22"/>
          <w:vertAlign w:val="superscript"/>
        </w:rPr>
        <w:t>2</w:t>
      </w:r>
      <w:r w:rsidR="00004592" w:rsidRPr="004F572A">
        <w:rPr>
          <w:rFonts w:eastAsia="Calibri"/>
          <w:sz w:val="22"/>
          <w:szCs w:val="22"/>
        </w:rPr>
        <w:t xml:space="preserve"> </w:t>
      </w:r>
      <w:proofErr w:type="spellStart"/>
      <w:r w:rsidR="00004592" w:rsidRPr="004F572A">
        <w:rPr>
          <w:rFonts w:eastAsia="Calibri"/>
          <w:sz w:val="22"/>
          <w:szCs w:val="22"/>
        </w:rPr>
        <w:t>etopozido</w:t>
      </w:r>
      <w:proofErr w:type="spellEnd"/>
      <w:r w:rsidR="00004592" w:rsidRPr="004F572A">
        <w:rPr>
          <w:rFonts w:eastAsia="Calibri"/>
          <w:sz w:val="22"/>
          <w:szCs w:val="22"/>
        </w:rPr>
        <w:t xml:space="preserve"> (A </w:t>
      </w:r>
      <w:r w:rsidR="00E35994">
        <w:rPr>
          <w:rFonts w:eastAsia="Calibri"/>
          <w:sz w:val="22"/>
          <w:szCs w:val="22"/>
        </w:rPr>
        <w:t>grupė</w:t>
      </w:r>
      <w:r w:rsidR="00004592" w:rsidRPr="004F572A">
        <w:rPr>
          <w:rFonts w:eastAsia="Calibri"/>
          <w:sz w:val="22"/>
          <w:szCs w:val="22"/>
        </w:rPr>
        <w:t>) arba 3</w:t>
      </w:r>
      <w:r w:rsidR="00E35994">
        <w:rPr>
          <w:rFonts w:eastAsia="Calibri"/>
          <w:sz w:val="22"/>
          <w:szCs w:val="22"/>
        </w:rPr>
        <w:t> </w:t>
      </w:r>
      <w:r w:rsidR="00004592" w:rsidRPr="004F572A">
        <w:rPr>
          <w:rFonts w:eastAsia="Calibri"/>
          <w:sz w:val="22"/>
          <w:szCs w:val="22"/>
        </w:rPr>
        <w:t>000 mg/m</w:t>
      </w:r>
      <w:r w:rsidR="00004592" w:rsidRPr="004F572A">
        <w:rPr>
          <w:rFonts w:eastAsia="Calibri"/>
          <w:sz w:val="22"/>
          <w:szCs w:val="22"/>
          <w:vertAlign w:val="superscript"/>
        </w:rPr>
        <w:t>2</w:t>
      </w:r>
      <w:r w:rsidR="00004592" w:rsidRPr="004F572A">
        <w:rPr>
          <w:rFonts w:eastAsia="Calibri"/>
          <w:sz w:val="22"/>
          <w:szCs w:val="22"/>
        </w:rPr>
        <w:t xml:space="preserve"> </w:t>
      </w:r>
      <w:proofErr w:type="spellStart"/>
      <w:r w:rsidR="00004592" w:rsidRPr="004F572A">
        <w:rPr>
          <w:rFonts w:eastAsia="Calibri"/>
          <w:sz w:val="22"/>
          <w:szCs w:val="22"/>
        </w:rPr>
        <w:t>ifosfamido</w:t>
      </w:r>
      <w:proofErr w:type="spellEnd"/>
      <w:r w:rsidR="00004592" w:rsidRPr="004F572A">
        <w:rPr>
          <w:rFonts w:eastAsia="Calibri"/>
          <w:sz w:val="22"/>
          <w:szCs w:val="22"/>
        </w:rPr>
        <w:t xml:space="preserve"> ir 100 mg/m</w:t>
      </w:r>
      <w:r w:rsidR="00004592" w:rsidRPr="004F572A">
        <w:rPr>
          <w:rFonts w:eastAsia="Calibri"/>
          <w:sz w:val="22"/>
          <w:szCs w:val="22"/>
          <w:vertAlign w:val="superscript"/>
        </w:rPr>
        <w:t>2</w:t>
      </w:r>
      <w:r w:rsidR="00004592" w:rsidRPr="004F572A">
        <w:rPr>
          <w:rFonts w:eastAsia="Calibri"/>
          <w:sz w:val="22"/>
          <w:szCs w:val="22"/>
        </w:rPr>
        <w:t xml:space="preserve"> </w:t>
      </w:r>
      <w:proofErr w:type="spellStart"/>
      <w:r w:rsidR="00004592" w:rsidRPr="004F572A">
        <w:rPr>
          <w:rFonts w:eastAsia="Calibri"/>
          <w:sz w:val="22"/>
          <w:szCs w:val="22"/>
        </w:rPr>
        <w:t>etopozido</w:t>
      </w:r>
      <w:proofErr w:type="spellEnd"/>
      <w:r w:rsidR="00004592" w:rsidRPr="004F572A">
        <w:rPr>
          <w:rFonts w:eastAsia="Calibri"/>
          <w:sz w:val="22"/>
          <w:szCs w:val="22"/>
        </w:rPr>
        <w:t xml:space="preserve"> (B </w:t>
      </w:r>
      <w:r w:rsidR="00E35994">
        <w:rPr>
          <w:rFonts w:eastAsia="Calibri"/>
          <w:sz w:val="22"/>
          <w:szCs w:val="22"/>
        </w:rPr>
        <w:t>grupė</w:t>
      </w:r>
      <w:r w:rsidR="00004592" w:rsidRPr="004F572A">
        <w:rPr>
          <w:rFonts w:eastAsia="Calibri"/>
          <w:sz w:val="22"/>
          <w:szCs w:val="22"/>
        </w:rPr>
        <w:t xml:space="preserve">). </w:t>
      </w:r>
      <w:proofErr w:type="spellStart"/>
      <w:r w:rsidR="00004592" w:rsidRPr="004F572A">
        <w:rPr>
          <w:rFonts w:eastAsia="Calibri"/>
          <w:sz w:val="22"/>
          <w:szCs w:val="22"/>
        </w:rPr>
        <w:t>Ifosfamid</w:t>
      </w:r>
      <w:r w:rsidR="00E35994">
        <w:rPr>
          <w:rFonts w:eastAsia="Calibri"/>
          <w:sz w:val="22"/>
          <w:szCs w:val="22"/>
        </w:rPr>
        <w:t>as</w:t>
      </w:r>
      <w:proofErr w:type="spellEnd"/>
      <w:r w:rsidR="00004592" w:rsidRPr="004F572A">
        <w:rPr>
          <w:rFonts w:eastAsia="Calibri"/>
          <w:sz w:val="22"/>
          <w:szCs w:val="22"/>
        </w:rPr>
        <w:t xml:space="preserve"> ir </w:t>
      </w:r>
      <w:proofErr w:type="spellStart"/>
      <w:r w:rsidR="00004592" w:rsidRPr="004F572A">
        <w:rPr>
          <w:rFonts w:eastAsia="Calibri"/>
          <w:sz w:val="22"/>
          <w:szCs w:val="22"/>
        </w:rPr>
        <w:t>etopozid</w:t>
      </w:r>
      <w:r w:rsidR="00E35994">
        <w:rPr>
          <w:rFonts w:eastAsia="Calibri"/>
          <w:sz w:val="22"/>
          <w:szCs w:val="22"/>
        </w:rPr>
        <w:t>as</w:t>
      </w:r>
      <w:proofErr w:type="spellEnd"/>
      <w:r w:rsidR="00004592" w:rsidRPr="004F572A">
        <w:rPr>
          <w:rFonts w:eastAsia="Calibri"/>
          <w:sz w:val="22"/>
          <w:szCs w:val="22"/>
        </w:rPr>
        <w:t xml:space="preserve"> buvo </w:t>
      </w:r>
      <w:r w:rsidR="00C62581" w:rsidRPr="004F572A">
        <w:rPr>
          <w:rFonts w:eastAsia="Calibri"/>
          <w:sz w:val="22"/>
          <w:szCs w:val="22"/>
        </w:rPr>
        <w:t>leidžiam</w:t>
      </w:r>
      <w:r w:rsidR="00E35994">
        <w:rPr>
          <w:rFonts w:eastAsia="Calibri"/>
          <w:sz w:val="22"/>
          <w:szCs w:val="22"/>
        </w:rPr>
        <w:t>i</w:t>
      </w:r>
      <w:r w:rsidR="00004592" w:rsidRPr="004F572A">
        <w:rPr>
          <w:rFonts w:eastAsia="Calibri"/>
          <w:sz w:val="22"/>
          <w:szCs w:val="22"/>
        </w:rPr>
        <w:t xml:space="preserve"> į veną kiekvieno 21</w:t>
      </w:r>
      <w:r w:rsidR="00B10CAA">
        <w:rPr>
          <w:rFonts w:eastAsia="Calibri"/>
          <w:sz w:val="22"/>
          <w:szCs w:val="22"/>
        </w:rPr>
        <w:t> </w:t>
      </w:r>
      <w:r w:rsidR="00E35994">
        <w:rPr>
          <w:rFonts w:eastAsia="Calibri"/>
          <w:sz w:val="22"/>
          <w:szCs w:val="22"/>
        </w:rPr>
        <w:t>dienos</w:t>
      </w:r>
      <w:r w:rsidR="00004592" w:rsidRPr="004F572A">
        <w:rPr>
          <w:rFonts w:eastAsia="Calibri"/>
          <w:sz w:val="22"/>
          <w:szCs w:val="22"/>
        </w:rPr>
        <w:t xml:space="preserve"> ciklo 1</w:t>
      </w:r>
      <w:r w:rsidR="00B10CAA">
        <w:rPr>
          <w:rFonts w:eastAsia="Calibri"/>
          <w:sz w:val="22"/>
          <w:szCs w:val="22"/>
        </w:rPr>
        <w:noBreakHyphen/>
      </w:r>
      <w:r w:rsidR="00004592" w:rsidRPr="004F572A">
        <w:rPr>
          <w:rFonts w:eastAsia="Calibri"/>
          <w:sz w:val="22"/>
          <w:szCs w:val="22"/>
        </w:rPr>
        <w:t>3</w:t>
      </w:r>
      <w:r w:rsidR="00B10CAA">
        <w:rPr>
          <w:rFonts w:eastAsia="Calibri"/>
          <w:sz w:val="22"/>
          <w:szCs w:val="22"/>
        </w:rPr>
        <w:t> </w:t>
      </w:r>
      <w:r w:rsidR="00004592" w:rsidRPr="004F572A">
        <w:rPr>
          <w:rFonts w:eastAsia="Calibri"/>
          <w:sz w:val="22"/>
          <w:szCs w:val="22"/>
        </w:rPr>
        <w:t>dienomis, ne daugiau kaip 5</w:t>
      </w:r>
      <w:r w:rsidR="00B10CAA">
        <w:rPr>
          <w:rFonts w:eastAsia="Calibri"/>
          <w:sz w:val="22"/>
          <w:szCs w:val="22"/>
        </w:rPr>
        <w:t> </w:t>
      </w:r>
      <w:r w:rsidR="00004592" w:rsidRPr="004F572A">
        <w:rPr>
          <w:rFonts w:eastAsia="Calibri"/>
          <w:sz w:val="22"/>
          <w:szCs w:val="22"/>
        </w:rPr>
        <w:t xml:space="preserve">ciklus. Gydymas </w:t>
      </w:r>
      <w:proofErr w:type="spellStart"/>
      <w:r w:rsidR="00004592" w:rsidRPr="004F572A">
        <w:rPr>
          <w:rFonts w:eastAsia="Calibri"/>
          <w:sz w:val="22"/>
          <w:szCs w:val="22"/>
        </w:rPr>
        <w:t>lenvatinibu</w:t>
      </w:r>
      <w:proofErr w:type="spellEnd"/>
      <w:r w:rsidR="00004592" w:rsidRPr="004F572A">
        <w:rPr>
          <w:rFonts w:eastAsia="Calibri"/>
          <w:sz w:val="22"/>
          <w:szCs w:val="22"/>
        </w:rPr>
        <w:t xml:space="preserve"> buvo leidžiamas iki RECIST v1.1 apibrėžto</w:t>
      </w:r>
      <w:r w:rsidR="00E35994">
        <w:rPr>
          <w:rFonts w:eastAsia="Calibri"/>
          <w:sz w:val="22"/>
          <w:szCs w:val="22"/>
        </w:rPr>
        <w:t>s</w:t>
      </w:r>
      <w:r w:rsidR="00004592" w:rsidRPr="004F572A">
        <w:rPr>
          <w:rFonts w:eastAsia="Calibri"/>
          <w:sz w:val="22"/>
          <w:szCs w:val="22"/>
        </w:rPr>
        <w:t xml:space="preserve"> ligos progresavimo, </w:t>
      </w:r>
      <w:r w:rsidR="00E35994">
        <w:rPr>
          <w:rFonts w:eastAsia="Calibri"/>
          <w:sz w:val="22"/>
          <w:szCs w:val="22"/>
        </w:rPr>
        <w:t>kuris buvo</w:t>
      </w:r>
      <w:r w:rsidR="00004592" w:rsidRPr="004F572A">
        <w:rPr>
          <w:rFonts w:eastAsia="Calibri"/>
          <w:sz w:val="22"/>
          <w:szCs w:val="22"/>
        </w:rPr>
        <w:t xml:space="preserve"> patvirtinta</w:t>
      </w:r>
      <w:r w:rsidR="00E35994">
        <w:rPr>
          <w:rFonts w:eastAsia="Calibri"/>
          <w:sz w:val="22"/>
          <w:szCs w:val="22"/>
        </w:rPr>
        <w:t>s</w:t>
      </w:r>
      <w:r w:rsidR="00004592" w:rsidRPr="004F572A">
        <w:rPr>
          <w:rFonts w:eastAsia="Calibri"/>
          <w:sz w:val="22"/>
          <w:szCs w:val="22"/>
        </w:rPr>
        <w:t xml:space="preserve"> koduot</w:t>
      </w:r>
      <w:r w:rsidR="00E35994">
        <w:rPr>
          <w:rFonts w:eastAsia="Calibri"/>
          <w:sz w:val="22"/>
          <w:szCs w:val="22"/>
        </w:rPr>
        <w:t>os</w:t>
      </w:r>
      <w:r w:rsidR="00004592" w:rsidRPr="004F572A">
        <w:rPr>
          <w:rFonts w:eastAsia="Calibri"/>
          <w:sz w:val="22"/>
          <w:szCs w:val="22"/>
        </w:rPr>
        <w:t xml:space="preserve"> nepriklausom</w:t>
      </w:r>
      <w:r w:rsidR="00E35994">
        <w:rPr>
          <w:rFonts w:eastAsia="Calibri"/>
          <w:sz w:val="22"/>
          <w:szCs w:val="22"/>
        </w:rPr>
        <w:t>os</w:t>
      </w:r>
      <w:r w:rsidR="00004592" w:rsidRPr="004F572A">
        <w:rPr>
          <w:rFonts w:eastAsia="Calibri"/>
          <w:sz w:val="22"/>
          <w:szCs w:val="22"/>
        </w:rPr>
        <w:t xml:space="preserve"> centrin</w:t>
      </w:r>
      <w:r w:rsidR="00E35994">
        <w:rPr>
          <w:rFonts w:eastAsia="Calibri"/>
          <w:sz w:val="22"/>
          <w:szCs w:val="22"/>
        </w:rPr>
        <w:t>ės</w:t>
      </w:r>
      <w:r w:rsidR="00004592" w:rsidRPr="004F572A">
        <w:rPr>
          <w:rFonts w:eastAsia="Calibri"/>
          <w:sz w:val="22"/>
          <w:szCs w:val="22"/>
        </w:rPr>
        <w:t xml:space="preserve"> peržiūr</w:t>
      </w:r>
      <w:r w:rsidR="00E35994">
        <w:rPr>
          <w:rFonts w:eastAsia="Calibri"/>
          <w:sz w:val="22"/>
          <w:szCs w:val="22"/>
        </w:rPr>
        <w:t>os</w:t>
      </w:r>
      <w:r w:rsidR="00004592" w:rsidRPr="004F572A">
        <w:rPr>
          <w:rFonts w:eastAsia="Calibri"/>
          <w:sz w:val="22"/>
          <w:szCs w:val="22"/>
        </w:rPr>
        <w:t xml:space="preserve"> (angl. </w:t>
      </w:r>
      <w:proofErr w:type="spellStart"/>
      <w:r w:rsidR="00004592" w:rsidRPr="004F572A">
        <w:rPr>
          <w:rFonts w:eastAsia="Calibri"/>
          <w:i/>
          <w:iCs/>
          <w:sz w:val="22"/>
          <w:szCs w:val="22"/>
        </w:rPr>
        <w:t>Blinded</w:t>
      </w:r>
      <w:proofErr w:type="spellEnd"/>
      <w:r w:rsidR="00004592" w:rsidRPr="004F572A">
        <w:rPr>
          <w:rFonts w:eastAsia="Calibri"/>
          <w:i/>
          <w:iCs/>
          <w:sz w:val="22"/>
          <w:szCs w:val="22"/>
        </w:rPr>
        <w:t xml:space="preserve"> </w:t>
      </w:r>
      <w:proofErr w:type="spellStart"/>
      <w:r w:rsidR="00004592" w:rsidRPr="004F572A">
        <w:rPr>
          <w:rFonts w:eastAsia="Calibri"/>
          <w:i/>
          <w:iCs/>
          <w:sz w:val="22"/>
          <w:szCs w:val="22"/>
        </w:rPr>
        <w:t>Independent</w:t>
      </w:r>
      <w:proofErr w:type="spellEnd"/>
      <w:r w:rsidR="00004592" w:rsidRPr="004F572A">
        <w:rPr>
          <w:rFonts w:eastAsia="Calibri"/>
          <w:i/>
          <w:iCs/>
          <w:sz w:val="22"/>
          <w:szCs w:val="22"/>
        </w:rPr>
        <w:t xml:space="preserve"> </w:t>
      </w:r>
      <w:proofErr w:type="spellStart"/>
      <w:r w:rsidR="00004592" w:rsidRPr="004F572A">
        <w:rPr>
          <w:rFonts w:eastAsia="Calibri"/>
          <w:i/>
          <w:iCs/>
          <w:sz w:val="22"/>
          <w:szCs w:val="22"/>
        </w:rPr>
        <w:t>Central</w:t>
      </w:r>
      <w:proofErr w:type="spellEnd"/>
      <w:r w:rsidR="00004592" w:rsidRPr="004F572A">
        <w:rPr>
          <w:rFonts w:eastAsia="Calibri"/>
          <w:i/>
          <w:iCs/>
          <w:sz w:val="22"/>
          <w:szCs w:val="22"/>
        </w:rPr>
        <w:t xml:space="preserve"> </w:t>
      </w:r>
      <w:proofErr w:type="spellStart"/>
      <w:r w:rsidR="00004592" w:rsidRPr="004F572A">
        <w:rPr>
          <w:rFonts w:eastAsia="Calibri"/>
          <w:i/>
          <w:iCs/>
          <w:sz w:val="22"/>
          <w:szCs w:val="22"/>
        </w:rPr>
        <w:t>Review</w:t>
      </w:r>
      <w:proofErr w:type="spellEnd"/>
      <w:r w:rsidR="00004592" w:rsidRPr="004F572A">
        <w:rPr>
          <w:rFonts w:eastAsia="Calibri"/>
          <w:sz w:val="22"/>
          <w:szCs w:val="22"/>
        </w:rPr>
        <w:t>, BICR)</w:t>
      </w:r>
      <w:r w:rsidR="00E35994">
        <w:rPr>
          <w:rFonts w:eastAsia="Calibri"/>
          <w:sz w:val="22"/>
          <w:szCs w:val="22"/>
        </w:rPr>
        <w:t xml:space="preserve"> duomenimis</w:t>
      </w:r>
      <w:r w:rsidR="00004592" w:rsidRPr="004F572A">
        <w:rPr>
          <w:rFonts w:eastAsia="Calibri"/>
          <w:sz w:val="22"/>
          <w:szCs w:val="22"/>
        </w:rPr>
        <w:t xml:space="preserve">, arba iki nepriimtino toksinio poveikio pasireiškimo. </w:t>
      </w:r>
      <w:r w:rsidR="00E35994">
        <w:rPr>
          <w:rFonts w:eastAsia="Calibri"/>
          <w:sz w:val="22"/>
          <w:szCs w:val="22"/>
        </w:rPr>
        <w:t>Pirminiu</w:t>
      </w:r>
      <w:r w:rsidR="00E35994" w:rsidRPr="004F572A">
        <w:rPr>
          <w:rFonts w:eastAsia="Calibri"/>
          <w:sz w:val="22"/>
          <w:szCs w:val="22"/>
        </w:rPr>
        <w:t xml:space="preserve"> </w:t>
      </w:r>
      <w:r w:rsidR="00004592" w:rsidRPr="004F572A">
        <w:rPr>
          <w:rFonts w:eastAsia="Calibri"/>
          <w:sz w:val="22"/>
          <w:szCs w:val="22"/>
        </w:rPr>
        <w:t xml:space="preserve">veiksmingumo </w:t>
      </w:r>
      <w:r w:rsidR="00E35994">
        <w:rPr>
          <w:rFonts w:eastAsia="Calibri"/>
          <w:sz w:val="22"/>
          <w:szCs w:val="22"/>
        </w:rPr>
        <w:t>rezultatų vertinimo</w:t>
      </w:r>
      <w:r w:rsidR="00004592" w:rsidRPr="004F572A">
        <w:rPr>
          <w:rFonts w:eastAsia="Calibri"/>
          <w:sz w:val="22"/>
          <w:szCs w:val="22"/>
        </w:rPr>
        <w:t xml:space="preserve"> rodikliu buvo laikomas išgyvenamumas be ligos progresavimo (ILP) pagal BICR RECIST 1.1. Tyrimas neparodė statistiškai reikšmingo ILP medianos skirtumo: 6,5</w:t>
      </w:r>
      <w:r w:rsidR="00B10CAA">
        <w:rPr>
          <w:rFonts w:eastAsia="Calibri"/>
          <w:sz w:val="22"/>
          <w:szCs w:val="22"/>
        </w:rPr>
        <w:t> </w:t>
      </w:r>
      <w:r w:rsidR="00004592" w:rsidRPr="004F572A">
        <w:rPr>
          <w:rFonts w:eastAsia="Calibri"/>
          <w:sz w:val="22"/>
          <w:szCs w:val="22"/>
        </w:rPr>
        <w:t>mėnesio (95</w:t>
      </w:r>
      <w:r w:rsidR="00C62581" w:rsidRPr="004F572A">
        <w:rPr>
          <w:rFonts w:eastAsia="Calibri"/>
          <w:sz w:val="22"/>
          <w:szCs w:val="22"/>
        </w:rPr>
        <w:t> </w:t>
      </w:r>
      <w:r w:rsidR="00004592" w:rsidRPr="004F572A">
        <w:rPr>
          <w:rFonts w:eastAsia="Calibri"/>
          <w:sz w:val="22"/>
          <w:szCs w:val="22"/>
        </w:rPr>
        <w:t>% PI: 5,7; 8,2)</w:t>
      </w:r>
      <w:r w:rsidR="00E35994">
        <w:rPr>
          <w:rFonts w:eastAsia="Calibri"/>
          <w:sz w:val="22"/>
          <w:szCs w:val="22"/>
        </w:rPr>
        <w:t xml:space="preserve"> </w:t>
      </w:r>
      <w:proofErr w:type="spellStart"/>
      <w:r w:rsidR="00004592" w:rsidRPr="004F572A">
        <w:rPr>
          <w:rFonts w:eastAsia="Calibri"/>
          <w:sz w:val="22"/>
          <w:szCs w:val="22"/>
        </w:rPr>
        <w:t>lenvatinibo</w:t>
      </w:r>
      <w:proofErr w:type="spellEnd"/>
      <w:r w:rsidR="00004592" w:rsidRPr="004F572A">
        <w:rPr>
          <w:rFonts w:eastAsia="Calibri"/>
          <w:sz w:val="22"/>
          <w:szCs w:val="22"/>
        </w:rPr>
        <w:t xml:space="preserve"> </w:t>
      </w:r>
      <w:r w:rsidR="00E35994">
        <w:rPr>
          <w:rFonts w:eastAsia="Calibri"/>
          <w:sz w:val="22"/>
          <w:szCs w:val="22"/>
        </w:rPr>
        <w:t xml:space="preserve">kartu </w:t>
      </w:r>
      <w:r w:rsidR="00C62581" w:rsidRPr="004F572A">
        <w:rPr>
          <w:rFonts w:eastAsia="Calibri"/>
          <w:sz w:val="22"/>
          <w:szCs w:val="22"/>
        </w:rPr>
        <w:t>su</w:t>
      </w:r>
      <w:r w:rsidR="00004592" w:rsidRPr="004F572A">
        <w:rPr>
          <w:rFonts w:eastAsia="Calibri"/>
          <w:sz w:val="22"/>
          <w:szCs w:val="22"/>
        </w:rPr>
        <w:t xml:space="preserve"> </w:t>
      </w:r>
      <w:proofErr w:type="spellStart"/>
      <w:r w:rsidR="00004592" w:rsidRPr="004F572A">
        <w:rPr>
          <w:rFonts w:eastAsia="Calibri"/>
          <w:sz w:val="22"/>
          <w:szCs w:val="22"/>
        </w:rPr>
        <w:t>ifosfamidu</w:t>
      </w:r>
      <w:proofErr w:type="spellEnd"/>
      <w:r w:rsidR="00004592" w:rsidRPr="004F572A">
        <w:rPr>
          <w:rFonts w:eastAsia="Calibri"/>
          <w:sz w:val="22"/>
          <w:szCs w:val="22"/>
        </w:rPr>
        <w:t xml:space="preserve"> ir </w:t>
      </w:r>
      <w:proofErr w:type="spellStart"/>
      <w:r w:rsidR="00004592" w:rsidRPr="004F572A">
        <w:rPr>
          <w:rFonts w:eastAsia="Calibri"/>
          <w:sz w:val="22"/>
          <w:szCs w:val="22"/>
        </w:rPr>
        <w:t>etopozidu</w:t>
      </w:r>
      <w:proofErr w:type="spellEnd"/>
      <w:r w:rsidR="00E35994">
        <w:rPr>
          <w:rFonts w:eastAsia="Calibri"/>
          <w:sz w:val="22"/>
          <w:szCs w:val="22"/>
        </w:rPr>
        <w:t xml:space="preserve"> gydymo atvejų</w:t>
      </w:r>
      <w:r w:rsidR="00004592" w:rsidRPr="004F572A">
        <w:rPr>
          <w:rFonts w:eastAsia="Calibri"/>
          <w:sz w:val="22"/>
          <w:szCs w:val="22"/>
        </w:rPr>
        <w:t>, palyginti su 5,5</w:t>
      </w:r>
      <w:r w:rsidR="00B10CAA">
        <w:rPr>
          <w:rFonts w:eastAsia="Calibri"/>
          <w:sz w:val="22"/>
          <w:szCs w:val="22"/>
        </w:rPr>
        <w:t> </w:t>
      </w:r>
      <w:r w:rsidR="00004592" w:rsidRPr="004F572A">
        <w:rPr>
          <w:rFonts w:eastAsia="Calibri"/>
          <w:sz w:val="22"/>
          <w:szCs w:val="22"/>
        </w:rPr>
        <w:t>mėnesio (95</w:t>
      </w:r>
      <w:r w:rsidR="00C62581" w:rsidRPr="004F572A">
        <w:rPr>
          <w:rFonts w:eastAsia="Calibri"/>
          <w:sz w:val="22"/>
          <w:szCs w:val="22"/>
        </w:rPr>
        <w:t> </w:t>
      </w:r>
      <w:r w:rsidR="00004592" w:rsidRPr="004F572A">
        <w:rPr>
          <w:rFonts w:eastAsia="Calibri"/>
          <w:sz w:val="22"/>
          <w:szCs w:val="22"/>
        </w:rPr>
        <w:t>% PI: 2,9; 6,5)</w:t>
      </w:r>
      <w:r w:rsidR="003C3A6B" w:rsidRPr="004F572A">
        <w:rPr>
          <w:rFonts w:eastAsia="Calibri"/>
          <w:sz w:val="22"/>
          <w:szCs w:val="22"/>
        </w:rPr>
        <w:t xml:space="preserve"> </w:t>
      </w:r>
      <w:proofErr w:type="spellStart"/>
      <w:r w:rsidR="00004592" w:rsidRPr="004F572A">
        <w:rPr>
          <w:rFonts w:eastAsia="Calibri"/>
          <w:sz w:val="22"/>
          <w:szCs w:val="22"/>
        </w:rPr>
        <w:t>ifosfamido</w:t>
      </w:r>
      <w:proofErr w:type="spellEnd"/>
      <w:r w:rsidR="00004592" w:rsidRPr="004F572A">
        <w:rPr>
          <w:rFonts w:eastAsia="Calibri"/>
          <w:sz w:val="22"/>
          <w:szCs w:val="22"/>
        </w:rPr>
        <w:t xml:space="preserve"> ir </w:t>
      </w:r>
      <w:proofErr w:type="spellStart"/>
      <w:r w:rsidR="00004592" w:rsidRPr="004F572A">
        <w:rPr>
          <w:rFonts w:eastAsia="Calibri"/>
          <w:sz w:val="22"/>
          <w:szCs w:val="22"/>
        </w:rPr>
        <w:t>etopozido</w:t>
      </w:r>
      <w:proofErr w:type="spellEnd"/>
      <w:r w:rsidR="003C3A6B" w:rsidRPr="004F572A">
        <w:rPr>
          <w:rFonts w:eastAsia="Calibri"/>
          <w:sz w:val="22"/>
          <w:szCs w:val="22"/>
        </w:rPr>
        <w:t xml:space="preserve"> </w:t>
      </w:r>
      <w:r w:rsidR="00004592" w:rsidRPr="004F572A">
        <w:rPr>
          <w:rFonts w:eastAsia="Calibri"/>
          <w:sz w:val="22"/>
          <w:szCs w:val="22"/>
        </w:rPr>
        <w:t>(RS</w:t>
      </w:r>
      <w:r w:rsidR="00B10CAA">
        <w:rPr>
          <w:rFonts w:eastAsia="Calibri"/>
          <w:sz w:val="22"/>
          <w:szCs w:val="22"/>
        </w:rPr>
        <w:t> </w:t>
      </w:r>
      <w:r w:rsidR="00004592" w:rsidRPr="004F572A">
        <w:rPr>
          <w:rFonts w:eastAsia="Calibri"/>
          <w:sz w:val="22"/>
          <w:szCs w:val="22"/>
        </w:rPr>
        <w:t>=</w:t>
      </w:r>
      <w:r w:rsidR="00B10CAA">
        <w:rPr>
          <w:rFonts w:eastAsia="Calibri"/>
          <w:sz w:val="22"/>
          <w:szCs w:val="22"/>
        </w:rPr>
        <w:t> </w:t>
      </w:r>
      <w:r w:rsidR="00004592" w:rsidRPr="004F572A">
        <w:rPr>
          <w:rFonts w:eastAsia="Calibri"/>
          <w:sz w:val="22"/>
          <w:szCs w:val="22"/>
        </w:rPr>
        <w:t>0,54 [95</w:t>
      </w:r>
      <w:r w:rsidR="00C62581" w:rsidRPr="004F572A">
        <w:rPr>
          <w:rFonts w:eastAsia="Calibri"/>
          <w:sz w:val="22"/>
          <w:szCs w:val="22"/>
        </w:rPr>
        <w:t> </w:t>
      </w:r>
      <w:r w:rsidR="00004592" w:rsidRPr="004F572A">
        <w:rPr>
          <w:rFonts w:eastAsia="Calibri"/>
          <w:sz w:val="22"/>
          <w:szCs w:val="22"/>
        </w:rPr>
        <w:t xml:space="preserve">% PI: 0,27; 1,08]) atveju. </w:t>
      </w:r>
      <w:r w:rsidR="00523FA8" w:rsidRPr="004F572A">
        <w:rPr>
          <w:rFonts w:eastAsia="Calibri"/>
          <w:sz w:val="22"/>
          <w:szCs w:val="22"/>
        </w:rPr>
        <w:t>Tyrimas Nr. 230 nebuvo pritaikytas statistiškai reikšmingam bendrojo išgyvenamumo skirtumui nustatyti. Atlikus tyrimo analizę, rizikos santykis buvo 0,93 (95</w:t>
      </w:r>
      <w:r w:rsidR="00B10CAA">
        <w:rPr>
          <w:rFonts w:eastAsia="Calibri"/>
          <w:sz w:val="22"/>
          <w:szCs w:val="22"/>
        </w:rPr>
        <w:t> </w:t>
      </w:r>
      <w:r w:rsidR="00523FA8" w:rsidRPr="004F572A">
        <w:rPr>
          <w:rFonts w:eastAsia="Calibri"/>
          <w:sz w:val="22"/>
          <w:szCs w:val="22"/>
        </w:rPr>
        <w:t xml:space="preserve">% PI: 0,53, 1,62) lyginant </w:t>
      </w:r>
      <w:proofErr w:type="spellStart"/>
      <w:r w:rsidR="00523FA8" w:rsidRPr="004F572A">
        <w:rPr>
          <w:rFonts w:eastAsia="Calibri"/>
          <w:sz w:val="22"/>
          <w:szCs w:val="22"/>
        </w:rPr>
        <w:t>lenvatinibą</w:t>
      </w:r>
      <w:proofErr w:type="spellEnd"/>
      <w:r w:rsidR="00523FA8" w:rsidRPr="004F572A">
        <w:rPr>
          <w:rFonts w:eastAsia="Calibri"/>
          <w:sz w:val="22"/>
          <w:szCs w:val="22"/>
        </w:rPr>
        <w:t xml:space="preserve">, vartojamą kartu su </w:t>
      </w:r>
      <w:proofErr w:type="spellStart"/>
      <w:r w:rsidR="00523FA8" w:rsidRPr="004F572A">
        <w:rPr>
          <w:rFonts w:eastAsia="Calibri"/>
          <w:sz w:val="22"/>
          <w:szCs w:val="22"/>
        </w:rPr>
        <w:t>ifosfamidu</w:t>
      </w:r>
      <w:proofErr w:type="spellEnd"/>
      <w:r w:rsidR="00523FA8" w:rsidRPr="004F572A">
        <w:rPr>
          <w:rFonts w:eastAsia="Calibri"/>
          <w:sz w:val="22"/>
          <w:szCs w:val="22"/>
        </w:rPr>
        <w:t xml:space="preserve"> ir </w:t>
      </w:r>
      <w:proofErr w:type="spellStart"/>
      <w:r w:rsidR="00523FA8" w:rsidRPr="004F572A">
        <w:rPr>
          <w:rFonts w:eastAsia="Calibri"/>
          <w:sz w:val="22"/>
          <w:szCs w:val="22"/>
        </w:rPr>
        <w:t>etopozidu</w:t>
      </w:r>
      <w:proofErr w:type="spellEnd"/>
      <w:r w:rsidR="00523FA8" w:rsidRPr="004F572A">
        <w:rPr>
          <w:rFonts w:eastAsia="Calibri"/>
          <w:sz w:val="22"/>
          <w:szCs w:val="22"/>
        </w:rPr>
        <w:t xml:space="preserve">, su </w:t>
      </w:r>
      <w:proofErr w:type="spellStart"/>
      <w:r w:rsidR="00523FA8" w:rsidRPr="004F572A">
        <w:rPr>
          <w:rFonts w:eastAsia="Calibri"/>
          <w:sz w:val="22"/>
          <w:szCs w:val="22"/>
        </w:rPr>
        <w:t>ifosfamidu</w:t>
      </w:r>
      <w:proofErr w:type="spellEnd"/>
      <w:r w:rsidR="00523FA8" w:rsidRPr="004F572A">
        <w:rPr>
          <w:rFonts w:eastAsia="Calibri"/>
          <w:sz w:val="22"/>
          <w:szCs w:val="22"/>
        </w:rPr>
        <w:t xml:space="preserve"> ir </w:t>
      </w:r>
      <w:proofErr w:type="spellStart"/>
      <w:r w:rsidR="00523FA8" w:rsidRPr="004F572A">
        <w:rPr>
          <w:rFonts w:eastAsia="Calibri"/>
          <w:sz w:val="22"/>
          <w:szCs w:val="22"/>
        </w:rPr>
        <w:t>etopozidu</w:t>
      </w:r>
      <w:proofErr w:type="spellEnd"/>
      <w:r w:rsidR="00523FA8" w:rsidRPr="004F572A">
        <w:rPr>
          <w:rFonts w:eastAsia="Calibri"/>
          <w:sz w:val="22"/>
          <w:szCs w:val="22"/>
        </w:rPr>
        <w:t>, bendrojo išgyvenamumo mediana buvo atitinkamai 12,4</w:t>
      </w:r>
      <w:r w:rsidR="00B10CAA">
        <w:rPr>
          <w:rFonts w:eastAsia="Calibri"/>
          <w:sz w:val="22"/>
          <w:szCs w:val="22"/>
        </w:rPr>
        <w:t> </w:t>
      </w:r>
      <w:r w:rsidR="00523FA8" w:rsidRPr="004F572A">
        <w:rPr>
          <w:rFonts w:eastAsia="Calibri"/>
          <w:sz w:val="22"/>
          <w:szCs w:val="22"/>
        </w:rPr>
        <w:t>mėn. (95</w:t>
      </w:r>
      <w:r w:rsidR="00B10CAA">
        <w:rPr>
          <w:rFonts w:eastAsia="Calibri"/>
          <w:sz w:val="22"/>
          <w:szCs w:val="22"/>
        </w:rPr>
        <w:t> </w:t>
      </w:r>
      <w:r w:rsidR="00523FA8" w:rsidRPr="004F572A">
        <w:rPr>
          <w:rFonts w:eastAsia="Calibri"/>
          <w:sz w:val="22"/>
          <w:szCs w:val="22"/>
        </w:rPr>
        <w:t>% PI 10,4, 19,8) ir 17,2</w:t>
      </w:r>
      <w:r w:rsidR="00B10CAA">
        <w:rPr>
          <w:rFonts w:eastAsia="Calibri"/>
          <w:sz w:val="22"/>
          <w:szCs w:val="22"/>
        </w:rPr>
        <w:t> </w:t>
      </w:r>
      <w:r w:rsidR="00523FA8" w:rsidRPr="004F572A">
        <w:rPr>
          <w:rFonts w:eastAsia="Calibri"/>
          <w:sz w:val="22"/>
          <w:szCs w:val="22"/>
        </w:rPr>
        <w:t>mėn. (95</w:t>
      </w:r>
      <w:r w:rsidR="00B10CAA">
        <w:rPr>
          <w:rFonts w:eastAsia="Calibri"/>
          <w:sz w:val="22"/>
          <w:szCs w:val="22"/>
        </w:rPr>
        <w:t> </w:t>
      </w:r>
      <w:r w:rsidR="00523FA8" w:rsidRPr="004F572A">
        <w:rPr>
          <w:rFonts w:eastAsia="Calibri"/>
          <w:sz w:val="22"/>
          <w:szCs w:val="22"/>
        </w:rPr>
        <w:t>% PI 11,1, 22,3), o stebėjimo laikotarpio mediana buvo atitinkamai 24,1</w:t>
      </w:r>
      <w:r w:rsidR="00B10CAA">
        <w:rPr>
          <w:rFonts w:eastAsia="Calibri"/>
          <w:sz w:val="22"/>
          <w:szCs w:val="22"/>
        </w:rPr>
        <w:t> </w:t>
      </w:r>
      <w:r w:rsidR="00523FA8" w:rsidRPr="004F572A">
        <w:rPr>
          <w:rFonts w:eastAsia="Calibri"/>
          <w:sz w:val="22"/>
          <w:szCs w:val="22"/>
        </w:rPr>
        <w:t>mėn. ir 29,5</w:t>
      </w:r>
      <w:r w:rsidR="00B10CAA">
        <w:rPr>
          <w:rFonts w:eastAsia="Calibri"/>
          <w:sz w:val="22"/>
          <w:szCs w:val="22"/>
        </w:rPr>
        <w:t> </w:t>
      </w:r>
      <w:r w:rsidR="00523FA8" w:rsidRPr="004F572A">
        <w:rPr>
          <w:rFonts w:eastAsia="Calibri"/>
          <w:sz w:val="22"/>
          <w:szCs w:val="22"/>
        </w:rPr>
        <w:t>mėn.</w:t>
      </w:r>
      <w:r w:rsidR="00523FA8" w:rsidRPr="004F572A">
        <w:rPr>
          <w:rFonts w:eastAsia="Calibri"/>
          <w:sz w:val="22"/>
          <w:szCs w:val="22"/>
        </w:rPr>
        <w:cr/>
      </w:r>
    </w:p>
    <w:p w14:paraId="0854CA58" w14:textId="604259F8" w:rsidR="00004592" w:rsidRPr="004F572A" w:rsidRDefault="00E35994" w:rsidP="00004592">
      <w:pPr>
        <w:widowControl w:val="0"/>
        <w:tabs>
          <w:tab w:val="clear" w:pos="567"/>
        </w:tabs>
        <w:rPr>
          <w:rFonts w:eastAsia="Calibri"/>
          <w:sz w:val="22"/>
          <w:szCs w:val="22"/>
        </w:rPr>
      </w:pPr>
      <w:r>
        <w:rPr>
          <w:rFonts w:eastAsia="Calibri"/>
          <w:sz w:val="22"/>
          <w:szCs w:val="22"/>
        </w:rPr>
        <w:t xml:space="preserve">Tyrimas Nr. </w:t>
      </w:r>
      <w:r w:rsidR="003C3A6B" w:rsidRPr="004F572A">
        <w:rPr>
          <w:rFonts w:eastAsia="Calibri"/>
          <w:sz w:val="22"/>
          <w:szCs w:val="22"/>
        </w:rPr>
        <w:t xml:space="preserve">231 </w:t>
      </w:r>
      <w:r w:rsidR="00004592" w:rsidRPr="004F572A">
        <w:rPr>
          <w:rFonts w:eastAsia="Calibri"/>
          <w:sz w:val="22"/>
          <w:szCs w:val="22"/>
        </w:rPr>
        <w:t xml:space="preserve">yra </w:t>
      </w:r>
      <w:proofErr w:type="spellStart"/>
      <w:r w:rsidR="00004592" w:rsidRPr="004F572A">
        <w:rPr>
          <w:rFonts w:eastAsia="Calibri"/>
          <w:sz w:val="22"/>
          <w:szCs w:val="22"/>
        </w:rPr>
        <w:t>daugiacentris</w:t>
      </w:r>
      <w:proofErr w:type="spellEnd"/>
      <w:r w:rsidR="00004592" w:rsidRPr="004F572A">
        <w:rPr>
          <w:rFonts w:eastAsia="Calibri"/>
          <w:sz w:val="22"/>
          <w:szCs w:val="22"/>
        </w:rPr>
        <w:t>, atvirasis, 2</w:t>
      </w:r>
      <w:r w:rsidR="00B10CAA">
        <w:rPr>
          <w:rFonts w:eastAsia="Calibri"/>
          <w:sz w:val="22"/>
          <w:szCs w:val="22"/>
        </w:rPr>
        <w:t> </w:t>
      </w:r>
      <w:r w:rsidR="00004592" w:rsidRPr="004F572A">
        <w:rPr>
          <w:rFonts w:eastAsia="Calibri"/>
          <w:sz w:val="22"/>
          <w:szCs w:val="22"/>
        </w:rPr>
        <w:t xml:space="preserve">fazės </w:t>
      </w:r>
      <w:proofErr w:type="spellStart"/>
      <w:r w:rsidR="00004592" w:rsidRPr="004F572A">
        <w:rPr>
          <w:rFonts w:eastAsia="Calibri"/>
          <w:sz w:val="22"/>
          <w:szCs w:val="22"/>
        </w:rPr>
        <w:t>kauptinis</w:t>
      </w:r>
      <w:proofErr w:type="spellEnd"/>
      <w:r w:rsidR="00004592" w:rsidRPr="004F572A">
        <w:rPr>
          <w:rFonts w:eastAsia="Calibri"/>
          <w:sz w:val="22"/>
          <w:szCs w:val="22"/>
        </w:rPr>
        <w:t xml:space="preserve"> tyrimas, kuriuo siekiama įvertinti </w:t>
      </w:r>
      <w:proofErr w:type="spellStart"/>
      <w:r w:rsidR="00004592" w:rsidRPr="004F572A">
        <w:rPr>
          <w:rFonts w:eastAsia="Calibri"/>
          <w:sz w:val="22"/>
          <w:szCs w:val="22"/>
        </w:rPr>
        <w:t>lenvatinibo</w:t>
      </w:r>
      <w:proofErr w:type="spellEnd"/>
      <w:r w:rsidR="00004592" w:rsidRPr="004F572A">
        <w:rPr>
          <w:rFonts w:eastAsia="Calibri"/>
          <w:sz w:val="22"/>
          <w:szCs w:val="22"/>
        </w:rPr>
        <w:t xml:space="preserve"> </w:t>
      </w:r>
      <w:proofErr w:type="spellStart"/>
      <w:r w:rsidR="00004592" w:rsidRPr="004F572A">
        <w:rPr>
          <w:rFonts w:eastAsia="Calibri"/>
          <w:sz w:val="22"/>
          <w:szCs w:val="22"/>
        </w:rPr>
        <w:t>priešnavikinį</w:t>
      </w:r>
      <w:proofErr w:type="spellEnd"/>
      <w:r w:rsidR="00004592" w:rsidRPr="004F572A">
        <w:rPr>
          <w:rFonts w:eastAsia="Calibri"/>
          <w:sz w:val="22"/>
          <w:szCs w:val="22"/>
        </w:rPr>
        <w:t xml:space="preserve"> aktyvumą ir saugumą vaikams, paaugliams ir jauniems suaugusiesiems (nuo 2 iki ≤</w:t>
      </w:r>
      <w:r w:rsidR="00C04FDC" w:rsidRPr="004F572A">
        <w:rPr>
          <w:rFonts w:eastAsia="Calibri"/>
          <w:sz w:val="22"/>
          <w:szCs w:val="22"/>
        </w:rPr>
        <w:t> </w:t>
      </w:r>
      <w:r w:rsidR="00004592" w:rsidRPr="004F572A">
        <w:rPr>
          <w:rFonts w:eastAsia="Calibri"/>
          <w:sz w:val="22"/>
          <w:szCs w:val="22"/>
        </w:rPr>
        <w:t>21</w:t>
      </w:r>
      <w:r w:rsidR="00B10CAA">
        <w:rPr>
          <w:rFonts w:eastAsia="Calibri"/>
          <w:sz w:val="22"/>
          <w:szCs w:val="22"/>
        </w:rPr>
        <w:t> </w:t>
      </w:r>
      <w:r w:rsidR="00004592" w:rsidRPr="004F572A">
        <w:rPr>
          <w:rFonts w:eastAsia="Calibri"/>
          <w:sz w:val="22"/>
          <w:szCs w:val="22"/>
        </w:rPr>
        <w:t xml:space="preserve">metų), kuriems buvo </w:t>
      </w:r>
      <w:r>
        <w:rPr>
          <w:rFonts w:eastAsia="Calibri"/>
          <w:sz w:val="22"/>
          <w:szCs w:val="22"/>
        </w:rPr>
        <w:t xml:space="preserve">nustatyti </w:t>
      </w:r>
      <w:proofErr w:type="spellStart"/>
      <w:r w:rsidR="00C04FDC" w:rsidRPr="004F572A">
        <w:rPr>
          <w:rFonts w:eastAsia="Calibri"/>
          <w:sz w:val="22"/>
          <w:szCs w:val="22"/>
        </w:rPr>
        <w:t>recidyv</w:t>
      </w:r>
      <w:r>
        <w:rPr>
          <w:rFonts w:eastAsia="Calibri"/>
          <w:sz w:val="22"/>
          <w:szCs w:val="22"/>
        </w:rPr>
        <w:t>uojantys</w:t>
      </w:r>
      <w:proofErr w:type="spellEnd"/>
      <w:r w:rsidR="00C04FDC" w:rsidRPr="004F572A">
        <w:rPr>
          <w:rFonts w:eastAsia="Calibri"/>
          <w:sz w:val="22"/>
          <w:szCs w:val="22"/>
        </w:rPr>
        <w:t xml:space="preserve"> arba </w:t>
      </w:r>
      <w:proofErr w:type="spellStart"/>
      <w:r>
        <w:rPr>
          <w:rFonts w:eastAsia="Calibri"/>
          <w:sz w:val="22"/>
          <w:szCs w:val="22"/>
        </w:rPr>
        <w:t>refrakteriniai</w:t>
      </w:r>
      <w:proofErr w:type="spellEnd"/>
      <w:r w:rsidR="00C04FDC" w:rsidRPr="004F572A">
        <w:rPr>
          <w:rFonts w:eastAsia="Calibri"/>
          <w:sz w:val="22"/>
          <w:szCs w:val="22"/>
        </w:rPr>
        <w:t xml:space="preserve"> </w:t>
      </w:r>
      <w:proofErr w:type="spellStart"/>
      <w:r w:rsidR="00C04FDC" w:rsidRPr="004F572A">
        <w:rPr>
          <w:rFonts w:eastAsia="Calibri"/>
          <w:sz w:val="22"/>
          <w:szCs w:val="22"/>
        </w:rPr>
        <w:t>solidini</w:t>
      </w:r>
      <w:r>
        <w:rPr>
          <w:rFonts w:eastAsia="Calibri"/>
          <w:sz w:val="22"/>
          <w:szCs w:val="22"/>
        </w:rPr>
        <w:t>ai</w:t>
      </w:r>
      <w:proofErr w:type="spellEnd"/>
      <w:r w:rsidR="00C04FDC" w:rsidRPr="004F572A">
        <w:rPr>
          <w:rFonts w:eastAsia="Calibri"/>
          <w:sz w:val="22"/>
          <w:szCs w:val="22"/>
        </w:rPr>
        <w:t xml:space="preserve"> navik</w:t>
      </w:r>
      <w:r>
        <w:rPr>
          <w:rFonts w:eastAsia="Calibri"/>
          <w:sz w:val="22"/>
          <w:szCs w:val="22"/>
        </w:rPr>
        <w:t>ai</w:t>
      </w:r>
      <w:r w:rsidR="00C04FDC" w:rsidRPr="004F572A">
        <w:rPr>
          <w:rFonts w:eastAsia="Calibri"/>
          <w:sz w:val="22"/>
          <w:szCs w:val="22"/>
        </w:rPr>
        <w:t>,</w:t>
      </w:r>
      <w:r w:rsidR="00004592" w:rsidRPr="004F572A">
        <w:rPr>
          <w:rFonts w:eastAsia="Calibri"/>
          <w:sz w:val="22"/>
          <w:szCs w:val="22"/>
        </w:rPr>
        <w:t xml:space="preserve"> įskaitant EWS, RMS ir ALG. Į tyrimą iš viso buvo įtraukti ir </w:t>
      </w:r>
      <w:proofErr w:type="spellStart"/>
      <w:r w:rsidR="00004592" w:rsidRPr="004F572A">
        <w:rPr>
          <w:rFonts w:eastAsia="Calibri"/>
          <w:sz w:val="22"/>
          <w:szCs w:val="22"/>
        </w:rPr>
        <w:t>lenvatinibo</w:t>
      </w:r>
      <w:proofErr w:type="spellEnd"/>
      <w:r w:rsidR="00004592" w:rsidRPr="004F572A">
        <w:rPr>
          <w:rFonts w:eastAsia="Calibri"/>
          <w:sz w:val="22"/>
          <w:szCs w:val="22"/>
        </w:rPr>
        <w:t xml:space="preserve"> RD (14</w:t>
      </w:r>
      <w:r w:rsidR="00C04FDC" w:rsidRPr="004F572A">
        <w:rPr>
          <w:rFonts w:eastAsia="Calibri"/>
          <w:sz w:val="22"/>
          <w:szCs w:val="22"/>
        </w:rPr>
        <w:t> </w:t>
      </w:r>
      <w:r w:rsidR="00004592" w:rsidRPr="004F572A">
        <w:rPr>
          <w:rFonts w:eastAsia="Calibri"/>
          <w:sz w:val="22"/>
          <w:szCs w:val="22"/>
        </w:rPr>
        <w:t>mg/m</w:t>
      </w:r>
      <w:r w:rsidR="00004592" w:rsidRPr="004F572A">
        <w:rPr>
          <w:rFonts w:eastAsia="Calibri"/>
          <w:sz w:val="22"/>
          <w:szCs w:val="22"/>
          <w:vertAlign w:val="superscript"/>
        </w:rPr>
        <w:t>2</w:t>
      </w:r>
      <w:r w:rsidR="00004592" w:rsidRPr="004F572A">
        <w:rPr>
          <w:rFonts w:eastAsia="Calibri"/>
          <w:sz w:val="22"/>
          <w:szCs w:val="22"/>
        </w:rPr>
        <w:t>) gydyti 127</w:t>
      </w:r>
      <w:r w:rsidR="00B10CAA">
        <w:rPr>
          <w:rFonts w:eastAsia="Calibri"/>
          <w:sz w:val="22"/>
          <w:szCs w:val="22"/>
        </w:rPr>
        <w:t> </w:t>
      </w:r>
      <w:r w:rsidR="00C04FDC" w:rsidRPr="004F572A">
        <w:rPr>
          <w:rFonts w:eastAsia="Calibri"/>
          <w:sz w:val="22"/>
          <w:szCs w:val="22"/>
        </w:rPr>
        <w:t>pacient</w:t>
      </w:r>
      <w:r>
        <w:rPr>
          <w:rFonts w:eastAsia="Calibri"/>
          <w:sz w:val="22"/>
          <w:szCs w:val="22"/>
        </w:rPr>
        <w:t>ai šioms grupėms</w:t>
      </w:r>
      <w:r w:rsidR="00C04FDC" w:rsidRPr="004F572A">
        <w:rPr>
          <w:rFonts w:eastAsia="Calibri"/>
          <w:sz w:val="22"/>
          <w:szCs w:val="22"/>
        </w:rPr>
        <w:t>:</w:t>
      </w:r>
      <w:r w:rsidR="00004592" w:rsidRPr="004F572A">
        <w:rPr>
          <w:rFonts w:eastAsia="Calibri"/>
          <w:sz w:val="22"/>
          <w:szCs w:val="22"/>
        </w:rPr>
        <w:t xml:space="preserve"> EWS (n</w:t>
      </w:r>
      <w:r w:rsidR="00B10CAA">
        <w:rPr>
          <w:rFonts w:eastAsia="Calibri"/>
          <w:sz w:val="22"/>
          <w:szCs w:val="22"/>
        </w:rPr>
        <w:t> </w:t>
      </w:r>
      <w:r w:rsidR="00004592" w:rsidRPr="004F572A">
        <w:rPr>
          <w:rFonts w:eastAsia="Calibri"/>
          <w:sz w:val="22"/>
          <w:szCs w:val="22"/>
        </w:rPr>
        <w:t>=</w:t>
      </w:r>
      <w:r w:rsidR="00B10CAA">
        <w:rPr>
          <w:rFonts w:eastAsia="Calibri"/>
          <w:sz w:val="22"/>
          <w:szCs w:val="22"/>
        </w:rPr>
        <w:t> </w:t>
      </w:r>
      <w:r w:rsidR="00004592" w:rsidRPr="004F572A">
        <w:rPr>
          <w:rFonts w:eastAsia="Calibri"/>
          <w:sz w:val="22"/>
          <w:szCs w:val="22"/>
        </w:rPr>
        <w:t>9), RMS (n</w:t>
      </w:r>
      <w:r w:rsidR="00B10CAA">
        <w:rPr>
          <w:rFonts w:eastAsia="Calibri"/>
          <w:sz w:val="22"/>
          <w:szCs w:val="22"/>
        </w:rPr>
        <w:t> </w:t>
      </w:r>
      <w:r w:rsidR="00004592" w:rsidRPr="004F572A">
        <w:rPr>
          <w:rFonts w:eastAsia="Calibri"/>
          <w:sz w:val="22"/>
          <w:szCs w:val="22"/>
        </w:rPr>
        <w:t>=</w:t>
      </w:r>
      <w:r w:rsidR="00B10CAA">
        <w:rPr>
          <w:rFonts w:eastAsia="Calibri"/>
          <w:sz w:val="22"/>
          <w:szCs w:val="22"/>
        </w:rPr>
        <w:t> </w:t>
      </w:r>
      <w:r w:rsidR="00004592" w:rsidRPr="004F572A">
        <w:rPr>
          <w:rFonts w:eastAsia="Calibri"/>
          <w:sz w:val="22"/>
          <w:szCs w:val="22"/>
        </w:rPr>
        <w:t>17), ALG (n</w:t>
      </w:r>
      <w:r w:rsidR="00B10CAA">
        <w:rPr>
          <w:rFonts w:eastAsia="Calibri"/>
          <w:sz w:val="22"/>
          <w:szCs w:val="22"/>
        </w:rPr>
        <w:t> </w:t>
      </w:r>
      <w:r w:rsidR="00004592" w:rsidRPr="004F572A">
        <w:rPr>
          <w:rFonts w:eastAsia="Calibri"/>
          <w:sz w:val="22"/>
          <w:szCs w:val="22"/>
        </w:rPr>
        <w:t>=</w:t>
      </w:r>
      <w:r w:rsidR="00B10CAA">
        <w:rPr>
          <w:rFonts w:eastAsia="Calibri"/>
          <w:sz w:val="22"/>
          <w:szCs w:val="22"/>
        </w:rPr>
        <w:t> </w:t>
      </w:r>
      <w:r w:rsidR="00004592" w:rsidRPr="004F572A">
        <w:rPr>
          <w:rFonts w:eastAsia="Calibri"/>
          <w:sz w:val="22"/>
          <w:szCs w:val="22"/>
        </w:rPr>
        <w:t xml:space="preserve">8), kiti </w:t>
      </w:r>
      <w:proofErr w:type="spellStart"/>
      <w:r w:rsidR="00004592" w:rsidRPr="004F572A">
        <w:rPr>
          <w:rFonts w:eastAsia="Calibri"/>
          <w:sz w:val="22"/>
          <w:szCs w:val="22"/>
        </w:rPr>
        <w:t>solidiniai</w:t>
      </w:r>
      <w:proofErr w:type="spellEnd"/>
      <w:r w:rsidR="00004592" w:rsidRPr="004F572A">
        <w:rPr>
          <w:rFonts w:eastAsia="Calibri"/>
          <w:sz w:val="22"/>
          <w:szCs w:val="22"/>
        </w:rPr>
        <w:t xml:space="preserve"> navikai (po n</w:t>
      </w:r>
      <w:r w:rsidR="00B10CAA">
        <w:rPr>
          <w:rFonts w:eastAsia="Calibri"/>
          <w:sz w:val="22"/>
          <w:szCs w:val="22"/>
        </w:rPr>
        <w:t> </w:t>
      </w:r>
      <w:r w:rsidR="00004592" w:rsidRPr="004F572A">
        <w:rPr>
          <w:rFonts w:eastAsia="Calibri"/>
          <w:sz w:val="22"/>
          <w:szCs w:val="22"/>
        </w:rPr>
        <w:t>=</w:t>
      </w:r>
      <w:r w:rsidR="00B10CAA">
        <w:rPr>
          <w:rFonts w:eastAsia="Calibri"/>
          <w:sz w:val="22"/>
          <w:szCs w:val="22"/>
        </w:rPr>
        <w:t> </w:t>
      </w:r>
      <w:r w:rsidR="00004592" w:rsidRPr="004F572A">
        <w:rPr>
          <w:rFonts w:eastAsia="Calibri"/>
          <w:sz w:val="22"/>
          <w:szCs w:val="22"/>
        </w:rPr>
        <w:t xml:space="preserve">9 difuzinės smegenų tilto </w:t>
      </w:r>
      <w:proofErr w:type="spellStart"/>
      <w:r w:rsidR="00004592" w:rsidRPr="004F572A">
        <w:rPr>
          <w:rFonts w:eastAsia="Calibri"/>
          <w:sz w:val="22"/>
          <w:szCs w:val="22"/>
        </w:rPr>
        <w:t>gliomos</w:t>
      </w:r>
      <w:proofErr w:type="spellEnd"/>
      <w:r w:rsidR="00004592" w:rsidRPr="004F572A">
        <w:rPr>
          <w:rFonts w:eastAsia="Calibri"/>
          <w:sz w:val="22"/>
          <w:szCs w:val="22"/>
        </w:rPr>
        <w:t xml:space="preserve">, </w:t>
      </w:r>
      <w:proofErr w:type="spellStart"/>
      <w:r w:rsidR="00004592" w:rsidRPr="004F572A">
        <w:rPr>
          <w:rFonts w:eastAsia="Calibri"/>
          <w:sz w:val="22"/>
          <w:szCs w:val="22"/>
        </w:rPr>
        <w:t>meduloblastomos</w:t>
      </w:r>
      <w:proofErr w:type="spellEnd"/>
      <w:r w:rsidR="00004592" w:rsidRPr="004F572A">
        <w:rPr>
          <w:rFonts w:eastAsia="Calibri"/>
          <w:sz w:val="22"/>
          <w:szCs w:val="22"/>
        </w:rPr>
        <w:t xml:space="preserve"> ir </w:t>
      </w:r>
      <w:proofErr w:type="spellStart"/>
      <w:r w:rsidR="00004592" w:rsidRPr="004F572A">
        <w:rPr>
          <w:rFonts w:eastAsia="Calibri"/>
          <w:sz w:val="22"/>
          <w:szCs w:val="22"/>
        </w:rPr>
        <w:t>ependimomos</w:t>
      </w:r>
      <w:proofErr w:type="spellEnd"/>
      <w:r w:rsidR="00004592" w:rsidRPr="004F572A">
        <w:rPr>
          <w:rFonts w:eastAsia="Calibri"/>
          <w:sz w:val="22"/>
          <w:szCs w:val="22"/>
        </w:rPr>
        <w:t xml:space="preserve">; visi kiti </w:t>
      </w:r>
      <w:proofErr w:type="spellStart"/>
      <w:r w:rsidR="00004592" w:rsidRPr="004F572A">
        <w:rPr>
          <w:rFonts w:eastAsia="Calibri"/>
          <w:sz w:val="22"/>
          <w:szCs w:val="22"/>
        </w:rPr>
        <w:t>solidiniai</w:t>
      </w:r>
      <w:proofErr w:type="spellEnd"/>
      <w:r w:rsidR="00004592" w:rsidRPr="004F572A">
        <w:rPr>
          <w:rFonts w:eastAsia="Calibri"/>
          <w:sz w:val="22"/>
          <w:szCs w:val="22"/>
        </w:rPr>
        <w:t xml:space="preserve"> navikai n</w:t>
      </w:r>
      <w:r w:rsidR="00B10CAA">
        <w:rPr>
          <w:rFonts w:eastAsia="Calibri"/>
          <w:sz w:val="22"/>
          <w:szCs w:val="22"/>
        </w:rPr>
        <w:t> </w:t>
      </w:r>
      <w:r w:rsidR="00004592" w:rsidRPr="004F572A">
        <w:rPr>
          <w:rFonts w:eastAsia="Calibri"/>
          <w:sz w:val="22"/>
          <w:szCs w:val="22"/>
        </w:rPr>
        <w:t>=</w:t>
      </w:r>
      <w:r w:rsidR="00B10CAA">
        <w:rPr>
          <w:rFonts w:eastAsia="Calibri"/>
          <w:sz w:val="22"/>
          <w:szCs w:val="22"/>
        </w:rPr>
        <w:t> </w:t>
      </w:r>
      <w:r w:rsidR="00004592" w:rsidRPr="004F572A">
        <w:rPr>
          <w:rFonts w:eastAsia="Calibri"/>
          <w:sz w:val="22"/>
          <w:szCs w:val="22"/>
        </w:rPr>
        <w:t>66). Pagrindin</w:t>
      </w:r>
      <w:r>
        <w:rPr>
          <w:rFonts w:eastAsia="Calibri"/>
          <w:sz w:val="22"/>
          <w:szCs w:val="22"/>
        </w:rPr>
        <w:t>is</w:t>
      </w:r>
      <w:r w:rsidR="00C04FDC" w:rsidRPr="004F572A">
        <w:rPr>
          <w:rFonts w:eastAsia="Calibri"/>
          <w:sz w:val="22"/>
          <w:szCs w:val="22"/>
        </w:rPr>
        <w:t xml:space="preserve"> veiksmingumo </w:t>
      </w:r>
      <w:r>
        <w:rPr>
          <w:rFonts w:eastAsia="Calibri"/>
          <w:sz w:val="22"/>
          <w:szCs w:val="22"/>
        </w:rPr>
        <w:t>kriterijus</w:t>
      </w:r>
      <w:r w:rsidR="00004592" w:rsidRPr="004F572A">
        <w:rPr>
          <w:rFonts w:eastAsia="Calibri"/>
          <w:sz w:val="22"/>
          <w:szCs w:val="22"/>
        </w:rPr>
        <w:t xml:space="preserve"> buvo OAD 16</w:t>
      </w:r>
      <w:r w:rsidR="00B10CAA">
        <w:rPr>
          <w:rFonts w:eastAsia="Calibri"/>
          <w:sz w:val="22"/>
          <w:szCs w:val="22"/>
        </w:rPr>
        <w:t> </w:t>
      </w:r>
      <w:r w:rsidR="00004592" w:rsidRPr="004F572A">
        <w:rPr>
          <w:rFonts w:eastAsia="Calibri"/>
          <w:sz w:val="22"/>
          <w:szCs w:val="22"/>
        </w:rPr>
        <w:t>savaitę vertinamiems pacientams, remiantis tyrėjo vertinimu pagal RECIST 1.1 arba RANO (</w:t>
      </w:r>
      <w:r w:rsidR="00C04FDC" w:rsidRPr="004F572A">
        <w:rPr>
          <w:rFonts w:eastAsia="Calibri"/>
          <w:sz w:val="22"/>
          <w:szCs w:val="22"/>
        </w:rPr>
        <w:t>pacientams</w:t>
      </w:r>
      <w:r>
        <w:rPr>
          <w:rFonts w:eastAsia="Calibri"/>
          <w:sz w:val="22"/>
          <w:szCs w:val="22"/>
        </w:rPr>
        <w:t>, sergantiems ALG</w:t>
      </w:r>
      <w:r w:rsidR="00004592" w:rsidRPr="004F572A">
        <w:rPr>
          <w:rFonts w:eastAsia="Calibri"/>
          <w:sz w:val="22"/>
          <w:szCs w:val="22"/>
        </w:rPr>
        <w:t xml:space="preserve">). ALG, difuzine smegenų tilto </w:t>
      </w:r>
      <w:proofErr w:type="spellStart"/>
      <w:r w:rsidR="00004592" w:rsidRPr="004F572A">
        <w:rPr>
          <w:rFonts w:eastAsia="Calibri"/>
          <w:sz w:val="22"/>
          <w:szCs w:val="22"/>
        </w:rPr>
        <w:t>glioma</w:t>
      </w:r>
      <w:proofErr w:type="spellEnd"/>
      <w:r w:rsidR="00004592" w:rsidRPr="004F572A">
        <w:rPr>
          <w:rFonts w:eastAsia="Calibri"/>
          <w:sz w:val="22"/>
          <w:szCs w:val="22"/>
        </w:rPr>
        <w:t xml:space="preserve">, </w:t>
      </w:r>
      <w:proofErr w:type="spellStart"/>
      <w:r w:rsidR="00004592" w:rsidRPr="004F572A">
        <w:rPr>
          <w:rFonts w:eastAsia="Calibri"/>
          <w:sz w:val="22"/>
          <w:szCs w:val="22"/>
        </w:rPr>
        <w:t>meduloblastoma</w:t>
      </w:r>
      <w:proofErr w:type="spellEnd"/>
      <w:r w:rsidR="00004592" w:rsidRPr="004F572A">
        <w:rPr>
          <w:rFonts w:eastAsia="Calibri"/>
          <w:sz w:val="22"/>
          <w:szCs w:val="22"/>
        </w:rPr>
        <w:t xml:space="preserve"> ir </w:t>
      </w:r>
      <w:proofErr w:type="spellStart"/>
      <w:r w:rsidR="00004592" w:rsidRPr="004F572A">
        <w:rPr>
          <w:rFonts w:eastAsia="Calibri"/>
          <w:sz w:val="22"/>
          <w:szCs w:val="22"/>
        </w:rPr>
        <w:t>ependimoma</w:t>
      </w:r>
      <w:proofErr w:type="spellEnd"/>
      <w:r w:rsidR="00004592" w:rsidRPr="004F572A">
        <w:rPr>
          <w:rFonts w:eastAsia="Calibri"/>
          <w:sz w:val="22"/>
          <w:szCs w:val="22"/>
        </w:rPr>
        <w:t xml:space="preserve"> sergančių pacientų grupėje objektyvaus atsako </w:t>
      </w:r>
      <w:r>
        <w:rPr>
          <w:rFonts w:eastAsia="Calibri"/>
          <w:sz w:val="22"/>
          <w:szCs w:val="22"/>
        </w:rPr>
        <w:t>nefiksuota</w:t>
      </w:r>
      <w:r w:rsidR="00004592" w:rsidRPr="004F572A">
        <w:rPr>
          <w:rFonts w:eastAsia="Calibri"/>
          <w:sz w:val="22"/>
          <w:szCs w:val="22"/>
        </w:rPr>
        <w:t xml:space="preserve">. </w:t>
      </w:r>
      <w:r>
        <w:rPr>
          <w:rFonts w:eastAsia="Calibri"/>
          <w:sz w:val="22"/>
          <w:szCs w:val="22"/>
        </w:rPr>
        <w:t xml:space="preserve">Du </w:t>
      </w:r>
      <w:r w:rsidR="00004592" w:rsidRPr="004F572A">
        <w:rPr>
          <w:rFonts w:eastAsia="Calibri"/>
          <w:sz w:val="22"/>
          <w:szCs w:val="22"/>
        </w:rPr>
        <w:t xml:space="preserve">DA atvejai </w:t>
      </w:r>
      <w:r>
        <w:rPr>
          <w:rFonts w:eastAsia="Calibri"/>
          <w:sz w:val="22"/>
          <w:szCs w:val="22"/>
        </w:rPr>
        <w:t xml:space="preserve">fiksuoti </w:t>
      </w:r>
      <w:r w:rsidR="00004592" w:rsidRPr="004F572A">
        <w:rPr>
          <w:rFonts w:eastAsia="Calibri"/>
          <w:sz w:val="22"/>
          <w:szCs w:val="22"/>
        </w:rPr>
        <w:t xml:space="preserve">EWS ir RMS grupėse </w:t>
      </w:r>
      <w:r>
        <w:rPr>
          <w:rFonts w:eastAsia="Calibri"/>
          <w:sz w:val="22"/>
          <w:szCs w:val="22"/>
        </w:rPr>
        <w:t xml:space="preserve">vertinant OAD 16 savaitę, </w:t>
      </w:r>
      <w:r w:rsidR="00004592" w:rsidRPr="004F572A">
        <w:rPr>
          <w:rFonts w:eastAsia="Calibri"/>
          <w:sz w:val="22"/>
          <w:szCs w:val="22"/>
        </w:rPr>
        <w:t>atitinkamai – 22,2</w:t>
      </w:r>
      <w:r w:rsidR="00C04FDC" w:rsidRPr="004F572A">
        <w:rPr>
          <w:rFonts w:eastAsia="Calibri"/>
          <w:sz w:val="22"/>
          <w:szCs w:val="22"/>
        </w:rPr>
        <w:t> </w:t>
      </w:r>
      <w:r w:rsidR="00004592" w:rsidRPr="004F572A">
        <w:rPr>
          <w:rFonts w:eastAsia="Calibri"/>
          <w:sz w:val="22"/>
          <w:szCs w:val="22"/>
        </w:rPr>
        <w:t>% (95</w:t>
      </w:r>
      <w:r w:rsidR="00C04FDC" w:rsidRPr="004F572A">
        <w:rPr>
          <w:rFonts w:eastAsia="Calibri"/>
          <w:sz w:val="22"/>
          <w:szCs w:val="22"/>
        </w:rPr>
        <w:t> </w:t>
      </w:r>
      <w:r w:rsidR="00004592" w:rsidRPr="004F572A">
        <w:rPr>
          <w:rFonts w:eastAsia="Calibri"/>
          <w:sz w:val="22"/>
          <w:szCs w:val="22"/>
        </w:rPr>
        <w:t>% PI: 2,8, 60,0) ir 11,8</w:t>
      </w:r>
      <w:r w:rsidR="00C04FDC" w:rsidRPr="004F572A">
        <w:rPr>
          <w:rFonts w:eastAsia="Calibri"/>
          <w:sz w:val="22"/>
          <w:szCs w:val="22"/>
        </w:rPr>
        <w:t> </w:t>
      </w:r>
      <w:r w:rsidR="00004592" w:rsidRPr="004F572A">
        <w:rPr>
          <w:rFonts w:eastAsia="Calibri"/>
          <w:sz w:val="22"/>
          <w:szCs w:val="22"/>
        </w:rPr>
        <w:t>% (95</w:t>
      </w:r>
      <w:r w:rsidR="00C04FDC" w:rsidRPr="004F572A">
        <w:rPr>
          <w:rFonts w:eastAsia="Calibri"/>
          <w:sz w:val="22"/>
          <w:szCs w:val="22"/>
        </w:rPr>
        <w:t> </w:t>
      </w:r>
      <w:r w:rsidR="00004592" w:rsidRPr="004F572A">
        <w:rPr>
          <w:rFonts w:eastAsia="Calibri"/>
          <w:sz w:val="22"/>
          <w:szCs w:val="22"/>
        </w:rPr>
        <w:t xml:space="preserve">% PI: 1,5, 36,4). </w:t>
      </w:r>
      <w:r>
        <w:rPr>
          <w:rFonts w:eastAsia="Calibri"/>
          <w:sz w:val="22"/>
          <w:szCs w:val="22"/>
        </w:rPr>
        <w:t>P</w:t>
      </w:r>
      <w:r w:rsidR="00004592" w:rsidRPr="004F572A">
        <w:rPr>
          <w:rFonts w:eastAsia="Calibri"/>
          <w:sz w:val="22"/>
          <w:szCs w:val="22"/>
        </w:rPr>
        <w:t>enki DA atvejai (</w:t>
      </w:r>
      <w:proofErr w:type="spellStart"/>
      <w:r w:rsidR="00004592" w:rsidRPr="004F572A">
        <w:rPr>
          <w:rFonts w:eastAsia="Calibri"/>
          <w:sz w:val="22"/>
          <w:szCs w:val="22"/>
        </w:rPr>
        <w:t>sinovine</w:t>
      </w:r>
      <w:proofErr w:type="spellEnd"/>
      <w:r w:rsidR="00004592" w:rsidRPr="004F572A">
        <w:rPr>
          <w:rFonts w:eastAsia="Calibri"/>
          <w:sz w:val="22"/>
          <w:szCs w:val="22"/>
        </w:rPr>
        <w:t xml:space="preserve"> sarkoma [n</w:t>
      </w:r>
      <w:r w:rsidR="00B10CAA">
        <w:rPr>
          <w:rFonts w:eastAsia="Calibri"/>
          <w:sz w:val="22"/>
          <w:szCs w:val="22"/>
        </w:rPr>
        <w:t> </w:t>
      </w:r>
      <w:r w:rsidR="00004592" w:rsidRPr="004F572A">
        <w:rPr>
          <w:rFonts w:eastAsia="Calibri"/>
          <w:sz w:val="22"/>
          <w:szCs w:val="22"/>
        </w:rPr>
        <w:t>=</w:t>
      </w:r>
      <w:r w:rsidR="00B10CAA">
        <w:rPr>
          <w:rFonts w:eastAsia="Calibri"/>
          <w:sz w:val="22"/>
          <w:szCs w:val="22"/>
        </w:rPr>
        <w:t> </w:t>
      </w:r>
      <w:r w:rsidR="00004592" w:rsidRPr="004F572A">
        <w:rPr>
          <w:rFonts w:eastAsia="Calibri"/>
          <w:sz w:val="22"/>
          <w:szCs w:val="22"/>
        </w:rPr>
        <w:t xml:space="preserve">2], </w:t>
      </w:r>
      <w:proofErr w:type="spellStart"/>
      <w:r w:rsidR="00004592" w:rsidRPr="004F572A">
        <w:rPr>
          <w:rFonts w:eastAsia="Calibri"/>
          <w:sz w:val="22"/>
          <w:szCs w:val="22"/>
        </w:rPr>
        <w:t>Kapoši</w:t>
      </w:r>
      <w:proofErr w:type="spellEnd"/>
      <w:r w:rsidR="00004592" w:rsidRPr="004F572A">
        <w:rPr>
          <w:rFonts w:eastAsia="Calibri"/>
          <w:sz w:val="22"/>
          <w:szCs w:val="22"/>
        </w:rPr>
        <w:t xml:space="preserve"> sarkomos </w:t>
      </w:r>
      <w:proofErr w:type="spellStart"/>
      <w:r w:rsidR="00004592" w:rsidRPr="004F572A">
        <w:rPr>
          <w:rFonts w:eastAsia="Calibri"/>
          <w:sz w:val="22"/>
          <w:szCs w:val="22"/>
        </w:rPr>
        <w:t>hemangioendotelioma</w:t>
      </w:r>
      <w:proofErr w:type="spellEnd"/>
      <w:r w:rsidR="00004592" w:rsidRPr="004F572A">
        <w:rPr>
          <w:rFonts w:eastAsia="Calibri"/>
          <w:sz w:val="22"/>
          <w:szCs w:val="22"/>
        </w:rPr>
        <w:t xml:space="preserve"> [n</w:t>
      </w:r>
      <w:r w:rsidR="00B10CAA">
        <w:rPr>
          <w:rFonts w:eastAsia="Calibri"/>
          <w:sz w:val="22"/>
          <w:szCs w:val="22"/>
        </w:rPr>
        <w:t> </w:t>
      </w:r>
      <w:r w:rsidR="00004592" w:rsidRPr="004F572A">
        <w:rPr>
          <w:rFonts w:eastAsia="Calibri"/>
          <w:sz w:val="22"/>
          <w:szCs w:val="22"/>
        </w:rPr>
        <w:t>=</w:t>
      </w:r>
      <w:r w:rsidR="00B10CAA">
        <w:rPr>
          <w:rFonts w:eastAsia="Calibri"/>
          <w:sz w:val="22"/>
          <w:szCs w:val="22"/>
        </w:rPr>
        <w:t> </w:t>
      </w:r>
      <w:r w:rsidR="00004592" w:rsidRPr="004F572A">
        <w:rPr>
          <w:rFonts w:eastAsia="Calibri"/>
          <w:sz w:val="22"/>
          <w:szCs w:val="22"/>
        </w:rPr>
        <w:t xml:space="preserve">1], </w:t>
      </w:r>
      <w:proofErr w:type="spellStart"/>
      <w:r w:rsidR="00004592" w:rsidRPr="004F572A">
        <w:rPr>
          <w:rFonts w:eastAsia="Calibri"/>
          <w:sz w:val="22"/>
          <w:szCs w:val="22"/>
        </w:rPr>
        <w:t>Vilmso</w:t>
      </w:r>
      <w:proofErr w:type="spellEnd"/>
      <w:r w:rsidR="00004592" w:rsidRPr="004F572A">
        <w:rPr>
          <w:rFonts w:eastAsia="Calibri"/>
          <w:sz w:val="22"/>
          <w:szCs w:val="22"/>
        </w:rPr>
        <w:t xml:space="preserve"> </w:t>
      </w:r>
      <w:r w:rsidR="002474BC">
        <w:rPr>
          <w:rFonts w:eastAsia="Calibri"/>
          <w:sz w:val="22"/>
          <w:szCs w:val="22"/>
        </w:rPr>
        <w:t>[</w:t>
      </w:r>
      <w:proofErr w:type="spellStart"/>
      <w:r w:rsidR="00004592" w:rsidRPr="004F572A">
        <w:rPr>
          <w:rFonts w:eastAsia="Calibri"/>
          <w:i/>
          <w:iCs/>
          <w:sz w:val="22"/>
          <w:szCs w:val="22"/>
        </w:rPr>
        <w:t>Wilms</w:t>
      </w:r>
      <w:proofErr w:type="spellEnd"/>
      <w:r w:rsidR="002474BC">
        <w:rPr>
          <w:rFonts w:eastAsia="Calibri"/>
          <w:sz w:val="22"/>
          <w:szCs w:val="22"/>
        </w:rPr>
        <w:t>]</w:t>
      </w:r>
      <w:r w:rsidR="00004592" w:rsidRPr="004F572A">
        <w:rPr>
          <w:rFonts w:eastAsia="Calibri"/>
          <w:sz w:val="22"/>
          <w:szCs w:val="22"/>
        </w:rPr>
        <w:t xml:space="preserve"> naviko </w:t>
      </w:r>
      <w:proofErr w:type="spellStart"/>
      <w:r w:rsidR="00004592" w:rsidRPr="004F572A">
        <w:rPr>
          <w:rFonts w:eastAsia="Calibri"/>
          <w:sz w:val="22"/>
          <w:szCs w:val="22"/>
        </w:rPr>
        <w:t>nefroblastoma</w:t>
      </w:r>
      <w:proofErr w:type="spellEnd"/>
      <w:r w:rsidR="00004592" w:rsidRPr="004F572A">
        <w:rPr>
          <w:rFonts w:eastAsia="Calibri"/>
          <w:sz w:val="22"/>
          <w:szCs w:val="22"/>
        </w:rPr>
        <w:t xml:space="preserve"> [n</w:t>
      </w:r>
      <w:r w:rsidR="00B10CAA">
        <w:rPr>
          <w:rFonts w:eastAsia="Calibri"/>
          <w:sz w:val="22"/>
          <w:szCs w:val="22"/>
        </w:rPr>
        <w:t> </w:t>
      </w:r>
      <w:r w:rsidR="00004592" w:rsidRPr="004F572A">
        <w:rPr>
          <w:rFonts w:eastAsia="Calibri"/>
          <w:sz w:val="22"/>
          <w:szCs w:val="22"/>
        </w:rPr>
        <w:t>=</w:t>
      </w:r>
      <w:r w:rsidR="00B10CAA">
        <w:rPr>
          <w:rFonts w:eastAsia="Calibri"/>
          <w:sz w:val="22"/>
          <w:szCs w:val="22"/>
        </w:rPr>
        <w:t> </w:t>
      </w:r>
      <w:r w:rsidR="00004592" w:rsidRPr="004F572A">
        <w:rPr>
          <w:rFonts w:eastAsia="Calibri"/>
          <w:sz w:val="22"/>
          <w:szCs w:val="22"/>
        </w:rPr>
        <w:t>1] ir skaidriųjų ląstelių karcinoma [n</w:t>
      </w:r>
      <w:r w:rsidR="00B10CAA">
        <w:rPr>
          <w:rFonts w:eastAsia="Calibri"/>
          <w:sz w:val="22"/>
          <w:szCs w:val="22"/>
        </w:rPr>
        <w:t> </w:t>
      </w:r>
      <w:r w:rsidR="00004592" w:rsidRPr="004F572A">
        <w:rPr>
          <w:rFonts w:eastAsia="Calibri"/>
          <w:sz w:val="22"/>
          <w:szCs w:val="22"/>
        </w:rPr>
        <w:t>=</w:t>
      </w:r>
      <w:r w:rsidR="00B10CAA">
        <w:rPr>
          <w:rFonts w:eastAsia="Calibri"/>
          <w:sz w:val="22"/>
          <w:szCs w:val="22"/>
        </w:rPr>
        <w:t> </w:t>
      </w:r>
      <w:r w:rsidR="00004592" w:rsidRPr="004F572A">
        <w:rPr>
          <w:rFonts w:eastAsia="Calibri"/>
          <w:sz w:val="22"/>
          <w:szCs w:val="22"/>
        </w:rPr>
        <w:t>1]</w:t>
      </w:r>
      <w:r w:rsidR="000F1F16">
        <w:rPr>
          <w:rFonts w:eastAsia="Calibri"/>
          <w:sz w:val="22"/>
          <w:szCs w:val="22"/>
        </w:rPr>
        <w:t xml:space="preserve"> sergantiems pacientams</w:t>
      </w:r>
      <w:r w:rsidR="00004592" w:rsidRPr="004F572A">
        <w:rPr>
          <w:rFonts w:eastAsia="Calibri"/>
          <w:sz w:val="22"/>
          <w:szCs w:val="22"/>
        </w:rPr>
        <w:t xml:space="preserve">) </w:t>
      </w:r>
      <w:r w:rsidR="000F1F16">
        <w:rPr>
          <w:rFonts w:eastAsia="Calibri"/>
          <w:sz w:val="22"/>
          <w:szCs w:val="22"/>
        </w:rPr>
        <w:t xml:space="preserve">fiksuota </w:t>
      </w:r>
      <w:r w:rsidR="00004592" w:rsidRPr="004F572A">
        <w:rPr>
          <w:rFonts w:eastAsia="Calibri"/>
          <w:sz w:val="22"/>
          <w:szCs w:val="22"/>
        </w:rPr>
        <w:t xml:space="preserve">visose kitose </w:t>
      </w:r>
      <w:proofErr w:type="spellStart"/>
      <w:r w:rsidR="00004592" w:rsidRPr="004F572A">
        <w:rPr>
          <w:rFonts w:eastAsia="Calibri"/>
          <w:sz w:val="22"/>
          <w:szCs w:val="22"/>
        </w:rPr>
        <w:t>solidinių</w:t>
      </w:r>
      <w:proofErr w:type="spellEnd"/>
      <w:r w:rsidR="00004592" w:rsidRPr="004F572A">
        <w:rPr>
          <w:rFonts w:eastAsia="Calibri"/>
          <w:sz w:val="22"/>
          <w:szCs w:val="22"/>
        </w:rPr>
        <w:t xml:space="preserve"> navikų grupėse</w:t>
      </w:r>
      <w:r w:rsidRPr="00E35994">
        <w:rPr>
          <w:rFonts w:eastAsia="Calibri"/>
          <w:sz w:val="22"/>
          <w:szCs w:val="22"/>
        </w:rPr>
        <w:t xml:space="preserve"> </w:t>
      </w:r>
      <w:r w:rsidR="000F1F16">
        <w:rPr>
          <w:rFonts w:eastAsia="Calibri"/>
          <w:sz w:val="22"/>
          <w:szCs w:val="22"/>
        </w:rPr>
        <w:t>v</w:t>
      </w:r>
      <w:r w:rsidRPr="004F572A">
        <w:rPr>
          <w:rFonts w:eastAsia="Calibri"/>
          <w:sz w:val="22"/>
          <w:szCs w:val="22"/>
        </w:rPr>
        <w:t>ertinant OAD 16</w:t>
      </w:r>
      <w:r w:rsidR="00B10CAA">
        <w:rPr>
          <w:rFonts w:eastAsia="Calibri"/>
          <w:sz w:val="22"/>
          <w:szCs w:val="22"/>
        </w:rPr>
        <w:t> </w:t>
      </w:r>
      <w:r w:rsidRPr="004F572A">
        <w:rPr>
          <w:rFonts w:eastAsia="Calibri"/>
          <w:sz w:val="22"/>
          <w:szCs w:val="22"/>
        </w:rPr>
        <w:t xml:space="preserve">savaitę </w:t>
      </w:r>
      <w:r w:rsidR="00004592" w:rsidRPr="004F572A">
        <w:rPr>
          <w:rFonts w:eastAsia="Calibri"/>
          <w:sz w:val="22"/>
          <w:szCs w:val="22"/>
        </w:rPr>
        <w:t>– 7,7</w:t>
      </w:r>
      <w:r w:rsidR="00172CCE" w:rsidRPr="004F572A">
        <w:rPr>
          <w:rFonts w:eastAsia="Calibri"/>
          <w:sz w:val="22"/>
          <w:szCs w:val="22"/>
        </w:rPr>
        <w:t> </w:t>
      </w:r>
      <w:r w:rsidR="00004592" w:rsidRPr="004F572A">
        <w:rPr>
          <w:rFonts w:eastAsia="Calibri"/>
          <w:sz w:val="22"/>
          <w:szCs w:val="22"/>
        </w:rPr>
        <w:t>% (95</w:t>
      </w:r>
      <w:r w:rsidR="00172CCE" w:rsidRPr="004F572A">
        <w:rPr>
          <w:rFonts w:eastAsia="Calibri"/>
          <w:sz w:val="22"/>
          <w:szCs w:val="22"/>
        </w:rPr>
        <w:t> </w:t>
      </w:r>
      <w:r w:rsidR="00004592" w:rsidRPr="004F572A">
        <w:rPr>
          <w:rFonts w:eastAsia="Calibri"/>
          <w:sz w:val="22"/>
          <w:szCs w:val="22"/>
        </w:rPr>
        <w:t>% PI: 2,5, 17,0).</w:t>
      </w:r>
    </w:p>
    <w:p w14:paraId="772899DD" w14:textId="77777777" w:rsidR="00172CCE" w:rsidRPr="004F572A" w:rsidRDefault="00172CCE" w:rsidP="00004592">
      <w:pPr>
        <w:widowControl w:val="0"/>
        <w:tabs>
          <w:tab w:val="clear" w:pos="567"/>
        </w:tabs>
        <w:rPr>
          <w:rFonts w:eastAsia="Calibri"/>
          <w:b/>
          <w:bCs/>
          <w:sz w:val="22"/>
          <w:szCs w:val="22"/>
        </w:rPr>
      </w:pPr>
    </w:p>
    <w:p w14:paraId="37E34C1D" w14:textId="445BAF3C" w:rsidR="00004592" w:rsidRPr="004F572A" w:rsidRDefault="00004592" w:rsidP="00172CCE">
      <w:pPr>
        <w:widowControl w:val="0"/>
        <w:tabs>
          <w:tab w:val="clear" w:pos="567"/>
        </w:tabs>
        <w:ind w:left="540" w:hanging="540"/>
        <w:rPr>
          <w:rFonts w:eastAsia="Calibri"/>
          <w:b/>
          <w:bCs/>
          <w:sz w:val="22"/>
          <w:szCs w:val="22"/>
        </w:rPr>
      </w:pPr>
      <w:r w:rsidRPr="004F572A">
        <w:rPr>
          <w:rFonts w:eastAsia="Calibri"/>
          <w:b/>
          <w:bCs/>
          <w:sz w:val="22"/>
          <w:szCs w:val="22"/>
        </w:rPr>
        <w:t>5.2</w:t>
      </w:r>
      <w:r w:rsidR="00172CCE" w:rsidRPr="004F572A">
        <w:rPr>
          <w:rFonts w:eastAsia="Calibri"/>
          <w:b/>
          <w:bCs/>
          <w:sz w:val="22"/>
          <w:szCs w:val="22"/>
        </w:rPr>
        <w:tab/>
      </w:r>
      <w:proofErr w:type="spellStart"/>
      <w:r w:rsidRPr="004F572A">
        <w:rPr>
          <w:rFonts w:eastAsia="Calibri"/>
          <w:b/>
          <w:bCs/>
          <w:sz w:val="22"/>
          <w:szCs w:val="22"/>
        </w:rPr>
        <w:t>Farmakokinetinės</w:t>
      </w:r>
      <w:proofErr w:type="spellEnd"/>
      <w:r w:rsidRPr="004F572A">
        <w:rPr>
          <w:rFonts w:eastAsia="Calibri"/>
          <w:b/>
          <w:bCs/>
          <w:sz w:val="22"/>
          <w:szCs w:val="22"/>
        </w:rPr>
        <w:t xml:space="preserve"> savybės</w:t>
      </w:r>
    </w:p>
    <w:p w14:paraId="00B6C4EB" w14:textId="77777777" w:rsidR="00172CCE" w:rsidRPr="004F572A" w:rsidRDefault="00172CCE" w:rsidP="00004592">
      <w:pPr>
        <w:widowControl w:val="0"/>
        <w:tabs>
          <w:tab w:val="clear" w:pos="567"/>
        </w:tabs>
        <w:rPr>
          <w:rFonts w:eastAsia="Calibri"/>
          <w:b/>
          <w:bCs/>
          <w:sz w:val="22"/>
          <w:szCs w:val="22"/>
        </w:rPr>
      </w:pPr>
    </w:p>
    <w:p w14:paraId="25EBCC94" w14:textId="321D19DD" w:rsidR="00004592" w:rsidRPr="004F572A" w:rsidRDefault="00004592" w:rsidP="00004592">
      <w:pPr>
        <w:widowControl w:val="0"/>
        <w:tabs>
          <w:tab w:val="clear" w:pos="567"/>
        </w:tabs>
        <w:rPr>
          <w:rFonts w:eastAsia="Calibri"/>
          <w:sz w:val="22"/>
          <w:szCs w:val="22"/>
        </w:rPr>
      </w:pPr>
      <w:proofErr w:type="spellStart"/>
      <w:r w:rsidRPr="004F572A">
        <w:rPr>
          <w:rFonts w:eastAsia="Calibri"/>
          <w:sz w:val="22"/>
          <w:szCs w:val="22"/>
        </w:rPr>
        <w:t>Lenvatinibo</w:t>
      </w:r>
      <w:proofErr w:type="spellEnd"/>
      <w:r w:rsidRPr="004F572A">
        <w:rPr>
          <w:rFonts w:eastAsia="Calibri"/>
          <w:sz w:val="22"/>
          <w:szCs w:val="22"/>
        </w:rPr>
        <w:t xml:space="preserve"> farmakokinetikos parametrai ištirti sveikiems suaugusiems </w:t>
      </w:r>
      <w:r w:rsidR="000F1F16">
        <w:rPr>
          <w:rFonts w:eastAsia="Calibri"/>
          <w:sz w:val="22"/>
          <w:szCs w:val="22"/>
        </w:rPr>
        <w:t>tiriamiesiems</w:t>
      </w:r>
      <w:r w:rsidRPr="004F572A">
        <w:rPr>
          <w:rFonts w:eastAsia="Calibri"/>
          <w:sz w:val="22"/>
          <w:szCs w:val="22"/>
        </w:rPr>
        <w:t xml:space="preserve">, suaugusiems </w:t>
      </w:r>
      <w:r w:rsidR="000F1F16">
        <w:rPr>
          <w:rFonts w:eastAsia="Calibri"/>
          <w:sz w:val="22"/>
          <w:szCs w:val="22"/>
        </w:rPr>
        <w:lastRenderedPageBreak/>
        <w:t>tiriamiesiems</w:t>
      </w:r>
      <w:r w:rsidRPr="004F572A">
        <w:rPr>
          <w:rFonts w:eastAsia="Calibri"/>
          <w:sz w:val="22"/>
          <w:szCs w:val="22"/>
        </w:rPr>
        <w:t xml:space="preserve">, kurių kepenų funkcija sutrikusi, inkstų funkcija sutrikusi ir kuriems nustatyta </w:t>
      </w:r>
      <w:proofErr w:type="spellStart"/>
      <w:r w:rsidRPr="004F572A">
        <w:rPr>
          <w:rFonts w:eastAsia="Calibri"/>
          <w:sz w:val="22"/>
          <w:szCs w:val="22"/>
        </w:rPr>
        <w:t>solidinių</w:t>
      </w:r>
      <w:proofErr w:type="spellEnd"/>
      <w:r w:rsidRPr="004F572A">
        <w:rPr>
          <w:rFonts w:eastAsia="Calibri"/>
          <w:sz w:val="22"/>
          <w:szCs w:val="22"/>
        </w:rPr>
        <w:t xml:space="preserve"> navikų.</w:t>
      </w:r>
    </w:p>
    <w:p w14:paraId="1B0407FA" w14:textId="77777777" w:rsidR="00172CCE" w:rsidRPr="004F572A" w:rsidRDefault="00172CCE" w:rsidP="00004592">
      <w:pPr>
        <w:widowControl w:val="0"/>
        <w:tabs>
          <w:tab w:val="clear" w:pos="567"/>
        </w:tabs>
        <w:rPr>
          <w:rFonts w:eastAsia="Calibri"/>
          <w:sz w:val="22"/>
          <w:szCs w:val="22"/>
        </w:rPr>
      </w:pPr>
    </w:p>
    <w:p w14:paraId="62140DA6" w14:textId="161E1478" w:rsidR="00004592" w:rsidRPr="004F572A" w:rsidRDefault="00004592" w:rsidP="00004592">
      <w:pPr>
        <w:widowControl w:val="0"/>
        <w:tabs>
          <w:tab w:val="clear" w:pos="567"/>
        </w:tabs>
        <w:rPr>
          <w:rFonts w:eastAsia="Calibri"/>
          <w:sz w:val="22"/>
          <w:szCs w:val="22"/>
          <w:u w:val="single"/>
        </w:rPr>
      </w:pPr>
      <w:r w:rsidRPr="004F572A">
        <w:rPr>
          <w:rFonts w:eastAsia="Calibri"/>
          <w:sz w:val="22"/>
          <w:szCs w:val="22"/>
          <w:u w:val="single"/>
        </w:rPr>
        <w:t>Absorbcija</w:t>
      </w:r>
    </w:p>
    <w:p w14:paraId="145B1ACE" w14:textId="77777777" w:rsidR="00CE469B" w:rsidRPr="004F572A" w:rsidRDefault="00CE469B" w:rsidP="00E076E0">
      <w:pPr>
        <w:widowControl w:val="0"/>
        <w:tabs>
          <w:tab w:val="clear" w:pos="567"/>
        </w:tabs>
        <w:rPr>
          <w:rFonts w:eastAsia="Calibri"/>
          <w:sz w:val="22"/>
          <w:szCs w:val="22"/>
        </w:rPr>
      </w:pPr>
    </w:p>
    <w:p w14:paraId="28F7AF76" w14:textId="7F60873B" w:rsidR="00E076E0" w:rsidRPr="004F572A" w:rsidRDefault="00004592" w:rsidP="00E076E0">
      <w:pPr>
        <w:widowControl w:val="0"/>
        <w:tabs>
          <w:tab w:val="clear" w:pos="567"/>
        </w:tabs>
        <w:rPr>
          <w:rFonts w:eastAsia="Calibri"/>
          <w:sz w:val="22"/>
          <w:szCs w:val="22"/>
        </w:rPr>
      </w:pPr>
      <w:r w:rsidRPr="004F572A">
        <w:rPr>
          <w:rFonts w:eastAsia="Calibri"/>
          <w:sz w:val="22"/>
          <w:szCs w:val="22"/>
        </w:rPr>
        <w:t xml:space="preserve">Išgertas </w:t>
      </w:r>
      <w:proofErr w:type="spellStart"/>
      <w:r w:rsidRPr="004F572A">
        <w:rPr>
          <w:rFonts w:eastAsia="Calibri"/>
          <w:sz w:val="22"/>
          <w:szCs w:val="22"/>
        </w:rPr>
        <w:t>lenvatinibas</w:t>
      </w:r>
      <w:proofErr w:type="spellEnd"/>
      <w:r w:rsidRPr="004F572A">
        <w:rPr>
          <w:rFonts w:eastAsia="Calibri"/>
          <w:sz w:val="22"/>
          <w:szCs w:val="22"/>
        </w:rPr>
        <w:t xml:space="preserve"> greitai absorbuojamas, </w:t>
      </w:r>
      <w:proofErr w:type="spellStart"/>
      <w:r w:rsidRPr="004F572A">
        <w:rPr>
          <w:rFonts w:eastAsia="Calibri"/>
          <w:sz w:val="22"/>
          <w:szCs w:val="22"/>
        </w:rPr>
        <w:t>t</w:t>
      </w:r>
      <w:r w:rsidRPr="004F572A">
        <w:rPr>
          <w:rFonts w:eastAsia="Calibri"/>
          <w:sz w:val="22"/>
          <w:szCs w:val="22"/>
          <w:vertAlign w:val="subscript"/>
        </w:rPr>
        <w:t>max</w:t>
      </w:r>
      <w:proofErr w:type="spellEnd"/>
      <w:r w:rsidRPr="004F572A">
        <w:rPr>
          <w:rFonts w:eastAsia="Calibri"/>
          <w:sz w:val="22"/>
          <w:szCs w:val="22"/>
        </w:rPr>
        <w:t xml:space="preserve"> paprastai </w:t>
      </w:r>
      <w:r w:rsidR="000F1F16">
        <w:rPr>
          <w:rFonts w:eastAsia="Calibri"/>
          <w:sz w:val="22"/>
          <w:szCs w:val="22"/>
        </w:rPr>
        <w:t>nustatoma</w:t>
      </w:r>
      <w:r w:rsidR="000F1F16" w:rsidRPr="004F572A">
        <w:rPr>
          <w:rFonts w:eastAsia="Calibri"/>
          <w:sz w:val="22"/>
          <w:szCs w:val="22"/>
        </w:rPr>
        <w:t xml:space="preserve"> </w:t>
      </w:r>
      <w:r w:rsidRPr="004F572A">
        <w:rPr>
          <w:rFonts w:eastAsia="Calibri"/>
          <w:sz w:val="22"/>
          <w:szCs w:val="22"/>
        </w:rPr>
        <w:t>praėjus 1</w:t>
      </w:r>
      <w:r w:rsidR="00B10CAA">
        <w:rPr>
          <w:rFonts w:eastAsia="Calibri"/>
          <w:sz w:val="22"/>
          <w:szCs w:val="22"/>
        </w:rPr>
        <w:noBreakHyphen/>
      </w:r>
      <w:r w:rsidRPr="004F572A">
        <w:rPr>
          <w:rFonts w:eastAsia="Calibri"/>
          <w:sz w:val="22"/>
          <w:szCs w:val="22"/>
        </w:rPr>
        <w:t>4</w:t>
      </w:r>
      <w:r w:rsidR="00B10CAA">
        <w:t> </w:t>
      </w:r>
      <w:r w:rsidRPr="004F572A">
        <w:rPr>
          <w:rFonts w:eastAsia="Calibri"/>
          <w:sz w:val="22"/>
          <w:szCs w:val="22"/>
        </w:rPr>
        <w:t>valandoms po dozės</w:t>
      </w:r>
      <w:r w:rsidR="00172CCE" w:rsidRPr="004F572A">
        <w:rPr>
          <w:rFonts w:eastAsia="Calibri"/>
          <w:sz w:val="22"/>
          <w:szCs w:val="22"/>
        </w:rPr>
        <w:t xml:space="preserve"> vartojimo.</w:t>
      </w:r>
      <w:r w:rsidR="00E076E0" w:rsidRPr="004F572A">
        <w:rPr>
          <w:rFonts w:ascii="TimesNewRomanPSMT" w:eastAsia="Times New Roman" w:hAnsi="TimesNewRomanPSMT"/>
          <w:sz w:val="22"/>
          <w:szCs w:val="22"/>
          <w:lang w:eastAsia="en-US"/>
        </w:rPr>
        <w:t xml:space="preserve"> </w:t>
      </w:r>
      <w:r w:rsidR="00E076E0" w:rsidRPr="004F572A">
        <w:rPr>
          <w:rFonts w:eastAsia="Calibri"/>
          <w:sz w:val="22"/>
          <w:szCs w:val="22"/>
        </w:rPr>
        <w:t xml:space="preserve">Maistas neveikia absorbcijos apimties, tačiau lėtina absorbcijos greitį. Vartojant kartu su maistu sveikiems </w:t>
      </w:r>
      <w:r w:rsidR="000F1F16">
        <w:rPr>
          <w:rFonts w:eastAsia="Calibri"/>
          <w:sz w:val="22"/>
          <w:szCs w:val="22"/>
        </w:rPr>
        <w:t>tiriamiesiems</w:t>
      </w:r>
      <w:r w:rsidR="00E076E0" w:rsidRPr="004F572A">
        <w:rPr>
          <w:rFonts w:eastAsia="Calibri"/>
          <w:sz w:val="22"/>
          <w:szCs w:val="22"/>
        </w:rPr>
        <w:t xml:space="preserve">, didžiausia koncentracija plazmoje </w:t>
      </w:r>
      <w:r w:rsidR="000F1F16">
        <w:rPr>
          <w:rFonts w:eastAsia="Calibri"/>
          <w:sz w:val="22"/>
          <w:szCs w:val="22"/>
        </w:rPr>
        <w:t>susidaro</w:t>
      </w:r>
      <w:r w:rsidR="000F1F16" w:rsidRPr="004F572A">
        <w:rPr>
          <w:rFonts w:eastAsia="Calibri"/>
          <w:sz w:val="22"/>
          <w:szCs w:val="22"/>
        </w:rPr>
        <w:t xml:space="preserve"> </w:t>
      </w:r>
      <w:r w:rsidR="00E076E0" w:rsidRPr="004F572A">
        <w:rPr>
          <w:rFonts w:eastAsia="Calibri"/>
          <w:sz w:val="22"/>
          <w:szCs w:val="22"/>
        </w:rPr>
        <w:t>2</w:t>
      </w:r>
      <w:r w:rsidR="00B10CAA">
        <w:rPr>
          <w:rFonts w:eastAsia="Calibri"/>
          <w:sz w:val="22"/>
          <w:szCs w:val="22"/>
        </w:rPr>
        <w:t> </w:t>
      </w:r>
      <w:r w:rsidR="00E076E0" w:rsidRPr="004F572A">
        <w:rPr>
          <w:rFonts w:eastAsia="Calibri"/>
          <w:sz w:val="22"/>
          <w:szCs w:val="22"/>
        </w:rPr>
        <w:t xml:space="preserve">valandomis vėliau. Absoliutus biologinis prieinamumas žmonėms nenustatytas, tačiau masių </w:t>
      </w:r>
      <w:r w:rsidR="00CE469B" w:rsidRPr="004F572A">
        <w:rPr>
          <w:rFonts w:eastAsia="Calibri"/>
          <w:sz w:val="22"/>
          <w:szCs w:val="22"/>
        </w:rPr>
        <w:t>pusiausvyros</w:t>
      </w:r>
      <w:r w:rsidR="00E076E0" w:rsidRPr="004F572A">
        <w:rPr>
          <w:rFonts w:eastAsia="Calibri"/>
          <w:sz w:val="22"/>
          <w:szCs w:val="22"/>
        </w:rPr>
        <w:t xml:space="preserve"> tyrimo duomenys rodo, kad jis </w:t>
      </w:r>
      <w:r w:rsidR="000F1F16">
        <w:rPr>
          <w:rFonts w:eastAsia="Calibri"/>
          <w:sz w:val="22"/>
          <w:szCs w:val="22"/>
        </w:rPr>
        <w:t>sudaro maždaug</w:t>
      </w:r>
      <w:r w:rsidR="00E076E0" w:rsidRPr="004F572A">
        <w:rPr>
          <w:rFonts w:eastAsia="Calibri"/>
          <w:sz w:val="22"/>
          <w:szCs w:val="22"/>
        </w:rPr>
        <w:t xml:space="preserve"> 85</w:t>
      </w:r>
      <w:r w:rsidR="00CE469B" w:rsidRPr="004F572A">
        <w:rPr>
          <w:rFonts w:eastAsia="Calibri"/>
          <w:sz w:val="22"/>
          <w:szCs w:val="22"/>
        </w:rPr>
        <w:t> </w:t>
      </w:r>
      <w:r w:rsidR="00E076E0" w:rsidRPr="004F572A">
        <w:rPr>
          <w:rFonts w:eastAsia="Calibri"/>
          <w:sz w:val="22"/>
          <w:szCs w:val="22"/>
        </w:rPr>
        <w:t xml:space="preserve">%. Nustatytas geras išgerto </w:t>
      </w:r>
      <w:proofErr w:type="spellStart"/>
      <w:r w:rsidR="00E076E0" w:rsidRPr="004F572A">
        <w:rPr>
          <w:rFonts w:eastAsia="Calibri"/>
          <w:sz w:val="22"/>
          <w:szCs w:val="22"/>
        </w:rPr>
        <w:t>lenvatinibo</w:t>
      </w:r>
      <w:proofErr w:type="spellEnd"/>
      <w:r w:rsidR="00E076E0" w:rsidRPr="004F572A">
        <w:rPr>
          <w:rFonts w:eastAsia="Calibri"/>
          <w:sz w:val="22"/>
          <w:szCs w:val="22"/>
        </w:rPr>
        <w:t xml:space="preserve"> biologinis prieinamumas šunims (70,4</w:t>
      </w:r>
      <w:r w:rsidR="00CE469B" w:rsidRPr="004F572A">
        <w:rPr>
          <w:rFonts w:eastAsia="Calibri"/>
          <w:sz w:val="22"/>
          <w:szCs w:val="22"/>
        </w:rPr>
        <w:t> </w:t>
      </w:r>
      <w:r w:rsidR="00E076E0" w:rsidRPr="004F572A">
        <w:rPr>
          <w:rFonts w:eastAsia="Calibri"/>
          <w:sz w:val="22"/>
          <w:szCs w:val="22"/>
        </w:rPr>
        <w:t>%) ir beždžionėms (78,4</w:t>
      </w:r>
      <w:r w:rsidR="00CE469B" w:rsidRPr="004F572A">
        <w:rPr>
          <w:rFonts w:eastAsia="Calibri"/>
          <w:sz w:val="22"/>
          <w:szCs w:val="22"/>
        </w:rPr>
        <w:t> </w:t>
      </w:r>
      <w:r w:rsidR="00E076E0" w:rsidRPr="004F572A">
        <w:rPr>
          <w:rFonts w:eastAsia="Calibri"/>
          <w:sz w:val="22"/>
          <w:szCs w:val="22"/>
        </w:rPr>
        <w:t>%).</w:t>
      </w:r>
    </w:p>
    <w:p w14:paraId="150A65F8" w14:textId="77777777" w:rsidR="00CE469B" w:rsidRPr="004F572A" w:rsidRDefault="00CE469B" w:rsidP="00E076E0">
      <w:pPr>
        <w:widowControl w:val="0"/>
        <w:tabs>
          <w:tab w:val="clear" w:pos="567"/>
        </w:tabs>
        <w:rPr>
          <w:rFonts w:eastAsia="Calibri"/>
          <w:sz w:val="22"/>
          <w:szCs w:val="22"/>
        </w:rPr>
      </w:pPr>
    </w:p>
    <w:p w14:paraId="411315DD" w14:textId="06200271" w:rsidR="00E076E0" w:rsidRPr="004F572A" w:rsidRDefault="00E076E0" w:rsidP="00E076E0">
      <w:pPr>
        <w:widowControl w:val="0"/>
        <w:tabs>
          <w:tab w:val="clear" w:pos="567"/>
        </w:tabs>
        <w:rPr>
          <w:rFonts w:eastAsia="Calibri"/>
          <w:sz w:val="22"/>
          <w:szCs w:val="22"/>
          <w:u w:val="single"/>
        </w:rPr>
      </w:pPr>
      <w:r w:rsidRPr="004F572A">
        <w:rPr>
          <w:rFonts w:eastAsia="Calibri"/>
          <w:sz w:val="22"/>
          <w:szCs w:val="22"/>
          <w:u w:val="single"/>
        </w:rPr>
        <w:t>Pasiskirstymas</w:t>
      </w:r>
    </w:p>
    <w:p w14:paraId="73A7FC17" w14:textId="77777777" w:rsidR="00CE469B" w:rsidRPr="004F572A" w:rsidRDefault="00CE469B" w:rsidP="00E076E0">
      <w:pPr>
        <w:widowControl w:val="0"/>
        <w:tabs>
          <w:tab w:val="clear" w:pos="567"/>
        </w:tabs>
        <w:rPr>
          <w:rFonts w:eastAsia="Calibri"/>
          <w:sz w:val="22"/>
          <w:szCs w:val="22"/>
        </w:rPr>
      </w:pPr>
    </w:p>
    <w:p w14:paraId="143A8A84" w14:textId="64504F15" w:rsidR="00E076E0" w:rsidRPr="004F572A" w:rsidRDefault="000F1F16" w:rsidP="00E076E0">
      <w:pPr>
        <w:widowControl w:val="0"/>
        <w:tabs>
          <w:tab w:val="clear" w:pos="567"/>
        </w:tabs>
        <w:rPr>
          <w:rFonts w:eastAsia="Calibri"/>
          <w:sz w:val="22"/>
          <w:szCs w:val="22"/>
        </w:rPr>
      </w:pPr>
      <w:proofErr w:type="spellStart"/>
      <w:r>
        <w:rPr>
          <w:rFonts w:eastAsia="Calibri"/>
          <w:sz w:val="22"/>
          <w:szCs w:val="22"/>
        </w:rPr>
        <w:t>L</w:t>
      </w:r>
      <w:r w:rsidR="00E076E0" w:rsidRPr="004F572A">
        <w:rPr>
          <w:rFonts w:eastAsia="Calibri"/>
          <w:sz w:val="22"/>
          <w:szCs w:val="22"/>
        </w:rPr>
        <w:t>envatinib</w:t>
      </w:r>
      <w:r>
        <w:rPr>
          <w:rFonts w:eastAsia="Calibri"/>
          <w:sz w:val="22"/>
          <w:szCs w:val="22"/>
        </w:rPr>
        <w:t>as</w:t>
      </w:r>
      <w:proofErr w:type="spellEnd"/>
      <w:r w:rsidR="006D6C21" w:rsidRPr="004F572A">
        <w:rPr>
          <w:rFonts w:eastAsia="Calibri"/>
          <w:sz w:val="22"/>
          <w:szCs w:val="22"/>
        </w:rPr>
        <w:t xml:space="preserve"> </w:t>
      </w:r>
      <w:proofErr w:type="spellStart"/>
      <w:r>
        <w:rPr>
          <w:rFonts w:eastAsia="Calibri"/>
          <w:i/>
          <w:iCs/>
          <w:sz w:val="22"/>
          <w:szCs w:val="22"/>
        </w:rPr>
        <w:t>i</w:t>
      </w:r>
      <w:r w:rsidRPr="004F572A">
        <w:rPr>
          <w:rFonts w:eastAsia="Calibri"/>
          <w:i/>
          <w:iCs/>
          <w:sz w:val="22"/>
          <w:szCs w:val="22"/>
        </w:rPr>
        <w:t>n</w:t>
      </w:r>
      <w:proofErr w:type="spellEnd"/>
      <w:r w:rsidRPr="004F572A">
        <w:rPr>
          <w:rFonts w:eastAsia="Calibri"/>
          <w:i/>
          <w:iCs/>
          <w:sz w:val="22"/>
          <w:szCs w:val="22"/>
        </w:rPr>
        <w:t xml:space="preserve"> </w:t>
      </w:r>
      <w:proofErr w:type="spellStart"/>
      <w:r w:rsidRPr="004F572A">
        <w:rPr>
          <w:rFonts w:eastAsia="Calibri"/>
          <w:i/>
          <w:iCs/>
          <w:sz w:val="22"/>
          <w:szCs w:val="22"/>
        </w:rPr>
        <w:t>vitro</w:t>
      </w:r>
      <w:proofErr w:type="spellEnd"/>
      <w:r w:rsidR="00CE469B" w:rsidRPr="004F572A">
        <w:rPr>
          <w:rFonts w:eastAsia="Calibri"/>
          <w:sz w:val="22"/>
          <w:szCs w:val="22"/>
        </w:rPr>
        <w:t xml:space="preserve"> </w:t>
      </w:r>
      <w:r>
        <w:rPr>
          <w:rFonts w:eastAsia="Calibri"/>
          <w:sz w:val="22"/>
          <w:szCs w:val="22"/>
        </w:rPr>
        <w:t xml:space="preserve">gerai jungiasi </w:t>
      </w:r>
      <w:r w:rsidR="006D6C21" w:rsidRPr="004F572A">
        <w:rPr>
          <w:rFonts w:eastAsia="Calibri"/>
          <w:sz w:val="22"/>
          <w:szCs w:val="22"/>
        </w:rPr>
        <w:t>prie</w:t>
      </w:r>
      <w:r w:rsidR="00E076E0" w:rsidRPr="004F572A">
        <w:rPr>
          <w:rFonts w:eastAsia="Calibri"/>
          <w:sz w:val="22"/>
          <w:szCs w:val="22"/>
        </w:rPr>
        <w:t xml:space="preserve"> žmogaus plazmos baltym</w:t>
      </w:r>
      <w:r w:rsidR="006D6C21" w:rsidRPr="004F572A">
        <w:rPr>
          <w:rFonts w:eastAsia="Calibri"/>
          <w:sz w:val="22"/>
          <w:szCs w:val="22"/>
        </w:rPr>
        <w:t>ų</w:t>
      </w:r>
      <w:r>
        <w:rPr>
          <w:rFonts w:eastAsia="Calibri"/>
          <w:sz w:val="22"/>
          <w:szCs w:val="22"/>
        </w:rPr>
        <w:t>, prisijungė</w:t>
      </w:r>
      <w:r w:rsidR="007D4EB5" w:rsidRPr="004F572A">
        <w:rPr>
          <w:rFonts w:eastAsia="Calibri"/>
          <w:sz w:val="22"/>
          <w:szCs w:val="22"/>
        </w:rPr>
        <w:t xml:space="preserve"> nuo</w:t>
      </w:r>
      <w:r w:rsidR="00E076E0" w:rsidRPr="004F572A">
        <w:rPr>
          <w:rFonts w:eastAsia="Calibri"/>
          <w:sz w:val="22"/>
          <w:szCs w:val="22"/>
        </w:rPr>
        <w:t xml:space="preserve"> 98</w:t>
      </w:r>
      <w:r w:rsidR="00CE469B" w:rsidRPr="004F572A">
        <w:rPr>
          <w:rFonts w:eastAsia="Calibri"/>
          <w:sz w:val="22"/>
          <w:szCs w:val="22"/>
        </w:rPr>
        <w:t> </w:t>
      </w:r>
      <w:r w:rsidR="00E076E0" w:rsidRPr="004F572A">
        <w:rPr>
          <w:rFonts w:eastAsia="Calibri"/>
          <w:sz w:val="22"/>
          <w:szCs w:val="22"/>
        </w:rPr>
        <w:t>% iki 99</w:t>
      </w:r>
      <w:r w:rsidR="00CE469B" w:rsidRPr="004F572A">
        <w:rPr>
          <w:rFonts w:eastAsia="Calibri"/>
          <w:sz w:val="22"/>
          <w:szCs w:val="22"/>
        </w:rPr>
        <w:t> </w:t>
      </w:r>
      <w:r w:rsidR="00E076E0" w:rsidRPr="004F572A">
        <w:rPr>
          <w:rFonts w:eastAsia="Calibri"/>
          <w:sz w:val="22"/>
          <w:szCs w:val="22"/>
        </w:rPr>
        <w:t xml:space="preserve">% </w:t>
      </w:r>
      <w:r>
        <w:rPr>
          <w:rFonts w:eastAsia="Calibri"/>
          <w:sz w:val="22"/>
          <w:szCs w:val="22"/>
        </w:rPr>
        <w:t xml:space="preserve">vaistinio preparato </w:t>
      </w:r>
      <w:r w:rsidR="00E076E0" w:rsidRPr="004F572A">
        <w:rPr>
          <w:rFonts w:eastAsia="Calibri"/>
          <w:sz w:val="22"/>
          <w:szCs w:val="22"/>
        </w:rPr>
        <w:t>(0,3</w:t>
      </w:r>
      <w:r w:rsidR="00B10CAA">
        <w:rPr>
          <w:rFonts w:eastAsia="Calibri"/>
          <w:sz w:val="22"/>
          <w:szCs w:val="22"/>
        </w:rPr>
        <w:noBreakHyphen/>
      </w:r>
      <w:r w:rsidR="00E076E0" w:rsidRPr="004F572A">
        <w:rPr>
          <w:rFonts w:eastAsia="Calibri"/>
          <w:sz w:val="22"/>
          <w:szCs w:val="22"/>
        </w:rPr>
        <w:t>30</w:t>
      </w:r>
      <w:r w:rsidR="00CE469B" w:rsidRPr="004F572A">
        <w:rPr>
          <w:rFonts w:eastAsia="Calibri"/>
          <w:sz w:val="22"/>
          <w:szCs w:val="22"/>
        </w:rPr>
        <w:t> </w:t>
      </w:r>
      <w:proofErr w:type="spellStart"/>
      <w:r w:rsidR="00E076E0" w:rsidRPr="004F572A">
        <w:rPr>
          <w:rFonts w:eastAsia="Calibri"/>
          <w:sz w:val="22"/>
          <w:szCs w:val="22"/>
        </w:rPr>
        <w:t>μg</w:t>
      </w:r>
      <w:proofErr w:type="spellEnd"/>
      <w:r w:rsidR="00E076E0" w:rsidRPr="004F572A">
        <w:rPr>
          <w:rFonts w:eastAsia="Calibri"/>
          <w:sz w:val="22"/>
          <w:szCs w:val="22"/>
        </w:rPr>
        <w:t xml:space="preserve">/ml, </w:t>
      </w:r>
      <w:proofErr w:type="spellStart"/>
      <w:r w:rsidR="00E076E0" w:rsidRPr="004F572A">
        <w:rPr>
          <w:rFonts w:eastAsia="Calibri"/>
          <w:sz w:val="22"/>
          <w:szCs w:val="22"/>
        </w:rPr>
        <w:t>mesilatas</w:t>
      </w:r>
      <w:proofErr w:type="spellEnd"/>
      <w:r w:rsidR="00E076E0" w:rsidRPr="004F572A">
        <w:rPr>
          <w:rFonts w:eastAsia="Calibri"/>
          <w:sz w:val="22"/>
          <w:szCs w:val="22"/>
        </w:rPr>
        <w:t xml:space="preserve">). </w:t>
      </w:r>
      <w:r>
        <w:rPr>
          <w:rFonts w:eastAsia="Calibri"/>
          <w:sz w:val="22"/>
          <w:szCs w:val="22"/>
        </w:rPr>
        <w:t>D</w:t>
      </w:r>
      <w:r w:rsidR="007D4EB5" w:rsidRPr="004F572A">
        <w:rPr>
          <w:rFonts w:eastAsia="Calibri"/>
          <w:sz w:val="22"/>
          <w:szCs w:val="22"/>
        </w:rPr>
        <w:t>augiausia</w:t>
      </w:r>
      <w:r>
        <w:rPr>
          <w:rFonts w:eastAsia="Calibri"/>
          <w:sz w:val="22"/>
          <w:szCs w:val="22"/>
        </w:rPr>
        <w:t>i vaistinio preparato prisijungė</w:t>
      </w:r>
      <w:r w:rsidR="007D4EB5" w:rsidRPr="004F572A">
        <w:rPr>
          <w:rFonts w:eastAsia="Calibri"/>
          <w:sz w:val="22"/>
          <w:szCs w:val="22"/>
        </w:rPr>
        <w:t xml:space="preserve"> </w:t>
      </w:r>
      <w:r w:rsidR="006D6C21" w:rsidRPr="004F572A">
        <w:rPr>
          <w:rFonts w:eastAsia="Calibri"/>
          <w:sz w:val="22"/>
          <w:szCs w:val="22"/>
        </w:rPr>
        <w:t>prie</w:t>
      </w:r>
      <w:r w:rsidR="007D4EB5" w:rsidRPr="004F572A">
        <w:rPr>
          <w:rFonts w:eastAsia="Calibri"/>
          <w:sz w:val="22"/>
          <w:szCs w:val="22"/>
        </w:rPr>
        <w:t xml:space="preserve"> </w:t>
      </w:r>
      <w:proofErr w:type="spellStart"/>
      <w:r w:rsidR="007D4EB5" w:rsidRPr="004F572A">
        <w:rPr>
          <w:rFonts w:eastAsia="Calibri"/>
          <w:sz w:val="22"/>
          <w:szCs w:val="22"/>
        </w:rPr>
        <w:t>albumin</w:t>
      </w:r>
      <w:r w:rsidR="006D6C21" w:rsidRPr="004F572A">
        <w:rPr>
          <w:rFonts w:eastAsia="Calibri"/>
          <w:sz w:val="22"/>
          <w:szCs w:val="22"/>
        </w:rPr>
        <w:t>o</w:t>
      </w:r>
      <w:proofErr w:type="spellEnd"/>
      <w:r w:rsidR="00E076E0" w:rsidRPr="004F572A">
        <w:rPr>
          <w:rFonts w:eastAsia="Calibri"/>
          <w:sz w:val="22"/>
          <w:szCs w:val="22"/>
        </w:rPr>
        <w:t xml:space="preserve">, šiek tiek </w:t>
      </w:r>
      <w:r>
        <w:rPr>
          <w:rFonts w:eastAsia="Calibri"/>
          <w:sz w:val="22"/>
          <w:szCs w:val="22"/>
        </w:rPr>
        <w:t xml:space="preserve">prisijungė </w:t>
      </w:r>
      <w:r w:rsidR="00E076E0" w:rsidRPr="004F572A">
        <w:rPr>
          <w:rFonts w:eastAsia="Calibri"/>
          <w:sz w:val="22"/>
          <w:szCs w:val="22"/>
        </w:rPr>
        <w:t>prie α1-rūgš</w:t>
      </w:r>
      <w:r>
        <w:rPr>
          <w:rFonts w:eastAsia="Calibri"/>
          <w:sz w:val="22"/>
          <w:szCs w:val="22"/>
        </w:rPr>
        <w:t>ties</w:t>
      </w:r>
      <w:r w:rsidR="006D6C21" w:rsidRPr="004F572A">
        <w:rPr>
          <w:rFonts w:eastAsia="Calibri"/>
          <w:sz w:val="22"/>
          <w:szCs w:val="22"/>
        </w:rPr>
        <w:t xml:space="preserve"> </w:t>
      </w:r>
      <w:proofErr w:type="spellStart"/>
      <w:r w:rsidR="00E076E0" w:rsidRPr="004F572A">
        <w:rPr>
          <w:rFonts w:eastAsia="Calibri"/>
          <w:sz w:val="22"/>
          <w:szCs w:val="22"/>
        </w:rPr>
        <w:t>glikoprotein</w:t>
      </w:r>
      <w:r w:rsidR="006D6C21" w:rsidRPr="004F572A">
        <w:rPr>
          <w:rFonts w:eastAsia="Calibri"/>
          <w:sz w:val="22"/>
          <w:szCs w:val="22"/>
        </w:rPr>
        <w:t>o</w:t>
      </w:r>
      <w:proofErr w:type="spellEnd"/>
      <w:r w:rsidR="00E076E0" w:rsidRPr="004F572A">
        <w:rPr>
          <w:rFonts w:eastAsia="Calibri"/>
          <w:sz w:val="22"/>
          <w:szCs w:val="22"/>
        </w:rPr>
        <w:t xml:space="preserve"> ir γ-</w:t>
      </w:r>
      <w:proofErr w:type="spellStart"/>
      <w:r w:rsidR="00E076E0" w:rsidRPr="004F572A">
        <w:rPr>
          <w:rFonts w:eastAsia="Calibri"/>
          <w:sz w:val="22"/>
          <w:szCs w:val="22"/>
        </w:rPr>
        <w:t>globulin</w:t>
      </w:r>
      <w:r w:rsidR="006D6C21" w:rsidRPr="004F572A">
        <w:rPr>
          <w:rFonts w:eastAsia="Calibri"/>
          <w:sz w:val="22"/>
          <w:szCs w:val="22"/>
        </w:rPr>
        <w:t>o</w:t>
      </w:r>
      <w:proofErr w:type="spellEnd"/>
      <w:r w:rsidR="00E076E0" w:rsidRPr="004F572A">
        <w:rPr>
          <w:rFonts w:eastAsia="Calibri"/>
          <w:sz w:val="22"/>
          <w:szCs w:val="22"/>
        </w:rPr>
        <w:t>.</w:t>
      </w:r>
    </w:p>
    <w:p w14:paraId="5331998E" w14:textId="004B5C2E" w:rsidR="00CA58C7" w:rsidRPr="004F572A" w:rsidRDefault="00E076E0" w:rsidP="00E076E0">
      <w:pPr>
        <w:widowControl w:val="0"/>
        <w:tabs>
          <w:tab w:val="clear" w:pos="567"/>
        </w:tabs>
        <w:rPr>
          <w:rFonts w:eastAsia="Calibri"/>
          <w:sz w:val="22"/>
          <w:szCs w:val="22"/>
        </w:rPr>
      </w:pPr>
      <w:proofErr w:type="spellStart"/>
      <w:r w:rsidRPr="004F572A">
        <w:rPr>
          <w:rFonts w:eastAsia="Calibri"/>
          <w:i/>
          <w:iCs/>
          <w:sz w:val="22"/>
          <w:szCs w:val="22"/>
        </w:rPr>
        <w:t>In</w:t>
      </w:r>
      <w:proofErr w:type="spellEnd"/>
      <w:r w:rsidRPr="004F572A">
        <w:rPr>
          <w:rFonts w:eastAsia="Calibri"/>
          <w:i/>
          <w:iCs/>
          <w:sz w:val="22"/>
          <w:szCs w:val="22"/>
        </w:rPr>
        <w:t xml:space="preserve"> </w:t>
      </w:r>
      <w:proofErr w:type="spellStart"/>
      <w:r w:rsidRPr="004F572A">
        <w:rPr>
          <w:rFonts w:eastAsia="Calibri"/>
          <w:i/>
          <w:iCs/>
          <w:sz w:val="22"/>
          <w:szCs w:val="22"/>
        </w:rPr>
        <w:t>vitro</w:t>
      </w:r>
      <w:proofErr w:type="spellEnd"/>
      <w:r w:rsidRPr="004F572A">
        <w:rPr>
          <w:rFonts w:eastAsia="Calibri"/>
          <w:i/>
          <w:iCs/>
          <w:sz w:val="22"/>
          <w:szCs w:val="22"/>
        </w:rPr>
        <w:t xml:space="preserve"> </w:t>
      </w:r>
      <w:proofErr w:type="spellStart"/>
      <w:r w:rsidRPr="004F572A">
        <w:rPr>
          <w:rFonts w:eastAsia="Calibri"/>
          <w:sz w:val="22"/>
          <w:szCs w:val="22"/>
        </w:rPr>
        <w:t>lenvatinibo</w:t>
      </w:r>
      <w:proofErr w:type="spellEnd"/>
      <w:r w:rsidRPr="004F572A">
        <w:rPr>
          <w:rFonts w:eastAsia="Calibri"/>
          <w:sz w:val="22"/>
          <w:szCs w:val="22"/>
        </w:rPr>
        <w:t xml:space="preserve"> koncentracijos kraujyje ir plazmoje santykis svyravo nuo 0,589 iki 0,608 (0,1</w:t>
      </w:r>
      <w:r w:rsidR="007D4EB5" w:rsidRPr="004F572A">
        <w:rPr>
          <w:rFonts w:eastAsia="Calibri"/>
          <w:sz w:val="22"/>
          <w:szCs w:val="22"/>
        </w:rPr>
        <w:t> </w:t>
      </w:r>
      <w:r w:rsidRPr="004F572A">
        <w:rPr>
          <w:rFonts w:eastAsia="Calibri"/>
          <w:sz w:val="22"/>
          <w:szCs w:val="22"/>
        </w:rPr>
        <w:t>-</w:t>
      </w:r>
      <w:r w:rsidR="007D4EB5" w:rsidRPr="004F572A">
        <w:rPr>
          <w:rFonts w:eastAsia="Calibri"/>
          <w:sz w:val="22"/>
          <w:szCs w:val="22"/>
        </w:rPr>
        <w:t> </w:t>
      </w:r>
      <w:r w:rsidRPr="004F572A">
        <w:rPr>
          <w:rFonts w:eastAsia="Calibri"/>
          <w:sz w:val="22"/>
          <w:szCs w:val="22"/>
        </w:rPr>
        <w:t>10</w:t>
      </w:r>
      <w:r w:rsidR="007D4EB5" w:rsidRPr="004F572A">
        <w:rPr>
          <w:rFonts w:eastAsia="Calibri"/>
          <w:sz w:val="22"/>
          <w:szCs w:val="22"/>
        </w:rPr>
        <w:t> </w:t>
      </w:r>
      <w:proofErr w:type="spellStart"/>
      <w:r w:rsidRPr="004F572A">
        <w:rPr>
          <w:rFonts w:eastAsia="Calibri"/>
          <w:sz w:val="22"/>
          <w:szCs w:val="22"/>
        </w:rPr>
        <w:t>μg</w:t>
      </w:r>
      <w:proofErr w:type="spellEnd"/>
      <w:r w:rsidRPr="004F572A">
        <w:rPr>
          <w:rFonts w:eastAsia="Calibri"/>
          <w:sz w:val="22"/>
          <w:szCs w:val="22"/>
        </w:rPr>
        <w:t xml:space="preserve">/ml, </w:t>
      </w:r>
      <w:proofErr w:type="spellStart"/>
      <w:r w:rsidRPr="004F572A">
        <w:rPr>
          <w:rFonts w:eastAsia="Calibri"/>
          <w:sz w:val="22"/>
          <w:szCs w:val="22"/>
        </w:rPr>
        <w:t>mesilatas</w:t>
      </w:r>
      <w:proofErr w:type="spellEnd"/>
      <w:r w:rsidRPr="004F572A">
        <w:rPr>
          <w:rFonts w:eastAsia="Calibri"/>
          <w:sz w:val="22"/>
          <w:szCs w:val="22"/>
        </w:rPr>
        <w:t>)</w:t>
      </w:r>
      <w:r w:rsidR="006D6C21" w:rsidRPr="004F572A">
        <w:rPr>
          <w:rFonts w:eastAsia="Calibri"/>
          <w:sz w:val="22"/>
          <w:szCs w:val="22"/>
        </w:rPr>
        <w:t>.</w:t>
      </w:r>
    </w:p>
    <w:p w14:paraId="1E8BA28E" w14:textId="77777777" w:rsidR="00CA58C7" w:rsidRPr="004F572A" w:rsidRDefault="00CA58C7" w:rsidP="000928CA">
      <w:pPr>
        <w:widowControl w:val="0"/>
        <w:tabs>
          <w:tab w:val="clear" w:pos="567"/>
        </w:tabs>
        <w:rPr>
          <w:rFonts w:eastAsia="Calibri"/>
          <w:sz w:val="22"/>
          <w:szCs w:val="22"/>
        </w:rPr>
      </w:pPr>
    </w:p>
    <w:p w14:paraId="37A526D3" w14:textId="7D57EC31" w:rsidR="00392E35" w:rsidRPr="004F572A" w:rsidRDefault="00392E35" w:rsidP="00392E35">
      <w:pPr>
        <w:widowControl w:val="0"/>
        <w:tabs>
          <w:tab w:val="clear" w:pos="567"/>
        </w:tabs>
        <w:rPr>
          <w:rFonts w:eastAsia="Calibri"/>
          <w:sz w:val="22"/>
          <w:szCs w:val="22"/>
        </w:rPr>
      </w:pPr>
      <w:proofErr w:type="spellStart"/>
      <w:r w:rsidRPr="004F572A">
        <w:rPr>
          <w:rFonts w:eastAsia="Calibri"/>
          <w:sz w:val="22"/>
          <w:szCs w:val="22"/>
        </w:rPr>
        <w:t>Lenvatinibas</w:t>
      </w:r>
      <w:proofErr w:type="spellEnd"/>
      <w:r w:rsidRPr="004F572A">
        <w:rPr>
          <w:rFonts w:eastAsia="Calibri"/>
          <w:sz w:val="22"/>
          <w:szCs w:val="22"/>
        </w:rPr>
        <w:t xml:space="preserve"> yra P-</w:t>
      </w:r>
      <w:proofErr w:type="spellStart"/>
      <w:r w:rsidRPr="004F572A">
        <w:rPr>
          <w:rFonts w:eastAsia="Calibri"/>
          <w:sz w:val="22"/>
          <w:szCs w:val="22"/>
        </w:rPr>
        <w:t>gp</w:t>
      </w:r>
      <w:proofErr w:type="spellEnd"/>
      <w:r w:rsidRPr="004F572A">
        <w:rPr>
          <w:rFonts w:eastAsia="Calibri"/>
          <w:sz w:val="22"/>
          <w:szCs w:val="22"/>
        </w:rPr>
        <w:t xml:space="preserve"> ir krūties vėžio atsparumo baltymo (angl. </w:t>
      </w:r>
      <w:proofErr w:type="spellStart"/>
      <w:r w:rsidRPr="004F572A">
        <w:rPr>
          <w:rFonts w:eastAsia="Calibri"/>
          <w:i/>
          <w:iCs/>
          <w:sz w:val="22"/>
          <w:szCs w:val="22"/>
        </w:rPr>
        <w:t>breast</w:t>
      </w:r>
      <w:proofErr w:type="spellEnd"/>
      <w:r w:rsidRPr="004F572A">
        <w:rPr>
          <w:rFonts w:eastAsia="Calibri"/>
          <w:i/>
          <w:iCs/>
          <w:sz w:val="22"/>
          <w:szCs w:val="22"/>
        </w:rPr>
        <w:t xml:space="preserve"> </w:t>
      </w:r>
      <w:proofErr w:type="spellStart"/>
      <w:r w:rsidRPr="004F572A">
        <w:rPr>
          <w:rFonts w:eastAsia="Calibri"/>
          <w:i/>
          <w:iCs/>
          <w:sz w:val="22"/>
          <w:szCs w:val="22"/>
        </w:rPr>
        <w:t>cancer</w:t>
      </w:r>
      <w:proofErr w:type="spellEnd"/>
      <w:r w:rsidRPr="004F572A">
        <w:rPr>
          <w:rFonts w:eastAsia="Calibri"/>
          <w:i/>
          <w:iCs/>
          <w:sz w:val="22"/>
          <w:szCs w:val="22"/>
        </w:rPr>
        <w:t xml:space="preserve"> </w:t>
      </w:r>
      <w:proofErr w:type="spellStart"/>
      <w:r w:rsidRPr="004F572A">
        <w:rPr>
          <w:rFonts w:eastAsia="Calibri"/>
          <w:i/>
          <w:iCs/>
          <w:sz w:val="22"/>
          <w:szCs w:val="22"/>
        </w:rPr>
        <w:t>resistance</w:t>
      </w:r>
      <w:proofErr w:type="spellEnd"/>
      <w:r w:rsidRPr="004F572A">
        <w:rPr>
          <w:rFonts w:eastAsia="Calibri"/>
          <w:i/>
          <w:iCs/>
          <w:sz w:val="22"/>
          <w:szCs w:val="22"/>
        </w:rPr>
        <w:t xml:space="preserve"> </w:t>
      </w:r>
      <w:proofErr w:type="spellStart"/>
      <w:r w:rsidRPr="004F572A">
        <w:rPr>
          <w:rFonts w:eastAsia="Calibri"/>
          <w:i/>
          <w:iCs/>
          <w:sz w:val="22"/>
          <w:szCs w:val="22"/>
        </w:rPr>
        <w:t>protein</w:t>
      </w:r>
      <w:proofErr w:type="spellEnd"/>
      <w:r w:rsidRPr="004F572A">
        <w:rPr>
          <w:rFonts w:eastAsia="Calibri"/>
          <w:i/>
          <w:iCs/>
          <w:sz w:val="22"/>
          <w:szCs w:val="22"/>
        </w:rPr>
        <w:t xml:space="preserve">, </w:t>
      </w:r>
      <w:r w:rsidRPr="004F572A">
        <w:rPr>
          <w:rFonts w:eastAsia="Calibri"/>
          <w:sz w:val="22"/>
          <w:szCs w:val="22"/>
        </w:rPr>
        <w:t xml:space="preserve">BCRP) substratas. </w:t>
      </w:r>
      <w:proofErr w:type="spellStart"/>
      <w:r w:rsidRPr="004F572A">
        <w:rPr>
          <w:rFonts w:eastAsia="Calibri"/>
          <w:sz w:val="22"/>
          <w:szCs w:val="22"/>
        </w:rPr>
        <w:t>Lenvatinibas</w:t>
      </w:r>
      <w:proofErr w:type="spellEnd"/>
      <w:r w:rsidRPr="004F572A">
        <w:rPr>
          <w:rFonts w:eastAsia="Calibri"/>
          <w:sz w:val="22"/>
          <w:szCs w:val="22"/>
        </w:rPr>
        <w:t xml:space="preserve"> nėra OAT1, OAT3, OATP1B1, OATP1B3, OCT1, OCT2 MATE1, MATE2-K arba tulžies rūgščių pernašos siurblio (angl. </w:t>
      </w:r>
      <w:r w:rsidRPr="004F572A">
        <w:rPr>
          <w:rFonts w:eastAsia="Calibri"/>
          <w:i/>
          <w:iCs/>
          <w:sz w:val="22"/>
          <w:szCs w:val="22"/>
        </w:rPr>
        <w:t xml:space="preserve">Bile Salt </w:t>
      </w:r>
      <w:proofErr w:type="spellStart"/>
      <w:r w:rsidRPr="004F572A">
        <w:rPr>
          <w:rFonts w:eastAsia="Calibri"/>
          <w:i/>
          <w:iCs/>
          <w:sz w:val="22"/>
          <w:szCs w:val="22"/>
        </w:rPr>
        <w:t>Export</w:t>
      </w:r>
      <w:proofErr w:type="spellEnd"/>
      <w:r w:rsidRPr="004F572A">
        <w:rPr>
          <w:rFonts w:eastAsia="Calibri"/>
          <w:i/>
          <w:iCs/>
          <w:sz w:val="22"/>
          <w:szCs w:val="22"/>
        </w:rPr>
        <w:t xml:space="preserve"> </w:t>
      </w:r>
      <w:proofErr w:type="spellStart"/>
      <w:r w:rsidRPr="004F572A">
        <w:rPr>
          <w:rFonts w:eastAsia="Calibri"/>
          <w:i/>
          <w:iCs/>
          <w:sz w:val="22"/>
          <w:szCs w:val="22"/>
        </w:rPr>
        <w:t>Pump</w:t>
      </w:r>
      <w:proofErr w:type="spellEnd"/>
      <w:r w:rsidRPr="004F572A">
        <w:rPr>
          <w:rFonts w:eastAsia="Calibri"/>
          <w:sz w:val="22"/>
          <w:szCs w:val="22"/>
        </w:rPr>
        <w:t>, BSEP) substratas.</w:t>
      </w:r>
    </w:p>
    <w:p w14:paraId="5D49A198" w14:textId="77777777" w:rsidR="00392E35" w:rsidRPr="004F572A" w:rsidRDefault="00392E35" w:rsidP="00392E35">
      <w:pPr>
        <w:widowControl w:val="0"/>
        <w:tabs>
          <w:tab w:val="clear" w:pos="567"/>
        </w:tabs>
        <w:rPr>
          <w:rFonts w:eastAsia="Calibri"/>
          <w:sz w:val="22"/>
          <w:szCs w:val="22"/>
        </w:rPr>
      </w:pPr>
    </w:p>
    <w:p w14:paraId="55CF3E9F" w14:textId="77F6BFF4" w:rsidR="00392E35" w:rsidRPr="004F572A" w:rsidRDefault="00392E35" w:rsidP="00392E35">
      <w:pPr>
        <w:widowControl w:val="0"/>
        <w:tabs>
          <w:tab w:val="clear" w:pos="567"/>
        </w:tabs>
        <w:rPr>
          <w:rFonts w:eastAsia="Calibri"/>
          <w:sz w:val="22"/>
          <w:szCs w:val="22"/>
        </w:rPr>
      </w:pPr>
      <w:r w:rsidRPr="004F572A">
        <w:rPr>
          <w:rFonts w:eastAsia="Calibri"/>
          <w:sz w:val="22"/>
          <w:szCs w:val="22"/>
        </w:rPr>
        <w:t>Pacientams pirmosios dozės tariamojo pasiskirstymo tūrio mediana (</w:t>
      </w:r>
      <w:proofErr w:type="spellStart"/>
      <w:r w:rsidRPr="004F572A">
        <w:rPr>
          <w:rFonts w:eastAsia="Calibri"/>
          <w:sz w:val="22"/>
          <w:szCs w:val="22"/>
        </w:rPr>
        <w:t>Vz</w:t>
      </w:r>
      <w:proofErr w:type="spellEnd"/>
      <w:r w:rsidRPr="004F572A">
        <w:rPr>
          <w:rFonts w:eastAsia="Calibri"/>
          <w:sz w:val="22"/>
          <w:szCs w:val="22"/>
        </w:rPr>
        <w:t xml:space="preserve">/F) svyravo nuo 50,5 l iki 92 l ir paprastai buvo pastovi nuo 3,2 mg iki 32 mg dozių grupėse. Analogiška tariamojo pasiskirstymo tūrio mediana esant </w:t>
      </w:r>
      <w:proofErr w:type="spellStart"/>
      <w:r w:rsidRPr="004F572A">
        <w:rPr>
          <w:rFonts w:eastAsia="Calibri"/>
          <w:sz w:val="22"/>
          <w:szCs w:val="22"/>
        </w:rPr>
        <w:t>pusiausvyrinei</w:t>
      </w:r>
      <w:proofErr w:type="spellEnd"/>
      <w:r w:rsidRPr="004F572A">
        <w:rPr>
          <w:rFonts w:eastAsia="Calibri"/>
          <w:sz w:val="22"/>
          <w:szCs w:val="22"/>
        </w:rPr>
        <w:t xml:space="preserve"> koncentracijai (</w:t>
      </w:r>
      <w:proofErr w:type="spellStart"/>
      <w:r w:rsidRPr="004F572A">
        <w:rPr>
          <w:rFonts w:eastAsia="Calibri"/>
          <w:sz w:val="22"/>
          <w:szCs w:val="22"/>
        </w:rPr>
        <w:t>Vz</w:t>
      </w:r>
      <w:proofErr w:type="spellEnd"/>
      <w:r w:rsidRPr="004F572A">
        <w:rPr>
          <w:rFonts w:eastAsia="Calibri"/>
          <w:sz w:val="22"/>
          <w:szCs w:val="22"/>
        </w:rPr>
        <w:t>/</w:t>
      </w:r>
      <w:proofErr w:type="spellStart"/>
      <w:r w:rsidRPr="004F572A">
        <w:rPr>
          <w:rFonts w:eastAsia="Calibri"/>
          <w:sz w:val="22"/>
          <w:szCs w:val="22"/>
        </w:rPr>
        <w:t>Fss</w:t>
      </w:r>
      <w:proofErr w:type="spellEnd"/>
      <w:r w:rsidRPr="004F572A">
        <w:rPr>
          <w:rFonts w:eastAsia="Calibri"/>
          <w:sz w:val="22"/>
          <w:szCs w:val="22"/>
        </w:rPr>
        <w:t>) taip pat paprastai buvo pastovi ir svyravo nuo 43,2</w:t>
      </w:r>
      <w:r w:rsidR="00B10CAA">
        <w:rPr>
          <w:rFonts w:eastAsia="Calibri"/>
          <w:sz w:val="22"/>
          <w:szCs w:val="22"/>
        </w:rPr>
        <w:t> </w:t>
      </w:r>
      <w:r w:rsidRPr="004F572A">
        <w:rPr>
          <w:rFonts w:eastAsia="Calibri"/>
          <w:sz w:val="22"/>
          <w:szCs w:val="22"/>
        </w:rPr>
        <w:t>l iki 121 l.</w:t>
      </w:r>
    </w:p>
    <w:p w14:paraId="75E3E125" w14:textId="77777777" w:rsidR="00392E35" w:rsidRPr="004F572A" w:rsidRDefault="00392E35" w:rsidP="00392E35">
      <w:pPr>
        <w:widowControl w:val="0"/>
        <w:tabs>
          <w:tab w:val="clear" w:pos="567"/>
        </w:tabs>
        <w:rPr>
          <w:rFonts w:eastAsia="Calibri"/>
          <w:sz w:val="22"/>
          <w:szCs w:val="22"/>
        </w:rPr>
      </w:pPr>
    </w:p>
    <w:p w14:paraId="0AA24F07" w14:textId="0B2A6EA8" w:rsidR="00392E35" w:rsidRPr="004F572A" w:rsidRDefault="00392E35" w:rsidP="00392E35">
      <w:pPr>
        <w:widowControl w:val="0"/>
        <w:tabs>
          <w:tab w:val="clear" w:pos="567"/>
        </w:tabs>
        <w:rPr>
          <w:rFonts w:eastAsia="Calibri"/>
          <w:sz w:val="22"/>
          <w:szCs w:val="22"/>
          <w:u w:val="single"/>
        </w:rPr>
      </w:pPr>
      <w:proofErr w:type="spellStart"/>
      <w:r w:rsidRPr="004F572A">
        <w:rPr>
          <w:rFonts w:eastAsia="Calibri"/>
          <w:sz w:val="22"/>
          <w:szCs w:val="22"/>
          <w:u w:val="single"/>
        </w:rPr>
        <w:t>Biotransformacija</w:t>
      </w:r>
      <w:proofErr w:type="spellEnd"/>
    </w:p>
    <w:p w14:paraId="5B22AF6B" w14:textId="77777777" w:rsidR="00392E35" w:rsidRPr="004F572A" w:rsidRDefault="00392E35" w:rsidP="00392E35">
      <w:pPr>
        <w:widowControl w:val="0"/>
        <w:tabs>
          <w:tab w:val="clear" w:pos="567"/>
        </w:tabs>
        <w:rPr>
          <w:rFonts w:eastAsia="Calibri"/>
          <w:sz w:val="22"/>
          <w:szCs w:val="22"/>
        </w:rPr>
      </w:pPr>
    </w:p>
    <w:p w14:paraId="0FBE7D4A" w14:textId="4BFEB00F" w:rsidR="00392E35" w:rsidRPr="004F572A" w:rsidRDefault="00392E35" w:rsidP="00392E35">
      <w:pPr>
        <w:widowControl w:val="0"/>
        <w:tabs>
          <w:tab w:val="clear" w:pos="567"/>
        </w:tabs>
        <w:rPr>
          <w:rFonts w:eastAsia="Calibri"/>
          <w:sz w:val="22"/>
          <w:szCs w:val="22"/>
        </w:rPr>
      </w:pPr>
      <w:proofErr w:type="spellStart"/>
      <w:r w:rsidRPr="004F572A">
        <w:rPr>
          <w:rFonts w:eastAsia="Calibri"/>
          <w:i/>
          <w:iCs/>
          <w:sz w:val="22"/>
          <w:szCs w:val="22"/>
        </w:rPr>
        <w:t>In</w:t>
      </w:r>
      <w:proofErr w:type="spellEnd"/>
      <w:r w:rsidRPr="004F572A">
        <w:rPr>
          <w:rFonts w:eastAsia="Calibri"/>
          <w:i/>
          <w:iCs/>
          <w:sz w:val="22"/>
          <w:szCs w:val="22"/>
        </w:rPr>
        <w:t xml:space="preserve"> </w:t>
      </w:r>
      <w:proofErr w:type="spellStart"/>
      <w:r w:rsidRPr="004F572A">
        <w:rPr>
          <w:rFonts w:eastAsia="Calibri"/>
          <w:i/>
          <w:iCs/>
          <w:sz w:val="22"/>
          <w:szCs w:val="22"/>
        </w:rPr>
        <w:t>vitro</w:t>
      </w:r>
      <w:proofErr w:type="spellEnd"/>
      <w:r w:rsidRPr="004F572A">
        <w:rPr>
          <w:rFonts w:eastAsia="Calibri"/>
          <w:i/>
          <w:iCs/>
          <w:sz w:val="22"/>
          <w:szCs w:val="22"/>
        </w:rPr>
        <w:t xml:space="preserve"> </w:t>
      </w:r>
      <w:r w:rsidRPr="004F572A">
        <w:rPr>
          <w:rFonts w:eastAsia="Calibri"/>
          <w:sz w:val="22"/>
          <w:szCs w:val="22"/>
        </w:rPr>
        <w:t xml:space="preserve">nustatyta, kad </w:t>
      </w:r>
      <w:proofErr w:type="spellStart"/>
      <w:r w:rsidRPr="004F572A">
        <w:rPr>
          <w:rFonts w:eastAsia="Calibri"/>
          <w:sz w:val="22"/>
          <w:szCs w:val="22"/>
        </w:rPr>
        <w:t>citochromas</w:t>
      </w:r>
      <w:proofErr w:type="spellEnd"/>
      <w:r w:rsidRPr="004F572A">
        <w:rPr>
          <w:rFonts w:eastAsia="Calibri"/>
          <w:sz w:val="22"/>
          <w:szCs w:val="22"/>
        </w:rPr>
        <w:t xml:space="preserve"> P450 3A4 yra vyraujanti (&gt;</w:t>
      </w:r>
      <w:r w:rsidR="00B10CAA">
        <w:rPr>
          <w:rFonts w:eastAsia="Calibri"/>
          <w:sz w:val="22"/>
          <w:szCs w:val="22"/>
        </w:rPr>
        <w:t> </w:t>
      </w:r>
      <w:r w:rsidRPr="004F572A">
        <w:rPr>
          <w:rFonts w:eastAsia="Calibri"/>
          <w:sz w:val="22"/>
          <w:szCs w:val="22"/>
        </w:rPr>
        <w:t>80</w:t>
      </w:r>
      <w:r w:rsidR="00E84B13" w:rsidRPr="004F572A">
        <w:rPr>
          <w:rFonts w:eastAsia="Calibri"/>
          <w:sz w:val="22"/>
          <w:szCs w:val="22"/>
        </w:rPr>
        <w:t> </w:t>
      </w:r>
      <w:r w:rsidRPr="004F572A">
        <w:rPr>
          <w:rFonts w:eastAsia="Calibri"/>
          <w:sz w:val="22"/>
          <w:szCs w:val="22"/>
        </w:rPr>
        <w:t xml:space="preserve">%) </w:t>
      </w:r>
      <w:proofErr w:type="spellStart"/>
      <w:r w:rsidRPr="004F572A">
        <w:rPr>
          <w:rFonts w:eastAsia="Calibri"/>
          <w:sz w:val="22"/>
          <w:szCs w:val="22"/>
        </w:rPr>
        <w:t>izoforma</w:t>
      </w:r>
      <w:proofErr w:type="spellEnd"/>
      <w:r w:rsidRPr="004F572A">
        <w:rPr>
          <w:rFonts w:eastAsia="Calibri"/>
          <w:sz w:val="22"/>
          <w:szCs w:val="22"/>
        </w:rPr>
        <w:t>, dalyvauja</w:t>
      </w:r>
      <w:r w:rsidR="000F1F16">
        <w:rPr>
          <w:rFonts w:eastAsia="Calibri"/>
          <w:sz w:val="22"/>
          <w:szCs w:val="22"/>
        </w:rPr>
        <w:t>nti</w:t>
      </w:r>
      <w:r w:rsidRPr="004F572A">
        <w:rPr>
          <w:rFonts w:eastAsia="Calibri"/>
          <w:sz w:val="22"/>
          <w:szCs w:val="22"/>
        </w:rPr>
        <w:t xml:space="preserve"> </w:t>
      </w:r>
      <w:r w:rsidR="00E84B13" w:rsidRPr="004F572A">
        <w:rPr>
          <w:rFonts w:eastAsia="Calibri"/>
          <w:sz w:val="22"/>
          <w:szCs w:val="22"/>
        </w:rPr>
        <w:t xml:space="preserve">P450 </w:t>
      </w:r>
      <w:r w:rsidR="000F1F16" w:rsidRPr="000F1F16">
        <w:rPr>
          <w:rFonts w:eastAsia="Calibri"/>
          <w:sz w:val="22"/>
          <w:szCs w:val="22"/>
        </w:rPr>
        <w:t xml:space="preserve">sąlygojamame </w:t>
      </w:r>
      <w:proofErr w:type="spellStart"/>
      <w:r w:rsidR="00E84B13" w:rsidRPr="004F572A">
        <w:rPr>
          <w:rFonts w:eastAsia="Calibri"/>
          <w:sz w:val="22"/>
          <w:szCs w:val="22"/>
        </w:rPr>
        <w:t>lenvatinibo</w:t>
      </w:r>
      <w:proofErr w:type="spellEnd"/>
      <w:r w:rsidR="00E84B13" w:rsidRPr="004F572A">
        <w:rPr>
          <w:rFonts w:eastAsia="Calibri"/>
          <w:sz w:val="22"/>
          <w:szCs w:val="22"/>
        </w:rPr>
        <w:t xml:space="preserve"> metabolizme</w:t>
      </w:r>
      <w:r w:rsidRPr="004F572A">
        <w:rPr>
          <w:rFonts w:eastAsia="Calibri"/>
          <w:sz w:val="22"/>
          <w:szCs w:val="22"/>
        </w:rPr>
        <w:t xml:space="preserve">. Tačiau </w:t>
      </w:r>
      <w:proofErr w:type="spellStart"/>
      <w:r w:rsidRPr="004F572A">
        <w:rPr>
          <w:rFonts w:eastAsia="Calibri"/>
          <w:i/>
          <w:iCs/>
          <w:sz w:val="22"/>
          <w:szCs w:val="22"/>
        </w:rPr>
        <w:t>in</w:t>
      </w:r>
      <w:proofErr w:type="spellEnd"/>
      <w:r w:rsidRPr="004F572A">
        <w:rPr>
          <w:rFonts w:eastAsia="Calibri"/>
          <w:i/>
          <w:iCs/>
          <w:sz w:val="22"/>
          <w:szCs w:val="22"/>
        </w:rPr>
        <w:t xml:space="preserve"> </w:t>
      </w:r>
      <w:proofErr w:type="spellStart"/>
      <w:r w:rsidRPr="004F572A">
        <w:rPr>
          <w:rFonts w:eastAsia="Calibri"/>
          <w:i/>
          <w:iCs/>
          <w:sz w:val="22"/>
          <w:szCs w:val="22"/>
        </w:rPr>
        <w:t>vivo</w:t>
      </w:r>
      <w:proofErr w:type="spellEnd"/>
      <w:r w:rsidRPr="004F572A">
        <w:rPr>
          <w:rFonts w:eastAsia="Calibri"/>
          <w:i/>
          <w:iCs/>
          <w:sz w:val="22"/>
          <w:szCs w:val="22"/>
        </w:rPr>
        <w:t xml:space="preserve"> </w:t>
      </w:r>
      <w:r w:rsidRPr="004F572A">
        <w:rPr>
          <w:rFonts w:eastAsia="Calibri"/>
          <w:sz w:val="22"/>
          <w:szCs w:val="22"/>
        </w:rPr>
        <w:t xml:space="preserve">duomenys parodė, kad ne P450 </w:t>
      </w:r>
      <w:r w:rsidR="000F1F16" w:rsidRPr="000F1F16">
        <w:rPr>
          <w:rFonts w:eastAsia="Calibri"/>
          <w:sz w:val="22"/>
          <w:szCs w:val="22"/>
        </w:rPr>
        <w:t>sąlygojam</w:t>
      </w:r>
      <w:r w:rsidR="000F1F16">
        <w:rPr>
          <w:rFonts w:eastAsia="Calibri"/>
          <w:sz w:val="22"/>
          <w:szCs w:val="22"/>
        </w:rPr>
        <w:t>i ekspozicijo</w:t>
      </w:r>
      <w:r w:rsidR="00EF6715">
        <w:rPr>
          <w:rFonts w:eastAsia="Calibri"/>
          <w:sz w:val="22"/>
          <w:szCs w:val="22"/>
        </w:rPr>
        <w:t>s</w:t>
      </w:r>
      <w:r w:rsidR="000F1F16" w:rsidRPr="000F1F16" w:rsidDel="000F1F16">
        <w:rPr>
          <w:rFonts w:eastAsia="Calibri"/>
          <w:sz w:val="22"/>
          <w:szCs w:val="22"/>
        </w:rPr>
        <w:t xml:space="preserve"> </w:t>
      </w:r>
      <w:r w:rsidRPr="004F572A">
        <w:rPr>
          <w:rFonts w:eastAsia="Calibri"/>
          <w:sz w:val="22"/>
          <w:szCs w:val="22"/>
        </w:rPr>
        <w:t xml:space="preserve">keliai prisidėjo prie reikšmingos dalies bendro </w:t>
      </w:r>
      <w:proofErr w:type="spellStart"/>
      <w:r w:rsidRPr="004F572A">
        <w:rPr>
          <w:rFonts w:eastAsia="Calibri"/>
          <w:sz w:val="22"/>
          <w:szCs w:val="22"/>
        </w:rPr>
        <w:t>lenvatinibo</w:t>
      </w:r>
      <w:proofErr w:type="spellEnd"/>
      <w:r w:rsidRPr="004F572A">
        <w:rPr>
          <w:rFonts w:eastAsia="Calibri"/>
          <w:sz w:val="22"/>
          <w:szCs w:val="22"/>
        </w:rPr>
        <w:t xml:space="preserve"> metabolizmo. Dėl </w:t>
      </w:r>
      <w:r w:rsidR="000F1F16">
        <w:rPr>
          <w:rFonts w:eastAsia="Calibri"/>
          <w:sz w:val="22"/>
          <w:szCs w:val="22"/>
        </w:rPr>
        <w:t>tos</w:t>
      </w:r>
      <w:r w:rsidR="000F1F16" w:rsidRPr="004F572A">
        <w:rPr>
          <w:rFonts w:eastAsia="Calibri"/>
          <w:sz w:val="22"/>
          <w:szCs w:val="22"/>
        </w:rPr>
        <w:t xml:space="preserve"> </w:t>
      </w:r>
      <w:r w:rsidRPr="004F572A">
        <w:rPr>
          <w:rFonts w:eastAsia="Calibri"/>
          <w:sz w:val="22"/>
          <w:szCs w:val="22"/>
        </w:rPr>
        <w:t xml:space="preserve">priežasties </w:t>
      </w:r>
      <w:proofErr w:type="spellStart"/>
      <w:r w:rsidRPr="004F572A">
        <w:rPr>
          <w:rFonts w:eastAsia="Calibri"/>
          <w:i/>
          <w:iCs/>
          <w:sz w:val="22"/>
          <w:szCs w:val="22"/>
        </w:rPr>
        <w:t>in</w:t>
      </w:r>
      <w:proofErr w:type="spellEnd"/>
      <w:r w:rsidRPr="004F572A">
        <w:rPr>
          <w:rFonts w:eastAsia="Calibri"/>
          <w:i/>
          <w:iCs/>
          <w:sz w:val="22"/>
          <w:szCs w:val="22"/>
        </w:rPr>
        <w:t xml:space="preserve"> </w:t>
      </w:r>
      <w:proofErr w:type="spellStart"/>
      <w:r w:rsidRPr="004F572A">
        <w:rPr>
          <w:rFonts w:eastAsia="Calibri"/>
          <w:i/>
          <w:iCs/>
          <w:sz w:val="22"/>
          <w:szCs w:val="22"/>
        </w:rPr>
        <w:t>vivo</w:t>
      </w:r>
      <w:proofErr w:type="spellEnd"/>
      <w:r w:rsidRPr="004F572A">
        <w:rPr>
          <w:rFonts w:eastAsia="Calibri"/>
          <w:i/>
          <w:iCs/>
          <w:sz w:val="22"/>
          <w:szCs w:val="22"/>
        </w:rPr>
        <w:t xml:space="preserve"> </w:t>
      </w:r>
      <w:r w:rsidRPr="004F572A">
        <w:rPr>
          <w:rFonts w:eastAsia="Calibri"/>
          <w:sz w:val="22"/>
          <w:szCs w:val="22"/>
        </w:rPr>
        <w:t xml:space="preserve">CYP 3A4 </w:t>
      </w:r>
      <w:proofErr w:type="spellStart"/>
      <w:r w:rsidRPr="004F572A">
        <w:rPr>
          <w:rFonts w:eastAsia="Calibri"/>
          <w:sz w:val="22"/>
          <w:szCs w:val="22"/>
        </w:rPr>
        <w:t>induktoriai</w:t>
      </w:r>
      <w:proofErr w:type="spellEnd"/>
      <w:r w:rsidRPr="004F572A">
        <w:rPr>
          <w:rFonts w:eastAsia="Calibri"/>
          <w:sz w:val="22"/>
          <w:szCs w:val="22"/>
        </w:rPr>
        <w:t xml:space="preserve"> ir inhibitoriai </w:t>
      </w:r>
      <w:r w:rsidR="000F1F16">
        <w:rPr>
          <w:rFonts w:eastAsia="Calibri"/>
          <w:sz w:val="22"/>
          <w:szCs w:val="22"/>
        </w:rPr>
        <w:t>turėjo</w:t>
      </w:r>
      <w:r w:rsidR="000F1F16" w:rsidRPr="004F572A">
        <w:rPr>
          <w:rFonts w:eastAsia="Calibri"/>
          <w:sz w:val="22"/>
          <w:szCs w:val="22"/>
        </w:rPr>
        <w:t xml:space="preserve"> </w:t>
      </w:r>
      <w:r w:rsidRPr="004F572A">
        <w:rPr>
          <w:rFonts w:eastAsia="Calibri"/>
          <w:sz w:val="22"/>
          <w:szCs w:val="22"/>
        </w:rPr>
        <w:t xml:space="preserve">minimalų poveikį </w:t>
      </w:r>
      <w:proofErr w:type="spellStart"/>
      <w:r w:rsidRPr="004F572A">
        <w:rPr>
          <w:rFonts w:eastAsia="Calibri"/>
          <w:sz w:val="22"/>
          <w:szCs w:val="22"/>
        </w:rPr>
        <w:t>lenvatinibo</w:t>
      </w:r>
      <w:proofErr w:type="spellEnd"/>
      <w:r w:rsidRPr="004F572A">
        <w:rPr>
          <w:rFonts w:eastAsia="Calibri"/>
          <w:sz w:val="22"/>
          <w:szCs w:val="22"/>
        </w:rPr>
        <w:t xml:space="preserve"> ekspozicijai (žr. 4.5 skyrių).</w:t>
      </w:r>
    </w:p>
    <w:p w14:paraId="4FD145A2" w14:textId="77777777" w:rsidR="00E84B13" w:rsidRPr="004F572A" w:rsidRDefault="00E84B13" w:rsidP="00392E35">
      <w:pPr>
        <w:widowControl w:val="0"/>
        <w:tabs>
          <w:tab w:val="clear" w:pos="567"/>
        </w:tabs>
        <w:rPr>
          <w:rFonts w:eastAsia="Calibri"/>
          <w:sz w:val="22"/>
          <w:szCs w:val="22"/>
        </w:rPr>
      </w:pPr>
    </w:p>
    <w:p w14:paraId="19D926C6" w14:textId="376A8B6E" w:rsidR="00392E35" w:rsidRPr="004F572A" w:rsidRDefault="00392E35" w:rsidP="00392E35">
      <w:pPr>
        <w:widowControl w:val="0"/>
        <w:tabs>
          <w:tab w:val="clear" w:pos="567"/>
        </w:tabs>
        <w:rPr>
          <w:rFonts w:eastAsia="Calibri"/>
          <w:sz w:val="22"/>
          <w:szCs w:val="22"/>
        </w:rPr>
      </w:pPr>
      <w:r w:rsidRPr="004F572A">
        <w:rPr>
          <w:rFonts w:eastAsia="Calibri"/>
          <w:sz w:val="22"/>
          <w:szCs w:val="22"/>
        </w:rPr>
        <w:t xml:space="preserve">Nustatyta, kad žmogaus kepenų </w:t>
      </w:r>
      <w:proofErr w:type="spellStart"/>
      <w:r w:rsidRPr="004F572A">
        <w:rPr>
          <w:rFonts w:eastAsia="Calibri"/>
          <w:sz w:val="22"/>
          <w:szCs w:val="22"/>
        </w:rPr>
        <w:t>mikrosomose</w:t>
      </w:r>
      <w:proofErr w:type="spellEnd"/>
      <w:r w:rsidRPr="004F572A">
        <w:rPr>
          <w:rFonts w:eastAsia="Calibri"/>
          <w:sz w:val="22"/>
          <w:szCs w:val="22"/>
        </w:rPr>
        <w:t xml:space="preserve"> pagrindinis metabolitas yra </w:t>
      </w:r>
      <w:proofErr w:type="spellStart"/>
      <w:r w:rsidRPr="004F572A">
        <w:rPr>
          <w:rFonts w:eastAsia="Calibri"/>
          <w:sz w:val="22"/>
          <w:szCs w:val="22"/>
        </w:rPr>
        <w:t>demetilinta</w:t>
      </w:r>
      <w:proofErr w:type="spellEnd"/>
      <w:r w:rsidRPr="004F572A">
        <w:rPr>
          <w:rFonts w:eastAsia="Calibri"/>
          <w:sz w:val="22"/>
          <w:szCs w:val="22"/>
        </w:rPr>
        <w:t xml:space="preserve"> </w:t>
      </w:r>
      <w:proofErr w:type="spellStart"/>
      <w:r w:rsidRPr="004F572A">
        <w:rPr>
          <w:rFonts w:eastAsia="Calibri"/>
          <w:sz w:val="22"/>
          <w:szCs w:val="22"/>
        </w:rPr>
        <w:t>lenvatinibo</w:t>
      </w:r>
      <w:proofErr w:type="spellEnd"/>
      <w:r w:rsidRPr="004F572A">
        <w:rPr>
          <w:rFonts w:eastAsia="Calibri"/>
          <w:sz w:val="22"/>
          <w:szCs w:val="22"/>
        </w:rPr>
        <w:t xml:space="preserve"> forma (M2). Pagrindiniai metabolitai žmogaus išmatose M2’ ir M3’ </w:t>
      </w:r>
      <w:r w:rsidR="000F1F16">
        <w:rPr>
          <w:rFonts w:eastAsia="Calibri"/>
          <w:sz w:val="22"/>
          <w:szCs w:val="22"/>
        </w:rPr>
        <w:t xml:space="preserve">susidarė </w:t>
      </w:r>
      <w:r w:rsidR="00E84B13" w:rsidRPr="004F572A">
        <w:rPr>
          <w:rFonts w:eastAsia="Calibri"/>
          <w:sz w:val="22"/>
          <w:szCs w:val="22"/>
        </w:rPr>
        <w:t xml:space="preserve">atitinkamai iš M2 ir </w:t>
      </w:r>
      <w:proofErr w:type="spellStart"/>
      <w:r w:rsidR="00E84B13" w:rsidRPr="004F572A">
        <w:rPr>
          <w:rFonts w:eastAsia="Calibri"/>
          <w:sz w:val="22"/>
          <w:szCs w:val="22"/>
        </w:rPr>
        <w:t>lenvatinibo</w:t>
      </w:r>
      <w:proofErr w:type="spellEnd"/>
      <w:r w:rsidR="000F1F16">
        <w:rPr>
          <w:rFonts w:eastAsia="Calibri"/>
          <w:sz w:val="22"/>
          <w:szCs w:val="22"/>
        </w:rPr>
        <w:t xml:space="preserve">, veikiant </w:t>
      </w:r>
      <w:proofErr w:type="spellStart"/>
      <w:r w:rsidR="000F1F16">
        <w:rPr>
          <w:rFonts w:eastAsia="Calibri"/>
          <w:sz w:val="22"/>
          <w:szCs w:val="22"/>
        </w:rPr>
        <w:t>aldehidoksidazei</w:t>
      </w:r>
      <w:proofErr w:type="spellEnd"/>
      <w:r w:rsidRPr="004F572A">
        <w:rPr>
          <w:rFonts w:eastAsia="Calibri"/>
          <w:sz w:val="22"/>
          <w:szCs w:val="22"/>
        </w:rPr>
        <w:t>.</w:t>
      </w:r>
    </w:p>
    <w:p w14:paraId="06EAA9BC" w14:textId="77777777" w:rsidR="005456B1" w:rsidRPr="004F572A" w:rsidRDefault="005456B1" w:rsidP="00392E35">
      <w:pPr>
        <w:widowControl w:val="0"/>
        <w:tabs>
          <w:tab w:val="clear" w:pos="567"/>
        </w:tabs>
        <w:rPr>
          <w:rFonts w:eastAsia="Calibri"/>
          <w:sz w:val="22"/>
          <w:szCs w:val="22"/>
        </w:rPr>
      </w:pPr>
    </w:p>
    <w:p w14:paraId="3AB137D2" w14:textId="0D73CB10" w:rsidR="00392E35" w:rsidRPr="004F572A" w:rsidRDefault="00392E35" w:rsidP="00392E35">
      <w:pPr>
        <w:widowControl w:val="0"/>
        <w:tabs>
          <w:tab w:val="clear" w:pos="567"/>
        </w:tabs>
        <w:rPr>
          <w:rFonts w:eastAsia="Calibri"/>
          <w:sz w:val="22"/>
          <w:szCs w:val="22"/>
        </w:rPr>
      </w:pPr>
      <w:r w:rsidRPr="004F572A">
        <w:rPr>
          <w:rFonts w:eastAsia="Calibri"/>
          <w:sz w:val="22"/>
          <w:szCs w:val="22"/>
        </w:rPr>
        <w:t>Plazmos mėginiuose, paimtuose likus iki 24</w:t>
      </w:r>
      <w:r w:rsidR="00B10CAA">
        <w:rPr>
          <w:rFonts w:eastAsia="Calibri"/>
          <w:sz w:val="22"/>
          <w:szCs w:val="22"/>
        </w:rPr>
        <w:t> </w:t>
      </w:r>
      <w:r w:rsidRPr="004F572A">
        <w:rPr>
          <w:rFonts w:eastAsia="Calibri"/>
          <w:sz w:val="22"/>
          <w:szCs w:val="22"/>
        </w:rPr>
        <w:t xml:space="preserve">valandų po pavartojimo, </w:t>
      </w:r>
      <w:proofErr w:type="spellStart"/>
      <w:r w:rsidRPr="004F572A">
        <w:rPr>
          <w:rFonts w:eastAsia="Calibri"/>
          <w:sz w:val="22"/>
          <w:szCs w:val="22"/>
        </w:rPr>
        <w:t>lenvatinibas</w:t>
      </w:r>
      <w:proofErr w:type="spellEnd"/>
      <w:r w:rsidRPr="004F572A">
        <w:rPr>
          <w:rFonts w:eastAsia="Calibri"/>
          <w:sz w:val="22"/>
          <w:szCs w:val="22"/>
        </w:rPr>
        <w:t xml:space="preserve"> sudarė 97</w:t>
      </w:r>
      <w:r w:rsidR="005456B1" w:rsidRPr="004F572A">
        <w:rPr>
          <w:rFonts w:eastAsia="Calibri"/>
          <w:sz w:val="22"/>
          <w:szCs w:val="22"/>
        </w:rPr>
        <w:t> </w:t>
      </w:r>
      <w:r w:rsidRPr="004F572A">
        <w:rPr>
          <w:rFonts w:eastAsia="Calibri"/>
          <w:sz w:val="22"/>
          <w:szCs w:val="22"/>
        </w:rPr>
        <w:t xml:space="preserve">% radioaktyvumo plazmos </w:t>
      </w:r>
      <w:proofErr w:type="spellStart"/>
      <w:r w:rsidRPr="004F572A">
        <w:rPr>
          <w:rFonts w:eastAsia="Calibri"/>
          <w:sz w:val="22"/>
          <w:szCs w:val="22"/>
        </w:rPr>
        <w:t>radiochromatogramose</w:t>
      </w:r>
      <w:proofErr w:type="spellEnd"/>
      <w:r w:rsidRPr="004F572A">
        <w:rPr>
          <w:rFonts w:eastAsia="Calibri"/>
          <w:sz w:val="22"/>
          <w:szCs w:val="22"/>
        </w:rPr>
        <w:t xml:space="preserve">, o M2 metabolitas </w:t>
      </w:r>
      <w:r w:rsidR="005456B1" w:rsidRPr="004F572A">
        <w:rPr>
          <w:rFonts w:eastAsia="Calibri"/>
          <w:sz w:val="22"/>
          <w:szCs w:val="22"/>
        </w:rPr>
        <w:t xml:space="preserve">papildomai </w:t>
      </w:r>
      <w:r w:rsidRPr="004F572A">
        <w:rPr>
          <w:rFonts w:eastAsia="Calibri"/>
          <w:sz w:val="22"/>
          <w:szCs w:val="22"/>
        </w:rPr>
        <w:t>sudarė dar 2,5</w:t>
      </w:r>
      <w:r w:rsidR="005456B1" w:rsidRPr="004F572A">
        <w:rPr>
          <w:rFonts w:eastAsia="Calibri"/>
          <w:sz w:val="22"/>
          <w:szCs w:val="22"/>
        </w:rPr>
        <w:t> </w:t>
      </w:r>
      <w:r w:rsidRPr="004F572A">
        <w:rPr>
          <w:rFonts w:eastAsia="Calibri"/>
          <w:sz w:val="22"/>
          <w:szCs w:val="22"/>
        </w:rPr>
        <w:t>%. Remiantis AUC</w:t>
      </w:r>
      <w:r w:rsidRPr="004F572A">
        <w:rPr>
          <w:rFonts w:eastAsia="Calibri"/>
          <w:sz w:val="22"/>
          <w:szCs w:val="22"/>
          <w:vertAlign w:val="subscript"/>
        </w:rPr>
        <w:t xml:space="preserve">(0 – </w:t>
      </w:r>
      <w:proofErr w:type="spellStart"/>
      <w:r w:rsidRPr="004F572A">
        <w:rPr>
          <w:rFonts w:eastAsia="Calibri"/>
          <w:sz w:val="22"/>
          <w:szCs w:val="22"/>
          <w:vertAlign w:val="subscript"/>
        </w:rPr>
        <w:t>inf</w:t>
      </w:r>
      <w:proofErr w:type="spellEnd"/>
      <w:r w:rsidRPr="004F572A">
        <w:rPr>
          <w:rFonts w:eastAsia="Calibri"/>
          <w:sz w:val="22"/>
          <w:szCs w:val="22"/>
          <w:vertAlign w:val="subscript"/>
        </w:rPr>
        <w:t>)</w:t>
      </w:r>
      <w:r w:rsidRPr="004F572A">
        <w:rPr>
          <w:rFonts w:eastAsia="Calibri"/>
          <w:sz w:val="22"/>
          <w:szCs w:val="22"/>
        </w:rPr>
        <w:t xml:space="preserve">, </w:t>
      </w:r>
      <w:proofErr w:type="spellStart"/>
      <w:r w:rsidRPr="004F572A">
        <w:rPr>
          <w:rFonts w:eastAsia="Calibri"/>
          <w:sz w:val="22"/>
          <w:szCs w:val="22"/>
        </w:rPr>
        <w:t>lenvatinibas</w:t>
      </w:r>
      <w:proofErr w:type="spellEnd"/>
      <w:r w:rsidRPr="004F572A">
        <w:rPr>
          <w:rFonts w:eastAsia="Calibri"/>
          <w:sz w:val="22"/>
          <w:szCs w:val="22"/>
        </w:rPr>
        <w:t xml:space="preserve"> sudarė atitinkamai 60</w:t>
      </w:r>
      <w:r w:rsidR="005456B1" w:rsidRPr="004F572A">
        <w:rPr>
          <w:rFonts w:eastAsia="Calibri"/>
          <w:sz w:val="22"/>
          <w:szCs w:val="22"/>
        </w:rPr>
        <w:t> </w:t>
      </w:r>
      <w:r w:rsidRPr="004F572A">
        <w:rPr>
          <w:rFonts w:eastAsia="Calibri"/>
          <w:sz w:val="22"/>
          <w:szCs w:val="22"/>
        </w:rPr>
        <w:t>% ir 64</w:t>
      </w:r>
      <w:r w:rsidR="005456B1" w:rsidRPr="004F572A">
        <w:rPr>
          <w:rFonts w:eastAsia="Calibri"/>
          <w:sz w:val="22"/>
          <w:szCs w:val="22"/>
        </w:rPr>
        <w:t> </w:t>
      </w:r>
      <w:r w:rsidRPr="004F572A">
        <w:rPr>
          <w:rFonts w:eastAsia="Calibri"/>
          <w:sz w:val="22"/>
          <w:szCs w:val="22"/>
        </w:rPr>
        <w:t>% viso radioaktyvumo plazmoje ir kraujyje.</w:t>
      </w:r>
    </w:p>
    <w:p w14:paraId="0DE1041C" w14:textId="77777777" w:rsidR="005456B1" w:rsidRPr="004F572A" w:rsidRDefault="005456B1" w:rsidP="00392E35">
      <w:pPr>
        <w:widowControl w:val="0"/>
        <w:tabs>
          <w:tab w:val="clear" w:pos="567"/>
        </w:tabs>
        <w:rPr>
          <w:rFonts w:eastAsia="Calibri"/>
          <w:sz w:val="22"/>
          <w:szCs w:val="22"/>
        </w:rPr>
      </w:pPr>
    </w:p>
    <w:p w14:paraId="3BB74E7A" w14:textId="0242ED54" w:rsidR="00392E35" w:rsidRPr="004F572A" w:rsidRDefault="00392E35" w:rsidP="00392E35">
      <w:pPr>
        <w:widowControl w:val="0"/>
        <w:tabs>
          <w:tab w:val="clear" w:pos="567"/>
        </w:tabs>
        <w:rPr>
          <w:rFonts w:eastAsia="Calibri"/>
          <w:sz w:val="22"/>
          <w:szCs w:val="22"/>
        </w:rPr>
      </w:pPr>
      <w:r w:rsidRPr="004F572A">
        <w:rPr>
          <w:rFonts w:eastAsia="Calibri"/>
          <w:sz w:val="22"/>
          <w:szCs w:val="22"/>
        </w:rPr>
        <w:t xml:space="preserve">Žmogaus masių </w:t>
      </w:r>
      <w:r w:rsidR="000F1F16">
        <w:rPr>
          <w:rFonts w:eastAsia="Calibri"/>
          <w:sz w:val="22"/>
          <w:szCs w:val="22"/>
        </w:rPr>
        <w:t>balanso</w:t>
      </w:r>
      <w:r w:rsidR="000F1F16" w:rsidRPr="004F572A">
        <w:rPr>
          <w:rFonts w:eastAsia="Calibri"/>
          <w:sz w:val="22"/>
          <w:szCs w:val="22"/>
        </w:rPr>
        <w:t xml:space="preserve"> </w:t>
      </w:r>
      <w:r w:rsidRPr="004F572A">
        <w:rPr>
          <w:rFonts w:eastAsia="Calibri"/>
          <w:sz w:val="22"/>
          <w:szCs w:val="22"/>
        </w:rPr>
        <w:t xml:space="preserve">/ </w:t>
      </w:r>
      <w:proofErr w:type="spellStart"/>
      <w:r w:rsidRPr="004F572A">
        <w:rPr>
          <w:rFonts w:eastAsia="Calibri"/>
          <w:sz w:val="22"/>
          <w:szCs w:val="22"/>
        </w:rPr>
        <w:t>ekskrecijos</w:t>
      </w:r>
      <w:proofErr w:type="spellEnd"/>
      <w:r w:rsidRPr="004F572A">
        <w:rPr>
          <w:rFonts w:eastAsia="Calibri"/>
          <w:sz w:val="22"/>
          <w:szCs w:val="22"/>
        </w:rPr>
        <w:t xml:space="preserve"> tyrimas rodo, kad </w:t>
      </w:r>
      <w:proofErr w:type="spellStart"/>
      <w:r w:rsidRPr="004F572A">
        <w:rPr>
          <w:rFonts w:eastAsia="Calibri"/>
          <w:sz w:val="22"/>
          <w:szCs w:val="22"/>
        </w:rPr>
        <w:t>lenvatinibas</w:t>
      </w:r>
      <w:proofErr w:type="spellEnd"/>
      <w:r w:rsidRPr="004F572A">
        <w:rPr>
          <w:rFonts w:eastAsia="Calibri"/>
          <w:sz w:val="22"/>
          <w:szCs w:val="22"/>
        </w:rPr>
        <w:t xml:space="preserve"> ekstensyviai </w:t>
      </w:r>
      <w:proofErr w:type="spellStart"/>
      <w:r w:rsidRPr="004F572A">
        <w:rPr>
          <w:rFonts w:eastAsia="Calibri"/>
          <w:sz w:val="22"/>
          <w:szCs w:val="22"/>
        </w:rPr>
        <w:t>metabolizuojamas</w:t>
      </w:r>
      <w:proofErr w:type="spellEnd"/>
      <w:r w:rsidRPr="004F572A">
        <w:rPr>
          <w:rFonts w:eastAsia="Calibri"/>
          <w:sz w:val="22"/>
          <w:szCs w:val="22"/>
        </w:rPr>
        <w:t xml:space="preserve"> žmonių organizme. Pagrindiniai nustatyti </w:t>
      </w:r>
      <w:proofErr w:type="spellStart"/>
      <w:r w:rsidRPr="004F572A">
        <w:rPr>
          <w:rFonts w:eastAsia="Calibri"/>
          <w:sz w:val="22"/>
          <w:szCs w:val="22"/>
        </w:rPr>
        <w:t>metaboli</w:t>
      </w:r>
      <w:r w:rsidR="000F1F16">
        <w:rPr>
          <w:rFonts w:eastAsia="Calibri"/>
          <w:sz w:val="22"/>
          <w:szCs w:val="22"/>
        </w:rPr>
        <w:t>niai</w:t>
      </w:r>
      <w:proofErr w:type="spellEnd"/>
      <w:r w:rsidRPr="004F572A">
        <w:rPr>
          <w:rFonts w:eastAsia="Calibri"/>
          <w:sz w:val="22"/>
          <w:szCs w:val="22"/>
        </w:rPr>
        <w:t xml:space="preserve"> keliai žmonėms buvo oksidacija veikiant </w:t>
      </w:r>
      <w:proofErr w:type="spellStart"/>
      <w:r w:rsidRPr="004F572A">
        <w:rPr>
          <w:rFonts w:eastAsia="Calibri"/>
          <w:sz w:val="22"/>
          <w:szCs w:val="22"/>
        </w:rPr>
        <w:t>aldehidoksidazei</w:t>
      </w:r>
      <w:proofErr w:type="spellEnd"/>
      <w:r w:rsidRPr="004F572A">
        <w:rPr>
          <w:rFonts w:eastAsia="Calibri"/>
          <w:sz w:val="22"/>
          <w:szCs w:val="22"/>
        </w:rPr>
        <w:t xml:space="preserve">, </w:t>
      </w:r>
      <w:proofErr w:type="spellStart"/>
      <w:r w:rsidRPr="004F572A">
        <w:rPr>
          <w:rFonts w:eastAsia="Calibri"/>
          <w:sz w:val="22"/>
          <w:szCs w:val="22"/>
        </w:rPr>
        <w:t>demetilinimas</w:t>
      </w:r>
      <w:proofErr w:type="spellEnd"/>
      <w:r w:rsidRPr="004F572A">
        <w:rPr>
          <w:rFonts w:eastAsia="Calibri"/>
          <w:sz w:val="22"/>
          <w:szCs w:val="22"/>
        </w:rPr>
        <w:t xml:space="preserve"> veikiant CYP3A4, </w:t>
      </w:r>
      <w:proofErr w:type="spellStart"/>
      <w:r w:rsidR="000F1F16" w:rsidRPr="004F572A">
        <w:rPr>
          <w:rFonts w:eastAsia="Calibri"/>
          <w:sz w:val="22"/>
          <w:szCs w:val="22"/>
        </w:rPr>
        <w:t>glutationu</w:t>
      </w:r>
      <w:proofErr w:type="spellEnd"/>
      <w:r w:rsidR="000F1F16" w:rsidRPr="004F572A">
        <w:rPr>
          <w:rFonts w:eastAsia="Calibri"/>
          <w:sz w:val="22"/>
          <w:szCs w:val="22"/>
        </w:rPr>
        <w:t xml:space="preserve"> </w:t>
      </w:r>
      <w:proofErr w:type="spellStart"/>
      <w:r w:rsidRPr="004F572A">
        <w:rPr>
          <w:rFonts w:eastAsia="Calibri"/>
          <w:sz w:val="22"/>
          <w:szCs w:val="22"/>
        </w:rPr>
        <w:t>konjugacija</w:t>
      </w:r>
      <w:proofErr w:type="spellEnd"/>
      <w:r w:rsidRPr="004F572A">
        <w:rPr>
          <w:rFonts w:eastAsia="Calibri"/>
          <w:sz w:val="22"/>
          <w:szCs w:val="22"/>
        </w:rPr>
        <w:t xml:space="preserve"> su O-</w:t>
      </w:r>
      <w:proofErr w:type="spellStart"/>
      <w:r w:rsidRPr="004F572A">
        <w:rPr>
          <w:rFonts w:eastAsia="Calibri"/>
          <w:sz w:val="22"/>
          <w:szCs w:val="22"/>
        </w:rPr>
        <w:t>aril</w:t>
      </w:r>
      <w:r w:rsidR="000F1F16">
        <w:rPr>
          <w:rFonts w:eastAsia="Calibri"/>
          <w:sz w:val="22"/>
          <w:szCs w:val="22"/>
        </w:rPr>
        <w:t>ų</w:t>
      </w:r>
      <w:proofErr w:type="spellEnd"/>
      <w:r w:rsidRPr="004F572A">
        <w:rPr>
          <w:rFonts w:eastAsia="Calibri"/>
          <w:sz w:val="22"/>
          <w:szCs w:val="22"/>
        </w:rPr>
        <w:t xml:space="preserve"> grupės (</w:t>
      </w:r>
      <w:proofErr w:type="spellStart"/>
      <w:r w:rsidRPr="004F572A">
        <w:rPr>
          <w:rFonts w:eastAsia="Calibri"/>
          <w:sz w:val="22"/>
          <w:szCs w:val="22"/>
        </w:rPr>
        <w:t>chlorofenil</w:t>
      </w:r>
      <w:r w:rsidR="005456B1" w:rsidRPr="004F572A">
        <w:rPr>
          <w:rFonts w:eastAsia="Calibri"/>
          <w:sz w:val="22"/>
          <w:szCs w:val="22"/>
        </w:rPr>
        <w:t>o</w:t>
      </w:r>
      <w:proofErr w:type="spellEnd"/>
      <w:r w:rsidR="005456B1" w:rsidRPr="004F572A">
        <w:rPr>
          <w:rFonts w:eastAsia="Calibri"/>
          <w:sz w:val="22"/>
          <w:szCs w:val="22"/>
        </w:rPr>
        <w:t xml:space="preserve"> </w:t>
      </w:r>
      <w:r w:rsidR="000F1F16">
        <w:rPr>
          <w:rFonts w:eastAsia="Calibri"/>
          <w:sz w:val="22"/>
          <w:szCs w:val="22"/>
        </w:rPr>
        <w:t>grupės</w:t>
      </w:r>
      <w:r w:rsidRPr="004F572A">
        <w:rPr>
          <w:rFonts w:eastAsia="Calibri"/>
          <w:sz w:val="22"/>
          <w:szCs w:val="22"/>
        </w:rPr>
        <w:t>) eliminacija, ir šių kelių deriniai, po kurių vyksta tolesnė</w:t>
      </w:r>
      <w:r w:rsidR="000F1F16">
        <w:rPr>
          <w:rFonts w:eastAsia="Calibri"/>
          <w:sz w:val="22"/>
          <w:szCs w:val="22"/>
        </w:rPr>
        <w:t>s</w:t>
      </w:r>
      <w:r w:rsidRPr="004F572A">
        <w:rPr>
          <w:rFonts w:eastAsia="Calibri"/>
          <w:sz w:val="22"/>
          <w:szCs w:val="22"/>
        </w:rPr>
        <w:t xml:space="preserve"> </w:t>
      </w:r>
      <w:proofErr w:type="spellStart"/>
      <w:r w:rsidRPr="004F572A">
        <w:rPr>
          <w:rFonts w:eastAsia="Calibri"/>
          <w:sz w:val="22"/>
          <w:szCs w:val="22"/>
        </w:rPr>
        <w:t>biotransformacij</w:t>
      </w:r>
      <w:r w:rsidR="000F1F16">
        <w:rPr>
          <w:rFonts w:eastAsia="Calibri"/>
          <w:sz w:val="22"/>
          <w:szCs w:val="22"/>
        </w:rPr>
        <w:t>os</w:t>
      </w:r>
      <w:proofErr w:type="spellEnd"/>
      <w:r w:rsidRPr="004F572A">
        <w:rPr>
          <w:rFonts w:eastAsia="Calibri"/>
          <w:sz w:val="22"/>
          <w:szCs w:val="22"/>
        </w:rPr>
        <w:t xml:space="preserve"> (pvz., </w:t>
      </w:r>
      <w:proofErr w:type="spellStart"/>
      <w:r w:rsidRPr="004F572A">
        <w:rPr>
          <w:rFonts w:eastAsia="Calibri"/>
          <w:sz w:val="22"/>
          <w:szCs w:val="22"/>
        </w:rPr>
        <w:t>gliukuroni</w:t>
      </w:r>
      <w:r w:rsidR="000F1F16">
        <w:rPr>
          <w:rFonts w:eastAsia="Calibri"/>
          <w:sz w:val="22"/>
          <w:szCs w:val="22"/>
        </w:rPr>
        <w:t>dinimas</w:t>
      </w:r>
      <w:proofErr w:type="spellEnd"/>
      <w:r w:rsidRPr="004F572A">
        <w:rPr>
          <w:rFonts w:eastAsia="Calibri"/>
          <w:sz w:val="22"/>
          <w:szCs w:val="22"/>
        </w:rPr>
        <w:t xml:space="preserve">, </w:t>
      </w:r>
      <w:proofErr w:type="spellStart"/>
      <w:r w:rsidRPr="004F572A">
        <w:rPr>
          <w:rFonts w:eastAsia="Calibri"/>
          <w:sz w:val="22"/>
          <w:szCs w:val="22"/>
        </w:rPr>
        <w:t>glutation</w:t>
      </w:r>
      <w:r w:rsidR="000F1F16">
        <w:rPr>
          <w:rFonts w:eastAsia="Calibri"/>
          <w:sz w:val="22"/>
          <w:szCs w:val="22"/>
        </w:rPr>
        <w:t>ų</w:t>
      </w:r>
      <w:proofErr w:type="spellEnd"/>
      <w:r w:rsidR="000F1F16">
        <w:rPr>
          <w:rFonts w:eastAsia="Calibri"/>
          <w:sz w:val="22"/>
          <w:szCs w:val="22"/>
        </w:rPr>
        <w:t xml:space="preserve"> grupės</w:t>
      </w:r>
      <w:r w:rsidRPr="004F572A">
        <w:rPr>
          <w:rFonts w:eastAsia="Calibri"/>
          <w:sz w:val="22"/>
          <w:szCs w:val="22"/>
        </w:rPr>
        <w:t xml:space="preserve"> hidrolizė, </w:t>
      </w:r>
      <w:proofErr w:type="spellStart"/>
      <w:r w:rsidRPr="004F572A">
        <w:rPr>
          <w:rFonts w:eastAsia="Calibri"/>
          <w:sz w:val="22"/>
          <w:szCs w:val="22"/>
        </w:rPr>
        <w:t>cistein</w:t>
      </w:r>
      <w:r w:rsidR="000F1F16">
        <w:rPr>
          <w:rFonts w:eastAsia="Calibri"/>
          <w:sz w:val="22"/>
          <w:szCs w:val="22"/>
        </w:rPr>
        <w:t>ų</w:t>
      </w:r>
      <w:proofErr w:type="spellEnd"/>
      <w:r w:rsidR="00F31389" w:rsidRPr="004F572A">
        <w:rPr>
          <w:rFonts w:eastAsia="Calibri"/>
          <w:sz w:val="22"/>
          <w:szCs w:val="22"/>
        </w:rPr>
        <w:t xml:space="preserve"> </w:t>
      </w:r>
      <w:r w:rsidR="000F1F16">
        <w:rPr>
          <w:rFonts w:eastAsia="Calibri"/>
          <w:sz w:val="22"/>
          <w:szCs w:val="22"/>
        </w:rPr>
        <w:t>grupės</w:t>
      </w:r>
      <w:r w:rsidRPr="004F572A">
        <w:rPr>
          <w:rFonts w:eastAsia="Calibri"/>
          <w:sz w:val="22"/>
          <w:szCs w:val="22"/>
        </w:rPr>
        <w:t xml:space="preserve"> degradacija ir </w:t>
      </w:r>
      <w:proofErr w:type="spellStart"/>
      <w:r w:rsidRPr="004F572A">
        <w:rPr>
          <w:rFonts w:eastAsia="Calibri"/>
          <w:sz w:val="22"/>
          <w:szCs w:val="22"/>
        </w:rPr>
        <w:t>intramolekulinis</w:t>
      </w:r>
      <w:proofErr w:type="spellEnd"/>
      <w:r w:rsidRPr="004F572A">
        <w:rPr>
          <w:rFonts w:eastAsia="Calibri"/>
          <w:sz w:val="22"/>
          <w:szCs w:val="22"/>
        </w:rPr>
        <w:t xml:space="preserve"> </w:t>
      </w:r>
      <w:proofErr w:type="spellStart"/>
      <w:r w:rsidRPr="004F572A">
        <w:rPr>
          <w:rFonts w:eastAsia="Calibri"/>
          <w:sz w:val="22"/>
          <w:szCs w:val="22"/>
        </w:rPr>
        <w:t>cisteinilglicino</w:t>
      </w:r>
      <w:proofErr w:type="spellEnd"/>
      <w:r w:rsidRPr="004F572A">
        <w:rPr>
          <w:rFonts w:eastAsia="Calibri"/>
          <w:sz w:val="22"/>
          <w:szCs w:val="22"/>
        </w:rPr>
        <w:t xml:space="preserve"> ir </w:t>
      </w:r>
      <w:proofErr w:type="spellStart"/>
      <w:r w:rsidRPr="004F572A">
        <w:rPr>
          <w:rFonts w:eastAsia="Calibri"/>
          <w:sz w:val="22"/>
          <w:szCs w:val="22"/>
        </w:rPr>
        <w:t>cistein</w:t>
      </w:r>
      <w:r w:rsidR="00F31389" w:rsidRPr="004F572A">
        <w:rPr>
          <w:rFonts w:eastAsia="Calibri"/>
          <w:sz w:val="22"/>
          <w:szCs w:val="22"/>
        </w:rPr>
        <w:t>o</w:t>
      </w:r>
      <w:proofErr w:type="spellEnd"/>
      <w:r w:rsidRPr="004F572A">
        <w:rPr>
          <w:rFonts w:eastAsia="Calibri"/>
          <w:sz w:val="22"/>
          <w:szCs w:val="22"/>
        </w:rPr>
        <w:t xml:space="preserve"> </w:t>
      </w:r>
      <w:proofErr w:type="spellStart"/>
      <w:r w:rsidRPr="004F572A">
        <w:rPr>
          <w:rFonts w:eastAsia="Calibri"/>
          <w:sz w:val="22"/>
          <w:szCs w:val="22"/>
        </w:rPr>
        <w:t>konjugatų</w:t>
      </w:r>
      <w:proofErr w:type="spellEnd"/>
      <w:r w:rsidRPr="004F572A">
        <w:rPr>
          <w:rFonts w:eastAsia="Calibri"/>
          <w:sz w:val="22"/>
          <w:szCs w:val="22"/>
        </w:rPr>
        <w:t xml:space="preserve"> per</w:t>
      </w:r>
      <w:r w:rsidR="000F1F16">
        <w:rPr>
          <w:rFonts w:eastAsia="Calibri"/>
          <w:sz w:val="22"/>
          <w:szCs w:val="22"/>
        </w:rPr>
        <w:t>si</w:t>
      </w:r>
      <w:r w:rsidRPr="004F572A">
        <w:rPr>
          <w:rFonts w:eastAsia="Calibri"/>
          <w:sz w:val="22"/>
          <w:szCs w:val="22"/>
        </w:rPr>
        <w:t xml:space="preserve">tvarkymas su tolesne </w:t>
      </w:r>
      <w:proofErr w:type="spellStart"/>
      <w:r w:rsidRPr="004F572A">
        <w:rPr>
          <w:rFonts w:eastAsia="Calibri"/>
          <w:sz w:val="22"/>
          <w:szCs w:val="22"/>
        </w:rPr>
        <w:t>dimerizacija</w:t>
      </w:r>
      <w:proofErr w:type="spellEnd"/>
      <w:r w:rsidRPr="004F572A">
        <w:rPr>
          <w:rFonts w:eastAsia="Calibri"/>
          <w:sz w:val="22"/>
          <w:szCs w:val="22"/>
        </w:rPr>
        <w:t xml:space="preserve">). Šie </w:t>
      </w:r>
      <w:proofErr w:type="spellStart"/>
      <w:r w:rsidRPr="004F572A">
        <w:rPr>
          <w:rFonts w:eastAsia="Calibri"/>
          <w:i/>
          <w:iCs/>
          <w:sz w:val="22"/>
          <w:szCs w:val="22"/>
        </w:rPr>
        <w:t>in</w:t>
      </w:r>
      <w:proofErr w:type="spellEnd"/>
      <w:r w:rsidRPr="004F572A">
        <w:rPr>
          <w:rFonts w:eastAsia="Calibri"/>
          <w:i/>
          <w:iCs/>
          <w:sz w:val="22"/>
          <w:szCs w:val="22"/>
        </w:rPr>
        <w:t xml:space="preserve"> </w:t>
      </w:r>
      <w:proofErr w:type="spellStart"/>
      <w:r w:rsidRPr="004F572A">
        <w:rPr>
          <w:rFonts w:eastAsia="Calibri"/>
          <w:i/>
          <w:iCs/>
          <w:sz w:val="22"/>
          <w:szCs w:val="22"/>
        </w:rPr>
        <w:t>vivo</w:t>
      </w:r>
      <w:proofErr w:type="spellEnd"/>
      <w:r w:rsidRPr="004F572A">
        <w:rPr>
          <w:rFonts w:eastAsia="Calibri"/>
          <w:i/>
          <w:iCs/>
          <w:sz w:val="22"/>
          <w:szCs w:val="22"/>
        </w:rPr>
        <w:t xml:space="preserve"> </w:t>
      </w:r>
      <w:proofErr w:type="spellStart"/>
      <w:r w:rsidRPr="004F572A">
        <w:rPr>
          <w:rFonts w:eastAsia="Calibri"/>
          <w:sz w:val="22"/>
          <w:szCs w:val="22"/>
        </w:rPr>
        <w:t>metaboliniai</w:t>
      </w:r>
      <w:proofErr w:type="spellEnd"/>
      <w:r w:rsidRPr="004F572A">
        <w:rPr>
          <w:rFonts w:eastAsia="Calibri"/>
          <w:sz w:val="22"/>
          <w:szCs w:val="22"/>
        </w:rPr>
        <w:t xml:space="preserve"> keliai atitinka duomenis, gautus atliekant </w:t>
      </w:r>
      <w:proofErr w:type="spellStart"/>
      <w:r w:rsidRPr="004F572A">
        <w:rPr>
          <w:rFonts w:eastAsia="Calibri"/>
          <w:i/>
          <w:iCs/>
          <w:sz w:val="22"/>
          <w:szCs w:val="22"/>
        </w:rPr>
        <w:t>in</w:t>
      </w:r>
      <w:proofErr w:type="spellEnd"/>
      <w:r w:rsidRPr="004F572A">
        <w:rPr>
          <w:rFonts w:eastAsia="Calibri"/>
          <w:i/>
          <w:iCs/>
          <w:sz w:val="22"/>
          <w:szCs w:val="22"/>
        </w:rPr>
        <w:t xml:space="preserve"> </w:t>
      </w:r>
      <w:proofErr w:type="spellStart"/>
      <w:r w:rsidRPr="004F572A">
        <w:rPr>
          <w:rFonts w:eastAsia="Calibri"/>
          <w:i/>
          <w:iCs/>
          <w:sz w:val="22"/>
          <w:szCs w:val="22"/>
        </w:rPr>
        <w:t>vitro</w:t>
      </w:r>
      <w:proofErr w:type="spellEnd"/>
      <w:r w:rsidRPr="004F572A">
        <w:rPr>
          <w:rFonts w:eastAsia="Calibri"/>
          <w:i/>
          <w:iCs/>
          <w:sz w:val="22"/>
          <w:szCs w:val="22"/>
        </w:rPr>
        <w:t xml:space="preserve"> </w:t>
      </w:r>
      <w:r w:rsidRPr="004F572A">
        <w:rPr>
          <w:rFonts w:eastAsia="Calibri"/>
          <w:sz w:val="22"/>
          <w:szCs w:val="22"/>
        </w:rPr>
        <w:t>tyrimus naudojant žmogaus biologines medžiagas.</w:t>
      </w:r>
    </w:p>
    <w:p w14:paraId="3D7886F7" w14:textId="77777777" w:rsidR="00F31389" w:rsidRPr="004F572A" w:rsidRDefault="00F31389" w:rsidP="00392E35">
      <w:pPr>
        <w:widowControl w:val="0"/>
        <w:tabs>
          <w:tab w:val="clear" w:pos="567"/>
        </w:tabs>
        <w:rPr>
          <w:rFonts w:eastAsia="Calibri"/>
          <w:i/>
          <w:iCs/>
          <w:sz w:val="22"/>
          <w:szCs w:val="22"/>
        </w:rPr>
      </w:pPr>
    </w:p>
    <w:p w14:paraId="761B87FC" w14:textId="1B76F3ED" w:rsidR="00CA58C7" w:rsidRPr="004F572A" w:rsidRDefault="00392E35" w:rsidP="00392E35">
      <w:pPr>
        <w:widowControl w:val="0"/>
        <w:tabs>
          <w:tab w:val="clear" w:pos="567"/>
        </w:tabs>
        <w:rPr>
          <w:rFonts w:eastAsia="Calibri"/>
          <w:sz w:val="22"/>
          <w:szCs w:val="22"/>
          <w:u w:val="single"/>
        </w:rPr>
      </w:pPr>
      <w:proofErr w:type="spellStart"/>
      <w:r w:rsidRPr="004F572A">
        <w:rPr>
          <w:rFonts w:eastAsia="Calibri"/>
          <w:i/>
          <w:iCs/>
          <w:sz w:val="22"/>
          <w:szCs w:val="22"/>
          <w:u w:val="single"/>
        </w:rPr>
        <w:t>In</w:t>
      </w:r>
      <w:proofErr w:type="spellEnd"/>
      <w:r w:rsidRPr="004F572A">
        <w:rPr>
          <w:rFonts w:eastAsia="Calibri"/>
          <w:i/>
          <w:iCs/>
          <w:sz w:val="22"/>
          <w:szCs w:val="22"/>
          <w:u w:val="single"/>
        </w:rPr>
        <w:t xml:space="preserve"> </w:t>
      </w:r>
      <w:proofErr w:type="spellStart"/>
      <w:r w:rsidRPr="004F572A">
        <w:rPr>
          <w:rFonts w:eastAsia="Calibri"/>
          <w:i/>
          <w:iCs/>
          <w:sz w:val="22"/>
          <w:szCs w:val="22"/>
          <w:u w:val="single"/>
        </w:rPr>
        <w:t>vitro</w:t>
      </w:r>
      <w:proofErr w:type="spellEnd"/>
      <w:r w:rsidRPr="004F572A">
        <w:rPr>
          <w:rFonts w:eastAsia="Calibri"/>
          <w:i/>
          <w:iCs/>
          <w:sz w:val="22"/>
          <w:szCs w:val="22"/>
          <w:u w:val="single"/>
        </w:rPr>
        <w:t xml:space="preserve"> nešiklių tyrimai</w:t>
      </w:r>
    </w:p>
    <w:p w14:paraId="729DA3E3" w14:textId="77777777" w:rsidR="00172CCE" w:rsidRPr="004F572A" w:rsidRDefault="00172CCE" w:rsidP="000928CA">
      <w:pPr>
        <w:widowControl w:val="0"/>
        <w:tabs>
          <w:tab w:val="clear" w:pos="567"/>
        </w:tabs>
        <w:rPr>
          <w:rFonts w:eastAsia="Calibri"/>
          <w:sz w:val="22"/>
          <w:szCs w:val="22"/>
        </w:rPr>
      </w:pPr>
    </w:p>
    <w:p w14:paraId="78F4D0D8" w14:textId="6D704B85" w:rsidR="006B3C33" w:rsidRPr="004F572A" w:rsidRDefault="006B3C33" w:rsidP="006B3C33">
      <w:pPr>
        <w:widowControl w:val="0"/>
        <w:tabs>
          <w:tab w:val="clear" w:pos="567"/>
        </w:tabs>
        <w:rPr>
          <w:rFonts w:eastAsia="Calibri"/>
          <w:sz w:val="22"/>
          <w:szCs w:val="22"/>
        </w:rPr>
      </w:pPr>
      <w:r w:rsidRPr="004F572A">
        <w:rPr>
          <w:rFonts w:eastAsia="Calibri"/>
          <w:sz w:val="22"/>
          <w:szCs w:val="22"/>
        </w:rPr>
        <w:t xml:space="preserve">OAT1, OAT3, OATP1B1, OCT1, OCT2 ir BSEP nešikliams kliniškai reikšmingas slopinimas buvo </w:t>
      </w:r>
      <w:r w:rsidRPr="004F572A">
        <w:rPr>
          <w:rFonts w:eastAsia="Calibri"/>
          <w:sz w:val="22"/>
          <w:szCs w:val="22"/>
        </w:rPr>
        <w:lastRenderedPageBreak/>
        <w:t>paneigtas remiantis IC</w:t>
      </w:r>
      <w:r w:rsidRPr="004F572A">
        <w:rPr>
          <w:rFonts w:eastAsia="Calibri"/>
          <w:sz w:val="22"/>
          <w:szCs w:val="22"/>
          <w:vertAlign w:val="subscript"/>
        </w:rPr>
        <w:t>50</w:t>
      </w:r>
      <w:r w:rsidR="00B10CAA">
        <w:rPr>
          <w:rFonts w:eastAsia="Calibri"/>
          <w:sz w:val="22"/>
          <w:szCs w:val="22"/>
        </w:rPr>
        <w:t> </w:t>
      </w:r>
      <w:r w:rsidRPr="004F572A">
        <w:rPr>
          <w:rFonts w:eastAsia="Calibri"/>
          <w:sz w:val="22"/>
          <w:szCs w:val="22"/>
        </w:rPr>
        <w:t>&gt;</w:t>
      </w:r>
      <w:r w:rsidR="00B10CAA">
        <w:rPr>
          <w:rFonts w:eastAsia="Calibri"/>
          <w:sz w:val="22"/>
          <w:szCs w:val="22"/>
        </w:rPr>
        <w:t> </w:t>
      </w:r>
      <w:r w:rsidRPr="004F572A">
        <w:rPr>
          <w:rFonts w:eastAsia="Calibri"/>
          <w:sz w:val="22"/>
          <w:szCs w:val="22"/>
        </w:rPr>
        <w:t>50</w:t>
      </w:r>
      <w:r w:rsidR="00B10CAA">
        <w:rPr>
          <w:rFonts w:eastAsia="Calibri"/>
          <w:sz w:val="22"/>
          <w:szCs w:val="22"/>
        </w:rPr>
        <w:t> </w:t>
      </w:r>
      <w:r w:rsidRPr="004F572A">
        <w:rPr>
          <w:rFonts w:eastAsia="Calibri"/>
          <w:sz w:val="22"/>
          <w:szCs w:val="22"/>
        </w:rPr>
        <w:t>×</w:t>
      </w:r>
      <w:r w:rsidR="00B10CAA">
        <w:rPr>
          <w:rFonts w:eastAsia="Calibri"/>
          <w:sz w:val="22"/>
          <w:szCs w:val="22"/>
        </w:rPr>
        <w:t> </w:t>
      </w:r>
      <w:proofErr w:type="spellStart"/>
      <w:r w:rsidRPr="004F572A">
        <w:rPr>
          <w:rFonts w:eastAsia="Calibri"/>
          <w:sz w:val="22"/>
          <w:szCs w:val="22"/>
          <w:vertAlign w:val="subscript"/>
        </w:rPr>
        <w:t>Cmax</w:t>
      </w:r>
      <w:proofErr w:type="spellEnd"/>
      <w:r w:rsidRPr="004F572A">
        <w:rPr>
          <w:rFonts w:eastAsia="Calibri"/>
          <w:sz w:val="22"/>
          <w:szCs w:val="22"/>
          <w:vertAlign w:val="subscript"/>
        </w:rPr>
        <w:t xml:space="preserve"> </w:t>
      </w:r>
      <w:proofErr w:type="spellStart"/>
      <w:r w:rsidRPr="004F572A">
        <w:rPr>
          <w:rFonts w:eastAsia="Calibri"/>
          <w:sz w:val="22"/>
          <w:szCs w:val="22"/>
          <w:vertAlign w:val="subscript"/>
        </w:rPr>
        <w:t>neprsiijungęs</w:t>
      </w:r>
      <w:proofErr w:type="spellEnd"/>
      <w:r w:rsidRPr="004F572A">
        <w:rPr>
          <w:rFonts w:eastAsia="Calibri"/>
          <w:sz w:val="22"/>
          <w:szCs w:val="22"/>
        </w:rPr>
        <w:t xml:space="preserve"> ribine koncentracija.</w:t>
      </w:r>
    </w:p>
    <w:p w14:paraId="0ECCCE58" w14:textId="77777777" w:rsidR="006B3C33" w:rsidRPr="004F572A" w:rsidRDefault="006B3C33" w:rsidP="006B3C33">
      <w:pPr>
        <w:widowControl w:val="0"/>
        <w:tabs>
          <w:tab w:val="clear" w:pos="567"/>
        </w:tabs>
        <w:rPr>
          <w:rFonts w:eastAsia="Calibri"/>
          <w:sz w:val="22"/>
          <w:szCs w:val="22"/>
        </w:rPr>
      </w:pPr>
    </w:p>
    <w:p w14:paraId="62FCD545" w14:textId="3A28BB5E" w:rsidR="006B3C33" w:rsidRPr="004F572A" w:rsidRDefault="006B3C33" w:rsidP="006B3C33">
      <w:pPr>
        <w:widowControl w:val="0"/>
        <w:tabs>
          <w:tab w:val="clear" w:pos="567"/>
        </w:tabs>
        <w:rPr>
          <w:rFonts w:eastAsia="Calibri"/>
          <w:sz w:val="22"/>
          <w:szCs w:val="22"/>
        </w:rPr>
      </w:pPr>
      <w:proofErr w:type="spellStart"/>
      <w:r w:rsidRPr="004F572A">
        <w:rPr>
          <w:rFonts w:eastAsia="Calibri"/>
          <w:sz w:val="22"/>
          <w:szCs w:val="22"/>
        </w:rPr>
        <w:t>Lenvatinibas</w:t>
      </w:r>
      <w:proofErr w:type="spellEnd"/>
      <w:r w:rsidRPr="004F572A">
        <w:rPr>
          <w:rFonts w:eastAsia="Calibri"/>
          <w:sz w:val="22"/>
          <w:szCs w:val="22"/>
        </w:rPr>
        <w:t xml:space="preserve"> minimaliai slopino P-</w:t>
      </w:r>
      <w:proofErr w:type="spellStart"/>
      <w:r w:rsidRPr="004F572A">
        <w:rPr>
          <w:rFonts w:eastAsia="Calibri"/>
          <w:sz w:val="22"/>
          <w:szCs w:val="22"/>
        </w:rPr>
        <w:t>gp</w:t>
      </w:r>
      <w:proofErr w:type="spellEnd"/>
      <w:r w:rsidRPr="004F572A">
        <w:rPr>
          <w:rFonts w:eastAsia="Calibri"/>
          <w:sz w:val="22"/>
          <w:szCs w:val="22"/>
        </w:rPr>
        <w:t xml:space="preserve"> </w:t>
      </w:r>
      <w:r w:rsidR="000F79B8">
        <w:rPr>
          <w:rFonts w:eastAsia="Calibri"/>
          <w:sz w:val="22"/>
          <w:szCs w:val="22"/>
        </w:rPr>
        <w:t>sąlygojamą</w:t>
      </w:r>
      <w:r w:rsidR="000F79B8" w:rsidRPr="004F572A">
        <w:rPr>
          <w:rFonts w:eastAsia="Calibri"/>
          <w:sz w:val="22"/>
          <w:szCs w:val="22"/>
        </w:rPr>
        <w:t xml:space="preserve"> </w:t>
      </w:r>
      <w:r w:rsidRPr="004F572A">
        <w:rPr>
          <w:rFonts w:eastAsia="Calibri"/>
          <w:sz w:val="22"/>
          <w:szCs w:val="22"/>
        </w:rPr>
        <w:t xml:space="preserve">ir atsparumo krūties vėžiui baltymo (BCRP) </w:t>
      </w:r>
      <w:r w:rsidR="000F79B8">
        <w:rPr>
          <w:rFonts w:eastAsia="Calibri"/>
          <w:sz w:val="22"/>
          <w:szCs w:val="22"/>
        </w:rPr>
        <w:t>sąlygojamą</w:t>
      </w:r>
      <w:r w:rsidRPr="004F572A">
        <w:rPr>
          <w:rFonts w:eastAsia="Calibri"/>
          <w:sz w:val="22"/>
          <w:szCs w:val="22"/>
        </w:rPr>
        <w:t xml:space="preserve"> nešiklių veiklą arba jos neslopino. </w:t>
      </w:r>
      <w:r w:rsidR="000F79B8">
        <w:rPr>
          <w:rFonts w:eastAsia="Calibri"/>
          <w:sz w:val="22"/>
          <w:szCs w:val="22"/>
        </w:rPr>
        <w:t xml:space="preserve">Panašiai nenustatyta </w:t>
      </w:r>
      <w:r w:rsidRPr="004F572A">
        <w:rPr>
          <w:rFonts w:eastAsia="Calibri"/>
          <w:sz w:val="22"/>
          <w:szCs w:val="22"/>
        </w:rPr>
        <w:t>P-</w:t>
      </w:r>
      <w:proofErr w:type="spellStart"/>
      <w:r w:rsidRPr="004F572A">
        <w:rPr>
          <w:rFonts w:eastAsia="Calibri"/>
          <w:sz w:val="22"/>
          <w:szCs w:val="22"/>
        </w:rPr>
        <w:t>gp</w:t>
      </w:r>
      <w:proofErr w:type="spellEnd"/>
      <w:r w:rsidRPr="004F572A">
        <w:rPr>
          <w:rFonts w:eastAsia="Calibri"/>
          <w:sz w:val="22"/>
          <w:szCs w:val="22"/>
        </w:rPr>
        <w:t xml:space="preserve"> </w:t>
      </w:r>
      <w:proofErr w:type="spellStart"/>
      <w:r w:rsidRPr="004F572A">
        <w:rPr>
          <w:rFonts w:eastAsia="Calibri"/>
          <w:sz w:val="22"/>
          <w:szCs w:val="22"/>
        </w:rPr>
        <w:t>mRNA</w:t>
      </w:r>
      <w:proofErr w:type="spellEnd"/>
      <w:r w:rsidRPr="004F572A">
        <w:rPr>
          <w:rFonts w:eastAsia="Calibri"/>
          <w:sz w:val="22"/>
          <w:szCs w:val="22"/>
        </w:rPr>
        <w:t xml:space="preserve"> raiškos indukcijos.</w:t>
      </w:r>
    </w:p>
    <w:p w14:paraId="1F130617" w14:textId="77777777" w:rsidR="006B3C33" w:rsidRPr="004F572A" w:rsidRDefault="006B3C33" w:rsidP="006B3C33">
      <w:pPr>
        <w:widowControl w:val="0"/>
        <w:tabs>
          <w:tab w:val="clear" w:pos="567"/>
        </w:tabs>
        <w:rPr>
          <w:rFonts w:eastAsia="Calibri"/>
          <w:sz w:val="22"/>
          <w:szCs w:val="22"/>
        </w:rPr>
      </w:pPr>
    </w:p>
    <w:p w14:paraId="188E9A00" w14:textId="47A8DF70" w:rsidR="006B3C33" w:rsidRPr="004F572A" w:rsidRDefault="006B3C33" w:rsidP="006B3C33">
      <w:pPr>
        <w:widowControl w:val="0"/>
        <w:tabs>
          <w:tab w:val="clear" w:pos="567"/>
        </w:tabs>
        <w:rPr>
          <w:rFonts w:eastAsia="Calibri"/>
          <w:sz w:val="22"/>
          <w:szCs w:val="22"/>
        </w:rPr>
      </w:pPr>
      <w:proofErr w:type="spellStart"/>
      <w:r w:rsidRPr="004F572A">
        <w:rPr>
          <w:rFonts w:eastAsia="Calibri"/>
          <w:sz w:val="22"/>
          <w:szCs w:val="22"/>
        </w:rPr>
        <w:t>Lenvatinibas</w:t>
      </w:r>
      <w:proofErr w:type="spellEnd"/>
      <w:r w:rsidRPr="004F572A">
        <w:rPr>
          <w:rFonts w:eastAsia="Calibri"/>
          <w:sz w:val="22"/>
          <w:szCs w:val="22"/>
        </w:rPr>
        <w:t xml:space="preserve"> </w:t>
      </w:r>
      <w:r w:rsidR="000F79B8">
        <w:rPr>
          <w:rFonts w:eastAsia="Calibri"/>
          <w:sz w:val="22"/>
          <w:szCs w:val="22"/>
        </w:rPr>
        <w:t>turėjo</w:t>
      </w:r>
      <w:r w:rsidRPr="004F572A">
        <w:rPr>
          <w:rFonts w:eastAsia="Calibri"/>
          <w:sz w:val="22"/>
          <w:szCs w:val="22"/>
        </w:rPr>
        <w:t xml:space="preserve"> minimalų arba jokio slopinamojo poveikio OATP1B3 ir MATE2-K. </w:t>
      </w:r>
      <w:proofErr w:type="spellStart"/>
      <w:r w:rsidRPr="004F572A">
        <w:rPr>
          <w:rFonts w:eastAsia="Calibri"/>
          <w:sz w:val="22"/>
          <w:szCs w:val="22"/>
        </w:rPr>
        <w:t>Lenvatinibas</w:t>
      </w:r>
      <w:proofErr w:type="spellEnd"/>
      <w:r w:rsidRPr="004F572A">
        <w:rPr>
          <w:rFonts w:eastAsia="Calibri"/>
          <w:sz w:val="22"/>
          <w:szCs w:val="22"/>
        </w:rPr>
        <w:t xml:space="preserve"> silpnai slopina MATE1. Žmogaus kepenų </w:t>
      </w:r>
      <w:proofErr w:type="spellStart"/>
      <w:r w:rsidRPr="004F572A">
        <w:rPr>
          <w:rFonts w:eastAsia="Calibri"/>
          <w:sz w:val="22"/>
          <w:szCs w:val="22"/>
        </w:rPr>
        <w:t>citozolyje</w:t>
      </w:r>
      <w:proofErr w:type="spellEnd"/>
      <w:r w:rsidRPr="004F572A">
        <w:rPr>
          <w:rFonts w:eastAsia="Calibri"/>
          <w:sz w:val="22"/>
          <w:szCs w:val="22"/>
        </w:rPr>
        <w:t xml:space="preserve"> </w:t>
      </w:r>
      <w:proofErr w:type="spellStart"/>
      <w:r w:rsidRPr="004F572A">
        <w:rPr>
          <w:rFonts w:eastAsia="Calibri"/>
          <w:sz w:val="22"/>
          <w:szCs w:val="22"/>
        </w:rPr>
        <w:t>lenvatinibas</w:t>
      </w:r>
      <w:proofErr w:type="spellEnd"/>
      <w:r w:rsidRPr="004F572A">
        <w:rPr>
          <w:rFonts w:eastAsia="Calibri"/>
          <w:sz w:val="22"/>
          <w:szCs w:val="22"/>
        </w:rPr>
        <w:t xml:space="preserve"> neslopino </w:t>
      </w:r>
      <w:proofErr w:type="spellStart"/>
      <w:r w:rsidRPr="004F572A">
        <w:rPr>
          <w:rFonts w:eastAsia="Calibri"/>
          <w:sz w:val="22"/>
          <w:szCs w:val="22"/>
        </w:rPr>
        <w:t>aldehidoksidazės</w:t>
      </w:r>
      <w:proofErr w:type="spellEnd"/>
      <w:r w:rsidRPr="004F572A">
        <w:rPr>
          <w:rFonts w:eastAsia="Calibri"/>
          <w:sz w:val="22"/>
          <w:szCs w:val="22"/>
        </w:rPr>
        <w:t xml:space="preserve"> aktyvumo.</w:t>
      </w:r>
    </w:p>
    <w:p w14:paraId="1E6B7EBB" w14:textId="77777777" w:rsidR="006B3C33" w:rsidRPr="004F572A" w:rsidRDefault="006B3C33" w:rsidP="006B3C33">
      <w:pPr>
        <w:widowControl w:val="0"/>
        <w:tabs>
          <w:tab w:val="clear" w:pos="567"/>
        </w:tabs>
        <w:rPr>
          <w:rFonts w:eastAsia="Calibri"/>
          <w:sz w:val="22"/>
          <w:szCs w:val="22"/>
        </w:rPr>
      </w:pPr>
    </w:p>
    <w:p w14:paraId="31B6B4FD" w14:textId="2E737565" w:rsidR="006B3C33" w:rsidRPr="004F572A" w:rsidRDefault="006B3C33" w:rsidP="006B3C33">
      <w:pPr>
        <w:widowControl w:val="0"/>
        <w:tabs>
          <w:tab w:val="clear" w:pos="567"/>
        </w:tabs>
        <w:rPr>
          <w:rFonts w:eastAsia="Calibri"/>
          <w:sz w:val="22"/>
          <w:szCs w:val="22"/>
          <w:u w:val="single"/>
        </w:rPr>
      </w:pPr>
      <w:r w:rsidRPr="004F572A">
        <w:rPr>
          <w:rFonts w:eastAsia="Calibri"/>
          <w:sz w:val="22"/>
          <w:szCs w:val="22"/>
          <w:u w:val="single"/>
        </w:rPr>
        <w:t>Eliminacija</w:t>
      </w:r>
    </w:p>
    <w:p w14:paraId="48C622E8" w14:textId="77777777" w:rsidR="006B3C33" w:rsidRPr="004F572A" w:rsidRDefault="006B3C33" w:rsidP="006B3C33">
      <w:pPr>
        <w:widowControl w:val="0"/>
        <w:tabs>
          <w:tab w:val="clear" w:pos="567"/>
        </w:tabs>
        <w:rPr>
          <w:rFonts w:eastAsia="Calibri"/>
          <w:sz w:val="22"/>
          <w:szCs w:val="22"/>
        </w:rPr>
      </w:pPr>
    </w:p>
    <w:p w14:paraId="494A1039" w14:textId="37CFC2AB" w:rsidR="006B3C33" w:rsidRPr="004F572A" w:rsidRDefault="006B3C33" w:rsidP="006B3C33">
      <w:pPr>
        <w:widowControl w:val="0"/>
        <w:tabs>
          <w:tab w:val="clear" w:pos="567"/>
        </w:tabs>
        <w:rPr>
          <w:rFonts w:eastAsia="Calibri"/>
          <w:sz w:val="22"/>
          <w:szCs w:val="22"/>
        </w:rPr>
      </w:pPr>
      <w:r w:rsidRPr="004F572A">
        <w:rPr>
          <w:rFonts w:eastAsia="Calibri"/>
          <w:sz w:val="22"/>
          <w:szCs w:val="22"/>
        </w:rPr>
        <w:t xml:space="preserve">Koncentracija plazmoje po </w:t>
      </w:r>
      <w:proofErr w:type="spellStart"/>
      <w:r w:rsidRPr="004F572A">
        <w:rPr>
          <w:rFonts w:eastAsia="Calibri"/>
          <w:sz w:val="22"/>
          <w:szCs w:val="22"/>
        </w:rPr>
        <w:t>C</w:t>
      </w:r>
      <w:r w:rsidRPr="004F572A">
        <w:rPr>
          <w:rFonts w:eastAsia="Calibri"/>
          <w:sz w:val="22"/>
          <w:szCs w:val="22"/>
          <w:vertAlign w:val="subscript"/>
        </w:rPr>
        <w:t>max</w:t>
      </w:r>
      <w:proofErr w:type="spellEnd"/>
      <w:r w:rsidRPr="004F572A">
        <w:rPr>
          <w:rFonts w:eastAsia="Calibri"/>
          <w:sz w:val="22"/>
          <w:szCs w:val="22"/>
        </w:rPr>
        <w:t xml:space="preserve"> mažėja </w:t>
      </w:r>
      <w:proofErr w:type="spellStart"/>
      <w:r w:rsidRPr="004F572A">
        <w:rPr>
          <w:rFonts w:eastAsia="Calibri"/>
          <w:sz w:val="22"/>
          <w:szCs w:val="22"/>
        </w:rPr>
        <w:t>bieksponentiškai</w:t>
      </w:r>
      <w:proofErr w:type="spellEnd"/>
      <w:r w:rsidRPr="004F572A">
        <w:rPr>
          <w:rFonts w:eastAsia="Calibri"/>
          <w:sz w:val="22"/>
          <w:szCs w:val="22"/>
        </w:rPr>
        <w:t>. Vidutin</w:t>
      </w:r>
      <w:r w:rsidR="000F79B8">
        <w:rPr>
          <w:rFonts w:eastAsia="Calibri"/>
          <w:sz w:val="22"/>
          <w:szCs w:val="22"/>
        </w:rPr>
        <w:t>ė</w:t>
      </w:r>
      <w:r w:rsidRPr="004F572A">
        <w:rPr>
          <w:rFonts w:eastAsia="Calibri"/>
          <w:sz w:val="22"/>
          <w:szCs w:val="22"/>
        </w:rPr>
        <w:t xml:space="preserve"> galutin</w:t>
      </w:r>
      <w:r w:rsidR="000F79B8">
        <w:rPr>
          <w:rFonts w:eastAsia="Calibri"/>
          <w:sz w:val="22"/>
          <w:szCs w:val="22"/>
        </w:rPr>
        <w:t>ė</w:t>
      </w:r>
      <w:r w:rsidRPr="004F572A">
        <w:rPr>
          <w:rFonts w:eastAsia="Calibri"/>
          <w:sz w:val="22"/>
          <w:szCs w:val="22"/>
        </w:rPr>
        <w:t xml:space="preserve"> eksponentin</w:t>
      </w:r>
      <w:r w:rsidR="000F79B8">
        <w:rPr>
          <w:rFonts w:eastAsia="Calibri"/>
          <w:sz w:val="22"/>
          <w:szCs w:val="22"/>
        </w:rPr>
        <w:t>ė</w:t>
      </w:r>
      <w:r w:rsidRPr="004F572A">
        <w:rPr>
          <w:rFonts w:eastAsia="Calibri"/>
          <w:sz w:val="22"/>
          <w:szCs w:val="22"/>
        </w:rPr>
        <w:t xml:space="preserve"> </w:t>
      </w:r>
      <w:proofErr w:type="spellStart"/>
      <w:r w:rsidRPr="004F572A">
        <w:rPr>
          <w:rFonts w:eastAsia="Calibri"/>
          <w:sz w:val="22"/>
          <w:szCs w:val="22"/>
        </w:rPr>
        <w:t>lenvatinibo</w:t>
      </w:r>
      <w:proofErr w:type="spellEnd"/>
      <w:r w:rsidRPr="004F572A">
        <w:rPr>
          <w:rFonts w:eastAsia="Calibri"/>
          <w:sz w:val="22"/>
          <w:szCs w:val="22"/>
        </w:rPr>
        <w:t xml:space="preserve"> pusinės eliminacijos </w:t>
      </w:r>
      <w:r w:rsidR="000F79B8">
        <w:rPr>
          <w:rFonts w:eastAsia="Calibri"/>
          <w:sz w:val="22"/>
          <w:szCs w:val="22"/>
        </w:rPr>
        <w:t>trukmė</w:t>
      </w:r>
      <w:r w:rsidR="00B336E6" w:rsidRPr="004F572A">
        <w:rPr>
          <w:rFonts w:eastAsia="Calibri"/>
          <w:sz w:val="22"/>
          <w:szCs w:val="22"/>
        </w:rPr>
        <w:t xml:space="preserve"> </w:t>
      </w:r>
      <w:r w:rsidRPr="004F572A">
        <w:rPr>
          <w:rFonts w:eastAsia="Calibri"/>
          <w:sz w:val="22"/>
          <w:szCs w:val="22"/>
        </w:rPr>
        <w:t>yra maždaug 28</w:t>
      </w:r>
      <w:r w:rsidR="00B10CAA">
        <w:rPr>
          <w:rFonts w:eastAsia="Calibri"/>
          <w:sz w:val="22"/>
          <w:szCs w:val="22"/>
        </w:rPr>
        <w:t> </w:t>
      </w:r>
      <w:r w:rsidRPr="004F572A">
        <w:rPr>
          <w:rFonts w:eastAsia="Calibri"/>
          <w:sz w:val="22"/>
          <w:szCs w:val="22"/>
        </w:rPr>
        <w:t>valandos.</w:t>
      </w:r>
    </w:p>
    <w:p w14:paraId="7C90A6F3" w14:textId="77777777" w:rsidR="00B336E6" w:rsidRPr="004F572A" w:rsidRDefault="00B336E6" w:rsidP="006B3C33">
      <w:pPr>
        <w:widowControl w:val="0"/>
        <w:tabs>
          <w:tab w:val="clear" w:pos="567"/>
        </w:tabs>
        <w:rPr>
          <w:rFonts w:eastAsia="Calibri"/>
          <w:sz w:val="22"/>
          <w:szCs w:val="22"/>
        </w:rPr>
      </w:pPr>
    </w:p>
    <w:p w14:paraId="6E068DDF" w14:textId="38FCFDA5" w:rsidR="00172CCE" w:rsidRPr="004F572A" w:rsidRDefault="006B3C33" w:rsidP="006B3C33">
      <w:pPr>
        <w:widowControl w:val="0"/>
        <w:tabs>
          <w:tab w:val="clear" w:pos="567"/>
        </w:tabs>
        <w:rPr>
          <w:rFonts w:eastAsia="Calibri"/>
          <w:sz w:val="22"/>
          <w:szCs w:val="22"/>
        </w:rPr>
      </w:pPr>
      <w:r w:rsidRPr="004F572A">
        <w:rPr>
          <w:rFonts w:eastAsia="Calibri"/>
          <w:sz w:val="22"/>
          <w:szCs w:val="22"/>
        </w:rPr>
        <w:t>6</w:t>
      </w:r>
      <w:r w:rsidR="00B10CAA">
        <w:rPr>
          <w:rFonts w:eastAsia="Calibri"/>
          <w:sz w:val="22"/>
          <w:szCs w:val="22"/>
        </w:rPr>
        <w:t> </w:t>
      </w:r>
      <w:r w:rsidRPr="004F572A">
        <w:rPr>
          <w:rFonts w:eastAsia="Calibri"/>
          <w:sz w:val="22"/>
          <w:szCs w:val="22"/>
        </w:rPr>
        <w:t xml:space="preserve">pacientams, kuriems buvo </w:t>
      </w:r>
      <w:proofErr w:type="spellStart"/>
      <w:r w:rsidRPr="004F572A">
        <w:rPr>
          <w:rFonts w:eastAsia="Calibri"/>
          <w:sz w:val="22"/>
          <w:szCs w:val="22"/>
        </w:rPr>
        <w:t>solidinių</w:t>
      </w:r>
      <w:proofErr w:type="spellEnd"/>
      <w:r w:rsidRPr="004F572A">
        <w:rPr>
          <w:rFonts w:eastAsia="Calibri"/>
          <w:sz w:val="22"/>
          <w:szCs w:val="22"/>
        </w:rPr>
        <w:t xml:space="preserve"> navikų, pavartojus radioaktyviu izotopu žymėto </w:t>
      </w:r>
      <w:proofErr w:type="spellStart"/>
      <w:r w:rsidRPr="004F572A">
        <w:rPr>
          <w:rFonts w:eastAsia="Calibri"/>
          <w:sz w:val="22"/>
          <w:szCs w:val="22"/>
        </w:rPr>
        <w:t>lenvatinibo</w:t>
      </w:r>
      <w:proofErr w:type="spellEnd"/>
      <w:r w:rsidRPr="004F572A">
        <w:rPr>
          <w:rFonts w:eastAsia="Calibri"/>
          <w:sz w:val="22"/>
          <w:szCs w:val="22"/>
        </w:rPr>
        <w:t>, atitinkamai maždaug dvi trečiosios ir viena ketvirtoji radioaktyvaus izotopo dalis buvo pašalinta su išmatomis ir šlapimu. M3 metabolitas buvo vyraujanti</w:t>
      </w:r>
      <w:r w:rsidR="000F79B8">
        <w:rPr>
          <w:rFonts w:eastAsia="Calibri"/>
          <w:sz w:val="22"/>
          <w:szCs w:val="22"/>
        </w:rPr>
        <w:t>s nustatomas darinys</w:t>
      </w:r>
      <w:r w:rsidRPr="004F572A">
        <w:rPr>
          <w:rFonts w:eastAsia="Calibri"/>
          <w:sz w:val="22"/>
          <w:szCs w:val="22"/>
        </w:rPr>
        <w:t xml:space="preserve"> išskyrose (~17</w:t>
      </w:r>
      <w:r w:rsidR="00B336E6" w:rsidRPr="004F572A">
        <w:rPr>
          <w:rFonts w:eastAsia="Calibri"/>
          <w:sz w:val="22"/>
          <w:szCs w:val="22"/>
        </w:rPr>
        <w:t> </w:t>
      </w:r>
      <w:r w:rsidRPr="004F572A">
        <w:rPr>
          <w:rFonts w:eastAsia="Calibri"/>
          <w:sz w:val="22"/>
          <w:szCs w:val="22"/>
        </w:rPr>
        <w:t xml:space="preserve">% dozės), </w:t>
      </w:r>
      <w:r w:rsidR="000F79B8">
        <w:rPr>
          <w:rFonts w:eastAsia="Calibri"/>
          <w:sz w:val="22"/>
          <w:szCs w:val="22"/>
        </w:rPr>
        <w:t>taip pat nustatyta</w:t>
      </w:r>
      <w:r w:rsidRPr="004F572A">
        <w:rPr>
          <w:rFonts w:eastAsia="Calibri"/>
          <w:sz w:val="22"/>
          <w:szCs w:val="22"/>
        </w:rPr>
        <w:t xml:space="preserve"> M2’ (~11</w:t>
      </w:r>
      <w:r w:rsidR="00B336E6" w:rsidRPr="004F572A">
        <w:rPr>
          <w:rFonts w:eastAsia="Calibri"/>
          <w:sz w:val="22"/>
          <w:szCs w:val="22"/>
        </w:rPr>
        <w:t> </w:t>
      </w:r>
      <w:r w:rsidRPr="004F572A">
        <w:rPr>
          <w:rFonts w:eastAsia="Calibri"/>
          <w:sz w:val="22"/>
          <w:szCs w:val="22"/>
        </w:rPr>
        <w:t>% dozės) ir M2 (~4,4</w:t>
      </w:r>
      <w:r w:rsidR="00B10CAA">
        <w:rPr>
          <w:rFonts w:eastAsia="Calibri"/>
          <w:sz w:val="22"/>
          <w:szCs w:val="22"/>
        </w:rPr>
        <w:t> </w:t>
      </w:r>
      <w:r w:rsidRPr="004F572A">
        <w:rPr>
          <w:rFonts w:eastAsia="Calibri"/>
          <w:sz w:val="22"/>
          <w:szCs w:val="22"/>
        </w:rPr>
        <w:t>% dozės)</w:t>
      </w:r>
      <w:r w:rsidR="00B336E6" w:rsidRPr="004F572A">
        <w:rPr>
          <w:rFonts w:eastAsia="Calibri"/>
          <w:sz w:val="22"/>
          <w:szCs w:val="22"/>
        </w:rPr>
        <w:t>.</w:t>
      </w:r>
    </w:p>
    <w:p w14:paraId="487F616B" w14:textId="77777777" w:rsidR="00172CCE" w:rsidRPr="004F572A" w:rsidRDefault="00172CCE" w:rsidP="000928CA">
      <w:pPr>
        <w:widowControl w:val="0"/>
        <w:tabs>
          <w:tab w:val="clear" w:pos="567"/>
        </w:tabs>
        <w:rPr>
          <w:rFonts w:eastAsia="Calibri"/>
          <w:sz w:val="22"/>
          <w:szCs w:val="22"/>
        </w:rPr>
      </w:pPr>
    </w:p>
    <w:p w14:paraId="0CFCB40B" w14:textId="77777777" w:rsidR="00B336E6" w:rsidRPr="004F572A" w:rsidRDefault="00B336E6" w:rsidP="00B336E6">
      <w:pPr>
        <w:widowControl w:val="0"/>
        <w:tabs>
          <w:tab w:val="clear" w:pos="567"/>
        </w:tabs>
        <w:rPr>
          <w:rFonts w:eastAsia="Calibri"/>
          <w:sz w:val="22"/>
          <w:szCs w:val="22"/>
          <w:u w:val="single"/>
        </w:rPr>
      </w:pPr>
      <w:r w:rsidRPr="004F572A">
        <w:rPr>
          <w:rFonts w:eastAsia="Calibri"/>
          <w:sz w:val="22"/>
          <w:szCs w:val="22"/>
          <w:u w:val="single"/>
        </w:rPr>
        <w:t>Tiesinis / netiesinis pobūdis</w:t>
      </w:r>
    </w:p>
    <w:p w14:paraId="3CFBDD76" w14:textId="77777777" w:rsidR="00706166" w:rsidRPr="004F572A" w:rsidRDefault="00706166" w:rsidP="00B336E6">
      <w:pPr>
        <w:widowControl w:val="0"/>
        <w:tabs>
          <w:tab w:val="clear" w:pos="567"/>
        </w:tabs>
        <w:rPr>
          <w:rFonts w:eastAsia="Calibri"/>
          <w:i/>
          <w:iCs/>
          <w:sz w:val="22"/>
          <w:szCs w:val="22"/>
        </w:rPr>
      </w:pPr>
    </w:p>
    <w:p w14:paraId="5593D273" w14:textId="4DB1E71B" w:rsidR="00B336E6" w:rsidRPr="004F572A" w:rsidRDefault="00B336E6" w:rsidP="00B336E6">
      <w:pPr>
        <w:widowControl w:val="0"/>
        <w:tabs>
          <w:tab w:val="clear" w:pos="567"/>
        </w:tabs>
        <w:rPr>
          <w:rFonts w:eastAsia="Calibri"/>
          <w:i/>
          <w:iCs/>
          <w:sz w:val="22"/>
          <w:szCs w:val="22"/>
          <w:u w:val="single"/>
        </w:rPr>
      </w:pPr>
      <w:r w:rsidRPr="004F572A">
        <w:rPr>
          <w:rFonts w:eastAsia="Calibri"/>
          <w:i/>
          <w:iCs/>
          <w:sz w:val="22"/>
          <w:szCs w:val="22"/>
          <w:u w:val="single"/>
        </w:rPr>
        <w:t>Proporcingumas dozei ir kaupimasis</w:t>
      </w:r>
    </w:p>
    <w:p w14:paraId="3378A884" w14:textId="77777777" w:rsidR="00706166" w:rsidRPr="004F572A" w:rsidRDefault="00706166" w:rsidP="00B336E6">
      <w:pPr>
        <w:widowControl w:val="0"/>
        <w:tabs>
          <w:tab w:val="clear" w:pos="567"/>
        </w:tabs>
        <w:rPr>
          <w:rFonts w:eastAsia="Calibri"/>
          <w:sz w:val="22"/>
          <w:szCs w:val="22"/>
        </w:rPr>
      </w:pPr>
    </w:p>
    <w:p w14:paraId="22FD786B" w14:textId="1F0BA2DF" w:rsidR="00B336E6" w:rsidRPr="004F572A" w:rsidRDefault="00B336E6" w:rsidP="00B336E6">
      <w:pPr>
        <w:widowControl w:val="0"/>
        <w:tabs>
          <w:tab w:val="clear" w:pos="567"/>
        </w:tabs>
        <w:rPr>
          <w:rFonts w:eastAsia="Calibri"/>
          <w:sz w:val="22"/>
          <w:szCs w:val="22"/>
        </w:rPr>
      </w:pPr>
      <w:r w:rsidRPr="004F572A">
        <w:rPr>
          <w:rFonts w:eastAsia="Calibri"/>
          <w:sz w:val="22"/>
          <w:szCs w:val="22"/>
        </w:rPr>
        <w:t xml:space="preserve">Pacientams, kuriems buvo </w:t>
      </w:r>
      <w:proofErr w:type="spellStart"/>
      <w:r w:rsidRPr="004F572A">
        <w:rPr>
          <w:rFonts w:eastAsia="Calibri"/>
          <w:sz w:val="22"/>
          <w:szCs w:val="22"/>
        </w:rPr>
        <w:t>solidinių</w:t>
      </w:r>
      <w:proofErr w:type="spellEnd"/>
      <w:r w:rsidRPr="004F572A">
        <w:rPr>
          <w:rFonts w:eastAsia="Calibri"/>
          <w:sz w:val="22"/>
          <w:szCs w:val="22"/>
        </w:rPr>
        <w:t xml:space="preserve"> navikų, vartojusiems vienkartines ir daugkartines </w:t>
      </w:r>
      <w:proofErr w:type="spellStart"/>
      <w:r w:rsidRPr="004F572A">
        <w:rPr>
          <w:rFonts w:eastAsia="Calibri"/>
          <w:sz w:val="22"/>
          <w:szCs w:val="22"/>
        </w:rPr>
        <w:t>lenvatinibo</w:t>
      </w:r>
      <w:proofErr w:type="spellEnd"/>
      <w:r w:rsidRPr="004F572A">
        <w:rPr>
          <w:rFonts w:eastAsia="Calibri"/>
          <w:sz w:val="22"/>
          <w:szCs w:val="22"/>
        </w:rPr>
        <w:t xml:space="preserve"> dozes kartą per parą, </w:t>
      </w:r>
      <w:proofErr w:type="spellStart"/>
      <w:r w:rsidRPr="004F572A">
        <w:rPr>
          <w:rFonts w:eastAsia="Calibri"/>
          <w:sz w:val="22"/>
          <w:szCs w:val="22"/>
        </w:rPr>
        <w:t>lenvatinibo</w:t>
      </w:r>
      <w:proofErr w:type="spellEnd"/>
      <w:r w:rsidRPr="004F572A">
        <w:rPr>
          <w:rFonts w:eastAsia="Calibri"/>
          <w:sz w:val="22"/>
          <w:szCs w:val="22"/>
        </w:rPr>
        <w:t xml:space="preserve"> ekspozicija (</w:t>
      </w:r>
      <w:proofErr w:type="spellStart"/>
      <w:r w:rsidRPr="004F572A">
        <w:rPr>
          <w:rFonts w:eastAsia="Calibri"/>
          <w:sz w:val="22"/>
          <w:szCs w:val="22"/>
        </w:rPr>
        <w:t>C</w:t>
      </w:r>
      <w:r w:rsidRPr="004F572A">
        <w:rPr>
          <w:rFonts w:eastAsia="Calibri"/>
          <w:sz w:val="22"/>
          <w:szCs w:val="22"/>
          <w:vertAlign w:val="subscript"/>
        </w:rPr>
        <w:t>max</w:t>
      </w:r>
      <w:proofErr w:type="spellEnd"/>
      <w:r w:rsidRPr="004F572A">
        <w:rPr>
          <w:rFonts w:eastAsia="Calibri"/>
          <w:sz w:val="22"/>
          <w:szCs w:val="22"/>
        </w:rPr>
        <w:t xml:space="preserve"> ir AUC) didėjo tiesiogiai proporcingai vartotai dozei vartojant nuo 3,2</w:t>
      </w:r>
      <w:r w:rsidR="00706166" w:rsidRPr="004F572A">
        <w:rPr>
          <w:rFonts w:eastAsia="Calibri"/>
          <w:sz w:val="22"/>
          <w:szCs w:val="22"/>
        </w:rPr>
        <w:t> </w:t>
      </w:r>
      <w:r w:rsidRPr="004F572A">
        <w:rPr>
          <w:rFonts w:eastAsia="Calibri"/>
          <w:sz w:val="22"/>
          <w:szCs w:val="22"/>
        </w:rPr>
        <w:t>mg iki 32</w:t>
      </w:r>
      <w:r w:rsidR="00706166" w:rsidRPr="004F572A">
        <w:rPr>
          <w:rFonts w:eastAsia="Calibri"/>
          <w:sz w:val="22"/>
          <w:szCs w:val="22"/>
        </w:rPr>
        <w:t> </w:t>
      </w:r>
      <w:r w:rsidRPr="004F572A">
        <w:rPr>
          <w:rFonts w:eastAsia="Calibri"/>
          <w:sz w:val="22"/>
          <w:szCs w:val="22"/>
        </w:rPr>
        <w:t>mg kartą per parą.</w:t>
      </w:r>
    </w:p>
    <w:p w14:paraId="2A388C41" w14:textId="77777777" w:rsidR="00706166" w:rsidRPr="004F572A" w:rsidRDefault="00706166" w:rsidP="00B336E6">
      <w:pPr>
        <w:widowControl w:val="0"/>
        <w:tabs>
          <w:tab w:val="clear" w:pos="567"/>
        </w:tabs>
        <w:rPr>
          <w:rFonts w:eastAsia="Calibri"/>
          <w:sz w:val="22"/>
          <w:szCs w:val="22"/>
        </w:rPr>
      </w:pPr>
    </w:p>
    <w:p w14:paraId="391130EA" w14:textId="77777777" w:rsidR="000F79B8" w:rsidRPr="000F79B8" w:rsidRDefault="00B336E6" w:rsidP="000F79B8">
      <w:pPr>
        <w:widowControl w:val="0"/>
        <w:tabs>
          <w:tab w:val="clear" w:pos="567"/>
        </w:tabs>
        <w:rPr>
          <w:rFonts w:eastAsia="Calibri"/>
          <w:sz w:val="22"/>
          <w:szCs w:val="22"/>
        </w:rPr>
      </w:pPr>
      <w:proofErr w:type="spellStart"/>
      <w:r w:rsidRPr="004F572A">
        <w:rPr>
          <w:rFonts w:eastAsia="Calibri"/>
          <w:sz w:val="22"/>
          <w:szCs w:val="22"/>
        </w:rPr>
        <w:t>Lenvatinibui</w:t>
      </w:r>
      <w:proofErr w:type="spellEnd"/>
      <w:r w:rsidRPr="004F572A">
        <w:rPr>
          <w:rFonts w:eastAsia="Calibri"/>
          <w:sz w:val="22"/>
          <w:szCs w:val="22"/>
        </w:rPr>
        <w:t xml:space="preserve"> būdingas minimalus kaupimasis esant </w:t>
      </w:r>
      <w:proofErr w:type="spellStart"/>
      <w:r w:rsidRPr="004F572A">
        <w:rPr>
          <w:rFonts w:eastAsia="Calibri"/>
          <w:sz w:val="22"/>
          <w:szCs w:val="22"/>
        </w:rPr>
        <w:t>pusiausvyrinei</w:t>
      </w:r>
      <w:proofErr w:type="spellEnd"/>
      <w:r w:rsidRPr="004F572A">
        <w:rPr>
          <w:rFonts w:eastAsia="Calibri"/>
          <w:sz w:val="22"/>
          <w:szCs w:val="22"/>
        </w:rPr>
        <w:t xml:space="preserve"> koncentracijai. </w:t>
      </w:r>
      <w:r w:rsidR="000F79B8" w:rsidRPr="000F79B8">
        <w:rPr>
          <w:rFonts w:eastAsia="Calibri"/>
          <w:sz w:val="22"/>
          <w:szCs w:val="22"/>
        </w:rPr>
        <w:t xml:space="preserve">Vartojant dozes tarp </w:t>
      </w:r>
    </w:p>
    <w:p w14:paraId="71017743" w14:textId="6C826BAA" w:rsidR="00B336E6" w:rsidRPr="004F572A" w:rsidRDefault="000F79B8" w:rsidP="000F79B8">
      <w:pPr>
        <w:widowControl w:val="0"/>
        <w:tabs>
          <w:tab w:val="clear" w:pos="567"/>
        </w:tabs>
        <w:rPr>
          <w:rFonts w:eastAsia="Calibri"/>
          <w:sz w:val="22"/>
          <w:szCs w:val="22"/>
        </w:rPr>
      </w:pPr>
      <w:r w:rsidRPr="000F79B8">
        <w:rPr>
          <w:rFonts w:eastAsia="Calibri"/>
          <w:sz w:val="22"/>
          <w:szCs w:val="22"/>
        </w:rPr>
        <w:t>šių ribų</w:t>
      </w:r>
      <w:r>
        <w:rPr>
          <w:rFonts w:eastAsia="Calibri"/>
          <w:sz w:val="22"/>
          <w:szCs w:val="22"/>
        </w:rPr>
        <w:t>,</w:t>
      </w:r>
      <w:r w:rsidR="00B336E6" w:rsidRPr="004F572A">
        <w:rPr>
          <w:rFonts w:eastAsia="Calibri"/>
          <w:sz w:val="22"/>
          <w:szCs w:val="22"/>
        </w:rPr>
        <w:t xml:space="preserve"> kaupimosi indekso mediana (</w:t>
      </w:r>
      <w:proofErr w:type="spellStart"/>
      <w:r w:rsidR="00B336E6" w:rsidRPr="004F572A">
        <w:rPr>
          <w:rFonts w:eastAsia="Calibri"/>
          <w:sz w:val="22"/>
          <w:szCs w:val="22"/>
        </w:rPr>
        <w:t>Rac</w:t>
      </w:r>
      <w:proofErr w:type="spellEnd"/>
      <w:r w:rsidR="00B336E6" w:rsidRPr="004F572A">
        <w:rPr>
          <w:rFonts w:eastAsia="Calibri"/>
          <w:sz w:val="22"/>
          <w:szCs w:val="22"/>
        </w:rPr>
        <w:t>) svyravo nuo 0,96 (20</w:t>
      </w:r>
      <w:r w:rsidR="00706166" w:rsidRPr="004F572A">
        <w:rPr>
          <w:rFonts w:eastAsia="Calibri"/>
          <w:sz w:val="22"/>
          <w:szCs w:val="22"/>
        </w:rPr>
        <w:t> </w:t>
      </w:r>
      <w:r w:rsidR="00B336E6" w:rsidRPr="004F572A">
        <w:rPr>
          <w:rFonts w:eastAsia="Calibri"/>
          <w:sz w:val="22"/>
          <w:szCs w:val="22"/>
        </w:rPr>
        <w:t>mg) iki 1,54 (6,4</w:t>
      </w:r>
      <w:r w:rsidR="00706166" w:rsidRPr="004F572A">
        <w:rPr>
          <w:rFonts w:eastAsia="Calibri"/>
          <w:sz w:val="22"/>
          <w:szCs w:val="22"/>
        </w:rPr>
        <w:t> </w:t>
      </w:r>
      <w:r w:rsidR="00B336E6" w:rsidRPr="004F572A">
        <w:rPr>
          <w:rFonts w:eastAsia="Calibri"/>
          <w:sz w:val="22"/>
          <w:szCs w:val="22"/>
        </w:rPr>
        <w:t xml:space="preserve">mg). </w:t>
      </w:r>
      <w:proofErr w:type="spellStart"/>
      <w:r w:rsidR="00B336E6" w:rsidRPr="004F572A">
        <w:rPr>
          <w:rFonts w:eastAsia="Calibri"/>
          <w:sz w:val="22"/>
          <w:szCs w:val="22"/>
        </w:rPr>
        <w:t>Hepatoceliuline</w:t>
      </w:r>
      <w:proofErr w:type="spellEnd"/>
      <w:r w:rsidR="00B336E6" w:rsidRPr="004F572A">
        <w:rPr>
          <w:rFonts w:eastAsia="Calibri"/>
          <w:sz w:val="22"/>
          <w:szCs w:val="22"/>
        </w:rPr>
        <w:t xml:space="preserve"> </w:t>
      </w:r>
      <w:r w:rsidR="00706166" w:rsidRPr="004F572A">
        <w:rPr>
          <w:rFonts w:eastAsia="Calibri"/>
          <w:sz w:val="22"/>
          <w:szCs w:val="22"/>
        </w:rPr>
        <w:t xml:space="preserve">karcinoma </w:t>
      </w:r>
      <w:r w:rsidR="00B336E6" w:rsidRPr="004F572A">
        <w:rPr>
          <w:rFonts w:eastAsia="Calibri"/>
          <w:sz w:val="22"/>
          <w:szCs w:val="22"/>
        </w:rPr>
        <w:t xml:space="preserve">sergantiems </w:t>
      </w:r>
      <w:r>
        <w:rPr>
          <w:rFonts w:eastAsia="Calibri"/>
          <w:sz w:val="22"/>
          <w:szCs w:val="22"/>
        </w:rPr>
        <w:t>pacientams</w:t>
      </w:r>
      <w:r w:rsidR="00B336E6" w:rsidRPr="004F572A">
        <w:rPr>
          <w:rFonts w:eastAsia="Calibri"/>
          <w:sz w:val="22"/>
          <w:szCs w:val="22"/>
        </w:rPr>
        <w:t xml:space="preserve">, </w:t>
      </w:r>
      <w:r w:rsidRPr="000F79B8">
        <w:rPr>
          <w:rFonts w:eastAsia="Calibri"/>
          <w:sz w:val="22"/>
          <w:szCs w:val="22"/>
        </w:rPr>
        <w:t xml:space="preserve">patiriantiems nesunkų ar vidutinio sunkumo kepenų nepakankamumą, </w:t>
      </w:r>
      <w:proofErr w:type="spellStart"/>
      <w:r w:rsidRPr="000F79B8">
        <w:rPr>
          <w:rFonts w:eastAsia="Calibri"/>
          <w:sz w:val="22"/>
          <w:szCs w:val="22"/>
        </w:rPr>
        <w:t>Rac</w:t>
      </w:r>
      <w:proofErr w:type="spellEnd"/>
      <w:r w:rsidR="00B336E6" w:rsidRPr="004F572A">
        <w:rPr>
          <w:rFonts w:eastAsia="Calibri"/>
          <w:sz w:val="22"/>
          <w:szCs w:val="22"/>
        </w:rPr>
        <w:t xml:space="preserve"> buvo panašus</w:t>
      </w:r>
      <w:r>
        <w:rPr>
          <w:rFonts w:eastAsia="Calibri"/>
          <w:sz w:val="22"/>
          <w:szCs w:val="22"/>
        </w:rPr>
        <w:t>, kaip</w:t>
      </w:r>
      <w:r w:rsidR="004C5CB2" w:rsidRPr="004F572A">
        <w:rPr>
          <w:rFonts w:eastAsia="Calibri"/>
          <w:sz w:val="22"/>
          <w:szCs w:val="22"/>
        </w:rPr>
        <w:t xml:space="preserve"> </w:t>
      </w:r>
      <w:r w:rsidR="00706166" w:rsidRPr="004F572A">
        <w:rPr>
          <w:rFonts w:eastAsia="Calibri"/>
          <w:sz w:val="22"/>
          <w:szCs w:val="22"/>
        </w:rPr>
        <w:t xml:space="preserve">kitų </w:t>
      </w:r>
      <w:proofErr w:type="spellStart"/>
      <w:r w:rsidR="00706166" w:rsidRPr="004F572A">
        <w:rPr>
          <w:rFonts w:eastAsia="Calibri"/>
          <w:sz w:val="22"/>
          <w:szCs w:val="22"/>
        </w:rPr>
        <w:t>solidinių</w:t>
      </w:r>
      <w:proofErr w:type="spellEnd"/>
      <w:r w:rsidR="00706166" w:rsidRPr="004F572A">
        <w:rPr>
          <w:rFonts w:eastAsia="Calibri"/>
          <w:sz w:val="22"/>
          <w:szCs w:val="22"/>
        </w:rPr>
        <w:t xml:space="preserve"> </w:t>
      </w:r>
      <w:r>
        <w:rPr>
          <w:rFonts w:eastAsia="Calibri"/>
          <w:sz w:val="22"/>
          <w:szCs w:val="22"/>
        </w:rPr>
        <w:t>auglių atvejais</w:t>
      </w:r>
      <w:r w:rsidR="00B336E6" w:rsidRPr="004F572A">
        <w:rPr>
          <w:rFonts w:eastAsia="Calibri"/>
          <w:sz w:val="22"/>
          <w:szCs w:val="22"/>
        </w:rPr>
        <w:t>.</w:t>
      </w:r>
    </w:p>
    <w:p w14:paraId="03994F8A" w14:textId="77777777" w:rsidR="004C5CB2" w:rsidRPr="004F572A" w:rsidRDefault="004C5CB2" w:rsidP="00B336E6">
      <w:pPr>
        <w:widowControl w:val="0"/>
        <w:tabs>
          <w:tab w:val="clear" w:pos="567"/>
        </w:tabs>
        <w:rPr>
          <w:rFonts w:eastAsia="Calibri"/>
          <w:sz w:val="22"/>
          <w:szCs w:val="22"/>
        </w:rPr>
      </w:pPr>
    </w:p>
    <w:p w14:paraId="60492FBD" w14:textId="37EC6988" w:rsidR="00B336E6" w:rsidRPr="004F572A" w:rsidRDefault="00B336E6" w:rsidP="00B336E6">
      <w:pPr>
        <w:widowControl w:val="0"/>
        <w:tabs>
          <w:tab w:val="clear" w:pos="567"/>
        </w:tabs>
        <w:rPr>
          <w:rFonts w:eastAsia="Calibri"/>
          <w:sz w:val="22"/>
          <w:szCs w:val="22"/>
          <w:u w:val="single"/>
        </w:rPr>
      </w:pPr>
      <w:r w:rsidRPr="00BF716A">
        <w:rPr>
          <w:rFonts w:eastAsia="Calibri"/>
          <w:sz w:val="22"/>
          <w:szCs w:val="22"/>
          <w:u w:val="single"/>
        </w:rPr>
        <w:t>Ypatingos populiacijos</w:t>
      </w:r>
    </w:p>
    <w:p w14:paraId="5FFA63B8" w14:textId="77777777" w:rsidR="004C5CB2" w:rsidRPr="004F572A" w:rsidRDefault="004C5CB2" w:rsidP="00B336E6">
      <w:pPr>
        <w:widowControl w:val="0"/>
        <w:tabs>
          <w:tab w:val="clear" w:pos="567"/>
        </w:tabs>
        <w:rPr>
          <w:rFonts w:eastAsia="Calibri"/>
          <w:i/>
          <w:iCs/>
          <w:sz w:val="22"/>
          <w:szCs w:val="22"/>
        </w:rPr>
      </w:pPr>
    </w:p>
    <w:p w14:paraId="72B93CCD" w14:textId="2B8D1F66" w:rsidR="00B336E6" w:rsidRPr="004F572A" w:rsidRDefault="00B336E6" w:rsidP="00B336E6">
      <w:pPr>
        <w:widowControl w:val="0"/>
        <w:tabs>
          <w:tab w:val="clear" w:pos="567"/>
        </w:tabs>
        <w:rPr>
          <w:rFonts w:eastAsia="Calibri"/>
          <w:i/>
          <w:iCs/>
          <w:sz w:val="22"/>
          <w:szCs w:val="22"/>
          <w:u w:val="single"/>
        </w:rPr>
      </w:pPr>
      <w:r w:rsidRPr="004F572A">
        <w:rPr>
          <w:rFonts w:eastAsia="Calibri"/>
          <w:i/>
          <w:iCs/>
          <w:sz w:val="22"/>
          <w:szCs w:val="22"/>
          <w:u w:val="single"/>
        </w:rPr>
        <w:t>Sutrikusi kepenų funkcija</w:t>
      </w:r>
    </w:p>
    <w:p w14:paraId="2016B785" w14:textId="77777777" w:rsidR="000F79B8" w:rsidRDefault="000F79B8" w:rsidP="00B336E6">
      <w:pPr>
        <w:widowControl w:val="0"/>
        <w:tabs>
          <w:tab w:val="clear" w:pos="567"/>
        </w:tabs>
        <w:rPr>
          <w:rFonts w:eastAsia="Calibri"/>
          <w:sz w:val="22"/>
          <w:szCs w:val="22"/>
        </w:rPr>
      </w:pPr>
    </w:p>
    <w:p w14:paraId="475E67D4" w14:textId="62693A2A" w:rsidR="00B336E6" w:rsidRPr="004F572A" w:rsidRDefault="00B336E6" w:rsidP="00B336E6">
      <w:pPr>
        <w:widowControl w:val="0"/>
        <w:tabs>
          <w:tab w:val="clear" w:pos="567"/>
        </w:tabs>
        <w:rPr>
          <w:rFonts w:eastAsia="Calibri"/>
          <w:sz w:val="22"/>
          <w:szCs w:val="22"/>
        </w:rPr>
      </w:pPr>
      <w:proofErr w:type="spellStart"/>
      <w:r w:rsidRPr="004F572A">
        <w:rPr>
          <w:rFonts w:eastAsia="Calibri"/>
          <w:sz w:val="22"/>
          <w:szCs w:val="22"/>
        </w:rPr>
        <w:t>Lenvatinibo</w:t>
      </w:r>
      <w:proofErr w:type="spellEnd"/>
      <w:r w:rsidRPr="004F572A">
        <w:rPr>
          <w:rFonts w:eastAsia="Calibri"/>
          <w:sz w:val="22"/>
          <w:szCs w:val="22"/>
        </w:rPr>
        <w:t xml:space="preserve"> farmakokinetika po vienkartinės 10</w:t>
      </w:r>
      <w:r w:rsidR="004C5CB2" w:rsidRPr="004F572A">
        <w:rPr>
          <w:rFonts w:eastAsia="Calibri"/>
          <w:sz w:val="22"/>
          <w:szCs w:val="22"/>
        </w:rPr>
        <w:t> </w:t>
      </w:r>
      <w:r w:rsidRPr="004F572A">
        <w:rPr>
          <w:rFonts w:eastAsia="Calibri"/>
          <w:sz w:val="22"/>
          <w:szCs w:val="22"/>
        </w:rPr>
        <w:t xml:space="preserve">mg dozės buvo vertinama 6 </w:t>
      </w:r>
      <w:r w:rsidR="000F79B8">
        <w:rPr>
          <w:rFonts w:eastAsia="Calibri"/>
          <w:sz w:val="22"/>
          <w:szCs w:val="22"/>
        </w:rPr>
        <w:t>tiriamiesiems</w:t>
      </w:r>
      <w:r w:rsidRPr="004F572A">
        <w:rPr>
          <w:rFonts w:eastAsia="Calibri"/>
          <w:sz w:val="22"/>
          <w:szCs w:val="22"/>
        </w:rPr>
        <w:t xml:space="preserve">, iš kurių kiekvienam buvo lengvas ir vidutinio sunkumo kepenų funkcijos sutrikimas (atitinkamai </w:t>
      </w:r>
      <w:proofErr w:type="spellStart"/>
      <w:r w:rsidRPr="000D1CAE">
        <w:rPr>
          <w:rFonts w:eastAsia="Calibri"/>
          <w:i/>
          <w:sz w:val="22"/>
          <w:szCs w:val="22"/>
        </w:rPr>
        <w:t>Child-Pugh</w:t>
      </w:r>
      <w:proofErr w:type="spellEnd"/>
      <w:r w:rsidRPr="004F572A">
        <w:rPr>
          <w:rFonts w:eastAsia="Calibri"/>
          <w:sz w:val="22"/>
          <w:szCs w:val="22"/>
        </w:rPr>
        <w:t xml:space="preserve"> A ir </w:t>
      </w:r>
      <w:proofErr w:type="spellStart"/>
      <w:r w:rsidRPr="000D1CAE">
        <w:rPr>
          <w:rFonts w:eastAsia="Calibri"/>
          <w:i/>
          <w:sz w:val="22"/>
          <w:szCs w:val="22"/>
        </w:rPr>
        <w:t>Child-Pugh</w:t>
      </w:r>
      <w:proofErr w:type="spellEnd"/>
      <w:r w:rsidRPr="004F572A">
        <w:rPr>
          <w:rFonts w:eastAsia="Calibri"/>
          <w:sz w:val="22"/>
          <w:szCs w:val="22"/>
        </w:rPr>
        <w:t xml:space="preserve"> B klasės). 5</w:t>
      </w:r>
      <w:r w:rsidR="004C5CB2" w:rsidRPr="004F572A">
        <w:rPr>
          <w:rFonts w:eastAsia="Calibri"/>
          <w:sz w:val="22"/>
          <w:szCs w:val="22"/>
        </w:rPr>
        <w:t> </w:t>
      </w:r>
      <w:r w:rsidRPr="004F572A">
        <w:rPr>
          <w:rFonts w:eastAsia="Calibri"/>
          <w:sz w:val="22"/>
          <w:szCs w:val="22"/>
        </w:rPr>
        <w:t xml:space="preserve">mg dozė buvo vertinama 6 </w:t>
      </w:r>
      <w:r w:rsidR="000F79B8">
        <w:rPr>
          <w:rFonts w:eastAsia="Calibri"/>
          <w:sz w:val="22"/>
          <w:szCs w:val="22"/>
        </w:rPr>
        <w:t>tiriamiesiems</w:t>
      </w:r>
      <w:r w:rsidRPr="004F572A">
        <w:rPr>
          <w:rFonts w:eastAsia="Calibri"/>
          <w:sz w:val="22"/>
          <w:szCs w:val="22"/>
        </w:rPr>
        <w:t>, kuriems buvo sunkus kepenų funkcijos sutrikimas (</w:t>
      </w:r>
      <w:proofErr w:type="spellStart"/>
      <w:r w:rsidRPr="000D1CAE">
        <w:rPr>
          <w:rFonts w:eastAsia="Calibri"/>
          <w:i/>
          <w:sz w:val="22"/>
          <w:szCs w:val="22"/>
        </w:rPr>
        <w:t>Child-Pugh</w:t>
      </w:r>
      <w:proofErr w:type="spellEnd"/>
      <w:r w:rsidRPr="004F572A">
        <w:rPr>
          <w:rFonts w:eastAsia="Calibri"/>
          <w:sz w:val="22"/>
          <w:szCs w:val="22"/>
        </w:rPr>
        <w:t xml:space="preserve"> C klasė). Aštuoni sveiki, panašių demografinių duomenų </w:t>
      </w:r>
      <w:r w:rsidR="000F79B8">
        <w:rPr>
          <w:rFonts w:eastAsia="Calibri"/>
          <w:sz w:val="22"/>
          <w:szCs w:val="22"/>
        </w:rPr>
        <w:t>tiriamieji buvo kontroliniai tiri</w:t>
      </w:r>
      <w:r w:rsidR="00EF6715">
        <w:rPr>
          <w:rFonts w:eastAsia="Calibri"/>
          <w:sz w:val="22"/>
          <w:szCs w:val="22"/>
        </w:rPr>
        <w:t>a</w:t>
      </w:r>
      <w:r w:rsidR="000F79B8">
        <w:rPr>
          <w:rFonts w:eastAsia="Calibri"/>
          <w:sz w:val="22"/>
          <w:szCs w:val="22"/>
        </w:rPr>
        <w:t>mieji</w:t>
      </w:r>
      <w:r w:rsidR="004C5CB2" w:rsidRPr="004F572A">
        <w:rPr>
          <w:rFonts w:eastAsia="Calibri"/>
          <w:sz w:val="22"/>
          <w:szCs w:val="22"/>
        </w:rPr>
        <w:t xml:space="preserve"> </w:t>
      </w:r>
      <w:r w:rsidRPr="004F572A">
        <w:rPr>
          <w:rFonts w:eastAsia="Calibri"/>
          <w:sz w:val="22"/>
          <w:szCs w:val="22"/>
        </w:rPr>
        <w:t>ir vartojo 10</w:t>
      </w:r>
      <w:r w:rsidR="004C5CB2" w:rsidRPr="004F572A">
        <w:rPr>
          <w:rFonts w:eastAsia="Calibri"/>
          <w:sz w:val="22"/>
          <w:szCs w:val="22"/>
        </w:rPr>
        <w:t> </w:t>
      </w:r>
      <w:r w:rsidRPr="004F572A">
        <w:rPr>
          <w:rFonts w:eastAsia="Calibri"/>
          <w:sz w:val="22"/>
          <w:szCs w:val="22"/>
        </w:rPr>
        <w:t xml:space="preserve">mg dozę. </w:t>
      </w:r>
      <w:proofErr w:type="spellStart"/>
      <w:r w:rsidRPr="004F572A">
        <w:rPr>
          <w:rFonts w:eastAsia="Calibri"/>
          <w:sz w:val="22"/>
          <w:szCs w:val="22"/>
        </w:rPr>
        <w:t>Lenvatinibo</w:t>
      </w:r>
      <w:proofErr w:type="spellEnd"/>
      <w:r w:rsidRPr="004F572A">
        <w:rPr>
          <w:rFonts w:eastAsia="Calibri"/>
          <w:sz w:val="22"/>
          <w:szCs w:val="22"/>
        </w:rPr>
        <w:t xml:space="preserve"> ekspozicija, remiantis pagal dozę koreguot</w:t>
      </w:r>
      <w:r w:rsidR="00BF716A">
        <w:rPr>
          <w:rFonts w:eastAsia="Calibri"/>
          <w:sz w:val="22"/>
          <w:szCs w:val="22"/>
        </w:rPr>
        <w:t>ų</w:t>
      </w:r>
      <w:r w:rsidRPr="004F572A">
        <w:rPr>
          <w:rFonts w:eastAsia="Calibri"/>
          <w:sz w:val="22"/>
          <w:szCs w:val="22"/>
        </w:rPr>
        <w:t xml:space="preserve"> AUC</w:t>
      </w:r>
      <w:r w:rsidRPr="00E27691">
        <w:rPr>
          <w:rFonts w:eastAsia="Calibri"/>
          <w:sz w:val="22"/>
          <w:szCs w:val="22"/>
          <w:vertAlign w:val="subscript"/>
        </w:rPr>
        <w:t>0-t</w:t>
      </w:r>
      <w:r w:rsidRPr="004F572A">
        <w:rPr>
          <w:rFonts w:eastAsia="Calibri"/>
          <w:sz w:val="22"/>
          <w:szCs w:val="22"/>
        </w:rPr>
        <w:t>, ir AUC</w:t>
      </w:r>
      <w:r w:rsidRPr="00E27691">
        <w:rPr>
          <w:rFonts w:eastAsia="Calibri"/>
          <w:sz w:val="22"/>
          <w:szCs w:val="22"/>
          <w:vertAlign w:val="subscript"/>
        </w:rPr>
        <w:t>0-inf</w:t>
      </w:r>
      <w:r w:rsidRPr="004F572A">
        <w:rPr>
          <w:rFonts w:eastAsia="Calibri"/>
          <w:sz w:val="22"/>
          <w:szCs w:val="22"/>
        </w:rPr>
        <w:t xml:space="preserve"> duomenimis, </w:t>
      </w:r>
      <w:r w:rsidR="004C5CB2" w:rsidRPr="004F572A">
        <w:rPr>
          <w:rFonts w:eastAsia="Calibri"/>
          <w:sz w:val="22"/>
          <w:szCs w:val="22"/>
        </w:rPr>
        <w:t>buvo</w:t>
      </w:r>
      <w:r w:rsidRPr="004F572A">
        <w:rPr>
          <w:rFonts w:eastAsia="Calibri"/>
          <w:sz w:val="22"/>
          <w:szCs w:val="22"/>
        </w:rPr>
        <w:t xml:space="preserve"> atitinkamai 119</w:t>
      </w:r>
      <w:r w:rsidR="004C5CB2" w:rsidRPr="004F572A">
        <w:rPr>
          <w:rFonts w:eastAsia="Calibri"/>
          <w:sz w:val="22"/>
          <w:szCs w:val="22"/>
        </w:rPr>
        <w:t> </w:t>
      </w:r>
      <w:r w:rsidRPr="004F572A">
        <w:rPr>
          <w:rFonts w:eastAsia="Calibri"/>
          <w:sz w:val="22"/>
          <w:szCs w:val="22"/>
        </w:rPr>
        <w:t>%, 107</w:t>
      </w:r>
      <w:r w:rsidR="004C5CB2" w:rsidRPr="004F572A">
        <w:rPr>
          <w:rFonts w:eastAsia="Calibri"/>
          <w:sz w:val="22"/>
          <w:szCs w:val="22"/>
        </w:rPr>
        <w:t> </w:t>
      </w:r>
      <w:r w:rsidRPr="004F572A">
        <w:rPr>
          <w:rFonts w:eastAsia="Calibri"/>
          <w:sz w:val="22"/>
          <w:szCs w:val="22"/>
        </w:rPr>
        <w:t>% ir 180</w:t>
      </w:r>
      <w:r w:rsidR="004C5CB2" w:rsidRPr="004F572A">
        <w:rPr>
          <w:rFonts w:eastAsia="Calibri"/>
          <w:sz w:val="22"/>
          <w:szCs w:val="22"/>
        </w:rPr>
        <w:t> </w:t>
      </w:r>
      <w:r w:rsidRPr="004F572A">
        <w:rPr>
          <w:rFonts w:eastAsia="Calibri"/>
          <w:sz w:val="22"/>
          <w:szCs w:val="22"/>
        </w:rPr>
        <w:t xml:space="preserve">% normalios ekspozicijos </w:t>
      </w:r>
      <w:r w:rsidR="004C5CB2" w:rsidRPr="004F572A">
        <w:rPr>
          <w:rFonts w:eastAsia="Calibri"/>
          <w:sz w:val="22"/>
          <w:szCs w:val="22"/>
        </w:rPr>
        <w:t>asmenims</w:t>
      </w:r>
      <w:r w:rsidRPr="004F572A">
        <w:rPr>
          <w:rFonts w:eastAsia="Calibri"/>
          <w:sz w:val="22"/>
          <w:szCs w:val="22"/>
        </w:rPr>
        <w:t xml:space="preserve">, kuriems buvo lengvas, vidutinio sunkumo </w:t>
      </w:r>
      <w:r w:rsidR="00A414F6" w:rsidRPr="004F572A">
        <w:rPr>
          <w:rFonts w:eastAsia="Calibri"/>
          <w:sz w:val="22"/>
          <w:szCs w:val="22"/>
        </w:rPr>
        <w:t>i</w:t>
      </w:r>
      <w:r w:rsidRPr="004F572A">
        <w:rPr>
          <w:rFonts w:eastAsia="Calibri"/>
          <w:sz w:val="22"/>
          <w:szCs w:val="22"/>
        </w:rPr>
        <w:t xml:space="preserve">r sunkus kepenų funkcijos sutrikimas. Nustatyta, kad </w:t>
      </w:r>
      <w:r w:rsidR="000F79B8">
        <w:rPr>
          <w:rFonts w:eastAsia="Calibri"/>
          <w:sz w:val="22"/>
          <w:szCs w:val="22"/>
        </w:rPr>
        <w:t>jungimasis</w:t>
      </w:r>
      <w:r w:rsidR="000F79B8" w:rsidRPr="004F572A">
        <w:rPr>
          <w:rFonts w:eastAsia="Calibri"/>
          <w:sz w:val="22"/>
          <w:szCs w:val="22"/>
        </w:rPr>
        <w:t xml:space="preserve"> </w:t>
      </w:r>
      <w:r w:rsidRPr="004F572A">
        <w:rPr>
          <w:rFonts w:eastAsia="Calibri"/>
          <w:sz w:val="22"/>
          <w:szCs w:val="22"/>
        </w:rPr>
        <w:t xml:space="preserve">prie plazmos baltymų </w:t>
      </w:r>
      <w:r w:rsidR="000F79B8">
        <w:rPr>
          <w:rFonts w:eastAsia="Calibri"/>
          <w:sz w:val="22"/>
          <w:szCs w:val="22"/>
        </w:rPr>
        <w:t>tiriamųjų</w:t>
      </w:r>
      <w:r w:rsidRPr="004F572A">
        <w:rPr>
          <w:rFonts w:eastAsia="Calibri"/>
          <w:sz w:val="22"/>
          <w:szCs w:val="22"/>
        </w:rPr>
        <w:t xml:space="preserve">, kurių kepenų funkcija </w:t>
      </w:r>
      <w:r w:rsidR="000F79B8">
        <w:rPr>
          <w:rFonts w:eastAsia="Calibri"/>
          <w:sz w:val="22"/>
          <w:szCs w:val="22"/>
        </w:rPr>
        <w:t xml:space="preserve">yra </w:t>
      </w:r>
      <w:r w:rsidRPr="004F572A">
        <w:rPr>
          <w:rFonts w:eastAsia="Calibri"/>
          <w:sz w:val="22"/>
          <w:szCs w:val="22"/>
        </w:rPr>
        <w:t xml:space="preserve">sutrikusi, plazmoje buvo panašus į atitinkamai atrinktų sveikų </w:t>
      </w:r>
      <w:r w:rsidR="000F79B8">
        <w:rPr>
          <w:rFonts w:eastAsia="Calibri"/>
          <w:sz w:val="22"/>
          <w:szCs w:val="22"/>
        </w:rPr>
        <w:t>tiriamųjų</w:t>
      </w:r>
      <w:r w:rsidRPr="004F572A">
        <w:rPr>
          <w:rFonts w:eastAsia="Calibri"/>
          <w:sz w:val="22"/>
          <w:szCs w:val="22"/>
        </w:rPr>
        <w:t xml:space="preserve">, ir nepastebėta jokios priklausomybės nuo koncentracijos. </w:t>
      </w:r>
      <w:r w:rsidR="000F79B8" w:rsidRPr="000F79B8">
        <w:rPr>
          <w:rFonts w:eastAsia="Calibri"/>
          <w:sz w:val="22"/>
          <w:szCs w:val="22"/>
        </w:rPr>
        <w:t>Dozavimo rekomendacijos pateikiamos</w:t>
      </w:r>
      <w:r w:rsidR="00A414F6" w:rsidRPr="004F572A">
        <w:rPr>
          <w:rFonts w:eastAsia="Calibri"/>
          <w:sz w:val="22"/>
          <w:szCs w:val="22"/>
        </w:rPr>
        <w:t xml:space="preserve"> 4.2 skyri</w:t>
      </w:r>
      <w:r w:rsidR="000F79B8">
        <w:rPr>
          <w:rFonts w:eastAsia="Calibri"/>
          <w:sz w:val="22"/>
          <w:szCs w:val="22"/>
        </w:rPr>
        <w:t>uje</w:t>
      </w:r>
      <w:r w:rsidRPr="004F572A">
        <w:rPr>
          <w:rFonts w:eastAsia="Calibri"/>
          <w:sz w:val="22"/>
          <w:szCs w:val="22"/>
        </w:rPr>
        <w:t>.</w:t>
      </w:r>
    </w:p>
    <w:p w14:paraId="0F28C346" w14:textId="77777777" w:rsidR="00A414F6" w:rsidRPr="004F572A" w:rsidRDefault="00A414F6" w:rsidP="00B336E6">
      <w:pPr>
        <w:widowControl w:val="0"/>
        <w:tabs>
          <w:tab w:val="clear" w:pos="567"/>
        </w:tabs>
        <w:rPr>
          <w:rFonts w:eastAsia="Calibri"/>
          <w:sz w:val="22"/>
          <w:szCs w:val="22"/>
        </w:rPr>
      </w:pPr>
    </w:p>
    <w:p w14:paraId="0BC20477" w14:textId="79E93C30" w:rsidR="00B336E6" w:rsidRPr="004F572A" w:rsidRDefault="00B336E6" w:rsidP="00B336E6">
      <w:pPr>
        <w:widowControl w:val="0"/>
        <w:tabs>
          <w:tab w:val="clear" w:pos="567"/>
        </w:tabs>
        <w:rPr>
          <w:rFonts w:eastAsia="Calibri"/>
          <w:sz w:val="22"/>
          <w:szCs w:val="22"/>
        </w:rPr>
      </w:pPr>
      <w:r w:rsidRPr="004F572A">
        <w:rPr>
          <w:rFonts w:eastAsia="Calibri"/>
          <w:sz w:val="22"/>
          <w:szCs w:val="22"/>
        </w:rPr>
        <w:t xml:space="preserve">Duomenų apie </w:t>
      </w:r>
      <w:proofErr w:type="spellStart"/>
      <w:r w:rsidRPr="004F572A">
        <w:rPr>
          <w:rFonts w:eastAsia="Calibri"/>
          <w:sz w:val="22"/>
          <w:szCs w:val="22"/>
        </w:rPr>
        <w:t>hepatoceliuline</w:t>
      </w:r>
      <w:proofErr w:type="spellEnd"/>
      <w:r w:rsidRPr="004F572A">
        <w:rPr>
          <w:rFonts w:eastAsia="Calibri"/>
          <w:sz w:val="22"/>
          <w:szCs w:val="22"/>
        </w:rPr>
        <w:t xml:space="preserve"> karcinoma sergančius pacientus, kurių kepenų funkcija </w:t>
      </w:r>
      <w:r w:rsidR="000F79B8">
        <w:rPr>
          <w:rFonts w:eastAsia="Calibri"/>
          <w:sz w:val="22"/>
          <w:szCs w:val="22"/>
        </w:rPr>
        <w:t>priskiriama</w:t>
      </w:r>
      <w:r w:rsidR="000F79B8" w:rsidRPr="004F572A">
        <w:rPr>
          <w:rFonts w:eastAsia="Calibri"/>
          <w:sz w:val="22"/>
          <w:szCs w:val="22"/>
        </w:rPr>
        <w:t xml:space="preserve"> </w:t>
      </w:r>
      <w:proofErr w:type="spellStart"/>
      <w:r w:rsidRPr="000D1CAE">
        <w:rPr>
          <w:rFonts w:eastAsia="Calibri"/>
          <w:i/>
          <w:sz w:val="22"/>
          <w:szCs w:val="22"/>
        </w:rPr>
        <w:t>Child-Pugh</w:t>
      </w:r>
      <w:proofErr w:type="spellEnd"/>
      <w:r w:rsidRPr="004F572A">
        <w:rPr>
          <w:rFonts w:eastAsia="Calibri"/>
          <w:sz w:val="22"/>
          <w:szCs w:val="22"/>
        </w:rPr>
        <w:t xml:space="preserve"> B klas</w:t>
      </w:r>
      <w:r w:rsidR="000F79B8">
        <w:rPr>
          <w:rFonts w:eastAsia="Calibri"/>
          <w:sz w:val="22"/>
          <w:szCs w:val="22"/>
        </w:rPr>
        <w:t>ei</w:t>
      </w:r>
      <w:r w:rsidRPr="004F572A">
        <w:rPr>
          <w:rFonts w:eastAsia="Calibri"/>
          <w:sz w:val="22"/>
          <w:szCs w:val="22"/>
        </w:rPr>
        <w:t xml:space="preserve"> (vidutinio sunkumo kepenų </w:t>
      </w:r>
      <w:r w:rsidR="00A414F6" w:rsidRPr="004F572A">
        <w:rPr>
          <w:rFonts w:eastAsia="Calibri"/>
          <w:sz w:val="22"/>
          <w:szCs w:val="22"/>
        </w:rPr>
        <w:t>funkcijos sutrikimas</w:t>
      </w:r>
      <w:r w:rsidRPr="004F572A">
        <w:rPr>
          <w:rFonts w:eastAsia="Calibri"/>
          <w:sz w:val="22"/>
          <w:szCs w:val="22"/>
        </w:rPr>
        <w:t>, pagrindini</w:t>
      </w:r>
      <w:r w:rsidR="000F79B8">
        <w:rPr>
          <w:rFonts w:eastAsia="Calibri"/>
          <w:sz w:val="22"/>
          <w:szCs w:val="22"/>
        </w:rPr>
        <w:t>ame</w:t>
      </w:r>
      <w:r w:rsidR="00A414F6" w:rsidRPr="004F572A">
        <w:rPr>
          <w:rFonts w:eastAsia="Calibri"/>
          <w:sz w:val="22"/>
          <w:szCs w:val="22"/>
        </w:rPr>
        <w:t xml:space="preserve"> tyrim</w:t>
      </w:r>
      <w:r w:rsidR="000F79B8">
        <w:rPr>
          <w:rFonts w:eastAsia="Calibri"/>
          <w:sz w:val="22"/>
          <w:szCs w:val="22"/>
        </w:rPr>
        <w:t>e</w:t>
      </w:r>
      <w:r w:rsidRPr="004F572A">
        <w:rPr>
          <w:rFonts w:eastAsia="Calibri"/>
          <w:sz w:val="22"/>
          <w:szCs w:val="22"/>
        </w:rPr>
        <w:t xml:space="preserve"> 3</w:t>
      </w:r>
      <w:r w:rsidR="00B10CAA">
        <w:rPr>
          <w:rFonts w:eastAsia="Calibri"/>
          <w:sz w:val="22"/>
          <w:szCs w:val="22"/>
        </w:rPr>
        <w:t> </w:t>
      </w:r>
      <w:r w:rsidRPr="004F572A">
        <w:rPr>
          <w:rFonts w:eastAsia="Calibri"/>
          <w:sz w:val="22"/>
          <w:szCs w:val="22"/>
        </w:rPr>
        <w:t xml:space="preserve">pacientai gydyti </w:t>
      </w:r>
      <w:proofErr w:type="spellStart"/>
      <w:r w:rsidRPr="004F572A">
        <w:rPr>
          <w:rFonts w:eastAsia="Calibri"/>
          <w:sz w:val="22"/>
          <w:szCs w:val="22"/>
        </w:rPr>
        <w:t>lenv</w:t>
      </w:r>
      <w:r w:rsidR="00A414F6" w:rsidRPr="004F572A">
        <w:rPr>
          <w:rFonts w:eastAsia="Calibri"/>
          <w:sz w:val="22"/>
          <w:szCs w:val="22"/>
        </w:rPr>
        <w:t>atinibu</w:t>
      </w:r>
      <w:proofErr w:type="spellEnd"/>
      <w:r w:rsidRPr="004F572A">
        <w:rPr>
          <w:rFonts w:eastAsia="Calibri"/>
          <w:sz w:val="22"/>
          <w:szCs w:val="22"/>
        </w:rPr>
        <w:t xml:space="preserve">), duomenų nepakanka; duomenų apie </w:t>
      </w:r>
      <w:proofErr w:type="spellStart"/>
      <w:r w:rsidR="001806A3" w:rsidRPr="001806A3">
        <w:rPr>
          <w:rFonts w:eastAsia="Calibri"/>
          <w:i/>
          <w:sz w:val="22"/>
          <w:szCs w:val="22"/>
        </w:rPr>
        <w:t>Child-Pugh</w:t>
      </w:r>
      <w:proofErr w:type="spellEnd"/>
      <w:r w:rsidRPr="004F572A">
        <w:rPr>
          <w:rFonts w:eastAsia="Calibri"/>
          <w:sz w:val="22"/>
          <w:szCs w:val="22"/>
        </w:rPr>
        <w:t xml:space="preserve"> C klas</w:t>
      </w:r>
      <w:r w:rsidR="000F79B8">
        <w:rPr>
          <w:rFonts w:eastAsia="Calibri"/>
          <w:sz w:val="22"/>
          <w:szCs w:val="22"/>
        </w:rPr>
        <w:t>ei</w:t>
      </w:r>
      <w:r w:rsidRPr="004F572A">
        <w:rPr>
          <w:rFonts w:eastAsia="Calibri"/>
          <w:sz w:val="22"/>
          <w:szCs w:val="22"/>
        </w:rPr>
        <w:t xml:space="preserve"> (sunkus kepenų </w:t>
      </w:r>
      <w:r w:rsidR="000F79B8">
        <w:rPr>
          <w:rFonts w:eastAsia="Calibri"/>
          <w:sz w:val="22"/>
          <w:szCs w:val="22"/>
        </w:rPr>
        <w:t>nepakankamumas</w:t>
      </w:r>
      <w:r w:rsidRPr="004F572A">
        <w:rPr>
          <w:rFonts w:eastAsia="Calibri"/>
          <w:sz w:val="22"/>
          <w:szCs w:val="22"/>
        </w:rPr>
        <w:t xml:space="preserve">) </w:t>
      </w:r>
      <w:r w:rsidR="000F79B8">
        <w:rPr>
          <w:rFonts w:eastAsia="Calibri"/>
          <w:sz w:val="22"/>
          <w:szCs w:val="22"/>
        </w:rPr>
        <w:t xml:space="preserve">priskiriamus </w:t>
      </w:r>
      <w:proofErr w:type="spellStart"/>
      <w:r w:rsidRPr="004F572A">
        <w:rPr>
          <w:rFonts w:eastAsia="Calibri"/>
          <w:sz w:val="22"/>
          <w:szCs w:val="22"/>
        </w:rPr>
        <w:t>hepatoceliuline</w:t>
      </w:r>
      <w:proofErr w:type="spellEnd"/>
      <w:r w:rsidRPr="004F572A">
        <w:rPr>
          <w:rFonts w:eastAsia="Calibri"/>
          <w:sz w:val="22"/>
          <w:szCs w:val="22"/>
        </w:rPr>
        <w:t xml:space="preserve"> karcinoma</w:t>
      </w:r>
      <w:r w:rsidR="000F79B8">
        <w:rPr>
          <w:rFonts w:eastAsia="Calibri"/>
          <w:sz w:val="22"/>
          <w:szCs w:val="22"/>
        </w:rPr>
        <w:t xml:space="preserve"> sergančius pacientus</w:t>
      </w:r>
      <w:r w:rsidRPr="004F572A">
        <w:rPr>
          <w:rFonts w:eastAsia="Calibri"/>
          <w:sz w:val="22"/>
          <w:szCs w:val="22"/>
        </w:rPr>
        <w:t xml:space="preserve"> nėra. </w:t>
      </w:r>
      <w:proofErr w:type="spellStart"/>
      <w:r w:rsidRPr="004F572A">
        <w:rPr>
          <w:rFonts w:eastAsia="Calibri"/>
          <w:sz w:val="22"/>
          <w:szCs w:val="22"/>
        </w:rPr>
        <w:t>Lenvatinibas</w:t>
      </w:r>
      <w:proofErr w:type="spellEnd"/>
      <w:r w:rsidRPr="004F572A">
        <w:rPr>
          <w:rFonts w:eastAsia="Calibri"/>
          <w:sz w:val="22"/>
          <w:szCs w:val="22"/>
        </w:rPr>
        <w:t xml:space="preserve"> daugiausia išskiriamas per kepenis, todėl ši</w:t>
      </w:r>
      <w:r w:rsidR="000F79B8">
        <w:rPr>
          <w:rFonts w:eastAsia="Calibri"/>
          <w:sz w:val="22"/>
          <w:szCs w:val="22"/>
        </w:rPr>
        <w:t>ems</w:t>
      </w:r>
      <w:r w:rsidR="00A414F6" w:rsidRPr="004F572A">
        <w:rPr>
          <w:rFonts w:eastAsia="Calibri"/>
          <w:sz w:val="22"/>
          <w:szCs w:val="22"/>
        </w:rPr>
        <w:t xml:space="preserve"> pacientams</w:t>
      </w:r>
      <w:r w:rsidRPr="004F572A">
        <w:rPr>
          <w:rFonts w:eastAsia="Calibri"/>
          <w:sz w:val="22"/>
          <w:szCs w:val="22"/>
        </w:rPr>
        <w:t xml:space="preserve"> jo </w:t>
      </w:r>
      <w:r w:rsidR="000F79B8">
        <w:rPr>
          <w:rFonts w:eastAsia="Calibri"/>
          <w:sz w:val="22"/>
          <w:szCs w:val="22"/>
        </w:rPr>
        <w:t>poveikis</w:t>
      </w:r>
      <w:r w:rsidR="00104ED8" w:rsidRPr="004F572A">
        <w:rPr>
          <w:rFonts w:eastAsia="Calibri"/>
          <w:sz w:val="22"/>
          <w:szCs w:val="22"/>
        </w:rPr>
        <w:t xml:space="preserve"> </w:t>
      </w:r>
      <w:r w:rsidRPr="004F572A">
        <w:rPr>
          <w:rFonts w:eastAsia="Calibri"/>
          <w:sz w:val="22"/>
          <w:szCs w:val="22"/>
        </w:rPr>
        <w:t xml:space="preserve">gali </w:t>
      </w:r>
      <w:r w:rsidR="000F79B8">
        <w:rPr>
          <w:rFonts w:eastAsia="Calibri"/>
          <w:sz w:val="22"/>
          <w:szCs w:val="22"/>
        </w:rPr>
        <w:t>sustiprėti</w:t>
      </w:r>
      <w:r w:rsidRPr="004F572A">
        <w:rPr>
          <w:rFonts w:eastAsia="Calibri"/>
          <w:sz w:val="22"/>
          <w:szCs w:val="22"/>
        </w:rPr>
        <w:t>.</w:t>
      </w:r>
    </w:p>
    <w:p w14:paraId="497A27DB" w14:textId="77777777" w:rsidR="00104ED8" w:rsidRPr="004F572A" w:rsidRDefault="00104ED8" w:rsidP="00B336E6">
      <w:pPr>
        <w:widowControl w:val="0"/>
        <w:tabs>
          <w:tab w:val="clear" w:pos="567"/>
        </w:tabs>
        <w:rPr>
          <w:rFonts w:eastAsia="Calibri"/>
          <w:sz w:val="22"/>
          <w:szCs w:val="22"/>
        </w:rPr>
      </w:pPr>
    </w:p>
    <w:p w14:paraId="2D31F18B" w14:textId="60ACE49E" w:rsidR="00B336E6" w:rsidRPr="004F572A" w:rsidRDefault="00A45743" w:rsidP="00A45743">
      <w:pPr>
        <w:widowControl w:val="0"/>
        <w:tabs>
          <w:tab w:val="clear" w:pos="567"/>
        </w:tabs>
        <w:rPr>
          <w:rFonts w:eastAsia="Calibri"/>
          <w:sz w:val="22"/>
          <w:szCs w:val="22"/>
        </w:rPr>
      </w:pPr>
      <w:r w:rsidRPr="00A45743">
        <w:rPr>
          <w:rFonts w:eastAsia="Calibri"/>
          <w:sz w:val="22"/>
          <w:szCs w:val="22"/>
        </w:rPr>
        <w:t>Pusinės eliminacijos trukmės mediana buvo panaši tiriamiesiems, kuriems buvo lengvas, vidutinio sunkumo ir sunkus kepenų funkcijos sutrikimas, bei tiriamiesiems, kurių kepenų veikla buvo normali, ir svyravo nuo 26</w:t>
      </w:r>
      <w:r w:rsidR="00B10CAA">
        <w:rPr>
          <w:rFonts w:eastAsia="Calibri"/>
          <w:sz w:val="22"/>
          <w:szCs w:val="22"/>
        </w:rPr>
        <w:t> </w:t>
      </w:r>
      <w:r w:rsidRPr="00A45743">
        <w:rPr>
          <w:rFonts w:eastAsia="Calibri"/>
          <w:sz w:val="22"/>
          <w:szCs w:val="22"/>
        </w:rPr>
        <w:t>valandų iki 31</w:t>
      </w:r>
      <w:r w:rsidR="00B10CAA">
        <w:rPr>
          <w:rFonts w:eastAsia="Calibri"/>
          <w:sz w:val="22"/>
          <w:szCs w:val="22"/>
        </w:rPr>
        <w:t> </w:t>
      </w:r>
      <w:r w:rsidRPr="00A45743">
        <w:rPr>
          <w:rFonts w:eastAsia="Calibri"/>
          <w:sz w:val="22"/>
          <w:szCs w:val="22"/>
        </w:rPr>
        <w:t xml:space="preserve">valandos. Su šlapimu išsiskyrusios </w:t>
      </w:r>
      <w:proofErr w:type="spellStart"/>
      <w:r w:rsidRPr="00A45743">
        <w:rPr>
          <w:rFonts w:eastAsia="Calibri"/>
          <w:sz w:val="22"/>
          <w:szCs w:val="22"/>
        </w:rPr>
        <w:t>lenvatinibo</w:t>
      </w:r>
      <w:proofErr w:type="spellEnd"/>
      <w:r w:rsidRPr="00A45743">
        <w:rPr>
          <w:rFonts w:eastAsia="Calibri"/>
          <w:sz w:val="22"/>
          <w:szCs w:val="22"/>
        </w:rPr>
        <w:t xml:space="preserve"> dozės procentinė dalis buvo maža visose kohortose (&lt;</w:t>
      </w:r>
      <w:r w:rsidR="00B10CAA">
        <w:rPr>
          <w:rFonts w:eastAsia="Calibri"/>
          <w:sz w:val="22"/>
          <w:szCs w:val="22"/>
        </w:rPr>
        <w:t> </w:t>
      </w:r>
      <w:r w:rsidRPr="00A45743">
        <w:rPr>
          <w:rFonts w:eastAsia="Calibri"/>
          <w:sz w:val="22"/>
          <w:szCs w:val="22"/>
        </w:rPr>
        <w:t>2,16</w:t>
      </w:r>
      <w:r w:rsidR="00B10CAA">
        <w:rPr>
          <w:rFonts w:eastAsia="Calibri"/>
          <w:sz w:val="22"/>
          <w:szCs w:val="22"/>
        </w:rPr>
        <w:t> </w:t>
      </w:r>
      <w:r w:rsidRPr="00A45743">
        <w:rPr>
          <w:rFonts w:eastAsia="Calibri"/>
          <w:sz w:val="22"/>
          <w:szCs w:val="22"/>
        </w:rPr>
        <w:t>% visose gydymo kohortose)</w:t>
      </w:r>
      <w:r>
        <w:rPr>
          <w:rFonts w:eastAsia="Calibri"/>
          <w:sz w:val="22"/>
          <w:szCs w:val="22"/>
        </w:rPr>
        <w:t>.</w:t>
      </w:r>
    </w:p>
    <w:p w14:paraId="2FBAE4E3" w14:textId="77777777" w:rsidR="00104ED8" w:rsidRPr="004F572A" w:rsidRDefault="00104ED8" w:rsidP="00B336E6">
      <w:pPr>
        <w:widowControl w:val="0"/>
        <w:tabs>
          <w:tab w:val="clear" w:pos="567"/>
        </w:tabs>
        <w:rPr>
          <w:rFonts w:eastAsia="Calibri"/>
          <w:i/>
          <w:iCs/>
          <w:sz w:val="22"/>
          <w:szCs w:val="22"/>
        </w:rPr>
      </w:pPr>
    </w:p>
    <w:p w14:paraId="700C30B1" w14:textId="3BE0877F" w:rsidR="00B336E6" w:rsidRPr="004F572A" w:rsidRDefault="00B336E6" w:rsidP="00B336E6">
      <w:pPr>
        <w:widowControl w:val="0"/>
        <w:tabs>
          <w:tab w:val="clear" w:pos="567"/>
        </w:tabs>
        <w:rPr>
          <w:rFonts w:eastAsia="Calibri"/>
          <w:i/>
          <w:iCs/>
          <w:sz w:val="22"/>
          <w:szCs w:val="22"/>
          <w:u w:val="single"/>
        </w:rPr>
      </w:pPr>
      <w:r w:rsidRPr="004F572A">
        <w:rPr>
          <w:rFonts w:eastAsia="Calibri"/>
          <w:i/>
          <w:iCs/>
          <w:sz w:val="22"/>
          <w:szCs w:val="22"/>
          <w:u w:val="single"/>
        </w:rPr>
        <w:t>Sutrikusi inkstų funkcija</w:t>
      </w:r>
    </w:p>
    <w:p w14:paraId="7B5E82F8" w14:textId="77777777" w:rsidR="00104ED8" w:rsidRPr="004F572A" w:rsidRDefault="00104ED8" w:rsidP="00B336E6">
      <w:pPr>
        <w:widowControl w:val="0"/>
        <w:tabs>
          <w:tab w:val="clear" w:pos="567"/>
        </w:tabs>
        <w:rPr>
          <w:rFonts w:eastAsia="Calibri"/>
          <w:i/>
          <w:iCs/>
          <w:sz w:val="22"/>
          <w:szCs w:val="22"/>
        </w:rPr>
      </w:pPr>
    </w:p>
    <w:p w14:paraId="1EB4F648" w14:textId="3D39B5B2" w:rsidR="00B336E6" w:rsidRPr="004F572A" w:rsidRDefault="00B336E6" w:rsidP="00B336E6">
      <w:pPr>
        <w:widowControl w:val="0"/>
        <w:tabs>
          <w:tab w:val="clear" w:pos="567"/>
        </w:tabs>
        <w:rPr>
          <w:rFonts w:eastAsia="Calibri"/>
          <w:sz w:val="22"/>
          <w:szCs w:val="22"/>
        </w:rPr>
      </w:pPr>
      <w:proofErr w:type="spellStart"/>
      <w:r w:rsidRPr="004F572A">
        <w:rPr>
          <w:rFonts w:eastAsia="Calibri"/>
          <w:sz w:val="22"/>
          <w:szCs w:val="22"/>
        </w:rPr>
        <w:t>Lenvatinibo</w:t>
      </w:r>
      <w:proofErr w:type="spellEnd"/>
      <w:r w:rsidRPr="004F572A">
        <w:rPr>
          <w:rFonts w:eastAsia="Calibri"/>
          <w:sz w:val="22"/>
          <w:szCs w:val="22"/>
        </w:rPr>
        <w:t xml:space="preserve"> farmakokinetika po vienkartinės 24</w:t>
      </w:r>
      <w:r w:rsidR="00E14885" w:rsidRPr="004F572A">
        <w:rPr>
          <w:rFonts w:eastAsia="Calibri"/>
          <w:sz w:val="22"/>
          <w:szCs w:val="22"/>
        </w:rPr>
        <w:t> </w:t>
      </w:r>
      <w:r w:rsidRPr="004F572A">
        <w:rPr>
          <w:rFonts w:eastAsia="Calibri"/>
          <w:sz w:val="22"/>
          <w:szCs w:val="22"/>
        </w:rPr>
        <w:t xml:space="preserve">mg dozės </w:t>
      </w:r>
      <w:r w:rsidR="00A45743">
        <w:rPr>
          <w:rFonts w:eastAsia="Calibri"/>
          <w:sz w:val="22"/>
          <w:szCs w:val="22"/>
        </w:rPr>
        <w:t>pa</w:t>
      </w:r>
      <w:r w:rsidRPr="004F572A">
        <w:rPr>
          <w:rFonts w:eastAsia="Calibri"/>
          <w:sz w:val="22"/>
          <w:szCs w:val="22"/>
        </w:rPr>
        <w:t>vartojimo buvo vertinama 6</w:t>
      </w:r>
      <w:r w:rsidR="00B10CAA">
        <w:rPr>
          <w:rFonts w:eastAsia="Calibri"/>
          <w:sz w:val="22"/>
          <w:szCs w:val="22"/>
        </w:rPr>
        <w:t> </w:t>
      </w:r>
      <w:r w:rsidR="00A45743">
        <w:rPr>
          <w:rFonts w:eastAsia="Calibri"/>
          <w:sz w:val="22"/>
          <w:szCs w:val="22"/>
        </w:rPr>
        <w:t>tiriamiesiems</w:t>
      </w:r>
      <w:r w:rsidRPr="004F572A">
        <w:rPr>
          <w:rFonts w:eastAsia="Calibri"/>
          <w:sz w:val="22"/>
          <w:szCs w:val="22"/>
        </w:rPr>
        <w:t>, iš kurių kiekvienam buvo lengvas, vidutinio sunkumo ir sunkus inkstų funkcijos sutrikimas, ir lyginama su farmakokinetika 8</w:t>
      </w:r>
      <w:r w:rsidR="00B10CAA">
        <w:rPr>
          <w:rFonts w:eastAsia="Calibri"/>
          <w:sz w:val="22"/>
          <w:szCs w:val="22"/>
        </w:rPr>
        <w:t> </w:t>
      </w:r>
      <w:r w:rsidRPr="004F572A">
        <w:rPr>
          <w:rFonts w:eastAsia="Calibri"/>
          <w:sz w:val="22"/>
          <w:szCs w:val="22"/>
        </w:rPr>
        <w:t xml:space="preserve">sveikiems, panašių demografinių duomenų </w:t>
      </w:r>
      <w:r w:rsidR="00A45743">
        <w:rPr>
          <w:rFonts w:eastAsia="Calibri"/>
          <w:sz w:val="22"/>
          <w:szCs w:val="22"/>
        </w:rPr>
        <w:t>tiriamiesiems</w:t>
      </w:r>
      <w:r w:rsidRPr="004F572A">
        <w:rPr>
          <w:rFonts w:eastAsia="Calibri"/>
          <w:sz w:val="22"/>
          <w:szCs w:val="22"/>
        </w:rPr>
        <w:t xml:space="preserve">. </w:t>
      </w:r>
      <w:r w:rsidR="00A45743">
        <w:rPr>
          <w:rFonts w:eastAsia="Calibri"/>
          <w:sz w:val="22"/>
          <w:szCs w:val="22"/>
        </w:rPr>
        <w:t>Tiriamieji</w:t>
      </w:r>
      <w:r w:rsidR="00E14885" w:rsidRPr="004F572A">
        <w:rPr>
          <w:rFonts w:eastAsia="Calibri"/>
          <w:sz w:val="22"/>
          <w:szCs w:val="22"/>
        </w:rPr>
        <w:t xml:space="preserve">, </w:t>
      </w:r>
      <w:r w:rsidR="00A45743">
        <w:rPr>
          <w:rFonts w:eastAsia="Calibri"/>
          <w:sz w:val="22"/>
          <w:szCs w:val="22"/>
        </w:rPr>
        <w:t>sergantys</w:t>
      </w:r>
      <w:r w:rsidRPr="004F572A">
        <w:rPr>
          <w:rFonts w:eastAsia="Calibri"/>
          <w:sz w:val="22"/>
          <w:szCs w:val="22"/>
        </w:rPr>
        <w:t xml:space="preserve"> galutinės stadijos inkstų liga, </w:t>
      </w:r>
      <w:r w:rsidR="00A45743">
        <w:rPr>
          <w:rFonts w:eastAsia="Calibri"/>
          <w:sz w:val="22"/>
          <w:szCs w:val="22"/>
        </w:rPr>
        <w:t>neištirti</w:t>
      </w:r>
      <w:r w:rsidRPr="004F572A">
        <w:rPr>
          <w:rFonts w:eastAsia="Calibri"/>
          <w:sz w:val="22"/>
          <w:szCs w:val="22"/>
        </w:rPr>
        <w:t>.</w:t>
      </w:r>
    </w:p>
    <w:p w14:paraId="44961415" w14:textId="77777777" w:rsidR="00E14885" w:rsidRPr="004F572A" w:rsidRDefault="00E14885" w:rsidP="00B336E6">
      <w:pPr>
        <w:widowControl w:val="0"/>
        <w:tabs>
          <w:tab w:val="clear" w:pos="567"/>
        </w:tabs>
        <w:rPr>
          <w:rFonts w:eastAsia="Calibri"/>
          <w:sz w:val="22"/>
          <w:szCs w:val="22"/>
        </w:rPr>
      </w:pPr>
    </w:p>
    <w:p w14:paraId="5F95C4E6" w14:textId="63CB61FB" w:rsidR="0009795A" w:rsidRPr="004F572A" w:rsidRDefault="00B336E6" w:rsidP="00A45743">
      <w:pPr>
        <w:rPr>
          <w:rFonts w:eastAsia="Calibri"/>
          <w:sz w:val="22"/>
          <w:szCs w:val="22"/>
        </w:rPr>
      </w:pPr>
      <w:proofErr w:type="spellStart"/>
      <w:r w:rsidRPr="004F572A">
        <w:rPr>
          <w:rFonts w:eastAsia="Calibri"/>
          <w:sz w:val="22"/>
          <w:szCs w:val="22"/>
        </w:rPr>
        <w:t>Lenvatinibo</w:t>
      </w:r>
      <w:proofErr w:type="spellEnd"/>
      <w:r w:rsidRPr="004F572A">
        <w:rPr>
          <w:rFonts w:eastAsia="Calibri"/>
          <w:sz w:val="22"/>
          <w:szCs w:val="22"/>
        </w:rPr>
        <w:t xml:space="preserve"> ekspozicija, remiantis AUC</w:t>
      </w:r>
      <w:r w:rsidRPr="004F572A">
        <w:rPr>
          <w:rFonts w:eastAsia="Calibri"/>
          <w:sz w:val="22"/>
          <w:szCs w:val="22"/>
          <w:vertAlign w:val="subscript"/>
        </w:rPr>
        <w:t>0-inf</w:t>
      </w:r>
      <w:r w:rsidRPr="004F572A">
        <w:rPr>
          <w:rFonts w:eastAsia="Calibri"/>
          <w:sz w:val="22"/>
          <w:szCs w:val="22"/>
        </w:rPr>
        <w:t xml:space="preserve"> duomenimis, </w:t>
      </w:r>
      <w:r w:rsidR="00A45743">
        <w:rPr>
          <w:rFonts w:eastAsia="Calibri"/>
          <w:sz w:val="22"/>
          <w:szCs w:val="22"/>
        </w:rPr>
        <w:t>sudarė</w:t>
      </w:r>
      <w:r w:rsidR="00E14885" w:rsidRPr="004F572A">
        <w:rPr>
          <w:rFonts w:eastAsia="Calibri"/>
          <w:sz w:val="22"/>
          <w:szCs w:val="22"/>
        </w:rPr>
        <w:t xml:space="preserve"> </w:t>
      </w:r>
      <w:r w:rsidRPr="004F572A">
        <w:rPr>
          <w:rFonts w:eastAsia="Calibri"/>
          <w:sz w:val="22"/>
          <w:szCs w:val="22"/>
        </w:rPr>
        <w:t>atitinkamai 101</w:t>
      </w:r>
      <w:r w:rsidR="00E14885" w:rsidRPr="004F572A">
        <w:rPr>
          <w:rFonts w:eastAsia="Calibri"/>
          <w:sz w:val="22"/>
          <w:szCs w:val="22"/>
        </w:rPr>
        <w:t> </w:t>
      </w:r>
      <w:r w:rsidRPr="004F572A">
        <w:rPr>
          <w:rFonts w:eastAsia="Calibri"/>
          <w:sz w:val="22"/>
          <w:szCs w:val="22"/>
        </w:rPr>
        <w:t>%, 90</w:t>
      </w:r>
      <w:r w:rsidR="00E14885" w:rsidRPr="004F572A">
        <w:rPr>
          <w:rFonts w:eastAsia="Calibri"/>
          <w:sz w:val="22"/>
          <w:szCs w:val="22"/>
        </w:rPr>
        <w:t> </w:t>
      </w:r>
      <w:r w:rsidRPr="004F572A">
        <w:rPr>
          <w:rFonts w:eastAsia="Calibri"/>
          <w:sz w:val="22"/>
          <w:szCs w:val="22"/>
        </w:rPr>
        <w:t>% ir 122</w:t>
      </w:r>
      <w:r w:rsidR="00E14885" w:rsidRPr="004F572A">
        <w:rPr>
          <w:rFonts w:eastAsia="Calibri"/>
          <w:sz w:val="22"/>
          <w:szCs w:val="22"/>
        </w:rPr>
        <w:t> </w:t>
      </w:r>
      <w:r w:rsidRPr="004F572A">
        <w:rPr>
          <w:rFonts w:eastAsia="Calibri"/>
          <w:sz w:val="22"/>
          <w:szCs w:val="22"/>
        </w:rPr>
        <w:t>% normalios ekspozicijos</w:t>
      </w:r>
      <w:r w:rsidR="00A45743" w:rsidRPr="00A45743">
        <w:t xml:space="preserve"> </w:t>
      </w:r>
      <w:r w:rsidR="00A45743" w:rsidRPr="00A45743">
        <w:rPr>
          <w:rFonts w:eastAsia="Calibri"/>
          <w:sz w:val="22"/>
          <w:szCs w:val="22"/>
        </w:rPr>
        <w:t>tiriamiesiems, kuriems buvo lengvas, vidutinio sunkumo ir sunkus inkstų funkcijos sutrikimas</w:t>
      </w:r>
      <w:r w:rsidRPr="004F572A">
        <w:rPr>
          <w:rFonts w:eastAsia="Calibri"/>
          <w:sz w:val="22"/>
          <w:szCs w:val="22"/>
        </w:rPr>
        <w:t xml:space="preserve">. Nustatyta, kad jungimasis prie plazmos baltymų </w:t>
      </w:r>
      <w:r w:rsidR="00A45743">
        <w:rPr>
          <w:rFonts w:eastAsia="Calibri"/>
          <w:sz w:val="22"/>
          <w:szCs w:val="22"/>
        </w:rPr>
        <w:t>tiriamųjų</w:t>
      </w:r>
      <w:r w:rsidRPr="004F572A">
        <w:rPr>
          <w:rFonts w:eastAsia="Calibri"/>
          <w:sz w:val="22"/>
          <w:szCs w:val="22"/>
        </w:rPr>
        <w:t xml:space="preserve">, kurių inkstų funkcija yra sutrikusi, </w:t>
      </w:r>
      <w:r w:rsidR="00A45743" w:rsidRPr="00A45743">
        <w:rPr>
          <w:rFonts w:eastAsia="Calibri"/>
          <w:sz w:val="22"/>
          <w:szCs w:val="22"/>
        </w:rPr>
        <w:t>plazmoje buvo panašus į atitinkamai atrinktų sveikų tiriamųjų, ir nepastebėta jokios priklausomybės nuo koncentracijos. Dozavimo rekomendacijos pateikiamos 4.2 skyriuje</w:t>
      </w:r>
      <w:r w:rsidR="0009795A" w:rsidRPr="004F572A">
        <w:rPr>
          <w:rFonts w:eastAsia="Calibri"/>
          <w:sz w:val="22"/>
          <w:szCs w:val="22"/>
        </w:rPr>
        <w:t>.</w:t>
      </w:r>
    </w:p>
    <w:p w14:paraId="1F58E4ED" w14:textId="5C5AFCD4" w:rsidR="00B336E6" w:rsidRPr="004F572A" w:rsidRDefault="00B336E6" w:rsidP="00B336E6">
      <w:pPr>
        <w:widowControl w:val="0"/>
        <w:tabs>
          <w:tab w:val="clear" w:pos="567"/>
        </w:tabs>
        <w:rPr>
          <w:rFonts w:eastAsia="Calibri"/>
          <w:sz w:val="22"/>
          <w:szCs w:val="22"/>
        </w:rPr>
      </w:pPr>
    </w:p>
    <w:p w14:paraId="3053177D" w14:textId="77777777" w:rsidR="00B336E6" w:rsidRPr="004F572A" w:rsidRDefault="00B336E6" w:rsidP="00B336E6">
      <w:pPr>
        <w:widowControl w:val="0"/>
        <w:tabs>
          <w:tab w:val="clear" w:pos="567"/>
        </w:tabs>
        <w:rPr>
          <w:rFonts w:eastAsia="Calibri"/>
          <w:i/>
          <w:iCs/>
          <w:sz w:val="22"/>
          <w:szCs w:val="22"/>
          <w:u w:val="single"/>
        </w:rPr>
      </w:pPr>
      <w:r w:rsidRPr="004F572A">
        <w:rPr>
          <w:rFonts w:eastAsia="Calibri"/>
          <w:i/>
          <w:iCs/>
          <w:sz w:val="22"/>
          <w:szCs w:val="22"/>
          <w:u w:val="single"/>
        </w:rPr>
        <w:t>Amžius, lytis, svoris, rasė</w:t>
      </w:r>
    </w:p>
    <w:p w14:paraId="4CBD6BF4" w14:textId="77777777" w:rsidR="0009795A" w:rsidRPr="004F572A" w:rsidRDefault="0009795A" w:rsidP="00B336E6">
      <w:pPr>
        <w:widowControl w:val="0"/>
        <w:tabs>
          <w:tab w:val="clear" w:pos="567"/>
        </w:tabs>
        <w:rPr>
          <w:rFonts w:eastAsia="Calibri"/>
          <w:sz w:val="22"/>
          <w:szCs w:val="22"/>
        </w:rPr>
      </w:pPr>
    </w:p>
    <w:p w14:paraId="138A7E06" w14:textId="1BB01182" w:rsidR="00172CCE" w:rsidRPr="004F572A" w:rsidRDefault="00B336E6" w:rsidP="00B336E6">
      <w:pPr>
        <w:widowControl w:val="0"/>
        <w:tabs>
          <w:tab w:val="clear" w:pos="567"/>
        </w:tabs>
        <w:rPr>
          <w:rFonts w:eastAsia="Calibri"/>
          <w:sz w:val="22"/>
          <w:szCs w:val="22"/>
        </w:rPr>
      </w:pPr>
      <w:r w:rsidRPr="004F572A">
        <w:rPr>
          <w:rFonts w:eastAsia="Calibri"/>
          <w:sz w:val="22"/>
          <w:szCs w:val="22"/>
        </w:rPr>
        <w:t>Remiantis pacientų, vartojančių iki 24</w:t>
      </w:r>
      <w:r w:rsidR="0009795A" w:rsidRPr="004F572A">
        <w:rPr>
          <w:rFonts w:eastAsia="Calibri"/>
          <w:sz w:val="22"/>
          <w:szCs w:val="22"/>
        </w:rPr>
        <w:t> </w:t>
      </w:r>
      <w:r w:rsidRPr="004F572A">
        <w:rPr>
          <w:rFonts w:eastAsia="Calibri"/>
          <w:sz w:val="22"/>
          <w:szCs w:val="22"/>
        </w:rPr>
        <w:t xml:space="preserve">mg </w:t>
      </w:r>
      <w:proofErr w:type="spellStart"/>
      <w:r w:rsidRPr="004F572A">
        <w:rPr>
          <w:rFonts w:eastAsia="Calibri"/>
          <w:sz w:val="22"/>
          <w:szCs w:val="22"/>
        </w:rPr>
        <w:t>lenvatinibo</w:t>
      </w:r>
      <w:proofErr w:type="spellEnd"/>
      <w:r w:rsidRPr="004F572A">
        <w:rPr>
          <w:rFonts w:eastAsia="Calibri"/>
          <w:sz w:val="22"/>
          <w:szCs w:val="22"/>
        </w:rPr>
        <w:t xml:space="preserve"> kartą per parą, populiacijos farmakokinetikos analize, amžius, lytis, svoris ir rasė (japonų, palyginti su kitomis, europidų, palyginti su kitomis) </w:t>
      </w:r>
      <w:r w:rsidR="0009795A" w:rsidRPr="004F572A">
        <w:rPr>
          <w:rFonts w:eastAsia="Calibri"/>
          <w:sz w:val="22"/>
          <w:szCs w:val="22"/>
        </w:rPr>
        <w:t>nedarė</w:t>
      </w:r>
      <w:r w:rsidRPr="004F572A">
        <w:rPr>
          <w:rFonts w:eastAsia="Calibri"/>
          <w:sz w:val="22"/>
          <w:szCs w:val="22"/>
        </w:rPr>
        <w:t xml:space="preserve"> kliniškai reikšmingo poveikio klirensui (žr. 4.2 skyrių)</w:t>
      </w:r>
      <w:r w:rsidR="0009795A" w:rsidRPr="004F572A">
        <w:rPr>
          <w:rFonts w:eastAsia="Calibri"/>
          <w:sz w:val="22"/>
          <w:szCs w:val="22"/>
        </w:rPr>
        <w:t>.</w:t>
      </w:r>
    </w:p>
    <w:p w14:paraId="0A2E0B31" w14:textId="77777777" w:rsidR="00AF3E62" w:rsidRPr="004F572A" w:rsidRDefault="00AF3E62" w:rsidP="000928CA">
      <w:pPr>
        <w:widowControl w:val="0"/>
        <w:tabs>
          <w:tab w:val="clear" w:pos="567"/>
        </w:tabs>
        <w:rPr>
          <w:rFonts w:eastAsia="Calibri"/>
          <w:sz w:val="22"/>
          <w:szCs w:val="22"/>
        </w:rPr>
      </w:pPr>
    </w:p>
    <w:p w14:paraId="34297E42" w14:textId="77777777" w:rsidR="0009795A" w:rsidRPr="004F572A" w:rsidRDefault="0009795A" w:rsidP="0009795A">
      <w:pPr>
        <w:widowControl w:val="0"/>
        <w:tabs>
          <w:tab w:val="clear" w:pos="567"/>
        </w:tabs>
        <w:rPr>
          <w:rFonts w:eastAsia="Calibri"/>
          <w:i/>
          <w:iCs/>
          <w:sz w:val="22"/>
          <w:szCs w:val="22"/>
          <w:u w:val="single"/>
        </w:rPr>
      </w:pPr>
      <w:r w:rsidRPr="003F35DD">
        <w:rPr>
          <w:rFonts w:eastAsia="Calibri"/>
          <w:i/>
          <w:iCs/>
          <w:sz w:val="22"/>
          <w:szCs w:val="22"/>
          <w:u w:val="single"/>
        </w:rPr>
        <w:t>Vaikų populiacija</w:t>
      </w:r>
    </w:p>
    <w:p w14:paraId="272BC668" w14:textId="0C7AB932" w:rsidR="0009795A" w:rsidRPr="003F35DD" w:rsidRDefault="0009795A" w:rsidP="00A45743">
      <w:pPr>
        <w:widowControl w:val="0"/>
        <w:tabs>
          <w:tab w:val="clear" w:pos="567"/>
        </w:tabs>
        <w:rPr>
          <w:rFonts w:eastAsia="Calibri"/>
          <w:sz w:val="22"/>
          <w:szCs w:val="22"/>
        </w:rPr>
      </w:pPr>
      <w:r w:rsidRPr="004F572A">
        <w:rPr>
          <w:rFonts w:eastAsia="Calibri"/>
          <w:sz w:val="22"/>
          <w:szCs w:val="22"/>
        </w:rPr>
        <w:t>Remiantis populiacijos farmakokinetikos analizės, atliktos su vaikų populiacijos pacientais nuo 2 iki 12</w:t>
      </w:r>
      <w:r w:rsidR="00B10CAA">
        <w:rPr>
          <w:rFonts w:eastAsia="Calibri"/>
          <w:sz w:val="22"/>
          <w:szCs w:val="22"/>
        </w:rPr>
        <w:t> </w:t>
      </w:r>
      <w:r w:rsidRPr="004F572A">
        <w:rPr>
          <w:rFonts w:eastAsia="Calibri"/>
          <w:sz w:val="22"/>
          <w:szCs w:val="22"/>
        </w:rPr>
        <w:t xml:space="preserve">metų duomenimis, rezultatais, įskaitant vaikų gydymo </w:t>
      </w:r>
      <w:proofErr w:type="spellStart"/>
      <w:r w:rsidRPr="004F572A">
        <w:rPr>
          <w:rFonts w:eastAsia="Calibri"/>
          <w:sz w:val="22"/>
          <w:szCs w:val="22"/>
        </w:rPr>
        <w:t>lenvatinibu</w:t>
      </w:r>
      <w:proofErr w:type="spellEnd"/>
      <w:r w:rsidRPr="004F572A">
        <w:rPr>
          <w:rFonts w:eastAsia="Calibri"/>
          <w:sz w:val="22"/>
          <w:szCs w:val="22"/>
        </w:rPr>
        <w:t xml:space="preserve"> tyrimo programoje dalyvaujančių 3</w:t>
      </w:r>
      <w:r w:rsidR="00B10CAA">
        <w:rPr>
          <w:rFonts w:eastAsia="Calibri"/>
          <w:sz w:val="22"/>
          <w:szCs w:val="22"/>
        </w:rPr>
        <w:t> </w:t>
      </w:r>
      <w:r w:rsidRPr="004F572A">
        <w:rPr>
          <w:rFonts w:eastAsia="Calibri"/>
          <w:sz w:val="22"/>
          <w:szCs w:val="22"/>
        </w:rPr>
        <w:t>vaikų nuo 2 iki &lt; 3 metų, 28</w:t>
      </w:r>
      <w:r w:rsidR="00B10CAA">
        <w:rPr>
          <w:rFonts w:eastAsia="Calibri"/>
          <w:sz w:val="22"/>
          <w:szCs w:val="22"/>
        </w:rPr>
        <w:t> </w:t>
      </w:r>
      <w:r w:rsidRPr="004F572A">
        <w:rPr>
          <w:rFonts w:eastAsia="Calibri"/>
          <w:sz w:val="22"/>
          <w:szCs w:val="22"/>
        </w:rPr>
        <w:t>vaikų nuo ≥ 3 iki &lt; 6 metų ir 89</w:t>
      </w:r>
      <w:r w:rsidR="00B10CAA">
        <w:rPr>
          <w:rFonts w:eastAsia="Calibri"/>
          <w:sz w:val="22"/>
          <w:szCs w:val="22"/>
        </w:rPr>
        <w:t> </w:t>
      </w:r>
      <w:r w:rsidRPr="004F572A">
        <w:rPr>
          <w:rFonts w:eastAsia="Calibri"/>
          <w:sz w:val="22"/>
          <w:szCs w:val="22"/>
        </w:rPr>
        <w:t>vaikų nuo 6 iki ≤ 12</w:t>
      </w:r>
      <w:r w:rsidR="00B10CAA">
        <w:rPr>
          <w:rFonts w:eastAsia="Calibri"/>
          <w:sz w:val="22"/>
          <w:szCs w:val="22"/>
        </w:rPr>
        <w:t> </w:t>
      </w:r>
      <w:r w:rsidRPr="004F572A">
        <w:rPr>
          <w:rFonts w:eastAsia="Calibri"/>
          <w:sz w:val="22"/>
          <w:szCs w:val="22"/>
        </w:rPr>
        <w:t xml:space="preserve">metų duomenis, išgerto </w:t>
      </w:r>
      <w:proofErr w:type="spellStart"/>
      <w:r w:rsidRPr="004F572A">
        <w:rPr>
          <w:rFonts w:eastAsia="Calibri"/>
          <w:sz w:val="22"/>
          <w:szCs w:val="22"/>
        </w:rPr>
        <w:t>lenvatinibo</w:t>
      </w:r>
      <w:proofErr w:type="spellEnd"/>
      <w:r w:rsidRPr="004F572A">
        <w:rPr>
          <w:rFonts w:eastAsia="Calibri"/>
          <w:sz w:val="22"/>
          <w:szCs w:val="22"/>
        </w:rPr>
        <w:t xml:space="preserve"> tariamam klirensui (CL/F) darė įtaką kūno svoris, bet ne amžius. Prognozuojamas poveikio lygis, išreikštas plotu po kreive esant </w:t>
      </w:r>
      <w:proofErr w:type="spellStart"/>
      <w:r w:rsidRPr="004F572A">
        <w:rPr>
          <w:rFonts w:eastAsia="Calibri"/>
          <w:sz w:val="22"/>
          <w:szCs w:val="22"/>
        </w:rPr>
        <w:t>pusiausvyrinei</w:t>
      </w:r>
      <w:proofErr w:type="spellEnd"/>
      <w:r w:rsidRPr="004F572A">
        <w:rPr>
          <w:rFonts w:eastAsia="Calibri"/>
          <w:sz w:val="22"/>
          <w:szCs w:val="22"/>
        </w:rPr>
        <w:t xml:space="preserve"> koncentracijai (</w:t>
      </w:r>
      <w:proofErr w:type="spellStart"/>
      <w:r w:rsidRPr="004F572A">
        <w:rPr>
          <w:rFonts w:eastAsia="Calibri"/>
          <w:sz w:val="22"/>
          <w:szCs w:val="22"/>
        </w:rPr>
        <w:t>AUCss</w:t>
      </w:r>
      <w:proofErr w:type="spellEnd"/>
      <w:r w:rsidRPr="004F572A">
        <w:rPr>
          <w:rFonts w:eastAsia="Calibri"/>
          <w:sz w:val="22"/>
          <w:szCs w:val="22"/>
        </w:rPr>
        <w:t xml:space="preserve">), vaikams, </w:t>
      </w:r>
      <w:r w:rsidR="00A45743">
        <w:rPr>
          <w:rFonts w:eastAsia="Calibri"/>
          <w:sz w:val="22"/>
          <w:szCs w:val="22"/>
        </w:rPr>
        <w:t>gaunantiems</w:t>
      </w:r>
      <w:r w:rsidR="00A45743" w:rsidRPr="004F572A">
        <w:rPr>
          <w:rFonts w:eastAsia="Calibri"/>
          <w:sz w:val="22"/>
          <w:szCs w:val="22"/>
        </w:rPr>
        <w:t xml:space="preserve"> </w:t>
      </w:r>
      <w:r w:rsidRPr="004F572A">
        <w:rPr>
          <w:rFonts w:eastAsia="Calibri"/>
          <w:sz w:val="22"/>
          <w:szCs w:val="22"/>
        </w:rPr>
        <w:t>14</w:t>
      </w:r>
      <w:r w:rsidR="00B10CAA">
        <w:rPr>
          <w:rFonts w:eastAsia="Calibri"/>
          <w:sz w:val="22"/>
          <w:szCs w:val="22"/>
        </w:rPr>
        <w:t> </w:t>
      </w:r>
      <w:r w:rsidRPr="004F572A">
        <w:rPr>
          <w:rFonts w:eastAsia="Calibri"/>
          <w:sz w:val="22"/>
          <w:szCs w:val="22"/>
        </w:rPr>
        <w:t>mg/m</w:t>
      </w:r>
      <w:r w:rsidRPr="004F572A">
        <w:rPr>
          <w:rFonts w:eastAsia="Calibri"/>
          <w:sz w:val="22"/>
          <w:szCs w:val="22"/>
          <w:vertAlign w:val="superscript"/>
        </w:rPr>
        <w:t>2</w:t>
      </w:r>
      <w:r w:rsidRPr="004F572A">
        <w:rPr>
          <w:rFonts w:eastAsia="Calibri"/>
          <w:sz w:val="22"/>
          <w:szCs w:val="22"/>
        </w:rPr>
        <w:t xml:space="preserve"> dozę, buvo panašus į suaugusiųjų pacientų, </w:t>
      </w:r>
      <w:r w:rsidR="00A45743">
        <w:rPr>
          <w:rFonts w:eastAsia="Calibri"/>
          <w:sz w:val="22"/>
          <w:szCs w:val="22"/>
        </w:rPr>
        <w:t>gaunančių</w:t>
      </w:r>
      <w:r w:rsidR="00A45743" w:rsidRPr="004F572A">
        <w:rPr>
          <w:rFonts w:eastAsia="Calibri"/>
          <w:sz w:val="22"/>
          <w:szCs w:val="22"/>
        </w:rPr>
        <w:t xml:space="preserve"> </w:t>
      </w:r>
      <w:r w:rsidRPr="004F572A">
        <w:rPr>
          <w:rFonts w:eastAsia="Calibri"/>
          <w:sz w:val="22"/>
          <w:szCs w:val="22"/>
        </w:rPr>
        <w:t>fiksuotą 24</w:t>
      </w:r>
      <w:r w:rsidR="00127591" w:rsidRPr="004F572A">
        <w:rPr>
          <w:rFonts w:eastAsia="Calibri"/>
          <w:sz w:val="22"/>
          <w:szCs w:val="22"/>
        </w:rPr>
        <w:t> </w:t>
      </w:r>
      <w:r w:rsidRPr="004F572A">
        <w:rPr>
          <w:rFonts w:eastAsia="Calibri"/>
          <w:sz w:val="22"/>
          <w:szCs w:val="22"/>
        </w:rPr>
        <w:t xml:space="preserve">mg dozę, lygį. Šiuose tyrimuose nebuvo akivaizdžių veikliosios medžiagos </w:t>
      </w:r>
      <w:proofErr w:type="spellStart"/>
      <w:r w:rsidRPr="004F572A">
        <w:rPr>
          <w:rFonts w:eastAsia="Calibri"/>
          <w:sz w:val="22"/>
          <w:szCs w:val="22"/>
        </w:rPr>
        <w:t>lenvatinibo</w:t>
      </w:r>
      <w:proofErr w:type="spellEnd"/>
      <w:r w:rsidRPr="004F572A">
        <w:rPr>
          <w:rFonts w:eastAsia="Calibri"/>
          <w:sz w:val="22"/>
          <w:szCs w:val="22"/>
        </w:rPr>
        <w:t xml:space="preserve"> farmakokinetikos skirtumų </w:t>
      </w:r>
      <w:r w:rsidR="00A45743">
        <w:rPr>
          <w:rFonts w:eastAsia="Calibri"/>
          <w:sz w:val="22"/>
          <w:szCs w:val="22"/>
        </w:rPr>
        <w:t>tarp vaikų</w:t>
      </w:r>
      <w:r w:rsidRPr="004F572A">
        <w:rPr>
          <w:rFonts w:eastAsia="Calibri"/>
          <w:sz w:val="22"/>
          <w:szCs w:val="22"/>
        </w:rPr>
        <w:t xml:space="preserve"> (2</w:t>
      </w:r>
      <w:r w:rsidR="00B10CAA">
        <w:rPr>
          <w:rFonts w:eastAsia="Calibri"/>
          <w:sz w:val="22"/>
          <w:szCs w:val="22"/>
        </w:rPr>
        <w:noBreakHyphen/>
      </w:r>
      <w:r w:rsidRPr="004F572A">
        <w:rPr>
          <w:rFonts w:eastAsia="Calibri"/>
          <w:sz w:val="22"/>
          <w:szCs w:val="22"/>
        </w:rPr>
        <w:t>12</w:t>
      </w:r>
      <w:r w:rsidR="00B10CAA">
        <w:rPr>
          <w:rFonts w:eastAsia="Calibri"/>
          <w:sz w:val="22"/>
          <w:szCs w:val="22"/>
        </w:rPr>
        <w:t> </w:t>
      </w:r>
      <w:r w:rsidRPr="004F572A">
        <w:rPr>
          <w:rFonts w:eastAsia="Calibri"/>
          <w:sz w:val="22"/>
          <w:szCs w:val="22"/>
        </w:rPr>
        <w:t>metų), paaugli</w:t>
      </w:r>
      <w:r w:rsidR="00A45743">
        <w:rPr>
          <w:rFonts w:eastAsia="Calibri"/>
          <w:sz w:val="22"/>
          <w:szCs w:val="22"/>
        </w:rPr>
        <w:t>ų</w:t>
      </w:r>
      <w:r w:rsidRPr="004F572A">
        <w:rPr>
          <w:rFonts w:eastAsia="Calibri"/>
          <w:sz w:val="22"/>
          <w:szCs w:val="22"/>
        </w:rPr>
        <w:t xml:space="preserve"> ir jaun</w:t>
      </w:r>
      <w:r w:rsidR="00A45743">
        <w:rPr>
          <w:rFonts w:eastAsia="Calibri"/>
          <w:sz w:val="22"/>
          <w:szCs w:val="22"/>
        </w:rPr>
        <w:t>ų</w:t>
      </w:r>
      <w:r w:rsidRPr="004F572A">
        <w:rPr>
          <w:rFonts w:eastAsia="Calibri"/>
          <w:sz w:val="22"/>
          <w:szCs w:val="22"/>
        </w:rPr>
        <w:t xml:space="preserve"> suaugusi</w:t>
      </w:r>
      <w:r w:rsidR="00A45743">
        <w:rPr>
          <w:rFonts w:eastAsia="Calibri"/>
          <w:sz w:val="22"/>
          <w:szCs w:val="22"/>
        </w:rPr>
        <w:t>ųjų</w:t>
      </w:r>
      <w:r w:rsidRPr="004F572A">
        <w:rPr>
          <w:rFonts w:eastAsia="Calibri"/>
          <w:sz w:val="22"/>
          <w:szCs w:val="22"/>
        </w:rPr>
        <w:t xml:space="preserve">, </w:t>
      </w:r>
      <w:r w:rsidR="00A45743" w:rsidRPr="00A45743">
        <w:rPr>
          <w:rFonts w:eastAsia="Calibri"/>
          <w:sz w:val="22"/>
          <w:szCs w:val="22"/>
        </w:rPr>
        <w:t>kuriems nustatyti tiriamieji navikų tipai, tačiau vaikų duomenys yra gana riboti, kad būtų galima daryti galutines išvadas</w:t>
      </w:r>
      <w:r w:rsidR="00A45743">
        <w:rPr>
          <w:rFonts w:eastAsia="Calibri"/>
          <w:sz w:val="22"/>
          <w:szCs w:val="22"/>
        </w:rPr>
        <w:t xml:space="preserve"> </w:t>
      </w:r>
      <w:r w:rsidRPr="004F572A">
        <w:rPr>
          <w:rFonts w:eastAsia="Calibri"/>
          <w:sz w:val="22"/>
          <w:szCs w:val="22"/>
        </w:rPr>
        <w:t>(žr</w:t>
      </w:r>
      <w:r w:rsidRPr="003F35DD">
        <w:rPr>
          <w:rFonts w:eastAsia="Calibri"/>
          <w:sz w:val="22"/>
          <w:szCs w:val="22"/>
        </w:rPr>
        <w:t>. 4.2 skyrių)</w:t>
      </w:r>
      <w:r w:rsidR="00127591" w:rsidRPr="003F35DD">
        <w:rPr>
          <w:rFonts w:eastAsia="Calibri"/>
          <w:sz w:val="22"/>
          <w:szCs w:val="22"/>
        </w:rPr>
        <w:t>.</w:t>
      </w:r>
    </w:p>
    <w:p w14:paraId="778B44EF" w14:textId="77777777" w:rsidR="0009795A" w:rsidRPr="006E5DBD" w:rsidRDefault="0009795A" w:rsidP="000928CA">
      <w:pPr>
        <w:widowControl w:val="0"/>
        <w:tabs>
          <w:tab w:val="clear" w:pos="567"/>
        </w:tabs>
        <w:rPr>
          <w:rFonts w:eastAsia="Calibri"/>
          <w:sz w:val="22"/>
          <w:szCs w:val="22"/>
        </w:rPr>
      </w:pPr>
    </w:p>
    <w:p w14:paraId="5370F212" w14:textId="77777777" w:rsidR="000928CA" w:rsidRPr="003F35DD" w:rsidRDefault="000928CA">
      <w:pPr>
        <w:widowControl w:val="0"/>
        <w:numPr>
          <w:ilvl w:val="1"/>
          <w:numId w:val="4"/>
        </w:numPr>
        <w:tabs>
          <w:tab w:val="clear" w:pos="567"/>
        </w:tabs>
        <w:ind w:left="545" w:hanging="534"/>
        <w:rPr>
          <w:rFonts w:eastAsia="Calibri"/>
          <w:sz w:val="22"/>
          <w:szCs w:val="22"/>
        </w:rPr>
      </w:pPr>
      <w:proofErr w:type="spellStart"/>
      <w:r w:rsidRPr="003F35DD">
        <w:rPr>
          <w:rFonts w:eastAsia="Calibri"/>
          <w:b/>
          <w:bCs/>
          <w:sz w:val="22"/>
          <w:szCs w:val="22"/>
        </w:rPr>
        <w:t>Ikiklinikinių</w:t>
      </w:r>
      <w:proofErr w:type="spellEnd"/>
      <w:r w:rsidRPr="003F35DD">
        <w:rPr>
          <w:rFonts w:eastAsia="Calibri"/>
          <w:b/>
          <w:bCs/>
          <w:sz w:val="22"/>
          <w:szCs w:val="22"/>
        </w:rPr>
        <w:t xml:space="preserve"> saugumo tyrimų duomenys</w:t>
      </w:r>
    </w:p>
    <w:p w14:paraId="2F037807" w14:textId="77777777" w:rsidR="000928CA" w:rsidRPr="003F35DD" w:rsidRDefault="000928CA" w:rsidP="000928CA">
      <w:pPr>
        <w:widowControl w:val="0"/>
        <w:tabs>
          <w:tab w:val="clear" w:pos="567"/>
        </w:tabs>
        <w:rPr>
          <w:rFonts w:eastAsia="Calibri"/>
          <w:sz w:val="22"/>
          <w:szCs w:val="22"/>
        </w:rPr>
      </w:pPr>
    </w:p>
    <w:p w14:paraId="3CDA6DF6" w14:textId="5B1F72ED" w:rsidR="002D745E" w:rsidRPr="004F572A" w:rsidRDefault="00127591" w:rsidP="00A45743">
      <w:pPr>
        <w:widowControl w:val="0"/>
        <w:tabs>
          <w:tab w:val="clear" w:pos="567"/>
        </w:tabs>
        <w:rPr>
          <w:rFonts w:eastAsia="Calibri"/>
          <w:sz w:val="22"/>
          <w:szCs w:val="22"/>
        </w:rPr>
      </w:pPr>
      <w:r w:rsidRPr="003F35DD">
        <w:rPr>
          <w:rFonts w:eastAsia="Calibri"/>
          <w:sz w:val="22"/>
          <w:szCs w:val="22"/>
        </w:rPr>
        <w:t>Atliekant kartotinių dozių toksiškumo tyrimus (iki 39</w:t>
      </w:r>
      <w:r w:rsidR="00B10CAA" w:rsidRPr="003F35DD">
        <w:rPr>
          <w:rFonts w:eastAsia="Calibri"/>
          <w:sz w:val="22"/>
          <w:szCs w:val="22"/>
        </w:rPr>
        <w:t> </w:t>
      </w:r>
      <w:r w:rsidRPr="003F35DD">
        <w:rPr>
          <w:rFonts w:eastAsia="Calibri"/>
          <w:sz w:val="22"/>
          <w:szCs w:val="22"/>
        </w:rPr>
        <w:t xml:space="preserve">savaičių trukmės), </w:t>
      </w:r>
      <w:r w:rsidR="00A45743" w:rsidRPr="003F35DD">
        <w:rPr>
          <w:rFonts w:eastAsia="Calibri"/>
          <w:sz w:val="22"/>
          <w:szCs w:val="22"/>
        </w:rPr>
        <w:t xml:space="preserve">įvairiuose organuose ir audiniuose </w:t>
      </w:r>
      <w:proofErr w:type="spellStart"/>
      <w:r w:rsidRPr="003F35DD">
        <w:rPr>
          <w:rFonts w:eastAsia="Calibri"/>
          <w:sz w:val="22"/>
          <w:szCs w:val="22"/>
        </w:rPr>
        <w:t>lenvatinibas</w:t>
      </w:r>
      <w:proofErr w:type="spellEnd"/>
      <w:r w:rsidRPr="003F35DD">
        <w:rPr>
          <w:rFonts w:eastAsia="Calibri"/>
          <w:sz w:val="22"/>
          <w:szCs w:val="22"/>
        </w:rPr>
        <w:t xml:space="preserve"> sukėlė </w:t>
      </w:r>
      <w:proofErr w:type="spellStart"/>
      <w:r w:rsidRPr="003F35DD">
        <w:rPr>
          <w:rFonts w:eastAsia="Calibri"/>
          <w:sz w:val="22"/>
          <w:szCs w:val="22"/>
        </w:rPr>
        <w:t>toksikologinių</w:t>
      </w:r>
      <w:proofErr w:type="spellEnd"/>
      <w:r w:rsidRPr="003F35DD">
        <w:rPr>
          <w:rFonts w:eastAsia="Calibri"/>
          <w:sz w:val="22"/>
          <w:szCs w:val="22"/>
        </w:rPr>
        <w:t xml:space="preserve"> </w:t>
      </w:r>
      <w:r w:rsidR="00A45743" w:rsidRPr="003F35DD">
        <w:rPr>
          <w:rFonts w:eastAsia="Calibri"/>
          <w:sz w:val="22"/>
          <w:szCs w:val="22"/>
        </w:rPr>
        <w:t>pakitimų</w:t>
      </w:r>
      <w:r w:rsidRPr="003F35DD">
        <w:rPr>
          <w:rFonts w:eastAsia="Calibri"/>
          <w:sz w:val="22"/>
          <w:szCs w:val="22"/>
        </w:rPr>
        <w:t xml:space="preserve">, susijusių su </w:t>
      </w:r>
      <w:r w:rsidR="00A45743" w:rsidRPr="003F35DD">
        <w:rPr>
          <w:rFonts w:eastAsia="Calibri"/>
          <w:sz w:val="22"/>
          <w:szCs w:val="22"/>
        </w:rPr>
        <w:t>numatomu</w:t>
      </w:r>
      <w:r w:rsidRPr="003F35DD">
        <w:rPr>
          <w:rFonts w:eastAsia="Calibri"/>
          <w:sz w:val="22"/>
          <w:szCs w:val="22"/>
        </w:rPr>
        <w:t xml:space="preserve"> farmakologiniu </w:t>
      </w:r>
      <w:proofErr w:type="spellStart"/>
      <w:r w:rsidRPr="003F35DD">
        <w:rPr>
          <w:rFonts w:eastAsia="Calibri"/>
          <w:sz w:val="22"/>
          <w:szCs w:val="22"/>
        </w:rPr>
        <w:t>lenvatinibo</w:t>
      </w:r>
      <w:proofErr w:type="spellEnd"/>
      <w:r w:rsidRPr="004F572A">
        <w:rPr>
          <w:rFonts w:eastAsia="Calibri"/>
          <w:sz w:val="22"/>
          <w:szCs w:val="22"/>
        </w:rPr>
        <w:t xml:space="preserve"> poveikiu, įskaitant </w:t>
      </w:r>
      <w:proofErr w:type="spellStart"/>
      <w:r w:rsidRPr="004F572A">
        <w:rPr>
          <w:rFonts w:eastAsia="Calibri"/>
          <w:sz w:val="22"/>
          <w:szCs w:val="22"/>
        </w:rPr>
        <w:t>glomerulopatiją</w:t>
      </w:r>
      <w:proofErr w:type="spellEnd"/>
      <w:r w:rsidRPr="004F572A">
        <w:rPr>
          <w:rFonts w:eastAsia="Calibri"/>
          <w:sz w:val="22"/>
          <w:szCs w:val="22"/>
        </w:rPr>
        <w:t xml:space="preserve">, sumažėjusį ląstelių kiekį sėklidėse, kiaušidžių folikulų </w:t>
      </w:r>
      <w:proofErr w:type="spellStart"/>
      <w:r w:rsidRPr="004F572A">
        <w:rPr>
          <w:rFonts w:eastAsia="Calibri"/>
          <w:sz w:val="22"/>
          <w:szCs w:val="22"/>
        </w:rPr>
        <w:t>atreziją</w:t>
      </w:r>
      <w:proofErr w:type="spellEnd"/>
      <w:r w:rsidRPr="004F572A">
        <w:rPr>
          <w:rFonts w:eastAsia="Calibri"/>
          <w:sz w:val="22"/>
          <w:szCs w:val="22"/>
        </w:rPr>
        <w:t xml:space="preserve">, virškinimo trakto </w:t>
      </w:r>
      <w:r w:rsidR="00A45743">
        <w:rPr>
          <w:rFonts w:eastAsia="Calibri"/>
          <w:sz w:val="22"/>
          <w:szCs w:val="22"/>
        </w:rPr>
        <w:t>pakitimus</w:t>
      </w:r>
      <w:r w:rsidRPr="004F572A">
        <w:rPr>
          <w:rFonts w:eastAsia="Calibri"/>
          <w:sz w:val="22"/>
          <w:szCs w:val="22"/>
        </w:rPr>
        <w:t xml:space="preserve">, kaulų </w:t>
      </w:r>
      <w:r w:rsidR="00A45743">
        <w:rPr>
          <w:rFonts w:eastAsia="Calibri"/>
          <w:sz w:val="22"/>
          <w:szCs w:val="22"/>
        </w:rPr>
        <w:t>pakitimus</w:t>
      </w:r>
      <w:r w:rsidRPr="004F572A">
        <w:rPr>
          <w:rFonts w:eastAsia="Calibri"/>
          <w:sz w:val="22"/>
          <w:szCs w:val="22"/>
        </w:rPr>
        <w:t>, antinksči</w:t>
      </w:r>
      <w:r w:rsidR="00A45743">
        <w:rPr>
          <w:rFonts w:eastAsia="Calibri"/>
          <w:sz w:val="22"/>
          <w:szCs w:val="22"/>
        </w:rPr>
        <w:t>ų pakitimus</w:t>
      </w:r>
      <w:r w:rsidRPr="004F572A">
        <w:rPr>
          <w:rFonts w:eastAsia="Calibri"/>
          <w:sz w:val="22"/>
          <w:szCs w:val="22"/>
        </w:rPr>
        <w:t xml:space="preserve"> (žiurkėms ir šunims) bei arterin</w:t>
      </w:r>
      <w:r w:rsidR="00A45743">
        <w:rPr>
          <w:rFonts w:eastAsia="Calibri"/>
          <w:sz w:val="22"/>
          <w:szCs w:val="22"/>
        </w:rPr>
        <w:t>ius</w:t>
      </w:r>
      <w:r w:rsidRPr="004F572A">
        <w:rPr>
          <w:rFonts w:eastAsia="Calibri"/>
          <w:sz w:val="22"/>
          <w:szCs w:val="22"/>
        </w:rPr>
        <w:t xml:space="preserve"> (arterinę </w:t>
      </w:r>
      <w:proofErr w:type="spellStart"/>
      <w:r w:rsidRPr="004F572A">
        <w:rPr>
          <w:rFonts w:eastAsia="Calibri"/>
          <w:sz w:val="22"/>
          <w:szCs w:val="22"/>
        </w:rPr>
        <w:t>fibrinoidinę</w:t>
      </w:r>
      <w:proofErr w:type="spellEnd"/>
      <w:r w:rsidRPr="004F572A">
        <w:rPr>
          <w:rFonts w:eastAsia="Calibri"/>
          <w:sz w:val="22"/>
          <w:szCs w:val="22"/>
        </w:rPr>
        <w:t xml:space="preserve"> nekrozę, </w:t>
      </w:r>
      <w:proofErr w:type="spellStart"/>
      <w:r w:rsidRPr="004F572A">
        <w:rPr>
          <w:rFonts w:eastAsia="Calibri"/>
          <w:sz w:val="22"/>
          <w:szCs w:val="22"/>
        </w:rPr>
        <w:t>medialinę</w:t>
      </w:r>
      <w:proofErr w:type="spellEnd"/>
      <w:r w:rsidRPr="004F572A">
        <w:rPr>
          <w:rFonts w:eastAsia="Calibri"/>
          <w:sz w:val="22"/>
          <w:szCs w:val="22"/>
        </w:rPr>
        <w:t xml:space="preserve"> degeneraciją arba </w:t>
      </w:r>
      <w:proofErr w:type="spellStart"/>
      <w:r w:rsidR="00A45743">
        <w:rPr>
          <w:rFonts w:eastAsia="Calibri"/>
          <w:sz w:val="22"/>
          <w:szCs w:val="22"/>
        </w:rPr>
        <w:t>hemoragiją</w:t>
      </w:r>
      <w:proofErr w:type="spellEnd"/>
      <w:r w:rsidRPr="004F572A">
        <w:rPr>
          <w:rFonts w:eastAsia="Calibri"/>
          <w:sz w:val="22"/>
          <w:szCs w:val="22"/>
        </w:rPr>
        <w:t xml:space="preserve">) </w:t>
      </w:r>
      <w:r w:rsidR="00A45743">
        <w:rPr>
          <w:rFonts w:eastAsia="Calibri"/>
          <w:sz w:val="22"/>
          <w:szCs w:val="22"/>
        </w:rPr>
        <w:t xml:space="preserve">pakitimus </w:t>
      </w:r>
      <w:r w:rsidRPr="004F572A">
        <w:rPr>
          <w:rFonts w:eastAsia="Calibri"/>
          <w:sz w:val="22"/>
          <w:szCs w:val="22"/>
        </w:rPr>
        <w:t>žiurkėms, šunims ir makakoms (</w:t>
      </w:r>
      <w:proofErr w:type="spellStart"/>
      <w:r w:rsidRPr="004F572A">
        <w:rPr>
          <w:rFonts w:eastAsia="Calibri"/>
          <w:i/>
          <w:iCs/>
          <w:sz w:val="22"/>
          <w:szCs w:val="22"/>
        </w:rPr>
        <w:t>cynomolgus</w:t>
      </w:r>
      <w:proofErr w:type="spellEnd"/>
      <w:r w:rsidRPr="004F572A">
        <w:rPr>
          <w:rFonts w:eastAsia="Calibri"/>
          <w:sz w:val="22"/>
          <w:szCs w:val="22"/>
        </w:rPr>
        <w:t xml:space="preserve">). Žiurkėms, šunims ir beždžionėms taip pat nustatytas padidėjęs </w:t>
      </w:r>
      <w:proofErr w:type="spellStart"/>
      <w:r w:rsidRPr="004F572A">
        <w:rPr>
          <w:rFonts w:eastAsia="Calibri"/>
          <w:sz w:val="22"/>
          <w:szCs w:val="22"/>
        </w:rPr>
        <w:t>transaminazių</w:t>
      </w:r>
      <w:proofErr w:type="spellEnd"/>
      <w:r w:rsidRPr="004F572A">
        <w:rPr>
          <w:rFonts w:eastAsia="Calibri"/>
          <w:sz w:val="22"/>
          <w:szCs w:val="22"/>
        </w:rPr>
        <w:t xml:space="preserve"> aktyvumas, susijęs su toksinio poveikio kepenims požymiais. </w:t>
      </w:r>
    </w:p>
    <w:p w14:paraId="54029244" w14:textId="348A3568" w:rsidR="00127591" w:rsidRPr="004F572A" w:rsidRDefault="00127591" w:rsidP="00127591">
      <w:pPr>
        <w:widowControl w:val="0"/>
        <w:tabs>
          <w:tab w:val="clear" w:pos="567"/>
        </w:tabs>
        <w:rPr>
          <w:rFonts w:eastAsia="Calibri"/>
          <w:sz w:val="22"/>
          <w:szCs w:val="22"/>
        </w:rPr>
      </w:pPr>
      <w:r w:rsidRPr="004F572A">
        <w:rPr>
          <w:rFonts w:eastAsia="Calibri"/>
          <w:sz w:val="22"/>
          <w:szCs w:val="22"/>
        </w:rPr>
        <w:t>Pasibaigus 4</w:t>
      </w:r>
      <w:r w:rsidR="00B10CAA">
        <w:rPr>
          <w:rFonts w:eastAsia="Calibri"/>
          <w:sz w:val="22"/>
          <w:szCs w:val="22"/>
        </w:rPr>
        <w:t> </w:t>
      </w:r>
      <w:r w:rsidRPr="004F572A">
        <w:rPr>
          <w:rFonts w:eastAsia="Calibri"/>
          <w:sz w:val="22"/>
          <w:szCs w:val="22"/>
        </w:rPr>
        <w:t>savaičių sveikimo laikotarpiui</w:t>
      </w:r>
      <w:r w:rsidR="00A45743">
        <w:rPr>
          <w:rFonts w:eastAsia="Calibri"/>
          <w:sz w:val="22"/>
          <w:szCs w:val="22"/>
        </w:rPr>
        <w:t>,</w:t>
      </w:r>
      <w:r w:rsidR="002D745E" w:rsidRPr="004F572A">
        <w:rPr>
          <w:rFonts w:eastAsia="Calibri"/>
          <w:sz w:val="22"/>
          <w:szCs w:val="22"/>
        </w:rPr>
        <w:t xml:space="preserve"> </w:t>
      </w:r>
      <w:r w:rsidR="00A45743">
        <w:rPr>
          <w:rFonts w:eastAsia="Calibri"/>
          <w:sz w:val="22"/>
          <w:szCs w:val="22"/>
        </w:rPr>
        <w:t>nustatytas</w:t>
      </w:r>
      <w:r w:rsidRPr="004F572A">
        <w:rPr>
          <w:rFonts w:eastAsia="Calibri"/>
          <w:sz w:val="22"/>
          <w:szCs w:val="22"/>
        </w:rPr>
        <w:t xml:space="preserve"> </w:t>
      </w:r>
      <w:proofErr w:type="spellStart"/>
      <w:r w:rsidRPr="004F572A">
        <w:rPr>
          <w:rFonts w:eastAsia="Calibri"/>
          <w:sz w:val="22"/>
          <w:szCs w:val="22"/>
        </w:rPr>
        <w:t>toksikologinių</w:t>
      </w:r>
      <w:proofErr w:type="spellEnd"/>
      <w:r w:rsidRPr="004F572A">
        <w:rPr>
          <w:rFonts w:eastAsia="Calibri"/>
          <w:sz w:val="22"/>
          <w:szCs w:val="22"/>
        </w:rPr>
        <w:t xml:space="preserve"> pokyčių </w:t>
      </w:r>
      <w:r w:rsidR="00A45743">
        <w:rPr>
          <w:rFonts w:eastAsia="Calibri"/>
          <w:sz w:val="22"/>
          <w:szCs w:val="22"/>
        </w:rPr>
        <w:t>grįžtamumas</w:t>
      </w:r>
      <w:r w:rsidRPr="004F572A">
        <w:rPr>
          <w:rFonts w:eastAsia="Calibri"/>
          <w:sz w:val="22"/>
          <w:szCs w:val="22"/>
        </w:rPr>
        <w:t xml:space="preserve"> visoms tirtoms gyvūnų rūšims.</w:t>
      </w:r>
    </w:p>
    <w:p w14:paraId="5D2055CA" w14:textId="77777777" w:rsidR="002D745E" w:rsidRPr="004F572A" w:rsidRDefault="002D745E" w:rsidP="00127591">
      <w:pPr>
        <w:widowControl w:val="0"/>
        <w:tabs>
          <w:tab w:val="clear" w:pos="567"/>
        </w:tabs>
        <w:rPr>
          <w:rFonts w:eastAsia="Calibri"/>
          <w:sz w:val="22"/>
          <w:szCs w:val="22"/>
        </w:rPr>
      </w:pPr>
    </w:p>
    <w:p w14:paraId="01B218E5" w14:textId="370BDCBF" w:rsidR="00127591" w:rsidRPr="004F572A" w:rsidRDefault="00127591" w:rsidP="00127591">
      <w:pPr>
        <w:widowControl w:val="0"/>
        <w:tabs>
          <w:tab w:val="clear" w:pos="567"/>
        </w:tabs>
        <w:rPr>
          <w:rFonts w:eastAsia="Calibri"/>
          <w:sz w:val="22"/>
          <w:szCs w:val="22"/>
          <w:u w:val="single"/>
        </w:rPr>
      </w:pPr>
      <w:proofErr w:type="spellStart"/>
      <w:r w:rsidRPr="004F572A">
        <w:rPr>
          <w:rFonts w:eastAsia="Calibri"/>
          <w:sz w:val="22"/>
          <w:szCs w:val="22"/>
          <w:u w:val="single"/>
        </w:rPr>
        <w:t>Genotoksiškumas</w:t>
      </w:r>
      <w:proofErr w:type="spellEnd"/>
    </w:p>
    <w:p w14:paraId="4A9CA3F0" w14:textId="77777777" w:rsidR="002D745E" w:rsidRPr="004F572A" w:rsidRDefault="002D745E" w:rsidP="00127591">
      <w:pPr>
        <w:widowControl w:val="0"/>
        <w:tabs>
          <w:tab w:val="clear" w:pos="567"/>
        </w:tabs>
        <w:rPr>
          <w:rFonts w:eastAsia="Calibri"/>
          <w:sz w:val="22"/>
          <w:szCs w:val="22"/>
        </w:rPr>
      </w:pPr>
    </w:p>
    <w:p w14:paraId="0F53FB0A" w14:textId="77777777" w:rsidR="002D745E" w:rsidRPr="004F572A" w:rsidRDefault="00127591" w:rsidP="00127591">
      <w:pPr>
        <w:widowControl w:val="0"/>
        <w:tabs>
          <w:tab w:val="clear" w:pos="567"/>
        </w:tabs>
        <w:rPr>
          <w:rFonts w:eastAsia="Calibri"/>
          <w:sz w:val="22"/>
          <w:szCs w:val="22"/>
        </w:rPr>
      </w:pPr>
      <w:proofErr w:type="spellStart"/>
      <w:r w:rsidRPr="004F572A">
        <w:rPr>
          <w:rFonts w:eastAsia="Calibri"/>
          <w:sz w:val="22"/>
          <w:szCs w:val="22"/>
        </w:rPr>
        <w:t>Lenvatinibas</w:t>
      </w:r>
      <w:proofErr w:type="spellEnd"/>
      <w:r w:rsidRPr="004F572A">
        <w:rPr>
          <w:rFonts w:eastAsia="Calibri"/>
          <w:sz w:val="22"/>
          <w:szCs w:val="22"/>
        </w:rPr>
        <w:t xml:space="preserve"> nebuvo </w:t>
      </w:r>
      <w:proofErr w:type="spellStart"/>
      <w:r w:rsidRPr="004F572A">
        <w:rPr>
          <w:rFonts w:eastAsia="Calibri"/>
          <w:sz w:val="22"/>
          <w:szCs w:val="22"/>
        </w:rPr>
        <w:t>genotoksiškas</w:t>
      </w:r>
      <w:proofErr w:type="spellEnd"/>
      <w:r w:rsidRPr="004F572A">
        <w:rPr>
          <w:rFonts w:eastAsia="Calibri"/>
          <w:sz w:val="22"/>
          <w:szCs w:val="22"/>
        </w:rPr>
        <w:t xml:space="preserve">. </w:t>
      </w:r>
    </w:p>
    <w:p w14:paraId="1C8D4116" w14:textId="77777777" w:rsidR="002D745E" w:rsidRPr="004F572A" w:rsidRDefault="002D745E" w:rsidP="00127591">
      <w:pPr>
        <w:widowControl w:val="0"/>
        <w:tabs>
          <w:tab w:val="clear" w:pos="567"/>
        </w:tabs>
        <w:rPr>
          <w:rFonts w:eastAsia="Calibri"/>
          <w:sz w:val="22"/>
          <w:szCs w:val="22"/>
        </w:rPr>
      </w:pPr>
    </w:p>
    <w:p w14:paraId="5AAE4AF6" w14:textId="3DCA7F95" w:rsidR="002D745E" w:rsidRPr="004F572A" w:rsidRDefault="00127591" w:rsidP="00127591">
      <w:pPr>
        <w:widowControl w:val="0"/>
        <w:tabs>
          <w:tab w:val="clear" w:pos="567"/>
        </w:tabs>
        <w:rPr>
          <w:rFonts w:eastAsia="Calibri"/>
          <w:sz w:val="22"/>
          <w:szCs w:val="22"/>
        </w:rPr>
      </w:pPr>
      <w:proofErr w:type="spellStart"/>
      <w:r w:rsidRPr="004F572A">
        <w:rPr>
          <w:rFonts w:eastAsia="Calibri"/>
          <w:sz w:val="22"/>
          <w:szCs w:val="22"/>
        </w:rPr>
        <w:t>Lenvatinibo</w:t>
      </w:r>
      <w:proofErr w:type="spellEnd"/>
      <w:r w:rsidRPr="004F572A">
        <w:rPr>
          <w:rFonts w:eastAsia="Calibri"/>
          <w:sz w:val="22"/>
          <w:szCs w:val="22"/>
        </w:rPr>
        <w:t xml:space="preserve"> </w:t>
      </w:r>
      <w:proofErr w:type="spellStart"/>
      <w:r w:rsidRPr="004F572A">
        <w:rPr>
          <w:rFonts w:eastAsia="Calibri"/>
          <w:sz w:val="22"/>
          <w:szCs w:val="22"/>
        </w:rPr>
        <w:t>kancerogeniškumo</w:t>
      </w:r>
      <w:proofErr w:type="spellEnd"/>
      <w:r w:rsidRPr="004F572A">
        <w:rPr>
          <w:rFonts w:eastAsia="Calibri"/>
          <w:sz w:val="22"/>
          <w:szCs w:val="22"/>
        </w:rPr>
        <w:t xml:space="preserve"> tyrimų neatlikta. </w:t>
      </w:r>
    </w:p>
    <w:p w14:paraId="7488C3BF" w14:textId="77777777" w:rsidR="002D745E" w:rsidRPr="004F572A" w:rsidRDefault="002D745E" w:rsidP="00127591">
      <w:pPr>
        <w:widowControl w:val="0"/>
        <w:tabs>
          <w:tab w:val="clear" w:pos="567"/>
        </w:tabs>
        <w:rPr>
          <w:rFonts w:eastAsia="Calibri"/>
          <w:sz w:val="22"/>
          <w:szCs w:val="22"/>
        </w:rPr>
      </w:pPr>
    </w:p>
    <w:p w14:paraId="2871B9AC" w14:textId="6B7EA4E5" w:rsidR="00127591" w:rsidRPr="004F572A" w:rsidRDefault="00127591" w:rsidP="00127591">
      <w:pPr>
        <w:widowControl w:val="0"/>
        <w:tabs>
          <w:tab w:val="clear" w:pos="567"/>
        </w:tabs>
        <w:rPr>
          <w:rFonts w:eastAsia="Calibri"/>
          <w:sz w:val="22"/>
          <w:szCs w:val="22"/>
          <w:u w:val="single"/>
        </w:rPr>
      </w:pPr>
      <w:r w:rsidRPr="004F572A">
        <w:rPr>
          <w:rFonts w:eastAsia="Calibri"/>
          <w:sz w:val="22"/>
          <w:szCs w:val="22"/>
          <w:u w:val="single"/>
        </w:rPr>
        <w:t>Toksinis poveikis reprodukcijai ir vystymuisi</w:t>
      </w:r>
    </w:p>
    <w:p w14:paraId="044886C7" w14:textId="77777777" w:rsidR="002D745E" w:rsidRPr="004F572A" w:rsidRDefault="002D745E" w:rsidP="00127591">
      <w:pPr>
        <w:widowControl w:val="0"/>
        <w:tabs>
          <w:tab w:val="clear" w:pos="567"/>
        </w:tabs>
        <w:rPr>
          <w:rFonts w:eastAsia="Calibri"/>
          <w:sz w:val="22"/>
          <w:szCs w:val="22"/>
        </w:rPr>
      </w:pPr>
    </w:p>
    <w:p w14:paraId="2DECC2F8" w14:textId="6088DE0A" w:rsidR="00127591" w:rsidRPr="004F572A" w:rsidRDefault="00127591" w:rsidP="00127591">
      <w:pPr>
        <w:widowControl w:val="0"/>
        <w:tabs>
          <w:tab w:val="clear" w:pos="567"/>
        </w:tabs>
        <w:rPr>
          <w:rFonts w:eastAsia="Calibri"/>
          <w:sz w:val="22"/>
          <w:szCs w:val="22"/>
        </w:rPr>
      </w:pPr>
      <w:r w:rsidRPr="004F572A">
        <w:rPr>
          <w:rFonts w:eastAsia="Calibri"/>
          <w:sz w:val="22"/>
          <w:szCs w:val="22"/>
        </w:rPr>
        <w:t xml:space="preserve">Specifinių </w:t>
      </w:r>
      <w:proofErr w:type="spellStart"/>
      <w:r w:rsidRPr="004F572A">
        <w:rPr>
          <w:rFonts w:eastAsia="Calibri"/>
          <w:sz w:val="22"/>
          <w:szCs w:val="22"/>
        </w:rPr>
        <w:t>lenvatinibo</w:t>
      </w:r>
      <w:proofErr w:type="spellEnd"/>
      <w:r w:rsidRPr="004F572A">
        <w:rPr>
          <w:rFonts w:eastAsia="Calibri"/>
          <w:sz w:val="22"/>
          <w:szCs w:val="22"/>
        </w:rPr>
        <w:t xml:space="preserve"> tyrimų su gyvūnais, skirtų poveiki</w:t>
      </w:r>
      <w:r w:rsidR="00A45743">
        <w:rPr>
          <w:rFonts w:eastAsia="Calibri"/>
          <w:sz w:val="22"/>
          <w:szCs w:val="22"/>
        </w:rPr>
        <w:t>ui</w:t>
      </w:r>
      <w:r w:rsidRPr="004F572A">
        <w:rPr>
          <w:rFonts w:eastAsia="Calibri"/>
          <w:sz w:val="22"/>
          <w:szCs w:val="22"/>
        </w:rPr>
        <w:t xml:space="preserve"> vaisingumui įvertin</w:t>
      </w:r>
      <w:r w:rsidR="002D745E" w:rsidRPr="004F572A">
        <w:rPr>
          <w:rFonts w:eastAsia="Calibri"/>
          <w:sz w:val="22"/>
          <w:szCs w:val="22"/>
        </w:rPr>
        <w:t>imui</w:t>
      </w:r>
      <w:r w:rsidRPr="004F572A">
        <w:rPr>
          <w:rFonts w:eastAsia="Calibri"/>
          <w:sz w:val="22"/>
          <w:szCs w:val="22"/>
        </w:rPr>
        <w:t>, neatlikta. Tačiau atliekant kartotinių dozių toksiškumo tyrimus su gyvūnais, ekspozicijai 11</w:t>
      </w:r>
      <w:r w:rsidR="00B10CAA">
        <w:rPr>
          <w:rFonts w:eastAsia="Calibri"/>
          <w:sz w:val="22"/>
          <w:szCs w:val="22"/>
        </w:rPr>
        <w:noBreakHyphen/>
      </w:r>
      <w:r w:rsidRPr="004F572A">
        <w:rPr>
          <w:rFonts w:eastAsia="Calibri"/>
          <w:sz w:val="22"/>
          <w:szCs w:val="22"/>
        </w:rPr>
        <w:t>15</w:t>
      </w:r>
      <w:r w:rsidR="00B10CAA">
        <w:rPr>
          <w:rFonts w:eastAsia="Calibri"/>
          <w:sz w:val="22"/>
          <w:szCs w:val="22"/>
        </w:rPr>
        <w:t> </w:t>
      </w:r>
      <w:r w:rsidRPr="004F572A">
        <w:rPr>
          <w:rFonts w:eastAsia="Calibri"/>
          <w:sz w:val="22"/>
          <w:szCs w:val="22"/>
        </w:rPr>
        <w:t>kartų (žiurkėms) arba 0,6</w:t>
      </w:r>
      <w:r w:rsidR="003F35DD">
        <w:rPr>
          <w:rFonts w:eastAsia="Calibri"/>
          <w:sz w:val="22"/>
          <w:szCs w:val="22"/>
        </w:rPr>
        <w:t>-</w:t>
      </w:r>
      <w:r w:rsidRPr="004F572A">
        <w:rPr>
          <w:rFonts w:eastAsia="Calibri"/>
          <w:sz w:val="22"/>
          <w:szCs w:val="22"/>
        </w:rPr>
        <w:t>7</w:t>
      </w:r>
      <w:r w:rsidR="00B10CAA">
        <w:rPr>
          <w:rFonts w:eastAsia="Calibri"/>
          <w:sz w:val="22"/>
          <w:szCs w:val="22"/>
        </w:rPr>
        <w:t> </w:t>
      </w:r>
      <w:r w:rsidRPr="004F572A">
        <w:rPr>
          <w:rFonts w:eastAsia="Calibri"/>
          <w:sz w:val="22"/>
          <w:szCs w:val="22"/>
        </w:rPr>
        <w:t xml:space="preserve">kartus (beždžionėms) viršijant numatomą klinikinę ekspoziciją (remiantis AUC) vartojant maksimalią toleruojamą dozę žmogui, nustatyti sėklidžių (sumažėjęs </w:t>
      </w:r>
      <w:proofErr w:type="spellStart"/>
      <w:r w:rsidRPr="004F572A">
        <w:rPr>
          <w:rFonts w:eastAsia="Calibri"/>
          <w:sz w:val="22"/>
          <w:szCs w:val="22"/>
        </w:rPr>
        <w:t>spermatogeninio</w:t>
      </w:r>
      <w:proofErr w:type="spellEnd"/>
      <w:r w:rsidRPr="004F572A">
        <w:rPr>
          <w:rFonts w:eastAsia="Calibri"/>
          <w:sz w:val="22"/>
          <w:szCs w:val="22"/>
        </w:rPr>
        <w:t xml:space="preserve"> epitelio ląstelių kiekis) ir kiaušidžių </w:t>
      </w:r>
      <w:r w:rsidR="00A45743">
        <w:rPr>
          <w:rFonts w:eastAsia="Calibri"/>
          <w:sz w:val="22"/>
          <w:szCs w:val="22"/>
        </w:rPr>
        <w:t>pakitimai</w:t>
      </w:r>
      <w:r w:rsidR="00A45743" w:rsidRPr="004F572A">
        <w:rPr>
          <w:rFonts w:eastAsia="Calibri"/>
          <w:sz w:val="22"/>
          <w:szCs w:val="22"/>
        </w:rPr>
        <w:t xml:space="preserve"> </w:t>
      </w:r>
      <w:r w:rsidRPr="004F572A">
        <w:rPr>
          <w:rFonts w:eastAsia="Calibri"/>
          <w:sz w:val="22"/>
          <w:szCs w:val="22"/>
        </w:rPr>
        <w:t xml:space="preserve">(folikulinė </w:t>
      </w:r>
      <w:proofErr w:type="spellStart"/>
      <w:r w:rsidRPr="004F572A">
        <w:rPr>
          <w:rFonts w:eastAsia="Calibri"/>
          <w:sz w:val="22"/>
          <w:szCs w:val="22"/>
        </w:rPr>
        <w:t>atrezija</w:t>
      </w:r>
      <w:proofErr w:type="spellEnd"/>
      <w:r w:rsidRPr="004F572A">
        <w:rPr>
          <w:rFonts w:eastAsia="Calibri"/>
          <w:sz w:val="22"/>
          <w:szCs w:val="22"/>
        </w:rPr>
        <w:t xml:space="preserve">). Pasibaigus 4 savaičių sveikimo laikotarpiui, šie </w:t>
      </w:r>
      <w:r w:rsidR="00A45743">
        <w:rPr>
          <w:rFonts w:eastAsia="Calibri"/>
          <w:sz w:val="22"/>
          <w:szCs w:val="22"/>
        </w:rPr>
        <w:lastRenderedPageBreak/>
        <w:t>pakitimai buvo grįžtami</w:t>
      </w:r>
      <w:r w:rsidRPr="004F572A">
        <w:rPr>
          <w:rFonts w:eastAsia="Calibri"/>
          <w:sz w:val="22"/>
          <w:szCs w:val="22"/>
        </w:rPr>
        <w:t>.</w:t>
      </w:r>
    </w:p>
    <w:p w14:paraId="222DC41B" w14:textId="77777777" w:rsidR="003F431D" w:rsidRPr="004F572A" w:rsidRDefault="003F431D" w:rsidP="00127591">
      <w:pPr>
        <w:widowControl w:val="0"/>
        <w:tabs>
          <w:tab w:val="clear" w:pos="567"/>
        </w:tabs>
        <w:rPr>
          <w:rFonts w:eastAsia="Calibri"/>
          <w:sz w:val="22"/>
          <w:szCs w:val="22"/>
        </w:rPr>
      </w:pPr>
    </w:p>
    <w:p w14:paraId="6F007982" w14:textId="1EB4FBDE" w:rsidR="00127591" w:rsidRPr="004F572A" w:rsidRDefault="00127591" w:rsidP="00127591">
      <w:pPr>
        <w:widowControl w:val="0"/>
        <w:tabs>
          <w:tab w:val="clear" w:pos="567"/>
        </w:tabs>
        <w:rPr>
          <w:rFonts w:eastAsia="Calibri"/>
          <w:sz w:val="22"/>
          <w:szCs w:val="22"/>
        </w:rPr>
      </w:pPr>
      <w:proofErr w:type="spellStart"/>
      <w:r w:rsidRPr="004F572A">
        <w:rPr>
          <w:rFonts w:eastAsia="Calibri"/>
          <w:sz w:val="22"/>
          <w:szCs w:val="22"/>
        </w:rPr>
        <w:t>Lenvatinibo</w:t>
      </w:r>
      <w:proofErr w:type="spellEnd"/>
      <w:r w:rsidRPr="004F572A">
        <w:rPr>
          <w:rFonts w:eastAsia="Calibri"/>
          <w:sz w:val="22"/>
          <w:szCs w:val="22"/>
        </w:rPr>
        <w:t xml:space="preserve"> vartojimas </w:t>
      </w:r>
      <w:proofErr w:type="spellStart"/>
      <w:r w:rsidRPr="004F572A">
        <w:rPr>
          <w:rFonts w:eastAsia="Calibri"/>
          <w:sz w:val="22"/>
          <w:szCs w:val="22"/>
        </w:rPr>
        <w:t>organogenezės</w:t>
      </w:r>
      <w:proofErr w:type="spellEnd"/>
      <w:r w:rsidRPr="004F572A">
        <w:rPr>
          <w:rFonts w:eastAsia="Calibri"/>
          <w:sz w:val="22"/>
          <w:szCs w:val="22"/>
        </w:rPr>
        <w:t xml:space="preserve"> laikotarpiu sukėlė embrionų </w:t>
      </w:r>
      <w:r w:rsidR="00A45743">
        <w:rPr>
          <w:rFonts w:eastAsia="Calibri"/>
          <w:sz w:val="22"/>
          <w:szCs w:val="22"/>
        </w:rPr>
        <w:t>mirtį</w:t>
      </w:r>
      <w:r w:rsidR="00A45743" w:rsidRPr="004F572A">
        <w:rPr>
          <w:rFonts w:eastAsia="Calibri"/>
          <w:sz w:val="22"/>
          <w:szCs w:val="22"/>
        </w:rPr>
        <w:t xml:space="preserve"> </w:t>
      </w:r>
      <w:r w:rsidRPr="004F572A">
        <w:rPr>
          <w:rFonts w:eastAsia="Calibri"/>
          <w:sz w:val="22"/>
          <w:szCs w:val="22"/>
        </w:rPr>
        <w:t xml:space="preserve">ir </w:t>
      </w:r>
      <w:proofErr w:type="spellStart"/>
      <w:r w:rsidRPr="004F572A">
        <w:rPr>
          <w:rFonts w:eastAsia="Calibri"/>
          <w:sz w:val="22"/>
          <w:szCs w:val="22"/>
        </w:rPr>
        <w:t>teratogeninį</w:t>
      </w:r>
      <w:proofErr w:type="spellEnd"/>
      <w:r w:rsidRPr="004F572A">
        <w:rPr>
          <w:rFonts w:eastAsia="Calibri"/>
          <w:sz w:val="22"/>
          <w:szCs w:val="22"/>
        </w:rPr>
        <w:t xml:space="preserve"> poveikį žiurkėms (vaisiaus išorinės ir skeleto anomalijos), ekspozicijai nesiekiant klinikinės ekspozicijos (remiantis AUC) vartojant maksimalią toleruojamą dozę žmogui, ir triušiams (vaisiaus išorinės, vidaus organų ar skeleto anomalijos), remiantis kūno paviršiaus plotu; mg/m</w:t>
      </w:r>
      <w:r w:rsidRPr="004F572A">
        <w:rPr>
          <w:rFonts w:eastAsia="Calibri"/>
          <w:sz w:val="22"/>
          <w:szCs w:val="22"/>
          <w:vertAlign w:val="superscript"/>
        </w:rPr>
        <w:t>2</w:t>
      </w:r>
      <w:r w:rsidRPr="004F572A">
        <w:rPr>
          <w:rFonts w:eastAsia="Calibri"/>
          <w:sz w:val="22"/>
          <w:szCs w:val="22"/>
        </w:rPr>
        <w:t xml:space="preserve">, vartojant maksimalią toleruojamą dozę žmogui. Šie duomenys rodo, kad </w:t>
      </w:r>
      <w:proofErr w:type="spellStart"/>
      <w:r w:rsidRPr="004F572A">
        <w:rPr>
          <w:rFonts w:eastAsia="Calibri"/>
          <w:sz w:val="22"/>
          <w:szCs w:val="22"/>
        </w:rPr>
        <w:t>lenvatinibas</w:t>
      </w:r>
      <w:proofErr w:type="spellEnd"/>
      <w:r w:rsidRPr="004F572A">
        <w:rPr>
          <w:rFonts w:eastAsia="Calibri"/>
          <w:sz w:val="22"/>
          <w:szCs w:val="22"/>
        </w:rPr>
        <w:t xml:space="preserve"> gali </w:t>
      </w:r>
      <w:r w:rsidR="00A45743">
        <w:rPr>
          <w:rFonts w:eastAsia="Calibri"/>
          <w:sz w:val="22"/>
          <w:szCs w:val="22"/>
        </w:rPr>
        <w:t>turėti</w:t>
      </w:r>
      <w:r w:rsidR="00A45743" w:rsidRPr="004F572A">
        <w:rPr>
          <w:rFonts w:eastAsia="Calibri"/>
          <w:sz w:val="22"/>
          <w:szCs w:val="22"/>
        </w:rPr>
        <w:t xml:space="preserve"> </w:t>
      </w:r>
      <w:proofErr w:type="spellStart"/>
      <w:r w:rsidRPr="004F572A">
        <w:rPr>
          <w:rFonts w:eastAsia="Calibri"/>
          <w:sz w:val="22"/>
          <w:szCs w:val="22"/>
        </w:rPr>
        <w:t>teratogeninį</w:t>
      </w:r>
      <w:proofErr w:type="spellEnd"/>
      <w:r w:rsidRPr="004F572A">
        <w:rPr>
          <w:rFonts w:eastAsia="Calibri"/>
          <w:sz w:val="22"/>
          <w:szCs w:val="22"/>
        </w:rPr>
        <w:t xml:space="preserve"> poveikį, kuris tikriausiai yra susijęs su </w:t>
      </w:r>
      <w:proofErr w:type="spellStart"/>
      <w:r w:rsidRPr="004F572A">
        <w:rPr>
          <w:rFonts w:eastAsia="Calibri"/>
          <w:sz w:val="22"/>
          <w:szCs w:val="22"/>
        </w:rPr>
        <w:t>lenvatinibo</w:t>
      </w:r>
      <w:proofErr w:type="spellEnd"/>
      <w:r w:rsidR="003F431D" w:rsidRPr="004F572A">
        <w:rPr>
          <w:rFonts w:eastAsia="Calibri"/>
          <w:sz w:val="22"/>
          <w:szCs w:val="22"/>
        </w:rPr>
        <w:t>,</w:t>
      </w:r>
      <w:r w:rsidRPr="004F572A">
        <w:rPr>
          <w:rFonts w:eastAsia="Calibri"/>
          <w:sz w:val="22"/>
          <w:szCs w:val="22"/>
        </w:rPr>
        <w:t xml:space="preserve"> kaip </w:t>
      </w:r>
      <w:proofErr w:type="spellStart"/>
      <w:r w:rsidRPr="004F572A">
        <w:rPr>
          <w:rFonts w:eastAsia="Calibri"/>
          <w:sz w:val="22"/>
          <w:szCs w:val="22"/>
        </w:rPr>
        <w:t>antiangiogenin</w:t>
      </w:r>
      <w:r w:rsidR="00034585">
        <w:rPr>
          <w:rFonts w:eastAsia="Calibri"/>
          <w:sz w:val="22"/>
          <w:szCs w:val="22"/>
        </w:rPr>
        <w:t>io</w:t>
      </w:r>
      <w:proofErr w:type="spellEnd"/>
      <w:r w:rsidR="00034585">
        <w:rPr>
          <w:rFonts w:eastAsia="Calibri"/>
          <w:sz w:val="22"/>
          <w:szCs w:val="22"/>
        </w:rPr>
        <w:t xml:space="preserve"> preparato</w:t>
      </w:r>
      <w:r w:rsidR="003F431D" w:rsidRPr="004F572A">
        <w:rPr>
          <w:rFonts w:eastAsia="Calibri"/>
          <w:sz w:val="22"/>
          <w:szCs w:val="22"/>
        </w:rPr>
        <w:t>,</w:t>
      </w:r>
      <w:r w:rsidRPr="004F572A">
        <w:rPr>
          <w:rFonts w:eastAsia="Calibri"/>
          <w:sz w:val="22"/>
          <w:szCs w:val="22"/>
        </w:rPr>
        <w:t xml:space="preserve"> farmakologiniu aktyvumu.</w:t>
      </w:r>
    </w:p>
    <w:p w14:paraId="22CB47EF" w14:textId="77777777" w:rsidR="003F431D" w:rsidRPr="004F572A" w:rsidRDefault="003F431D" w:rsidP="00127591">
      <w:pPr>
        <w:widowControl w:val="0"/>
        <w:tabs>
          <w:tab w:val="clear" w:pos="567"/>
        </w:tabs>
        <w:rPr>
          <w:rFonts w:eastAsia="Calibri"/>
          <w:sz w:val="22"/>
          <w:szCs w:val="22"/>
        </w:rPr>
      </w:pPr>
    </w:p>
    <w:p w14:paraId="2A3E0C90" w14:textId="74DEF0B1" w:rsidR="003F431D" w:rsidRPr="004F572A" w:rsidRDefault="00127591" w:rsidP="00127591">
      <w:pPr>
        <w:widowControl w:val="0"/>
        <w:tabs>
          <w:tab w:val="clear" w:pos="567"/>
        </w:tabs>
        <w:rPr>
          <w:rFonts w:eastAsia="Calibri"/>
          <w:sz w:val="22"/>
          <w:szCs w:val="22"/>
        </w:rPr>
      </w:pPr>
      <w:proofErr w:type="spellStart"/>
      <w:r w:rsidRPr="004F572A">
        <w:rPr>
          <w:rFonts w:eastAsia="Calibri"/>
          <w:sz w:val="22"/>
          <w:szCs w:val="22"/>
        </w:rPr>
        <w:t>Lenvatinibas</w:t>
      </w:r>
      <w:proofErr w:type="spellEnd"/>
      <w:r w:rsidRPr="004F572A">
        <w:rPr>
          <w:rFonts w:eastAsia="Calibri"/>
          <w:sz w:val="22"/>
          <w:szCs w:val="22"/>
        </w:rPr>
        <w:t xml:space="preserve"> ir jo metabolitai</w:t>
      </w:r>
      <w:r w:rsidR="003F431D" w:rsidRPr="004F572A">
        <w:rPr>
          <w:rFonts w:eastAsia="Calibri"/>
          <w:sz w:val="22"/>
          <w:szCs w:val="22"/>
        </w:rPr>
        <w:t xml:space="preserve"> yra</w:t>
      </w:r>
      <w:r w:rsidRPr="004F572A">
        <w:rPr>
          <w:rFonts w:eastAsia="Calibri"/>
          <w:sz w:val="22"/>
          <w:szCs w:val="22"/>
        </w:rPr>
        <w:t xml:space="preserve"> išskiria</w:t>
      </w:r>
      <w:r w:rsidR="003F431D" w:rsidRPr="004F572A">
        <w:rPr>
          <w:rFonts w:eastAsia="Calibri"/>
          <w:sz w:val="22"/>
          <w:szCs w:val="22"/>
        </w:rPr>
        <w:t>mi</w:t>
      </w:r>
      <w:r w:rsidRPr="004F572A">
        <w:rPr>
          <w:rFonts w:eastAsia="Calibri"/>
          <w:sz w:val="22"/>
          <w:szCs w:val="22"/>
        </w:rPr>
        <w:t xml:space="preserve"> į žiurkių pieną. </w:t>
      </w:r>
    </w:p>
    <w:p w14:paraId="7FEF322C" w14:textId="77777777" w:rsidR="003F431D" w:rsidRPr="004F572A" w:rsidRDefault="003F431D" w:rsidP="00127591">
      <w:pPr>
        <w:widowControl w:val="0"/>
        <w:tabs>
          <w:tab w:val="clear" w:pos="567"/>
        </w:tabs>
        <w:rPr>
          <w:rFonts w:eastAsia="Calibri"/>
          <w:sz w:val="22"/>
          <w:szCs w:val="22"/>
        </w:rPr>
      </w:pPr>
    </w:p>
    <w:p w14:paraId="2E104C76" w14:textId="2974C67B" w:rsidR="00127591" w:rsidRPr="004F572A" w:rsidRDefault="00127591" w:rsidP="00127591">
      <w:pPr>
        <w:widowControl w:val="0"/>
        <w:tabs>
          <w:tab w:val="clear" w:pos="567"/>
        </w:tabs>
        <w:rPr>
          <w:rFonts w:eastAsia="Calibri"/>
          <w:sz w:val="22"/>
          <w:szCs w:val="22"/>
          <w:u w:val="single"/>
        </w:rPr>
      </w:pPr>
      <w:r w:rsidRPr="004F572A">
        <w:rPr>
          <w:rFonts w:eastAsia="Calibri"/>
          <w:sz w:val="22"/>
          <w:szCs w:val="22"/>
          <w:u w:val="single"/>
        </w:rPr>
        <w:t>Toksinio poveikio gyvūnų jaunikliams tyrimai</w:t>
      </w:r>
    </w:p>
    <w:p w14:paraId="64FADE0D" w14:textId="77777777" w:rsidR="00127591" w:rsidRPr="004F572A" w:rsidRDefault="00127591" w:rsidP="000928CA">
      <w:pPr>
        <w:widowControl w:val="0"/>
        <w:tabs>
          <w:tab w:val="clear" w:pos="567"/>
        </w:tabs>
        <w:rPr>
          <w:rFonts w:eastAsia="Calibri"/>
          <w:sz w:val="22"/>
          <w:szCs w:val="22"/>
          <w:u w:val="single"/>
        </w:rPr>
      </w:pPr>
    </w:p>
    <w:p w14:paraId="0822FA0D" w14:textId="13EF306E" w:rsidR="003F431D" w:rsidRPr="004F572A" w:rsidRDefault="00034585" w:rsidP="00034585">
      <w:pPr>
        <w:widowControl w:val="0"/>
        <w:tabs>
          <w:tab w:val="clear" w:pos="567"/>
        </w:tabs>
        <w:rPr>
          <w:rFonts w:eastAsia="Calibri"/>
          <w:sz w:val="22"/>
          <w:szCs w:val="22"/>
        </w:rPr>
      </w:pPr>
      <w:r>
        <w:rPr>
          <w:rFonts w:eastAsia="Calibri"/>
          <w:sz w:val="22"/>
          <w:szCs w:val="22"/>
        </w:rPr>
        <w:t>Mirtingumas</w:t>
      </w:r>
      <w:r w:rsidRPr="004F572A">
        <w:rPr>
          <w:rFonts w:eastAsia="Calibri"/>
          <w:sz w:val="22"/>
          <w:szCs w:val="22"/>
        </w:rPr>
        <w:t xml:space="preserve"> </w:t>
      </w:r>
      <w:r w:rsidR="003F431D" w:rsidRPr="004F572A">
        <w:rPr>
          <w:rFonts w:eastAsia="Calibri"/>
          <w:sz w:val="22"/>
          <w:szCs w:val="22"/>
        </w:rPr>
        <w:t xml:space="preserve">buvo dozę ribojantis toksinis poveikis žiurkių jaunikliams, kuriems </w:t>
      </w:r>
      <w:r w:rsidRPr="00034585">
        <w:rPr>
          <w:rFonts w:eastAsia="Calibri"/>
          <w:sz w:val="22"/>
          <w:szCs w:val="22"/>
        </w:rPr>
        <w:t>vaistinio preparato buvo pradėta duoti</w:t>
      </w:r>
      <w:r w:rsidR="003F431D" w:rsidRPr="004F572A">
        <w:rPr>
          <w:rFonts w:eastAsia="Calibri"/>
          <w:sz w:val="22"/>
          <w:szCs w:val="22"/>
        </w:rPr>
        <w:t xml:space="preserve"> 7</w:t>
      </w:r>
      <w:r w:rsidR="00B10CAA">
        <w:rPr>
          <w:rFonts w:eastAsia="Calibri"/>
          <w:sz w:val="22"/>
          <w:szCs w:val="22"/>
        </w:rPr>
        <w:noBreakHyphen/>
      </w:r>
      <w:r w:rsidR="003F431D" w:rsidRPr="004F572A">
        <w:rPr>
          <w:rFonts w:eastAsia="Calibri"/>
          <w:sz w:val="22"/>
          <w:szCs w:val="22"/>
        </w:rPr>
        <w:t xml:space="preserve">ąją </w:t>
      </w:r>
      <w:proofErr w:type="spellStart"/>
      <w:r>
        <w:rPr>
          <w:rFonts w:eastAsia="Calibri"/>
          <w:sz w:val="22"/>
          <w:szCs w:val="22"/>
        </w:rPr>
        <w:t>postnatalinę</w:t>
      </w:r>
      <w:proofErr w:type="spellEnd"/>
      <w:r>
        <w:rPr>
          <w:rFonts w:eastAsia="Calibri"/>
          <w:sz w:val="22"/>
          <w:szCs w:val="22"/>
        </w:rPr>
        <w:t xml:space="preserve"> </w:t>
      </w:r>
      <w:r w:rsidR="003F431D" w:rsidRPr="004F572A">
        <w:rPr>
          <w:rFonts w:eastAsia="Calibri"/>
          <w:sz w:val="22"/>
          <w:szCs w:val="22"/>
        </w:rPr>
        <w:t>dieną (</w:t>
      </w:r>
      <w:r w:rsidR="00651A0E" w:rsidRPr="004F572A">
        <w:rPr>
          <w:rFonts w:eastAsia="Calibri"/>
          <w:sz w:val="22"/>
          <w:szCs w:val="22"/>
        </w:rPr>
        <w:t>7D</w:t>
      </w:r>
      <w:r w:rsidR="003F431D" w:rsidRPr="004F572A">
        <w:rPr>
          <w:rFonts w:eastAsia="Calibri"/>
          <w:sz w:val="22"/>
          <w:szCs w:val="22"/>
        </w:rPr>
        <w:t>P</w:t>
      </w:r>
      <w:r w:rsidR="00651A0E" w:rsidRPr="004F572A">
        <w:rPr>
          <w:rFonts w:eastAsia="Calibri"/>
          <w:sz w:val="22"/>
          <w:szCs w:val="22"/>
        </w:rPr>
        <w:t>A</w:t>
      </w:r>
      <w:r w:rsidR="003F431D" w:rsidRPr="004F572A">
        <w:rPr>
          <w:rFonts w:eastAsia="Calibri"/>
          <w:sz w:val="22"/>
          <w:szCs w:val="22"/>
        </w:rPr>
        <w:t>) arba 21</w:t>
      </w:r>
      <w:r w:rsidR="00651A0E" w:rsidRPr="004F572A">
        <w:rPr>
          <w:rFonts w:eastAsia="Calibri"/>
          <w:sz w:val="22"/>
          <w:szCs w:val="22"/>
        </w:rPr>
        <w:t>D PA</w:t>
      </w:r>
      <w:r w:rsidR="003F431D" w:rsidRPr="004F572A">
        <w:rPr>
          <w:rFonts w:eastAsia="Calibri"/>
          <w:sz w:val="22"/>
          <w:szCs w:val="22"/>
        </w:rPr>
        <w:t>, jis buvo nustatytas ekspozicijai esant atitinkamai 125</w:t>
      </w:r>
      <w:r w:rsidR="00B10CAA">
        <w:rPr>
          <w:rFonts w:eastAsia="Calibri"/>
          <w:sz w:val="22"/>
          <w:szCs w:val="22"/>
        </w:rPr>
        <w:t> </w:t>
      </w:r>
      <w:r w:rsidR="003F431D" w:rsidRPr="004F572A">
        <w:rPr>
          <w:rFonts w:eastAsia="Calibri"/>
          <w:sz w:val="22"/>
          <w:szCs w:val="22"/>
        </w:rPr>
        <w:t>kartus arba 12</w:t>
      </w:r>
      <w:r w:rsidR="00B10CAA">
        <w:rPr>
          <w:rFonts w:eastAsia="Calibri"/>
          <w:sz w:val="22"/>
          <w:szCs w:val="22"/>
        </w:rPr>
        <w:t> </w:t>
      </w:r>
      <w:r w:rsidR="003F431D" w:rsidRPr="004F572A">
        <w:rPr>
          <w:rFonts w:eastAsia="Calibri"/>
          <w:sz w:val="22"/>
          <w:szCs w:val="22"/>
        </w:rPr>
        <w:t xml:space="preserve">kartų mažesnei už ekspoziciją, kuriai esant nustatytas </w:t>
      </w:r>
      <w:r>
        <w:rPr>
          <w:rFonts w:eastAsia="Calibri"/>
          <w:sz w:val="22"/>
          <w:szCs w:val="22"/>
        </w:rPr>
        <w:t xml:space="preserve">mirtingumas </w:t>
      </w:r>
      <w:r w:rsidR="00651A0E" w:rsidRPr="004F572A">
        <w:rPr>
          <w:rFonts w:eastAsia="Calibri"/>
          <w:sz w:val="22"/>
          <w:szCs w:val="22"/>
        </w:rPr>
        <w:t>suaugusi</w:t>
      </w:r>
      <w:r>
        <w:rPr>
          <w:rFonts w:eastAsia="Calibri"/>
          <w:sz w:val="22"/>
          <w:szCs w:val="22"/>
        </w:rPr>
        <w:t>oms</w:t>
      </w:r>
      <w:r w:rsidR="00651A0E" w:rsidRPr="004F572A">
        <w:rPr>
          <w:rFonts w:eastAsia="Calibri"/>
          <w:sz w:val="22"/>
          <w:szCs w:val="22"/>
        </w:rPr>
        <w:t xml:space="preserve"> žiurk</w:t>
      </w:r>
      <w:r>
        <w:rPr>
          <w:rFonts w:eastAsia="Calibri"/>
          <w:sz w:val="22"/>
          <w:szCs w:val="22"/>
        </w:rPr>
        <w:t>ėms</w:t>
      </w:r>
      <w:r w:rsidR="003F431D" w:rsidRPr="004F572A">
        <w:rPr>
          <w:rFonts w:eastAsia="Calibri"/>
          <w:sz w:val="22"/>
          <w:szCs w:val="22"/>
        </w:rPr>
        <w:t xml:space="preserve">; tai rodo didėjantį jautrumą toksiniam poveikiui mažėjant amžiui. </w:t>
      </w:r>
      <w:r>
        <w:rPr>
          <w:rFonts w:eastAsia="Calibri"/>
          <w:sz w:val="22"/>
          <w:szCs w:val="22"/>
        </w:rPr>
        <w:t xml:space="preserve">Todėl mirtingumas </w:t>
      </w:r>
      <w:r w:rsidR="00651A0E" w:rsidRPr="004F572A">
        <w:rPr>
          <w:rFonts w:eastAsia="Calibri"/>
          <w:sz w:val="22"/>
          <w:szCs w:val="22"/>
        </w:rPr>
        <w:t xml:space="preserve">gali būti </w:t>
      </w:r>
      <w:r>
        <w:rPr>
          <w:rFonts w:eastAsia="Calibri"/>
          <w:sz w:val="22"/>
          <w:szCs w:val="22"/>
        </w:rPr>
        <w:t>aiškinamas</w:t>
      </w:r>
      <w:r w:rsidR="00651A0E" w:rsidRPr="004F572A">
        <w:rPr>
          <w:rFonts w:eastAsia="Calibri"/>
          <w:sz w:val="22"/>
          <w:szCs w:val="22"/>
        </w:rPr>
        <w:t xml:space="preserve"> komplikacij</w:t>
      </w:r>
      <w:r>
        <w:rPr>
          <w:rFonts w:eastAsia="Calibri"/>
          <w:sz w:val="22"/>
          <w:szCs w:val="22"/>
        </w:rPr>
        <w:t>omis</w:t>
      </w:r>
      <w:r w:rsidR="00651A0E" w:rsidRPr="004F572A">
        <w:rPr>
          <w:rFonts w:eastAsia="Calibri"/>
          <w:sz w:val="22"/>
          <w:szCs w:val="22"/>
        </w:rPr>
        <w:t>, susijusi</w:t>
      </w:r>
      <w:r>
        <w:rPr>
          <w:rFonts w:eastAsia="Calibri"/>
          <w:sz w:val="22"/>
          <w:szCs w:val="22"/>
        </w:rPr>
        <w:t>omis</w:t>
      </w:r>
      <w:r w:rsidR="00651A0E" w:rsidRPr="004F572A">
        <w:rPr>
          <w:rFonts w:eastAsia="Calibri"/>
          <w:sz w:val="22"/>
          <w:szCs w:val="22"/>
        </w:rPr>
        <w:t xml:space="preserve"> su pirminiais dvylikapirštės žarnos </w:t>
      </w:r>
      <w:r>
        <w:rPr>
          <w:rFonts w:eastAsia="Calibri"/>
          <w:sz w:val="22"/>
          <w:szCs w:val="22"/>
        </w:rPr>
        <w:t>pakitimais dėl</w:t>
      </w:r>
      <w:r w:rsidR="00651A0E" w:rsidRPr="004F572A">
        <w:rPr>
          <w:rFonts w:eastAsia="Calibri"/>
          <w:sz w:val="22"/>
          <w:szCs w:val="22"/>
        </w:rPr>
        <w:t xml:space="preserve"> papildom</w:t>
      </w:r>
      <w:r>
        <w:rPr>
          <w:rFonts w:eastAsia="Calibri"/>
          <w:sz w:val="22"/>
          <w:szCs w:val="22"/>
        </w:rPr>
        <w:t>o</w:t>
      </w:r>
      <w:r w:rsidR="00651A0E" w:rsidRPr="004F572A">
        <w:rPr>
          <w:rFonts w:eastAsia="Calibri"/>
          <w:sz w:val="22"/>
          <w:szCs w:val="22"/>
        </w:rPr>
        <w:t xml:space="preserve"> toksini</w:t>
      </w:r>
      <w:r>
        <w:rPr>
          <w:rFonts w:eastAsia="Calibri"/>
          <w:sz w:val="22"/>
          <w:szCs w:val="22"/>
        </w:rPr>
        <w:t>o</w:t>
      </w:r>
      <w:r w:rsidR="00651A0E" w:rsidRPr="004F572A">
        <w:rPr>
          <w:rFonts w:eastAsia="Calibri"/>
          <w:sz w:val="22"/>
          <w:szCs w:val="22"/>
        </w:rPr>
        <w:t xml:space="preserve"> poveiki</w:t>
      </w:r>
      <w:r>
        <w:rPr>
          <w:rFonts w:eastAsia="Calibri"/>
          <w:sz w:val="22"/>
          <w:szCs w:val="22"/>
        </w:rPr>
        <w:t>o atitinkamuose</w:t>
      </w:r>
      <w:r w:rsidR="00651A0E" w:rsidRPr="004F572A">
        <w:rPr>
          <w:rFonts w:eastAsia="Calibri"/>
          <w:sz w:val="22"/>
          <w:szCs w:val="22"/>
        </w:rPr>
        <w:t xml:space="preserve"> nesubrendusi</w:t>
      </w:r>
      <w:r>
        <w:rPr>
          <w:rFonts w:eastAsia="Calibri"/>
          <w:sz w:val="22"/>
          <w:szCs w:val="22"/>
        </w:rPr>
        <w:t>uose</w:t>
      </w:r>
      <w:r w:rsidR="00651A0E" w:rsidRPr="004F572A">
        <w:rPr>
          <w:rFonts w:eastAsia="Calibri"/>
          <w:sz w:val="22"/>
          <w:szCs w:val="22"/>
        </w:rPr>
        <w:t xml:space="preserve"> organ</w:t>
      </w:r>
      <w:r>
        <w:rPr>
          <w:rFonts w:eastAsia="Calibri"/>
          <w:sz w:val="22"/>
          <w:szCs w:val="22"/>
        </w:rPr>
        <w:t>uose</w:t>
      </w:r>
      <w:r w:rsidR="00651A0E" w:rsidRPr="004F572A">
        <w:rPr>
          <w:rFonts w:eastAsia="Calibri"/>
          <w:sz w:val="22"/>
          <w:szCs w:val="22"/>
        </w:rPr>
        <w:t>.</w:t>
      </w:r>
    </w:p>
    <w:p w14:paraId="0117BFE1" w14:textId="77777777" w:rsidR="00651A0E" w:rsidRPr="004F572A" w:rsidRDefault="00651A0E" w:rsidP="003F431D">
      <w:pPr>
        <w:widowControl w:val="0"/>
        <w:tabs>
          <w:tab w:val="clear" w:pos="567"/>
        </w:tabs>
        <w:rPr>
          <w:rFonts w:eastAsia="Calibri"/>
          <w:sz w:val="22"/>
          <w:szCs w:val="22"/>
        </w:rPr>
      </w:pPr>
    </w:p>
    <w:p w14:paraId="58FBE3B9" w14:textId="228B22A3" w:rsidR="003F431D" w:rsidRPr="004F572A" w:rsidRDefault="003F431D" w:rsidP="00034585">
      <w:pPr>
        <w:widowControl w:val="0"/>
        <w:tabs>
          <w:tab w:val="clear" w:pos="567"/>
        </w:tabs>
        <w:rPr>
          <w:rFonts w:eastAsia="Calibri"/>
          <w:sz w:val="22"/>
          <w:szCs w:val="22"/>
        </w:rPr>
      </w:pPr>
      <w:r w:rsidRPr="004F572A">
        <w:rPr>
          <w:rFonts w:eastAsia="Calibri"/>
          <w:sz w:val="22"/>
          <w:szCs w:val="22"/>
        </w:rPr>
        <w:t xml:space="preserve">Didesnis </w:t>
      </w:r>
      <w:proofErr w:type="spellStart"/>
      <w:r w:rsidRPr="004F572A">
        <w:rPr>
          <w:rFonts w:eastAsia="Calibri"/>
          <w:sz w:val="22"/>
          <w:szCs w:val="22"/>
        </w:rPr>
        <w:t>lenvatinibo</w:t>
      </w:r>
      <w:proofErr w:type="spellEnd"/>
      <w:r w:rsidRPr="004F572A">
        <w:rPr>
          <w:rFonts w:eastAsia="Calibri"/>
          <w:sz w:val="22"/>
          <w:szCs w:val="22"/>
        </w:rPr>
        <w:t xml:space="preserve"> toksinis poveikis nustatytas jaunesnėms žiurkėms (</w:t>
      </w:r>
      <w:r w:rsidR="00034585" w:rsidRPr="00034585">
        <w:rPr>
          <w:rFonts w:eastAsia="Calibri"/>
          <w:sz w:val="22"/>
          <w:szCs w:val="22"/>
        </w:rPr>
        <w:t>vaistinio preparato pradėta</w:t>
      </w:r>
      <w:r w:rsidR="00034585">
        <w:rPr>
          <w:rFonts w:eastAsia="Calibri"/>
          <w:sz w:val="22"/>
          <w:szCs w:val="22"/>
        </w:rPr>
        <w:t xml:space="preserve"> </w:t>
      </w:r>
      <w:r w:rsidR="00034585" w:rsidRPr="00034585">
        <w:rPr>
          <w:rFonts w:eastAsia="Calibri"/>
          <w:sz w:val="22"/>
          <w:szCs w:val="22"/>
        </w:rPr>
        <w:t>duoti</w:t>
      </w:r>
      <w:r w:rsidRPr="004F572A">
        <w:rPr>
          <w:rFonts w:eastAsia="Calibri"/>
          <w:sz w:val="22"/>
          <w:szCs w:val="22"/>
        </w:rPr>
        <w:t xml:space="preserve"> </w:t>
      </w:r>
      <w:r w:rsidR="00651A0E" w:rsidRPr="004F572A">
        <w:rPr>
          <w:rFonts w:eastAsia="Calibri"/>
          <w:sz w:val="22"/>
          <w:szCs w:val="22"/>
        </w:rPr>
        <w:t>7D</w:t>
      </w:r>
      <w:r w:rsidRPr="004F572A">
        <w:rPr>
          <w:rFonts w:eastAsia="Calibri"/>
          <w:sz w:val="22"/>
          <w:szCs w:val="22"/>
        </w:rPr>
        <w:t>P</w:t>
      </w:r>
      <w:r w:rsidR="00651A0E" w:rsidRPr="004F572A">
        <w:rPr>
          <w:rFonts w:eastAsia="Calibri"/>
          <w:sz w:val="22"/>
          <w:szCs w:val="22"/>
        </w:rPr>
        <w:t>A</w:t>
      </w:r>
      <w:r w:rsidRPr="004F572A">
        <w:rPr>
          <w:rFonts w:eastAsia="Calibri"/>
          <w:sz w:val="22"/>
          <w:szCs w:val="22"/>
        </w:rPr>
        <w:t xml:space="preserve">), palyginti su tomis, kurioms </w:t>
      </w:r>
      <w:r w:rsidR="00034585" w:rsidRPr="00034585">
        <w:rPr>
          <w:rFonts w:eastAsia="Calibri"/>
          <w:sz w:val="22"/>
          <w:szCs w:val="22"/>
        </w:rPr>
        <w:t>vaistinio preparato pradėta duoti</w:t>
      </w:r>
      <w:r w:rsidR="00034585" w:rsidRPr="00034585" w:rsidDel="00034585">
        <w:rPr>
          <w:rFonts w:eastAsia="Calibri"/>
          <w:sz w:val="22"/>
          <w:szCs w:val="22"/>
        </w:rPr>
        <w:t xml:space="preserve"> </w:t>
      </w:r>
      <w:r w:rsidR="00651A0E" w:rsidRPr="004F572A">
        <w:rPr>
          <w:rFonts w:eastAsia="Calibri"/>
          <w:sz w:val="22"/>
          <w:szCs w:val="22"/>
        </w:rPr>
        <w:t>21DPA</w:t>
      </w:r>
      <w:r w:rsidRPr="004F572A">
        <w:rPr>
          <w:rFonts w:eastAsia="Calibri"/>
          <w:sz w:val="22"/>
          <w:szCs w:val="22"/>
        </w:rPr>
        <w:t xml:space="preserve">, ir </w:t>
      </w:r>
      <w:r w:rsidR="00034585">
        <w:rPr>
          <w:rFonts w:eastAsia="Calibri"/>
          <w:sz w:val="22"/>
          <w:szCs w:val="22"/>
        </w:rPr>
        <w:t>mirtingumas</w:t>
      </w:r>
      <w:r w:rsidR="00034585" w:rsidRPr="004F572A">
        <w:rPr>
          <w:rFonts w:eastAsia="Calibri"/>
          <w:sz w:val="22"/>
          <w:szCs w:val="22"/>
        </w:rPr>
        <w:t xml:space="preserve"> </w:t>
      </w:r>
      <w:r w:rsidRPr="004F572A">
        <w:rPr>
          <w:rFonts w:eastAsia="Calibri"/>
          <w:sz w:val="22"/>
          <w:szCs w:val="22"/>
        </w:rPr>
        <w:t>ir tam tikras toksinis poveikis anksčiau nustatytas žiurkių jaunikliams, kuriems duodama 10</w:t>
      </w:r>
      <w:r w:rsidR="00FF1F7D" w:rsidRPr="004F572A">
        <w:rPr>
          <w:rFonts w:eastAsia="Calibri"/>
          <w:sz w:val="22"/>
          <w:szCs w:val="22"/>
        </w:rPr>
        <w:t> </w:t>
      </w:r>
      <w:r w:rsidRPr="004F572A">
        <w:rPr>
          <w:rFonts w:eastAsia="Calibri"/>
          <w:sz w:val="22"/>
          <w:szCs w:val="22"/>
        </w:rPr>
        <w:t xml:space="preserve">mg/kg, palyginti su suaugusiomis žiurkėmis, kurioms duodama ta pati dozė. Žiurkių jaunikliams taip pat </w:t>
      </w:r>
      <w:r w:rsidR="00FF1F7D" w:rsidRPr="004F572A">
        <w:rPr>
          <w:rFonts w:eastAsia="Calibri"/>
          <w:sz w:val="22"/>
          <w:szCs w:val="22"/>
        </w:rPr>
        <w:t>pastebėta</w:t>
      </w:r>
      <w:r w:rsidRPr="004F572A">
        <w:rPr>
          <w:rFonts w:eastAsia="Calibri"/>
          <w:sz w:val="22"/>
          <w:szCs w:val="22"/>
        </w:rPr>
        <w:t xml:space="preserve"> sulėtėjęs augimas, antrinė fizinio vystymosi delsa ir </w:t>
      </w:r>
      <w:r w:rsidR="00034585">
        <w:rPr>
          <w:rFonts w:eastAsia="Calibri"/>
          <w:sz w:val="22"/>
          <w:szCs w:val="22"/>
        </w:rPr>
        <w:t xml:space="preserve">pakitimai dėl </w:t>
      </w:r>
      <w:r w:rsidR="00FF1F7D" w:rsidRPr="004F572A">
        <w:rPr>
          <w:rFonts w:eastAsia="Calibri"/>
          <w:sz w:val="22"/>
          <w:szCs w:val="22"/>
        </w:rPr>
        <w:t>farmakologin</w:t>
      </w:r>
      <w:r w:rsidR="00034585">
        <w:rPr>
          <w:rFonts w:eastAsia="Calibri"/>
          <w:sz w:val="22"/>
          <w:szCs w:val="22"/>
        </w:rPr>
        <w:t>io</w:t>
      </w:r>
      <w:r w:rsidR="00FF1F7D" w:rsidRPr="004F572A">
        <w:rPr>
          <w:rFonts w:eastAsia="Calibri"/>
          <w:sz w:val="22"/>
          <w:szCs w:val="22"/>
        </w:rPr>
        <w:t xml:space="preserve"> poveiki</w:t>
      </w:r>
      <w:r w:rsidR="00034585">
        <w:rPr>
          <w:rFonts w:eastAsia="Calibri"/>
          <w:sz w:val="22"/>
          <w:szCs w:val="22"/>
        </w:rPr>
        <w:t>o</w:t>
      </w:r>
      <w:r w:rsidR="00FF1F7D" w:rsidRPr="004F572A">
        <w:rPr>
          <w:rFonts w:eastAsia="Calibri"/>
          <w:sz w:val="22"/>
          <w:szCs w:val="22"/>
        </w:rPr>
        <w:t xml:space="preserve"> </w:t>
      </w:r>
      <w:r w:rsidRPr="004F572A">
        <w:rPr>
          <w:rFonts w:eastAsia="Calibri"/>
          <w:sz w:val="22"/>
          <w:szCs w:val="22"/>
        </w:rPr>
        <w:t>(priekinių dantų, šlaunikaulių [epifizės augimo plokštelės], inkstų, antinksčių ir dvylikapirštės žarnos).</w:t>
      </w:r>
    </w:p>
    <w:p w14:paraId="3E3D487D" w14:textId="77777777" w:rsidR="000928CA" w:rsidRPr="004F572A" w:rsidRDefault="000928CA" w:rsidP="000928CA">
      <w:pPr>
        <w:widowControl w:val="0"/>
        <w:tabs>
          <w:tab w:val="clear" w:pos="567"/>
        </w:tabs>
        <w:rPr>
          <w:sz w:val="22"/>
          <w:szCs w:val="22"/>
        </w:rPr>
      </w:pPr>
    </w:p>
    <w:p w14:paraId="5012BEE6" w14:textId="77777777" w:rsidR="000928CA" w:rsidRPr="004F572A" w:rsidRDefault="000928CA" w:rsidP="000928CA">
      <w:pPr>
        <w:tabs>
          <w:tab w:val="clear" w:pos="567"/>
        </w:tabs>
        <w:rPr>
          <w:sz w:val="22"/>
          <w:szCs w:val="22"/>
        </w:rPr>
      </w:pPr>
    </w:p>
    <w:p w14:paraId="7A324F13" w14:textId="77777777" w:rsidR="000928CA" w:rsidRPr="004F572A" w:rsidRDefault="000928CA" w:rsidP="000928CA">
      <w:pPr>
        <w:pStyle w:val="Antrat3"/>
        <w:spacing w:before="0" w:after="0"/>
        <w:rPr>
          <w:rFonts w:ascii="Times New Roman" w:hAnsi="Times New Roman"/>
          <w:sz w:val="22"/>
          <w:szCs w:val="22"/>
          <w:lang w:val="lt-LT"/>
        </w:rPr>
      </w:pPr>
      <w:r w:rsidRPr="004F572A">
        <w:rPr>
          <w:rFonts w:ascii="Times New Roman" w:hAnsi="Times New Roman" w:cs="Times New Roman"/>
          <w:sz w:val="22"/>
          <w:szCs w:val="22"/>
          <w:lang w:val="lt-LT"/>
        </w:rPr>
        <w:t>6.</w:t>
      </w:r>
      <w:r w:rsidRPr="004F572A">
        <w:rPr>
          <w:rFonts w:ascii="Times New Roman" w:hAnsi="Times New Roman" w:cs="Times New Roman"/>
          <w:sz w:val="22"/>
          <w:szCs w:val="22"/>
          <w:lang w:val="lt-LT"/>
        </w:rPr>
        <w:tab/>
        <w:t>FARMACINĖ INFORMACIJA</w:t>
      </w:r>
    </w:p>
    <w:p w14:paraId="77107DB7" w14:textId="77777777" w:rsidR="000928CA" w:rsidRPr="004F572A" w:rsidRDefault="000928CA" w:rsidP="000928CA">
      <w:pPr>
        <w:tabs>
          <w:tab w:val="clear" w:pos="567"/>
        </w:tabs>
        <w:rPr>
          <w:sz w:val="22"/>
          <w:szCs w:val="22"/>
        </w:rPr>
      </w:pPr>
    </w:p>
    <w:p w14:paraId="4EB3D263" w14:textId="77777777" w:rsidR="000928CA" w:rsidRPr="004F572A" w:rsidRDefault="000928CA" w:rsidP="000928CA">
      <w:pPr>
        <w:pStyle w:val="Antrat4"/>
        <w:rPr>
          <w:rFonts w:ascii="Times New Roman" w:hAnsi="Times New Roman"/>
          <w:sz w:val="22"/>
          <w:szCs w:val="22"/>
          <w:lang w:val="lt-LT"/>
        </w:rPr>
      </w:pPr>
      <w:r w:rsidRPr="004F572A">
        <w:rPr>
          <w:rFonts w:ascii="Times New Roman" w:hAnsi="Times New Roman" w:cs="Times New Roman"/>
          <w:sz w:val="22"/>
          <w:szCs w:val="22"/>
          <w:lang w:val="lt-LT"/>
        </w:rPr>
        <w:t>6.1</w:t>
      </w:r>
      <w:r w:rsidRPr="004F572A">
        <w:rPr>
          <w:rFonts w:ascii="Times New Roman" w:hAnsi="Times New Roman" w:cs="Times New Roman"/>
          <w:sz w:val="22"/>
          <w:szCs w:val="22"/>
          <w:lang w:val="lt-LT"/>
        </w:rPr>
        <w:tab/>
        <w:t>Pagalbinių medžiagų sąrašas</w:t>
      </w:r>
    </w:p>
    <w:p w14:paraId="639AF202" w14:textId="77777777" w:rsidR="000928CA" w:rsidRPr="004F572A" w:rsidRDefault="000928CA" w:rsidP="000928CA">
      <w:pPr>
        <w:tabs>
          <w:tab w:val="clear" w:pos="567"/>
        </w:tabs>
        <w:rPr>
          <w:sz w:val="22"/>
          <w:szCs w:val="22"/>
        </w:rPr>
      </w:pPr>
    </w:p>
    <w:p w14:paraId="6A7A2CA6" w14:textId="77777777" w:rsidR="00FF1F7D" w:rsidRPr="004F572A" w:rsidRDefault="00FF1F7D" w:rsidP="00FF1F7D">
      <w:pPr>
        <w:tabs>
          <w:tab w:val="clear" w:pos="567"/>
        </w:tabs>
        <w:rPr>
          <w:sz w:val="22"/>
          <w:szCs w:val="22"/>
          <w:u w:val="single"/>
        </w:rPr>
      </w:pPr>
      <w:r w:rsidRPr="004F572A">
        <w:rPr>
          <w:sz w:val="22"/>
          <w:szCs w:val="22"/>
          <w:u w:val="single"/>
        </w:rPr>
        <w:t>Kapsulės turinys</w:t>
      </w:r>
    </w:p>
    <w:p w14:paraId="6201C4E9" w14:textId="77777777" w:rsidR="00FF1F7D" w:rsidRPr="004F572A" w:rsidRDefault="00FF1F7D" w:rsidP="00FF1F7D">
      <w:pPr>
        <w:tabs>
          <w:tab w:val="clear" w:pos="567"/>
        </w:tabs>
        <w:rPr>
          <w:sz w:val="22"/>
          <w:szCs w:val="22"/>
        </w:rPr>
      </w:pPr>
      <w:r w:rsidRPr="004F572A">
        <w:rPr>
          <w:sz w:val="22"/>
          <w:szCs w:val="22"/>
        </w:rPr>
        <w:t xml:space="preserve">Natrio vandenilio karbonatas </w:t>
      </w:r>
    </w:p>
    <w:p w14:paraId="10383841" w14:textId="77777777" w:rsidR="00FF1F7D" w:rsidRPr="004F572A" w:rsidRDefault="00FF1F7D" w:rsidP="00FF1F7D">
      <w:pPr>
        <w:tabs>
          <w:tab w:val="clear" w:pos="567"/>
        </w:tabs>
        <w:rPr>
          <w:sz w:val="22"/>
          <w:szCs w:val="22"/>
        </w:rPr>
      </w:pPr>
      <w:proofErr w:type="spellStart"/>
      <w:r w:rsidRPr="004F572A">
        <w:rPr>
          <w:sz w:val="22"/>
          <w:szCs w:val="22"/>
        </w:rPr>
        <w:t>Manitolis</w:t>
      </w:r>
      <w:proofErr w:type="spellEnd"/>
      <w:r w:rsidRPr="004F572A">
        <w:rPr>
          <w:sz w:val="22"/>
          <w:szCs w:val="22"/>
        </w:rPr>
        <w:t xml:space="preserve"> </w:t>
      </w:r>
    </w:p>
    <w:p w14:paraId="5005A029" w14:textId="77777777" w:rsidR="00FF1F7D" w:rsidRPr="004F572A" w:rsidRDefault="00FF1F7D" w:rsidP="00FF1F7D">
      <w:pPr>
        <w:tabs>
          <w:tab w:val="clear" w:pos="567"/>
        </w:tabs>
        <w:rPr>
          <w:sz w:val="22"/>
          <w:szCs w:val="22"/>
        </w:rPr>
      </w:pPr>
      <w:proofErr w:type="spellStart"/>
      <w:r w:rsidRPr="004F572A">
        <w:rPr>
          <w:sz w:val="22"/>
          <w:szCs w:val="22"/>
        </w:rPr>
        <w:t>Mikrokristalinė</w:t>
      </w:r>
      <w:proofErr w:type="spellEnd"/>
      <w:r w:rsidRPr="004F572A">
        <w:rPr>
          <w:sz w:val="22"/>
          <w:szCs w:val="22"/>
        </w:rPr>
        <w:t xml:space="preserve"> celiuliozė </w:t>
      </w:r>
    </w:p>
    <w:p w14:paraId="11ED8F8A" w14:textId="57D2E0C4" w:rsidR="00FF1F7D" w:rsidRPr="004F572A" w:rsidRDefault="00FF1F7D" w:rsidP="00FF1F7D">
      <w:pPr>
        <w:tabs>
          <w:tab w:val="clear" w:pos="567"/>
        </w:tabs>
        <w:rPr>
          <w:sz w:val="22"/>
          <w:szCs w:val="22"/>
        </w:rPr>
      </w:pPr>
      <w:proofErr w:type="spellStart"/>
      <w:r w:rsidRPr="004F572A">
        <w:rPr>
          <w:sz w:val="22"/>
          <w:szCs w:val="22"/>
        </w:rPr>
        <w:t>Hidroksipropilceliuliozė</w:t>
      </w:r>
      <w:proofErr w:type="spellEnd"/>
    </w:p>
    <w:p w14:paraId="1E8D2120" w14:textId="77777777" w:rsidR="00FF1F7D" w:rsidRPr="004F572A" w:rsidRDefault="00FF1F7D" w:rsidP="00FF1F7D">
      <w:pPr>
        <w:tabs>
          <w:tab w:val="clear" w:pos="567"/>
        </w:tabs>
        <w:rPr>
          <w:sz w:val="22"/>
          <w:szCs w:val="22"/>
        </w:rPr>
      </w:pPr>
      <w:r w:rsidRPr="004F572A">
        <w:rPr>
          <w:sz w:val="22"/>
          <w:szCs w:val="22"/>
        </w:rPr>
        <w:t xml:space="preserve">Mažai pakeista </w:t>
      </w:r>
      <w:proofErr w:type="spellStart"/>
      <w:r w:rsidRPr="004F572A">
        <w:rPr>
          <w:sz w:val="22"/>
          <w:szCs w:val="22"/>
        </w:rPr>
        <w:t>hidroksipropilceliuliozė</w:t>
      </w:r>
      <w:proofErr w:type="spellEnd"/>
    </w:p>
    <w:p w14:paraId="61A86A90" w14:textId="273C9415" w:rsidR="00FF1F7D" w:rsidRPr="004F572A" w:rsidRDefault="00FF1F7D" w:rsidP="00FF1F7D">
      <w:pPr>
        <w:tabs>
          <w:tab w:val="clear" w:pos="567"/>
        </w:tabs>
        <w:rPr>
          <w:sz w:val="22"/>
          <w:szCs w:val="22"/>
        </w:rPr>
      </w:pPr>
      <w:r w:rsidRPr="004F572A">
        <w:rPr>
          <w:sz w:val="22"/>
          <w:szCs w:val="22"/>
        </w:rPr>
        <w:t>Talkas</w:t>
      </w:r>
    </w:p>
    <w:p w14:paraId="40CE0499" w14:textId="77777777" w:rsidR="00FF1F7D" w:rsidRPr="004F572A" w:rsidRDefault="00FF1F7D" w:rsidP="00FF1F7D">
      <w:pPr>
        <w:tabs>
          <w:tab w:val="clear" w:pos="567"/>
        </w:tabs>
        <w:rPr>
          <w:sz w:val="22"/>
          <w:szCs w:val="22"/>
        </w:rPr>
      </w:pPr>
    </w:p>
    <w:p w14:paraId="190AB00A" w14:textId="77777777" w:rsidR="00FF1F7D" w:rsidRPr="004F572A" w:rsidRDefault="00FF1F7D" w:rsidP="00FF1F7D">
      <w:pPr>
        <w:tabs>
          <w:tab w:val="clear" w:pos="567"/>
        </w:tabs>
        <w:rPr>
          <w:sz w:val="22"/>
          <w:szCs w:val="22"/>
          <w:u w:val="single"/>
        </w:rPr>
      </w:pPr>
      <w:r w:rsidRPr="004F572A">
        <w:rPr>
          <w:sz w:val="22"/>
          <w:szCs w:val="22"/>
          <w:u w:val="single"/>
        </w:rPr>
        <w:t xml:space="preserve">4 mg kapsulės apvalkalas </w:t>
      </w:r>
    </w:p>
    <w:p w14:paraId="150CF074" w14:textId="551B72A9" w:rsidR="00FF1F7D" w:rsidRPr="004F572A" w:rsidRDefault="00FF1F7D" w:rsidP="00FF1F7D">
      <w:pPr>
        <w:tabs>
          <w:tab w:val="clear" w:pos="567"/>
        </w:tabs>
        <w:rPr>
          <w:sz w:val="22"/>
          <w:szCs w:val="22"/>
        </w:rPr>
      </w:pPr>
      <w:proofErr w:type="spellStart"/>
      <w:r w:rsidRPr="004F572A">
        <w:rPr>
          <w:sz w:val="22"/>
          <w:szCs w:val="22"/>
        </w:rPr>
        <w:t>Hipromeliozė</w:t>
      </w:r>
      <w:proofErr w:type="spellEnd"/>
    </w:p>
    <w:p w14:paraId="517497F8" w14:textId="4C05CA9B" w:rsidR="00FF1F7D" w:rsidRPr="004F572A" w:rsidRDefault="00FF1F7D" w:rsidP="00FF1F7D">
      <w:pPr>
        <w:tabs>
          <w:tab w:val="clear" w:pos="567"/>
        </w:tabs>
        <w:rPr>
          <w:sz w:val="22"/>
          <w:szCs w:val="22"/>
        </w:rPr>
      </w:pPr>
      <w:r w:rsidRPr="004F572A">
        <w:rPr>
          <w:sz w:val="22"/>
          <w:szCs w:val="22"/>
        </w:rPr>
        <w:t xml:space="preserve">Juodasis geležies oksidas (E172) </w:t>
      </w:r>
    </w:p>
    <w:p w14:paraId="480A255E" w14:textId="77777777" w:rsidR="00FF1F7D" w:rsidRPr="004F572A" w:rsidRDefault="00FF1F7D" w:rsidP="00FF1F7D">
      <w:pPr>
        <w:tabs>
          <w:tab w:val="clear" w:pos="567"/>
        </w:tabs>
        <w:rPr>
          <w:sz w:val="22"/>
          <w:szCs w:val="22"/>
        </w:rPr>
      </w:pPr>
      <w:r w:rsidRPr="004F572A">
        <w:rPr>
          <w:sz w:val="22"/>
          <w:szCs w:val="22"/>
        </w:rPr>
        <w:t xml:space="preserve">Geltonasis geležies oksidas (E172) </w:t>
      </w:r>
    </w:p>
    <w:p w14:paraId="5C319F5D" w14:textId="77777777" w:rsidR="009821AA" w:rsidRPr="004F572A" w:rsidRDefault="009821AA" w:rsidP="009821AA">
      <w:pPr>
        <w:tabs>
          <w:tab w:val="clear" w:pos="567"/>
        </w:tabs>
        <w:rPr>
          <w:sz w:val="22"/>
          <w:szCs w:val="22"/>
        </w:rPr>
      </w:pPr>
      <w:r w:rsidRPr="004F572A">
        <w:rPr>
          <w:sz w:val="22"/>
          <w:szCs w:val="22"/>
        </w:rPr>
        <w:t>Raudonasis geležies oksidas (E172)</w:t>
      </w:r>
    </w:p>
    <w:p w14:paraId="7F6E9A7D" w14:textId="5129B4CE" w:rsidR="00FF1F7D" w:rsidRPr="004F572A" w:rsidRDefault="00FF1F7D" w:rsidP="00FF1F7D">
      <w:pPr>
        <w:tabs>
          <w:tab w:val="clear" w:pos="567"/>
        </w:tabs>
        <w:rPr>
          <w:sz w:val="22"/>
          <w:szCs w:val="22"/>
        </w:rPr>
      </w:pPr>
      <w:r w:rsidRPr="004F572A">
        <w:rPr>
          <w:sz w:val="22"/>
          <w:szCs w:val="22"/>
        </w:rPr>
        <w:t xml:space="preserve">Titano dioksidas (E171) </w:t>
      </w:r>
    </w:p>
    <w:p w14:paraId="683D420C" w14:textId="77777777" w:rsidR="00FF1F7D" w:rsidRPr="004F572A" w:rsidRDefault="00FF1F7D" w:rsidP="00FF1F7D">
      <w:pPr>
        <w:tabs>
          <w:tab w:val="clear" w:pos="567"/>
        </w:tabs>
        <w:rPr>
          <w:sz w:val="22"/>
          <w:szCs w:val="22"/>
        </w:rPr>
      </w:pPr>
    </w:p>
    <w:p w14:paraId="16CC083F" w14:textId="69AF3CA5" w:rsidR="009821AA" w:rsidRPr="004F572A" w:rsidRDefault="009821AA" w:rsidP="009821AA">
      <w:pPr>
        <w:tabs>
          <w:tab w:val="clear" w:pos="567"/>
        </w:tabs>
        <w:rPr>
          <w:sz w:val="22"/>
          <w:szCs w:val="22"/>
          <w:u w:val="single"/>
        </w:rPr>
      </w:pPr>
      <w:r w:rsidRPr="004F572A">
        <w:rPr>
          <w:sz w:val="22"/>
          <w:szCs w:val="22"/>
          <w:u w:val="single"/>
        </w:rPr>
        <w:t xml:space="preserve">10 mg kapsulės apvalkalas </w:t>
      </w:r>
    </w:p>
    <w:p w14:paraId="2C6503F9" w14:textId="77777777" w:rsidR="009821AA" w:rsidRPr="004F572A" w:rsidRDefault="009821AA" w:rsidP="009821AA">
      <w:pPr>
        <w:tabs>
          <w:tab w:val="clear" w:pos="567"/>
        </w:tabs>
        <w:rPr>
          <w:sz w:val="22"/>
          <w:szCs w:val="22"/>
        </w:rPr>
      </w:pPr>
      <w:proofErr w:type="spellStart"/>
      <w:r w:rsidRPr="004F572A">
        <w:rPr>
          <w:sz w:val="22"/>
          <w:szCs w:val="22"/>
        </w:rPr>
        <w:t>Hipromeliozė</w:t>
      </w:r>
      <w:proofErr w:type="spellEnd"/>
    </w:p>
    <w:p w14:paraId="16E09724" w14:textId="77777777" w:rsidR="009821AA" w:rsidRPr="004F572A" w:rsidRDefault="009821AA" w:rsidP="009821AA">
      <w:pPr>
        <w:tabs>
          <w:tab w:val="clear" w:pos="567"/>
        </w:tabs>
        <w:rPr>
          <w:sz w:val="22"/>
          <w:szCs w:val="22"/>
        </w:rPr>
      </w:pPr>
      <w:r w:rsidRPr="004F572A">
        <w:rPr>
          <w:sz w:val="22"/>
          <w:szCs w:val="22"/>
        </w:rPr>
        <w:t xml:space="preserve">Geltonasis geležies oksidas (E172) </w:t>
      </w:r>
    </w:p>
    <w:p w14:paraId="41130AB5" w14:textId="77777777" w:rsidR="009821AA" w:rsidRPr="004F572A" w:rsidRDefault="009821AA" w:rsidP="009821AA">
      <w:pPr>
        <w:tabs>
          <w:tab w:val="clear" w:pos="567"/>
        </w:tabs>
        <w:rPr>
          <w:sz w:val="22"/>
          <w:szCs w:val="22"/>
        </w:rPr>
      </w:pPr>
      <w:r w:rsidRPr="004F572A">
        <w:rPr>
          <w:sz w:val="22"/>
          <w:szCs w:val="22"/>
        </w:rPr>
        <w:t xml:space="preserve">Titano dioksidas (E171) </w:t>
      </w:r>
    </w:p>
    <w:p w14:paraId="5423142D" w14:textId="77777777" w:rsidR="00523FA8" w:rsidRPr="004F572A" w:rsidRDefault="00523FA8" w:rsidP="00FF1F7D">
      <w:pPr>
        <w:tabs>
          <w:tab w:val="clear" w:pos="567"/>
        </w:tabs>
        <w:rPr>
          <w:sz w:val="22"/>
          <w:szCs w:val="22"/>
        </w:rPr>
      </w:pPr>
    </w:p>
    <w:p w14:paraId="409FC175" w14:textId="03CC6A9F" w:rsidR="00FF1F7D" w:rsidRPr="00E27691" w:rsidRDefault="00523FA8" w:rsidP="00FF1F7D">
      <w:pPr>
        <w:tabs>
          <w:tab w:val="clear" w:pos="567"/>
        </w:tabs>
        <w:rPr>
          <w:sz w:val="22"/>
          <w:szCs w:val="22"/>
          <w:u w:val="single"/>
        </w:rPr>
      </w:pPr>
      <w:r w:rsidRPr="00E27691">
        <w:rPr>
          <w:sz w:val="22"/>
          <w:szCs w:val="22"/>
          <w:u w:val="single"/>
        </w:rPr>
        <w:t>Kapsulės dangtelis</w:t>
      </w:r>
    </w:p>
    <w:p w14:paraId="6E606FB8" w14:textId="77777777" w:rsidR="00523FA8" w:rsidRPr="004F572A" w:rsidRDefault="00523FA8" w:rsidP="00523FA8">
      <w:pPr>
        <w:tabs>
          <w:tab w:val="clear" w:pos="567"/>
        </w:tabs>
        <w:rPr>
          <w:sz w:val="22"/>
          <w:szCs w:val="22"/>
        </w:rPr>
      </w:pPr>
      <w:proofErr w:type="spellStart"/>
      <w:r w:rsidRPr="004F572A">
        <w:rPr>
          <w:sz w:val="22"/>
          <w:szCs w:val="22"/>
        </w:rPr>
        <w:t>Hipromeliozė</w:t>
      </w:r>
      <w:proofErr w:type="spellEnd"/>
    </w:p>
    <w:p w14:paraId="67CEB125" w14:textId="1A4CE41A" w:rsidR="00523FA8" w:rsidRPr="004F572A" w:rsidRDefault="00523FA8" w:rsidP="00523FA8">
      <w:pPr>
        <w:tabs>
          <w:tab w:val="clear" w:pos="567"/>
        </w:tabs>
        <w:rPr>
          <w:sz w:val="22"/>
          <w:szCs w:val="22"/>
        </w:rPr>
      </w:pPr>
      <w:r w:rsidRPr="004F572A">
        <w:rPr>
          <w:sz w:val="22"/>
          <w:szCs w:val="22"/>
        </w:rPr>
        <w:t xml:space="preserve">Juodasis geležies oksidas (E172) </w:t>
      </w:r>
    </w:p>
    <w:p w14:paraId="7F6EB845" w14:textId="769DD430" w:rsidR="00523FA8" w:rsidRPr="004F572A" w:rsidRDefault="00523FA8" w:rsidP="00523FA8">
      <w:pPr>
        <w:tabs>
          <w:tab w:val="clear" w:pos="567"/>
        </w:tabs>
        <w:rPr>
          <w:sz w:val="22"/>
          <w:szCs w:val="22"/>
        </w:rPr>
      </w:pPr>
      <w:r w:rsidRPr="004F572A">
        <w:rPr>
          <w:sz w:val="22"/>
          <w:szCs w:val="22"/>
        </w:rPr>
        <w:t xml:space="preserve">Geltonasis geležies oksidas (E172) </w:t>
      </w:r>
    </w:p>
    <w:p w14:paraId="55A03B7B" w14:textId="71BFFDF4" w:rsidR="00523FA8" w:rsidRPr="004F572A" w:rsidRDefault="00523FA8" w:rsidP="00523FA8">
      <w:pPr>
        <w:tabs>
          <w:tab w:val="clear" w:pos="567"/>
        </w:tabs>
        <w:rPr>
          <w:sz w:val="22"/>
          <w:szCs w:val="22"/>
        </w:rPr>
      </w:pPr>
      <w:r w:rsidRPr="004F572A">
        <w:rPr>
          <w:sz w:val="22"/>
          <w:szCs w:val="22"/>
        </w:rPr>
        <w:t xml:space="preserve">Raudonasis geležies oksidas (E172) </w:t>
      </w:r>
    </w:p>
    <w:p w14:paraId="40F8C3D5" w14:textId="2B0551DF" w:rsidR="00523FA8" w:rsidRPr="004F572A" w:rsidRDefault="00523FA8" w:rsidP="00FF1F7D">
      <w:pPr>
        <w:tabs>
          <w:tab w:val="clear" w:pos="567"/>
        </w:tabs>
        <w:rPr>
          <w:sz w:val="22"/>
          <w:szCs w:val="22"/>
        </w:rPr>
      </w:pPr>
      <w:r w:rsidRPr="004F572A">
        <w:rPr>
          <w:sz w:val="22"/>
          <w:szCs w:val="22"/>
        </w:rPr>
        <w:lastRenderedPageBreak/>
        <w:t>Titano dioksidas</w:t>
      </w:r>
    </w:p>
    <w:p w14:paraId="15357142" w14:textId="77777777" w:rsidR="00523FA8" w:rsidRPr="004F572A" w:rsidRDefault="00523FA8" w:rsidP="00FF1F7D">
      <w:pPr>
        <w:tabs>
          <w:tab w:val="clear" w:pos="567"/>
        </w:tabs>
        <w:rPr>
          <w:sz w:val="22"/>
          <w:szCs w:val="22"/>
        </w:rPr>
      </w:pPr>
    </w:p>
    <w:p w14:paraId="2D6220D7" w14:textId="77777777" w:rsidR="009821AA" w:rsidRPr="004F572A" w:rsidRDefault="00FF1F7D" w:rsidP="00FF1F7D">
      <w:pPr>
        <w:tabs>
          <w:tab w:val="clear" w:pos="567"/>
        </w:tabs>
        <w:rPr>
          <w:sz w:val="22"/>
          <w:szCs w:val="22"/>
          <w:u w:val="single"/>
        </w:rPr>
      </w:pPr>
      <w:r w:rsidRPr="004F572A">
        <w:rPr>
          <w:sz w:val="22"/>
          <w:szCs w:val="22"/>
          <w:u w:val="single"/>
        </w:rPr>
        <w:t xml:space="preserve">Užrašo rašalas </w:t>
      </w:r>
    </w:p>
    <w:p w14:paraId="137C8E10" w14:textId="02B6798F" w:rsidR="00FF1F7D" w:rsidRPr="004F572A" w:rsidRDefault="00FF1F7D" w:rsidP="00FF1F7D">
      <w:pPr>
        <w:tabs>
          <w:tab w:val="clear" w:pos="567"/>
        </w:tabs>
        <w:rPr>
          <w:sz w:val="22"/>
          <w:szCs w:val="22"/>
        </w:rPr>
      </w:pPr>
      <w:proofErr w:type="spellStart"/>
      <w:r w:rsidRPr="004F572A">
        <w:rPr>
          <w:sz w:val="22"/>
          <w:szCs w:val="22"/>
        </w:rPr>
        <w:t>Šelakas</w:t>
      </w:r>
      <w:proofErr w:type="spellEnd"/>
    </w:p>
    <w:p w14:paraId="233BCB49" w14:textId="77777777" w:rsidR="009821AA" w:rsidRPr="004F572A" w:rsidRDefault="009821AA" w:rsidP="00FF1F7D">
      <w:pPr>
        <w:tabs>
          <w:tab w:val="clear" w:pos="567"/>
        </w:tabs>
        <w:rPr>
          <w:sz w:val="22"/>
          <w:szCs w:val="22"/>
        </w:rPr>
      </w:pPr>
      <w:r w:rsidRPr="004F572A">
        <w:rPr>
          <w:sz w:val="22"/>
          <w:szCs w:val="22"/>
        </w:rPr>
        <w:t xml:space="preserve">Kalio hidroksidas </w:t>
      </w:r>
    </w:p>
    <w:p w14:paraId="0B2D9C6B" w14:textId="47F27055" w:rsidR="00FF1F7D" w:rsidRPr="004F572A" w:rsidRDefault="00FF1F7D" w:rsidP="00FF1F7D">
      <w:pPr>
        <w:tabs>
          <w:tab w:val="clear" w:pos="567"/>
        </w:tabs>
        <w:rPr>
          <w:sz w:val="22"/>
          <w:szCs w:val="22"/>
        </w:rPr>
      </w:pPr>
      <w:r w:rsidRPr="004F572A">
        <w:rPr>
          <w:sz w:val="22"/>
          <w:szCs w:val="22"/>
        </w:rPr>
        <w:t xml:space="preserve">Juodasis geležies oksidas (E172) </w:t>
      </w:r>
    </w:p>
    <w:p w14:paraId="74C9DD6D" w14:textId="77777777" w:rsidR="000928CA" w:rsidRPr="004F572A" w:rsidRDefault="000928CA" w:rsidP="000928CA">
      <w:pPr>
        <w:tabs>
          <w:tab w:val="clear" w:pos="567"/>
        </w:tabs>
        <w:rPr>
          <w:sz w:val="22"/>
          <w:szCs w:val="22"/>
        </w:rPr>
      </w:pPr>
    </w:p>
    <w:p w14:paraId="7F408DB6" w14:textId="77777777" w:rsidR="000928CA" w:rsidRPr="004F572A" w:rsidRDefault="000928CA" w:rsidP="000928CA">
      <w:pPr>
        <w:pStyle w:val="Antrat4"/>
        <w:rPr>
          <w:rFonts w:ascii="Times New Roman" w:hAnsi="Times New Roman"/>
          <w:sz w:val="22"/>
          <w:szCs w:val="22"/>
          <w:lang w:val="lt-LT"/>
        </w:rPr>
      </w:pPr>
      <w:r w:rsidRPr="004F572A">
        <w:rPr>
          <w:rFonts w:ascii="Times New Roman" w:hAnsi="Times New Roman" w:cs="Times New Roman"/>
          <w:sz w:val="22"/>
          <w:szCs w:val="22"/>
          <w:lang w:val="lt-LT"/>
        </w:rPr>
        <w:t>6.2</w:t>
      </w:r>
      <w:r w:rsidRPr="004F572A">
        <w:rPr>
          <w:rFonts w:ascii="Times New Roman" w:hAnsi="Times New Roman" w:cs="Times New Roman"/>
          <w:sz w:val="22"/>
          <w:szCs w:val="22"/>
          <w:lang w:val="lt-LT"/>
        </w:rPr>
        <w:tab/>
        <w:t>Nesuderinamumas</w:t>
      </w:r>
    </w:p>
    <w:p w14:paraId="6A898DB4" w14:textId="77777777" w:rsidR="000928CA" w:rsidRPr="004F572A" w:rsidRDefault="000928CA" w:rsidP="000928CA">
      <w:pPr>
        <w:tabs>
          <w:tab w:val="clear" w:pos="567"/>
        </w:tabs>
        <w:rPr>
          <w:sz w:val="22"/>
          <w:szCs w:val="22"/>
        </w:rPr>
      </w:pPr>
    </w:p>
    <w:p w14:paraId="3A0E25B5" w14:textId="31EA57A3" w:rsidR="000928CA" w:rsidRPr="004F572A" w:rsidRDefault="009821AA" w:rsidP="000928CA">
      <w:pPr>
        <w:tabs>
          <w:tab w:val="clear" w:pos="567"/>
        </w:tabs>
        <w:rPr>
          <w:sz w:val="22"/>
          <w:szCs w:val="22"/>
        </w:rPr>
      </w:pPr>
      <w:r w:rsidRPr="004F572A">
        <w:rPr>
          <w:rFonts w:ascii="TimesNewRomanPSMT" w:hAnsi="TimesNewRomanPSMT"/>
          <w:sz w:val="22"/>
          <w:szCs w:val="22"/>
        </w:rPr>
        <w:t>Duomenys nebūtini.</w:t>
      </w:r>
    </w:p>
    <w:p w14:paraId="4BC95922" w14:textId="77777777" w:rsidR="000928CA" w:rsidRPr="004F572A" w:rsidRDefault="000928CA" w:rsidP="000928CA">
      <w:pPr>
        <w:tabs>
          <w:tab w:val="clear" w:pos="567"/>
        </w:tabs>
        <w:rPr>
          <w:sz w:val="22"/>
          <w:szCs w:val="22"/>
        </w:rPr>
      </w:pPr>
    </w:p>
    <w:p w14:paraId="066D5907" w14:textId="77777777" w:rsidR="000928CA" w:rsidRPr="004F572A" w:rsidRDefault="000928CA" w:rsidP="000928CA">
      <w:pPr>
        <w:pStyle w:val="Antrat4"/>
        <w:rPr>
          <w:rFonts w:ascii="Times New Roman" w:hAnsi="Times New Roman"/>
          <w:sz w:val="22"/>
          <w:szCs w:val="22"/>
          <w:lang w:val="lt-LT"/>
        </w:rPr>
      </w:pPr>
      <w:r w:rsidRPr="004F572A">
        <w:rPr>
          <w:rFonts w:ascii="Times New Roman" w:hAnsi="Times New Roman" w:cs="Times New Roman"/>
          <w:sz w:val="22"/>
          <w:szCs w:val="22"/>
          <w:lang w:val="lt-LT"/>
        </w:rPr>
        <w:t>6.3</w:t>
      </w:r>
      <w:r w:rsidRPr="004F572A">
        <w:rPr>
          <w:rFonts w:ascii="Times New Roman" w:hAnsi="Times New Roman" w:cs="Times New Roman"/>
          <w:sz w:val="22"/>
          <w:szCs w:val="22"/>
          <w:lang w:val="lt-LT"/>
        </w:rPr>
        <w:tab/>
        <w:t>Tinkamumo laikas</w:t>
      </w:r>
    </w:p>
    <w:p w14:paraId="2BFD15B2" w14:textId="77777777" w:rsidR="000928CA" w:rsidRPr="004F572A" w:rsidRDefault="000928CA" w:rsidP="000928CA">
      <w:pPr>
        <w:tabs>
          <w:tab w:val="clear" w:pos="567"/>
        </w:tabs>
        <w:rPr>
          <w:sz w:val="22"/>
          <w:szCs w:val="22"/>
        </w:rPr>
      </w:pPr>
    </w:p>
    <w:p w14:paraId="27361153" w14:textId="0705645C" w:rsidR="000928CA" w:rsidRPr="004F572A" w:rsidRDefault="000928CA" w:rsidP="000928CA">
      <w:pPr>
        <w:tabs>
          <w:tab w:val="clear" w:pos="567"/>
        </w:tabs>
        <w:rPr>
          <w:sz w:val="22"/>
          <w:szCs w:val="22"/>
        </w:rPr>
      </w:pPr>
      <w:r w:rsidRPr="004F572A">
        <w:rPr>
          <w:sz w:val="22"/>
          <w:szCs w:val="22"/>
        </w:rPr>
        <w:t>2</w:t>
      </w:r>
      <w:r w:rsidR="00433448" w:rsidRPr="004F572A">
        <w:rPr>
          <w:sz w:val="22"/>
          <w:szCs w:val="22"/>
        </w:rPr>
        <w:t> </w:t>
      </w:r>
      <w:r w:rsidRPr="004F572A">
        <w:rPr>
          <w:sz w:val="22"/>
          <w:szCs w:val="22"/>
        </w:rPr>
        <w:t>metai</w:t>
      </w:r>
    </w:p>
    <w:p w14:paraId="604377D0" w14:textId="77777777" w:rsidR="000928CA" w:rsidRPr="004F572A" w:rsidRDefault="000928CA" w:rsidP="000928CA">
      <w:pPr>
        <w:tabs>
          <w:tab w:val="clear" w:pos="567"/>
        </w:tabs>
        <w:rPr>
          <w:sz w:val="22"/>
          <w:szCs w:val="22"/>
        </w:rPr>
      </w:pPr>
    </w:p>
    <w:p w14:paraId="0C1670CC" w14:textId="77777777" w:rsidR="000928CA" w:rsidRPr="004F572A" w:rsidRDefault="000928CA" w:rsidP="000928CA">
      <w:pPr>
        <w:pStyle w:val="Antrat4"/>
        <w:rPr>
          <w:rFonts w:ascii="Times New Roman" w:hAnsi="Times New Roman"/>
          <w:sz w:val="22"/>
          <w:szCs w:val="22"/>
          <w:lang w:val="lt-LT"/>
        </w:rPr>
      </w:pPr>
      <w:r w:rsidRPr="004F572A">
        <w:rPr>
          <w:rFonts w:ascii="Times New Roman" w:hAnsi="Times New Roman" w:cs="Times New Roman"/>
          <w:sz w:val="22"/>
          <w:szCs w:val="22"/>
          <w:lang w:val="lt-LT"/>
        </w:rPr>
        <w:t>6.4</w:t>
      </w:r>
      <w:r w:rsidRPr="004F572A">
        <w:rPr>
          <w:rFonts w:ascii="Times New Roman" w:hAnsi="Times New Roman" w:cs="Times New Roman"/>
          <w:sz w:val="22"/>
          <w:szCs w:val="22"/>
          <w:lang w:val="lt-LT"/>
        </w:rPr>
        <w:tab/>
        <w:t>Specialios laikymo sąlygos</w:t>
      </w:r>
    </w:p>
    <w:p w14:paraId="53F1E720" w14:textId="77777777" w:rsidR="000928CA" w:rsidRPr="004F572A" w:rsidRDefault="000928CA" w:rsidP="000928CA">
      <w:pPr>
        <w:tabs>
          <w:tab w:val="clear" w:pos="567"/>
        </w:tabs>
        <w:rPr>
          <w:sz w:val="22"/>
          <w:szCs w:val="22"/>
        </w:rPr>
      </w:pPr>
    </w:p>
    <w:p w14:paraId="023C8621" w14:textId="776FF5F5" w:rsidR="000928CA" w:rsidRPr="004F572A" w:rsidRDefault="000928CA" w:rsidP="000928CA">
      <w:pPr>
        <w:widowControl w:val="0"/>
        <w:tabs>
          <w:tab w:val="clear" w:pos="567"/>
        </w:tabs>
        <w:rPr>
          <w:sz w:val="22"/>
          <w:szCs w:val="22"/>
        </w:rPr>
      </w:pPr>
      <w:r w:rsidRPr="004F572A">
        <w:rPr>
          <w:rFonts w:eastAsia="Calibri"/>
          <w:sz w:val="22"/>
          <w:szCs w:val="22"/>
        </w:rPr>
        <w:t>Laikyti gamintojo pakuotėje, kad vaistinis preparatas būtų apsaugotas drėgmės.</w:t>
      </w:r>
    </w:p>
    <w:p w14:paraId="66F248BF" w14:textId="77777777" w:rsidR="000928CA" w:rsidRPr="004F572A" w:rsidRDefault="000928CA" w:rsidP="000928CA">
      <w:pPr>
        <w:tabs>
          <w:tab w:val="clear" w:pos="567"/>
        </w:tabs>
        <w:rPr>
          <w:sz w:val="22"/>
          <w:szCs w:val="22"/>
        </w:rPr>
      </w:pPr>
    </w:p>
    <w:p w14:paraId="77DDC065" w14:textId="77777777" w:rsidR="000928CA" w:rsidRPr="004F572A" w:rsidRDefault="000928CA" w:rsidP="000928CA">
      <w:pPr>
        <w:pStyle w:val="Antrat4"/>
        <w:rPr>
          <w:rFonts w:ascii="Times New Roman" w:hAnsi="Times New Roman"/>
          <w:sz w:val="22"/>
          <w:szCs w:val="22"/>
          <w:lang w:val="lt-LT"/>
        </w:rPr>
      </w:pPr>
      <w:r w:rsidRPr="004F572A">
        <w:rPr>
          <w:rFonts w:ascii="Times New Roman" w:hAnsi="Times New Roman" w:cs="Times New Roman"/>
          <w:sz w:val="22"/>
          <w:szCs w:val="22"/>
          <w:lang w:val="lt-LT"/>
        </w:rPr>
        <w:t>6.5</w:t>
      </w:r>
      <w:r w:rsidRPr="004F572A">
        <w:rPr>
          <w:rFonts w:ascii="Times New Roman" w:hAnsi="Times New Roman" w:cs="Times New Roman"/>
          <w:sz w:val="22"/>
          <w:szCs w:val="22"/>
          <w:lang w:val="lt-LT"/>
        </w:rPr>
        <w:tab/>
      </w:r>
      <w:proofErr w:type="spellStart"/>
      <w:r w:rsidRPr="004F572A">
        <w:rPr>
          <w:rFonts w:ascii="Times New Roman" w:hAnsi="Times New Roman" w:cs="Times New Roman"/>
          <w:sz w:val="22"/>
          <w:szCs w:val="22"/>
          <w:lang w:val="lt-LT"/>
        </w:rPr>
        <w:t>Talpyklės</w:t>
      </w:r>
      <w:proofErr w:type="spellEnd"/>
      <w:r w:rsidRPr="004F572A">
        <w:rPr>
          <w:rFonts w:ascii="Times New Roman" w:hAnsi="Times New Roman" w:cs="Times New Roman"/>
          <w:sz w:val="22"/>
          <w:szCs w:val="22"/>
          <w:lang w:val="lt-LT"/>
        </w:rPr>
        <w:t xml:space="preserve"> pobūdis ir jos turinys</w:t>
      </w:r>
    </w:p>
    <w:p w14:paraId="112AE0F3" w14:textId="77777777" w:rsidR="000928CA" w:rsidRPr="004F572A" w:rsidRDefault="000928CA" w:rsidP="000928CA">
      <w:pPr>
        <w:tabs>
          <w:tab w:val="clear" w:pos="567"/>
        </w:tabs>
        <w:rPr>
          <w:sz w:val="22"/>
          <w:szCs w:val="22"/>
        </w:rPr>
      </w:pPr>
    </w:p>
    <w:p w14:paraId="3504804D" w14:textId="13558BE7" w:rsidR="000928CA" w:rsidRPr="004F572A" w:rsidRDefault="009821AA" w:rsidP="000928CA">
      <w:pPr>
        <w:widowControl w:val="0"/>
        <w:tabs>
          <w:tab w:val="clear" w:pos="567"/>
        </w:tabs>
        <w:rPr>
          <w:sz w:val="22"/>
          <w:szCs w:val="22"/>
        </w:rPr>
      </w:pPr>
      <w:r w:rsidRPr="004F572A">
        <w:rPr>
          <w:rFonts w:eastAsia="Calibri"/>
          <w:sz w:val="22"/>
          <w:szCs w:val="22"/>
        </w:rPr>
        <w:t xml:space="preserve">Kiekvienoje dėžutėje yra 30, 60 arba 90 kietųjų kapsulių </w:t>
      </w:r>
      <w:proofErr w:type="spellStart"/>
      <w:r w:rsidRPr="004F572A">
        <w:rPr>
          <w:rFonts w:eastAsia="Calibri"/>
          <w:sz w:val="22"/>
          <w:szCs w:val="22"/>
        </w:rPr>
        <w:t>oPA</w:t>
      </w:r>
      <w:proofErr w:type="spellEnd"/>
      <w:r w:rsidRPr="004F572A">
        <w:rPr>
          <w:rFonts w:eastAsia="Calibri"/>
          <w:sz w:val="22"/>
          <w:szCs w:val="22"/>
        </w:rPr>
        <w:t xml:space="preserve">/Al/PVC/Al lizdinėse plokštelėse arba </w:t>
      </w:r>
      <w:r w:rsidRPr="004F572A">
        <w:rPr>
          <w:sz w:val="22"/>
          <w:szCs w:val="22"/>
        </w:rPr>
        <w:t>30x1, 60x1 arba 90x1 kietųjų kapsulių</w:t>
      </w:r>
      <w:r w:rsidRPr="004F572A">
        <w:t xml:space="preserve"> </w:t>
      </w:r>
      <w:proofErr w:type="spellStart"/>
      <w:r w:rsidRPr="004F572A">
        <w:rPr>
          <w:sz w:val="22"/>
          <w:szCs w:val="22"/>
        </w:rPr>
        <w:t>oPA</w:t>
      </w:r>
      <w:proofErr w:type="spellEnd"/>
      <w:r w:rsidRPr="004F572A">
        <w:rPr>
          <w:sz w:val="22"/>
          <w:szCs w:val="22"/>
        </w:rPr>
        <w:t xml:space="preserve">/Al/PVC/Al </w:t>
      </w:r>
      <w:proofErr w:type="spellStart"/>
      <w:r w:rsidRPr="004F572A">
        <w:rPr>
          <w:sz w:val="22"/>
          <w:szCs w:val="22"/>
        </w:rPr>
        <w:t>dalomosiose</w:t>
      </w:r>
      <w:proofErr w:type="spellEnd"/>
      <w:r w:rsidRPr="004F572A">
        <w:rPr>
          <w:sz w:val="22"/>
          <w:szCs w:val="22"/>
        </w:rPr>
        <w:t xml:space="preserve"> lizdinėse plokštelėse</w:t>
      </w:r>
      <w:r w:rsidR="000928CA" w:rsidRPr="004F572A">
        <w:rPr>
          <w:rFonts w:eastAsia="Calibri"/>
          <w:sz w:val="22"/>
          <w:szCs w:val="22"/>
        </w:rPr>
        <w:t>.</w:t>
      </w:r>
    </w:p>
    <w:p w14:paraId="08BAE264" w14:textId="77777777" w:rsidR="000928CA" w:rsidRPr="004F572A" w:rsidRDefault="000928CA" w:rsidP="000928CA">
      <w:pPr>
        <w:tabs>
          <w:tab w:val="clear" w:pos="567"/>
        </w:tabs>
        <w:rPr>
          <w:sz w:val="22"/>
          <w:szCs w:val="22"/>
        </w:rPr>
      </w:pPr>
    </w:p>
    <w:p w14:paraId="381EE839" w14:textId="001EF07E" w:rsidR="009821AA" w:rsidRPr="004F572A" w:rsidRDefault="009821AA" w:rsidP="009821AA">
      <w:pPr>
        <w:widowControl w:val="0"/>
        <w:tabs>
          <w:tab w:val="clear" w:pos="567"/>
        </w:tabs>
        <w:rPr>
          <w:sz w:val="22"/>
          <w:szCs w:val="22"/>
        </w:rPr>
      </w:pPr>
      <w:r w:rsidRPr="004F572A">
        <w:rPr>
          <w:rFonts w:eastAsia="Calibri"/>
          <w:sz w:val="22"/>
          <w:szCs w:val="22"/>
        </w:rPr>
        <w:t xml:space="preserve">Kiekvienoje dėžutėje yra 30, 60 arba 90 kietųjų kapsulių </w:t>
      </w:r>
      <w:proofErr w:type="spellStart"/>
      <w:r w:rsidRPr="004F572A">
        <w:rPr>
          <w:rFonts w:eastAsia="Calibri"/>
          <w:sz w:val="22"/>
          <w:szCs w:val="22"/>
        </w:rPr>
        <w:t>oPA</w:t>
      </w:r>
      <w:proofErr w:type="spellEnd"/>
      <w:r w:rsidRPr="004F572A">
        <w:rPr>
          <w:rFonts w:eastAsia="Calibri"/>
          <w:sz w:val="22"/>
          <w:szCs w:val="22"/>
        </w:rPr>
        <w:t>/Al/PVC/</w:t>
      </w:r>
      <w:r w:rsidR="00034585">
        <w:rPr>
          <w:rFonts w:eastAsia="Calibri"/>
          <w:sz w:val="22"/>
          <w:szCs w:val="22"/>
        </w:rPr>
        <w:t>PE/</w:t>
      </w:r>
      <w:r w:rsidRPr="004F572A">
        <w:rPr>
          <w:rFonts w:eastAsia="Calibri"/>
          <w:sz w:val="22"/>
          <w:szCs w:val="22"/>
        </w:rPr>
        <w:t xml:space="preserve">Al lizdinėse plokštelėse su </w:t>
      </w:r>
      <w:proofErr w:type="spellStart"/>
      <w:r w:rsidRPr="004F572A">
        <w:rPr>
          <w:rFonts w:eastAsia="Calibri"/>
          <w:sz w:val="22"/>
          <w:szCs w:val="22"/>
        </w:rPr>
        <w:t>sausikliu</w:t>
      </w:r>
      <w:proofErr w:type="spellEnd"/>
      <w:r w:rsidRPr="004F572A">
        <w:rPr>
          <w:rFonts w:eastAsia="Calibri"/>
          <w:sz w:val="22"/>
          <w:szCs w:val="22"/>
        </w:rPr>
        <w:t xml:space="preserve"> arba </w:t>
      </w:r>
      <w:r w:rsidRPr="004F572A">
        <w:rPr>
          <w:sz w:val="22"/>
          <w:szCs w:val="22"/>
        </w:rPr>
        <w:t>30x1, 60x1 arba 90x1 kietųjų kapsulių</w:t>
      </w:r>
      <w:r w:rsidRPr="004F572A">
        <w:t xml:space="preserve"> </w:t>
      </w:r>
      <w:proofErr w:type="spellStart"/>
      <w:r w:rsidRPr="004F572A">
        <w:rPr>
          <w:sz w:val="22"/>
          <w:szCs w:val="22"/>
        </w:rPr>
        <w:t>oPA</w:t>
      </w:r>
      <w:proofErr w:type="spellEnd"/>
      <w:r w:rsidRPr="004F572A">
        <w:rPr>
          <w:sz w:val="22"/>
          <w:szCs w:val="22"/>
        </w:rPr>
        <w:t>/Al/PVC/</w:t>
      </w:r>
      <w:r w:rsidR="00034585">
        <w:rPr>
          <w:sz w:val="22"/>
          <w:szCs w:val="22"/>
        </w:rPr>
        <w:t>PE/</w:t>
      </w:r>
      <w:r w:rsidRPr="004F572A">
        <w:rPr>
          <w:sz w:val="22"/>
          <w:szCs w:val="22"/>
        </w:rPr>
        <w:t xml:space="preserve">Al </w:t>
      </w:r>
      <w:proofErr w:type="spellStart"/>
      <w:r w:rsidRPr="004F572A">
        <w:rPr>
          <w:sz w:val="22"/>
          <w:szCs w:val="22"/>
        </w:rPr>
        <w:t>dalomosiose</w:t>
      </w:r>
      <w:proofErr w:type="spellEnd"/>
      <w:r w:rsidRPr="004F572A">
        <w:rPr>
          <w:sz w:val="22"/>
          <w:szCs w:val="22"/>
        </w:rPr>
        <w:t xml:space="preserve"> lizdinėse plokštelėse su </w:t>
      </w:r>
      <w:proofErr w:type="spellStart"/>
      <w:r w:rsidRPr="004F572A">
        <w:rPr>
          <w:sz w:val="22"/>
          <w:szCs w:val="22"/>
        </w:rPr>
        <w:t>sausikliu</w:t>
      </w:r>
      <w:proofErr w:type="spellEnd"/>
      <w:r w:rsidRPr="004F572A">
        <w:rPr>
          <w:rFonts w:eastAsia="Calibri"/>
          <w:sz w:val="22"/>
          <w:szCs w:val="22"/>
        </w:rPr>
        <w:t>.</w:t>
      </w:r>
    </w:p>
    <w:p w14:paraId="03B81F45" w14:textId="77777777" w:rsidR="000928CA" w:rsidRPr="004F572A" w:rsidRDefault="000928CA" w:rsidP="000928CA">
      <w:pPr>
        <w:tabs>
          <w:tab w:val="clear" w:pos="567"/>
        </w:tabs>
        <w:rPr>
          <w:sz w:val="22"/>
          <w:szCs w:val="22"/>
        </w:rPr>
      </w:pPr>
    </w:p>
    <w:p w14:paraId="11CFB7FD" w14:textId="77777777" w:rsidR="000928CA" w:rsidRPr="004F572A" w:rsidRDefault="000928CA" w:rsidP="000928CA">
      <w:pPr>
        <w:tabs>
          <w:tab w:val="clear" w:pos="567"/>
        </w:tabs>
        <w:rPr>
          <w:sz w:val="22"/>
          <w:szCs w:val="22"/>
        </w:rPr>
      </w:pPr>
      <w:r w:rsidRPr="004F572A">
        <w:rPr>
          <w:sz w:val="22"/>
          <w:szCs w:val="22"/>
        </w:rPr>
        <w:t>Gali būti tiekiamos ne visų dydžių pakuotės.</w:t>
      </w:r>
    </w:p>
    <w:p w14:paraId="68D23070" w14:textId="77777777" w:rsidR="000928CA" w:rsidRPr="004F572A" w:rsidRDefault="000928CA" w:rsidP="000928CA">
      <w:pPr>
        <w:tabs>
          <w:tab w:val="clear" w:pos="567"/>
        </w:tabs>
        <w:rPr>
          <w:sz w:val="22"/>
          <w:szCs w:val="22"/>
        </w:rPr>
      </w:pPr>
    </w:p>
    <w:p w14:paraId="6299161F" w14:textId="77777777" w:rsidR="000928CA" w:rsidRPr="004F572A" w:rsidRDefault="000928CA" w:rsidP="000928CA">
      <w:pPr>
        <w:pStyle w:val="Antrat4"/>
        <w:rPr>
          <w:rFonts w:ascii="Times New Roman" w:hAnsi="Times New Roman"/>
          <w:sz w:val="22"/>
          <w:szCs w:val="22"/>
          <w:lang w:val="lt-LT"/>
        </w:rPr>
      </w:pPr>
      <w:bookmarkStart w:id="10" w:name="OLE_LINK1"/>
      <w:r w:rsidRPr="004F572A">
        <w:rPr>
          <w:rFonts w:ascii="Times New Roman" w:hAnsi="Times New Roman" w:cs="Times New Roman"/>
          <w:sz w:val="22"/>
          <w:szCs w:val="22"/>
          <w:lang w:val="lt-LT"/>
        </w:rPr>
        <w:t>6.6</w:t>
      </w:r>
      <w:r w:rsidRPr="004F572A">
        <w:rPr>
          <w:rFonts w:ascii="Times New Roman" w:hAnsi="Times New Roman" w:cs="Times New Roman"/>
          <w:sz w:val="22"/>
          <w:szCs w:val="22"/>
          <w:lang w:val="lt-LT"/>
        </w:rPr>
        <w:tab/>
        <w:t>Specialūs reikalavimai atliekoms tvarkyti</w:t>
      </w:r>
    </w:p>
    <w:bookmarkEnd w:id="10"/>
    <w:p w14:paraId="25F29082" w14:textId="77777777" w:rsidR="000928CA" w:rsidRPr="004F572A" w:rsidRDefault="000928CA" w:rsidP="000928CA">
      <w:pPr>
        <w:tabs>
          <w:tab w:val="clear" w:pos="567"/>
        </w:tabs>
        <w:rPr>
          <w:sz w:val="22"/>
          <w:szCs w:val="22"/>
        </w:rPr>
      </w:pPr>
    </w:p>
    <w:p w14:paraId="46EC22D3" w14:textId="0BC66E2D" w:rsidR="00491A3E" w:rsidRPr="004F572A" w:rsidRDefault="00034585" w:rsidP="00491A3E">
      <w:pPr>
        <w:tabs>
          <w:tab w:val="clear" w:pos="567"/>
        </w:tabs>
        <w:rPr>
          <w:sz w:val="22"/>
          <w:szCs w:val="22"/>
        </w:rPr>
      </w:pPr>
      <w:r>
        <w:rPr>
          <w:sz w:val="22"/>
          <w:szCs w:val="22"/>
        </w:rPr>
        <w:t>Globėjai</w:t>
      </w:r>
      <w:r w:rsidRPr="004F572A">
        <w:rPr>
          <w:sz w:val="22"/>
          <w:szCs w:val="22"/>
        </w:rPr>
        <w:t xml:space="preserve"> </w:t>
      </w:r>
      <w:r w:rsidR="00491A3E" w:rsidRPr="004F572A">
        <w:rPr>
          <w:sz w:val="22"/>
          <w:szCs w:val="22"/>
        </w:rPr>
        <w:t xml:space="preserve">turi </w:t>
      </w:r>
      <w:r>
        <w:rPr>
          <w:sz w:val="22"/>
          <w:szCs w:val="22"/>
        </w:rPr>
        <w:t>neatidaryti</w:t>
      </w:r>
      <w:r w:rsidRPr="004F572A">
        <w:rPr>
          <w:sz w:val="22"/>
          <w:szCs w:val="22"/>
        </w:rPr>
        <w:t xml:space="preserve"> </w:t>
      </w:r>
      <w:r w:rsidR="00491A3E" w:rsidRPr="004F572A">
        <w:rPr>
          <w:sz w:val="22"/>
          <w:szCs w:val="22"/>
        </w:rPr>
        <w:t xml:space="preserve">kapsulės, kad būtų išvengta </w:t>
      </w:r>
      <w:r w:rsidRPr="004F572A">
        <w:rPr>
          <w:sz w:val="22"/>
          <w:szCs w:val="22"/>
        </w:rPr>
        <w:t xml:space="preserve">pakartotinės </w:t>
      </w:r>
      <w:r w:rsidR="00491A3E" w:rsidRPr="004F572A">
        <w:rPr>
          <w:sz w:val="22"/>
          <w:szCs w:val="22"/>
        </w:rPr>
        <w:t>kapsulės turinio ekspozicijos.</w:t>
      </w:r>
    </w:p>
    <w:p w14:paraId="215E65E4" w14:textId="77777777" w:rsidR="00491A3E" w:rsidRPr="004F572A" w:rsidRDefault="00491A3E" w:rsidP="000928CA">
      <w:pPr>
        <w:tabs>
          <w:tab w:val="clear" w:pos="567"/>
        </w:tabs>
        <w:rPr>
          <w:sz w:val="22"/>
          <w:szCs w:val="22"/>
        </w:rPr>
      </w:pPr>
    </w:p>
    <w:p w14:paraId="659E9E9F" w14:textId="77777777" w:rsidR="000928CA" w:rsidRPr="004F572A" w:rsidRDefault="000928CA" w:rsidP="000928CA">
      <w:pPr>
        <w:tabs>
          <w:tab w:val="clear" w:pos="567"/>
        </w:tabs>
        <w:rPr>
          <w:sz w:val="22"/>
          <w:szCs w:val="22"/>
        </w:rPr>
      </w:pPr>
      <w:r w:rsidRPr="004F572A">
        <w:rPr>
          <w:sz w:val="22"/>
          <w:szCs w:val="22"/>
        </w:rPr>
        <w:t>Nesuvartotą vaistinį preparatą ar atliekas reikia tvarkyti laikantis vietinių reikalavimų.</w:t>
      </w:r>
    </w:p>
    <w:p w14:paraId="113819F9" w14:textId="77777777" w:rsidR="000928CA" w:rsidRPr="004F572A" w:rsidRDefault="000928CA" w:rsidP="000928CA">
      <w:pPr>
        <w:tabs>
          <w:tab w:val="clear" w:pos="567"/>
        </w:tabs>
        <w:rPr>
          <w:sz w:val="22"/>
          <w:szCs w:val="22"/>
        </w:rPr>
      </w:pPr>
    </w:p>
    <w:p w14:paraId="304921A0" w14:textId="77777777" w:rsidR="000928CA" w:rsidRPr="004F572A" w:rsidRDefault="000928CA" w:rsidP="000928CA">
      <w:pPr>
        <w:tabs>
          <w:tab w:val="clear" w:pos="567"/>
        </w:tabs>
        <w:rPr>
          <w:sz w:val="22"/>
          <w:szCs w:val="22"/>
        </w:rPr>
      </w:pPr>
    </w:p>
    <w:p w14:paraId="009BCB80" w14:textId="77777777" w:rsidR="000928CA" w:rsidRPr="004F572A" w:rsidRDefault="000928CA" w:rsidP="000928CA">
      <w:pPr>
        <w:pStyle w:val="Antrat3"/>
        <w:spacing w:before="0" w:after="0"/>
        <w:rPr>
          <w:rFonts w:ascii="Times New Roman" w:hAnsi="Times New Roman" w:cs="Times New Roman"/>
          <w:sz w:val="22"/>
          <w:szCs w:val="22"/>
          <w:lang w:val="lt-LT"/>
        </w:rPr>
      </w:pPr>
      <w:r w:rsidRPr="004F572A">
        <w:rPr>
          <w:rFonts w:ascii="Times New Roman" w:hAnsi="Times New Roman" w:cs="Times New Roman"/>
          <w:sz w:val="22"/>
          <w:szCs w:val="22"/>
          <w:lang w:val="lt-LT"/>
        </w:rPr>
        <w:t>7.</w:t>
      </w:r>
      <w:r w:rsidRPr="004F572A">
        <w:rPr>
          <w:rFonts w:ascii="Times New Roman" w:hAnsi="Times New Roman" w:cs="Times New Roman"/>
          <w:sz w:val="22"/>
          <w:szCs w:val="22"/>
          <w:lang w:val="lt-LT"/>
        </w:rPr>
        <w:tab/>
        <w:t>REGISTRUOTOJAS</w:t>
      </w:r>
    </w:p>
    <w:p w14:paraId="73DA8ED7" w14:textId="77777777" w:rsidR="000928CA" w:rsidRPr="00E27691" w:rsidRDefault="000928CA" w:rsidP="000928CA">
      <w:pPr>
        <w:pStyle w:val="Pagrindinistekstas"/>
        <w:rPr>
          <w:i w:val="0"/>
          <w:iCs/>
          <w:color w:val="auto"/>
          <w:lang w:val="lt-LT"/>
        </w:rPr>
      </w:pPr>
    </w:p>
    <w:p w14:paraId="22A6C7CB" w14:textId="77777777" w:rsidR="000928CA" w:rsidRPr="004F572A" w:rsidRDefault="000928CA" w:rsidP="000928CA">
      <w:pPr>
        <w:tabs>
          <w:tab w:val="left" w:pos="425"/>
        </w:tabs>
        <w:rPr>
          <w:sz w:val="22"/>
          <w:szCs w:val="22"/>
        </w:rPr>
      </w:pPr>
      <w:proofErr w:type="spellStart"/>
      <w:r w:rsidRPr="004F572A">
        <w:rPr>
          <w:sz w:val="22"/>
          <w:szCs w:val="22"/>
        </w:rPr>
        <w:t>Sandoz</w:t>
      </w:r>
      <w:proofErr w:type="spellEnd"/>
      <w:r w:rsidRPr="004F572A">
        <w:rPr>
          <w:sz w:val="22"/>
          <w:szCs w:val="22"/>
        </w:rPr>
        <w:t xml:space="preserve"> </w:t>
      </w:r>
      <w:proofErr w:type="spellStart"/>
      <w:r w:rsidRPr="004F572A">
        <w:rPr>
          <w:sz w:val="22"/>
          <w:szCs w:val="22"/>
        </w:rPr>
        <w:t>d.d</w:t>
      </w:r>
      <w:proofErr w:type="spellEnd"/>
      <w:r w:rsidRPr="004F572A">
        <w:rPr>
          <w:sz w:val="22"/>
          <w:szCs w:val="22"/>
        </w:rPr>
        <w:t>.</w:t>
      </w:r>
    </w:p>
    <w:p w14:paraId="734B7529" w14:textId="77777777" w:rsidR="000928CA" w:rsidRPr="004F572A" w:rsidRDefault="000928CA" w:rsidP="000928CA">
      <w:pPr>
        <w:tabs>
          <w:tab w:val="left" w:pos="425"/>
        </w:tabs>
        <w:rPr>
          <w:sz w:val="22"/>
          <w:szCs w:val="22"/>
        </w:rPr>
      </w:pPr>
      <w:proofErr w:type="spellStart"/>
      <w:r w:rsidRPr="004F572A">
        <w:rPr>
          <w:sz w:val="22"/>
          <w:szCs w:val="22"/>
        </w:rPr>
        <w:t>Verovškova</w:t>
      </w:r>
      <w:proofErr w:type="spellEnd"/>
      <w:r w:rsidRPr="004F572A">
        <w:rPr>
          <w:sz w:val="22"/>
          <w:szCs w:val="22"/>
        </w:rPr>
        <w:t xml:space="preserve"> 57</w:t>
      </w:r>
    </w:p>
    <w:p w14:paraId="30DA8B80" w14:textId="77777777" w:rsidR="000928CA" w:rsidRPr="004F572A" w:rsidRDefault="000928CA" w:rsidP="000928CA">
      <w:pPr>
        <w:tabs>
          <w:tab w:val="left" w:pos="425"/>
        </w:tabs>
        <w:rPr>
          <w:sz w:val="22"/>
          <w:szCs w:val="22"/>
        </w:rPr>
      </w:pPr>
      <w:r w:rsidRPr="004F572A">
        <w:rPr>
          <w:sz w:val="22"/>
          <w:szCs w:val="22"/>
        </w:rPr>
        <w:t xml:space="preserve">SI-1000 </w:t>
      </w:r>
      <w:proofErr w:type="spellStart"/>
      <w:r w:rsidRPr="004F572A">
        <w:rPr>
          <w:sz w:val="22"/>
          <w:szCs w:val="22"/>
        </w:rPr>
        <w:t>Ljubljana</w:t>
      </w:r>
      <w:proofErr w:type="spellEnd"/>
    </w:p>
    <w:p w14:paraId="4B266CAA" w14:textId="77777777" w:rsidR="000928CA" w:rsidRPr="004F572A" w:rsidRDefault="000928CA" w:rsidP="000928CA">
      <w:pPr>
        <w:tabs>
          <w:tab w:val="left" w:pos="425"/>
        </w:tabs>
        <w:rPr>
          <w:sz w:val="22"/>
          <w:szCs w:val="22"/>
        </w:rPr>
      </w:pPr>
      <w:r w:rsidRPr="004F572A">
        <w:rPr>
          <w:sz w:val="22"/>
          <w:szCs w:val="22"/>
        </w:rPr>
        <w:t>Slovėnija</w:t>
      </w:r>
    </w:p>
    <w:p w14:paraId="1C239452" w14:textId="77777777" w:rsidR="000928CA" w:rsidRPr="004F572A" w:rsidRDefault="000928CA" w:rsidP="000928CA">
      <w:pPr>
        <w:tabs>
          <w:tab w:val="clear" w:pos="567"/>
        </w:tabs>
        <w:rPr>
          <w:sz w:val="22"/>
          <w:szCs w:val="22"/>
        </w:rPr>
      </w:pPr>
    </w:p>
    <w:p w14:paraId="1BFDCA1C" w14:textId="77777777" w:rsidR="000928CA" w:rsidRPr="004F572A" w:rsidRDefault="000928CA" w:rsidP="000928CA">
      <w:pPr>
        <w:tabs>
          <w:tab w:val="clear" w:pos="567"/>
        </w:tabs>
        <w:rPr>
          <w:sz w:val="22"/>
          <w:szCs w:val="22"/>
        </w:rPr>
      </w:pPr>
    </w:p>
    <w:p w14:paraId="723F501D" w14:textId="77777777" w:rsidR="000928CA" w:rsidRPr="004F572A" w:rsidRDefault="000928CA" w:rsidP="000928CA">
      <w:pPr>
        <w:pStyle w:val="Antrat3"/>
        <w:spacing w:before="0" w:after="0"/>
        <w:rPr>
          <w:rFonts w:ascii="Times New Roman" w:hAnsi="Times New Roman" w:cs="Times New Roman"/>
          <w:sz w:val="22"/>
          <w:szCs w:val="22"/>
          <w:lang w:val="lt-LT"/>
        </w:rPr>
      </w:pPr>
      <w:r w:rsidRPr="004F572A">
        <w:rPr>
          <w:rFonts w:ascii="Times New Roman" w:hAnsi="Times New Roman" w:cs="Times New Roman"/>
          <w:sz w:val="22"/>
          <w:szCs w:val="22"/>
          <w:lang w:val="lt-LT"/>
        </w:rPr>
        <w:t>8.</w:t>
      </w:r>
      <w:r w:rsidRPr="004F572A">
        <w:rPr>
          <w:rFonts w:ascii="Times New Roman" w:hAnsi="Times New Roman" w:cs="Times New Roman"/>
          <w:sz w:val="22"/>
          <w:szCs w:val="22"/>
          <w:lang w:val="lt-LT"/>
        </w:rPr>
        <w:tab/>
        <w:t xml:space="preserve">REGISTRACIJOS PAŽYMĖJIMO NUMERIS (-IAI) </w:t>
      </w:r>
    </w:p>
    <w:p w14:paraId="12AA2028" w14:textId="77777777" w:rsidR="000928CA" w:rsidRPr="004F572A" w:rsidRDefault="000928CA" w:rsidP="000928CA">
      <w:pPr>
        <w:rPr>
          <w:sz w:val="22"/>
          <w:szCs w:val="22"/>
        </w:rPr>
      </w:pPr>
    </w:p>
    <w:tbl>
      <w:tblPr>
        <w:tblStyle w:val="Lentelstinklelisviesus"/>
        <w:tblW w:w="0" w:type="auto"/>
        <w:tblLook w:val="04A0" w:firstRow="1" w:lastRow="0" w:firstColumn="1" w:lastColumn="0" w:noHBand="0" w:noVBand="1"/>
      </w:tblPr>
      <w:tblGrid>
        <w:gridCol w:w="4530"/>
        <w:gridCol w:w="4530"/>
      </w:tblGrid>
      <w:tr w:rsidR="007F5893" w14:paraId="7ABBF214" w14:textId="77777777" w:rsidTr="007F5893">
        <w:tc>
          <w:tcPr>
            <w:tcW w:w="4530" w:type="dxa"/>
          </w:tcPr>
          <w:p w14:paraId="524D911B" w14:textId="77777777" w:rsidR="007F5893" w:rsidRPr="007F5893" w:rsidRDefault="007F5893" w:rsidP="000928CA">
            <w:pPr>
              <w:rPr>
                <w:sz w:val="22"/>
                <w:szCs w:val="22"/>
                <w:u w:val="single"/>
              </w:rPr>
            </w:pPr>
            <w:r w:rsidRPr="007F5893">
              <w:rPr>
                <w:sz w:val="22"/>
                <w:szCs w:val="22"/>
                <w:u w:val="single"/>
              </w:rPr>
              <w:t>4 mg</w:t>
            </w:r>
          </w:p>
          <w:p w14:paraId="409D9AE5" w14:textId="62ADE91B" w:rsidR="007F5893" w:rsidRPr="007F5893" w:rsidRDefault="007F5893" w:rsidP="007F5893">
            <w:pPr>
              <w:rPr>
                <w:sz w:val="22"/>
                <w:szCs w:val="22"/>
              </w:rPr>
            </w:pPr>
            <w:r w:rsidRPr="007F5893">
              <w:rPr>
                <w:sz w:val="22"/>
                <w:szCs w:val="22"/>
                <w:u w:val="single"/>
              </w:rPr>
              <w:t>l</w:t>
            </w:r>
            <w:r w:rsidRPr="007F5893">
              <w:rPr>
                <w:sz w:val="22"/>
                <w:szCs w:val="22"/>
                <w:u w:val="single"/>
              </w:rPr>
              <w:t>izdinė plokštelė</w:t>
            </w:r>
            <w:r w:rsidRPr="007F5893">
              <w:rPr>
                <w:sz w:val="22"/>
                <w:szCs w:val="22"/>
              </w:rPr>
              <w:t>:</w:t>
            </w:r>
          </w:p>
          <w:p w14:paraId="794C1E00" w14:textId="77777777" w:rsidR="007F5893" w:rsidRPr="007F5893" w:rsidRDefault="007F5893" w:rsidP="007F5893">
            <w:pPr>
              <w:rPr>
                <w:sz w:val="22"/>
                <w:szCs w:val="22"/>
              </w:rPr>
            </w:pPr>
            <w:r w:rsidRPr="007F5893">
              <w:rPr>
                <w:sz w:val="22"/>
                <w:szCs w:val="22"/>
              </w:rPr>
              <w:t>LT/1/25/5873/001 – N30</w:t>
            </w:r>
          </w:p>
          <w:p w14:paraId="7827EBE5" w14:textId="77777777" w:rsidR="007F5893" w:rsidRPr="007F5893" w:rsidRDefault="007F5893" w:rsidP="007F5893">
            <w:pPr>
              <w:rPr>
                <w:sz w:val="22"/>
                <w:szCs w:val="22"/>
              </w:rPr>
            </w:pPr>
            <w:r w:rsidRPr="007F5893">
              <w:rPr>
                <w:sz w:val="22"/>
                <w:szCs w:val="22"/>
              </w:rPr>
              <w:t>LT/1/25/5873/002 – N60</w:t>
            </w:r>
          </w:p>
          <w:p w14:paraId="2E91A0CF" w14:textId="77777777" w:rsidR="007F5893" w:rsidRPr="007F5893" w:rsidRDefault="007F5893" w:rsidP="007F5893">
            <w:pPr>
              <w:rPr>
                <w:sz w:val="22"/>
                <w:szCs w:val="22"/>
              </w:rPr>
            </w:pPr>
            <w:r w:rsidRPr="007F5893">
              <w:rPr>
                <w:sz w:val="22"/>
                <w:szCs w:val="22"/>
              </w:rPr>
              <w:t>LT/1/25/5873/003 – N90</w:t>
            </w:r>
          </w:p>
          <w:p w14:paraId="23D2FF57" w14:textId="2726EFDA" w:rsidR="007F5893" w:rsidRPr="007F5893" w:rsidRDefault="007F5893" w:rsidP="007F5893">
            <w:pPr>
              <w:rPr>
                <w:sz w:val="22"/>
                <w:szCs w:val="22"/>
              </w:rPr>
            </w:pPr>
            <w:proofErr w:type="spellStart"/>
            <w:r w:rsidRPr="007F5893">
              <w:rPr>
                <w:sz w:val="22"/>
                <w:szCs w:val="22"/>
                <w:u w:val="single"/>
              </w:rPr>
              <w:t>d</w:t>
            </w:r>
            <w:r w:rsidRPr="007F5893">
              <w:rPr>
                <w:sz w:val="22"/>
                <w:szCs w:val="22"/>
                <w:u w:val="single"/>
              </w:rPr>
              <w:t>alomoji</w:t>
            </w:r>
            <w:proofErr w:type="spellEnd"/>
            <w:r w:rsidRPr="007F5893">
              <w:rPr>
                <w:sz w:val="22"/>
                <w:szCs w:val="22"/>
                <w:u w:val="single"/>
              </w:rPr>
              <w:t xml:space="preserve"> lizdinė plokštelė</w:t>
            </w:r>
            <w:r w:rsidRPr="007F5893">
              <w:rPr>
                <w:sz w:val="22"/>
                <w:szCs w:val="22"/>
              </w:rPr>
              <w:t>:</w:t>
            </w:r>
          </w:p>
          <w:p w14:paraId="709A73C9" w14:textId="77777777" w:rsidR="007F5893" w:rsidRPr="007F5893" w:rsidRDefault="007F5893" w:rsidP="007F5893">
            <w:pPr>
              <w:rPr>
                <w:sz w:val="22"/>
                <w:szCs w:val="22"/>
              </w:rPr>
            </w:pPr>
            <w:r w:rsidRPr="007F5893">
              <w:rPr>
                <w:sz w:val="22"/>
                <w:szCs w:val="22"/>
              </w:rPr>
              <w:t>LT/1/25/5873/004 – N30x1</w:t>
            </w:r>
          </w:p>
          <w:p w14:paraId="7058D549" w14:textId="77777777" w:rsidR="007F5893" w:rsidRPr="007F5893" w:rsidRDefault="007F5893" w:rsidP="007F5893">
            <w:pPr>
              <w:rPr>
                <w:sz w:val="22"/>
                <w:szCs w:val="22"/>
              </w:rPr>
            </w:pPr>
            <w:r w:rsidRPr="007F5893">
              <w:rPr>
                <w:sz w:val="22"/>
                <w:szCs w:val="22"/>
              </w:rPr>
              <w:t>LT/1/25/5873/005 – N60x1</w:t>
            </w:r>
          </w:p>
          <w:p w14:paraId="17B8A5B7" w14:textId="1AFB47AF" w:rsidR="007F5893" w:rsidRDefault="007F5893" w:rsidP="007F5893">
            <w:pPr>
              <w:rPr>
                <w:sz w:val="22"/>
                <w:szCs w:val="22"/>
              </w:rPr>
            </w:pPr>
            <w:r w:rsidRPr="007F5893">
              <w:rPr>
                <w:sz w:val="22"/>
                <w:szCs w:val="22"/>
              </w:rPr>
              <w:t>LT/1/25/5873/006 – N90x1</w:t>
            </w:r>
          </w:p>
        </w:tc>
        <w:tc>
          <w:tcPr>
            <w:tcW w:w="4530" w:type="dxa"/>
          </w:tcPr>
          <w:p w14:paraId="3EB8EF22" w14:textId="77777777" w:rsidR="007F5893" w:rsidRPr="007F5893" w:rsidRDefault="007F5893" w:rsidP="000928CA">
            <w:pPr>
              <w:rPr>
                <w:sz w:val="22"/>
                <w:szCs w:val="22"/>
                <w:u w:val="single"/>
              </w:rPr>
            </w:pPr>
            <w:r w:rsidRPr="007F5893">
              <w:rPr>
                <w:sz w:val="22"/>
                <w:szCs w:val="22"/>
                <w:u w:val="single"/>
              </w:rPr>
              <w:t>10 mg</w:t>
            </w:r>
          </w:p>
          <w:p w14:paraId="4A12CA63" w14:textId="294DAEAD" w:rsidR="007F5893" w:rsidRPr="007F5893" w:rsidRDefault="007F5893" w:rsidP="007F5893">
            <w:pPr>
              <w:rPr>
                <w:sz w:val="22"/>
                <w:szCs w:val="22"/>
              </w:rPr>
            </w:pPr>
            <w:r>
              <w:rPr>
                <w:sz w:val="22"/>
                <w:szCs w:val="22"/>
                <w:u w:val="single"/>
              </w:rPr>
              <w:t>l</w:t>
            </w:r>
            <w:r w:rsidRPr="007F5893">
              <w:rPr>
                <w:sz w:val="22"/>
                <w:szCs w:val="22"/>
                <w:u w:val="single"/>
              </w:rPr>
              <w:t>izdinė plokštelė</w:t>
            </w:r>
            <w:r w:rsidRPr="007F5893">
              <w:rPr>
                <w:sz w:val="22"/>
                <w:szCs w:val="22"/>
              </w:rPr>
              <w:t>:</w:t>
            </w:r>
          </w:p>
          <w:p w14:paraId="4DEB22E3" w14:textId="77777777" w:rsidR="007F5893" w:rsidRPr="007F5893" w:rsidRDefault="007F5893" w:rsidP="007F5893">
            <w:pPr>
              <w:rPr>
                <w:sz w:val="22"/>
                <w:szCs w:val="22"/>
              </w:rPr>
            </w:pPr>
            <w:r w:rsidRPr="007F5893">
              <w:rPr>
                <w:sz w:val="22"/>
                <w:szCs w:val="22"/>
              </w:rPr>
              <w:t>LT/1/25/5874/001 – N30</w:t>
            </w:r>
          </w:p>
          <w:p w14:paraId="50A64005" w14:textId="77777777" w:rsidR="007F5893" w:rsidRPr="007F5893" w:rsidRDefault="007F5893" w:rsidP="007F5893">
            <w:pPr>
              <w:rPr>
                <w:sz w:val="22"/>
                <w:szCs w:val="22"/>
              </w:rPr>
            </w:pPr>
            <w:r w:rsidRPr="007F5893">
              <w:rPr>
                <w:sz w:val="22"/>
                <w:szCs w:val="22"/>
              </w:rPr>
              <w:t>LT/1/25/5874/002 – N60</w:t>
            </w:r>
          </w:p>
          <w:p w14:paraId="14F2ECB1" w14:textId="77777777" w:rsidR="007F5893" w:rsidRPr="007F5893" w:rsidRDefault="007F5893" w:rsidP="007F5893">
            <w:pPr>
              <w:rPr>
                <w:sz w:val="22"/>
                <w:szCs w:val="22"/>
              </w:rPr>
            </w:pPr>
            <w:r w:rsidRPr="007F5893">
              <w:rPr>
                <w:sz w:val="22"/>
                <w:szCs w:val="22"/>
              </w:rPr>
              <w:t>LT/1/25/5874/003 – N90</w:t>
            </w:r>
          </w:p>
          <w:p w14:paraId="466EF2DB" w14:textId="50B07928" w:rsidR="007F5893" w:rsidRPr="007F5893" w:rsidRDefault="007F5893" w:rsidP="007F5893">
            <w:pPr>
              <w:rPr>
                <w:sz w:val="22"/>
                <w:szCs w:val="22"/>
              </w:rPr>
            </w:pPr>
            <w:proofErr w:type="spellStart"/>
            <w:r w:rsidRPr="007F5893">
              <w:rPr>
                <w:sz w:val="22"/>
                <w:szCs w:val="22"/>
                <w:u w:val="single"/>
              </w:rPr>
              <w:t>d</w:t>
            </w:r>
            <w:r w:rsidRPr="007F5893">
              <w:rPr>
                <w:sz w:val="22"/>
                <w:szCs w:val="22"/>
                <w:u w:val="single"/>
              </w:rPr>
              <w:t>alomoji</w:t>
            </w:r>
            <w:proofErr w:type="spellEnd"/>
            <w:r w:rsidRPr="007F5893">
              <w:rPr>
                <w:sz w:val="22"/>
                <w:szCs w:val="22"/>
                <w:u w:val="single"/>
              </w:rPr>
              <w:t xml:space="preserve"> lizdinė plokštelė</w:t>
            </w:r>
            <w:r w:rsidRPr="007F5893">
              <w:rPr>
                <w:sz w:val="22"/>
                <w:szCs w:val="22"/>
              </w:rPr>
              <w:t>:</w:t>
            </w:r>
          </w:p>
          <w:p w14:paraId="29678A03" w14:textId="77777777" w:rsidR="007F5893" w:rsidRPr="007F5893" w:rsidRDefault="007F5893" w:rsidP="007F5893">
            <w:pPr>
              <w:rPr>
                <w:sz w:val="22"/>
                <w:szCs w:val="22"/>
              </w:rPr>
            </w:pPr>
            <w:r w:rsidRPr="007F5893">
              <w:rPr>
                <w:sz w:val="22"/>
                <w:szCs w:val="22"/>
              </w:rPr>
              <w:t>LT/1/25/5874/004 – N30x1</w:t>
            </w:r>
          </w:p>
          <w:p w14:paraId="04264F63" w14:textId="77777777" w:rsidR="007F5893" w:rsidRPr="007F5893" w:rsidRDefault="007F5893" w:rsidP="007F5893">
            <w:pPr>
              <w:rPr>
                <w:sz w:val="22"/>
                <w:szCs w:val="22"/>
              </w:rPr>
            </w:pPr>
            <w:r w:rsidRPr="007F5893">
              <w:rPr>
                <w:sz w:val="22"/>
                <w:szCs w:val="22"/>
              </w:rPr>
              <w:t>LT/1/25/5874/005 – N60x1</w:t>
            </w:r>
          </w:p>
          <w:p w14:paraId="21BA14C8" w14:textId="4CC04894" w:rsidR="007F5893" w:rsidRDefault="007F5893" w:rsidP="007F5893">
            <w:pPr>
              <w:rPr>
                <w:sz w:val="22"/>
                <w:szCs w:val="22"/>
              </w:rPr>
            </w:pPr>
            <w:r w:rsidRPr="007F5893">
              <w:rPr>
                <w:sz w:val="22"/>
                <w:szCs w:val="22"/>
              </w:rPr>
              <w:t>LT/1/25/5874/006 – N90x1</w:t>
            </w:r>
          </w:p>
        </w:tc>
      </w:tr>
    </w:tbl>
    <w:p w14:paraId="21484A42" w14:textId="77777777" w:rsidR="00E9378E" w:rsidRPr="004F572A" w:rsidRDefault="00E9378E" w:rsidP="000928CA">
      <w:pPr>
        <w:rPr>
          <w:sz w:val="22"/>
          <w:szCs w:val="22"/>
        </w:rPr>
      </w:pPr>
    </w:p>
    <w:p w14:paraId="2ECC26A4" w14:textId="77777777" w:rsidR="00E9378E" w:rsidRPr="004F572A" w:rsidRDefault="00E9378E" w:rsidP="000928CA">
      <w:pPr>
        <w:rPr>
          <w:sz w:val="22"/>
          <w:szCs w:val="22"/>
        </w:rPr>
      </w:pPr>
    </w:p>
    <w:p w14:paraId="23A04E43" w14:textId="77777777" w:rsidR="000928CA" w:rsidRPr="004F572A" w:rsidRDefault="000928CA" w:rsidP="000928CA">
      <w:pPr>
        <w:pStyle w:val="Antrat3"/>
        <w:spacing w:before="0" w:after="0"/>
        <w:rPr>
          <w:rFonts w:ascii="Times New Roman" w:hAnsi="Times New Roman"/>
          <w:sz w:val="22"/>
          <w:szCs w:val="22"/>
          <w:lang w:val="lt-LT"/>
        </w:rPr>
      </w:pPr>
      <w:r w:rsidRPr="004F572A">
        <w:rPr>
          <w:rFonts w:ascii="Times New Roman" w:hAnsi="Times New Roman" w:cs="Times New Roman"/>
          <w:sz w:val="22"/>
          <w:szCs w:val="22"/>
          <w:lang w:val="lt-LT"/>
        </w:rPr>
        <w:t>9.</w:t>
      </w:r>
      <w:r w:rsidRPr="004F572A">
        <w:rPr>
          <w:rFonts w:ascii="Times New Roman" w:hAnsi="Times New Roman" w:cs="Times New Roman"/>
          <w:sz w:val="22"/>
          <w:szCs w:val="22"/>
          <w:lang w:val="lt-LT"/>
        </w:rPr>
        <w:tab/>
        <w:t>REGISTRAVIMO / PERREGISTRAVIMO DATA</w:t>
      </w:r>
    </w:p>
    <w:p w14:paraId="57E72EDD" w14:textId="77777777" w:rsidR="000928CA" w:rsidRPr="004F572A" w:rsidRDefault="000928CA" w:rsidP="000928CA">
      <w:pPr>
        <w:tabs>
          <w:tab w:val="clear" w:pos="567"/>
        </w:tabs>
        <w:rPr>
          <w:sz w:val="22"/>
          <w:szCs w:val="22"/>
        </w:rPr>
      </w:pPr>
    </w:p>
    <w:p w14:paraId="4B733A80" w14:textId="5CCC39E3" w:rsidR="00E9378E" w:rsidRPr="004F572A" w:rsidRDefault="00E9378E" w:rsidP="00E9378E">
      <w:pPr>
        <w:tabs>
          <w:tab w:val="clear" w:pos="567"/>
        </w:tabs>
        <w:spacing w:line="240" w:lineRule="auto"/>
        <w:rPr>
          <w:sz w:val="22"/>
          <w:szCs w:val="22"/>
        </w:rPr>
      </w:pPr>
      <w:bookmarkStart w:id="11" w:name="_Hlk198131365"/>
      <w:r w:rsidRPr="004F572A">
        <w:rPr>
          <w:sz w:val="22"/>
          <w:szCs w:val="22"/>
        </w:rPr>
        <w:t xml:space="preserve">Registravimo data </w:t>
      </w:r>
      <w:bookmarkEnd w:id="11"/>
      <w:r w:rsidR="007F5893">
        <w:rPr>
          <w:sz w:val="22"/>
          <w:szCs w:val="22"/>
        </w:rPr>
        <w:t>2025 m. spalio 1 d.</w:t>
      </w:r>
      <w:r w:rsidRPr="004F572A">
        <w:rPr>
          <w:sz w:val="22"/>
          <w:szCs w:val="22"/>
        </w:rPr>
        <w:t>.</w:t>
      </w:r>
    </w:p>
    <w:p w14:paraId="5D0BFFE1" w14:textId="77777777" w:rsidR="000928CA" w:rsidRPr="004F572A" w:rsidRDefault="000928CA" w:rsidP="000928CA">
      <w:pPr>
        <w:tabs>
          <w:tab w:val="clear" w:pos="567"/>
        </w:tabs>
        <w:spacing w:line="240" w:lineRule="auto"/>
        <w:rPr>
          <w:sz w:val="22"/>
          <w:szCs w:val="22"/>
        </w:rPr>
      </w:pPr>
    </w:p>
    <w:p w14:paraId="39D53ADA" w14:textId="77777777" w:rsidR="00E9378E" w:rsidRPr="004F572A" w:rsidRDefault="00E9378E" w:rsidP="000928CA">
      <w:pPr>
        <w:tabs>
          <w:tab w:val="clear" w:pos="567"/>
        </w:tabs>
        <w:spacing w:line="240" w:lineRule="auto"/>
        <w:rPr>
          <w:sz w:val="22"/>
          <w:szCs w:val="22"/>
        </w:rPr>
      </w:pPr>
    </w:p>
    <w:p w14:paraId="30644789" w14:textId="77777777" w:rsidR="000928CA" w:rsidRPr="004F572A" w:rsidRDefault="000928CA" w:rsidP="000928CA">
      <w:pPr>
        <w:pStyle w:val="Antrat3"/>
        <w:spacing w:before="0" w:after="0"/>
        <w:rPr>
          <w:rFonts w:ascii="Times New Roman" w:hAnsi="Times New Roman"/>
          <w:sz w:val="22"/>
          <w:szCs w:val="22"/>
          <w:lang w:val="lt-LT"/>
        </w:rPr>
      </w:pPr>
      <w:r w:rsidRPr="004F572A">
        <w:rPr>
          <w:rFonts w:ascii="Times New Roman" w:hAnsi="Times New Roman" w:cs="Times New Roman"/>
          <w:sz w:val="22"/>
          <w:szCs w:val="22"/>
          <w:lang w:val="lt-LT"/>
        </w:rPr>
        <w:t>10.</w:t>
      </w:r>
      <w:r w:rsidRPr="004F572A">
        <w:rPr>
          <w:rFonts w:ascii="Times New Roman" w:hAnsi="Times New Roman" w:cs="Times New Roman"/>
          <w:sz w:val="22"/>
          <w:szCs w:val="22"/>
          <w:lang w:val="lt-LT"/>
        </w:rPr>
        <w:tab/>
        <w:t>TEKSTO PERŽIŪROS DATA</w:t>
      </w:r>
    </w:p>
    <w:p w14:paraId="121922B9" w14:textId="77777777" w:rsidR="000928CA" w:rsidRPr="004F572A" w:rsidRDefault="000928CA" w:rsidP="000928CA">
      <w:pPr>
        <w:rPr>
          <w:sz w:val="22"/>
          <w:szCs w:val="22"/>
        </w:rPr>
      </w:pPr>
    </w:p>
    <w:p w14:paraId="5C9B92B9" w14:textId="543B1B7C" w:rsidR="00294AF6" w:rsidRDefault="007F5893" w:rsidP="000928CA">
      <w:pPr>
        <w:tabs>
          <w:tab w:val="clear" w:pos="567"/>
        </w:tabs>
        <w:spacing w:line="240" w:lineRule="auto"/>
        <w:rPr>
          <w:sz w:val="22"/>
          <w:szCs w:val="22"/>
        </w:rPr>
      </w:pPr>
      <w:bookmarkStart w:id="12" w:name="_Hlk198131391"/>
      <w:r>
        <w:rPr>
          <w:sz w:val="22"/>
          <w:szCs w:val="22"/>
        </w:rPr>
        <w:t>2025 m. spalio 1 d.</w:t>
      </w:r>
      <w:r w:rsidRPr="004F572A">
        <w:rPr>
          <w:sz w:val="22"/>
          <w:szCs w:val="22"/>
        </w:rPr>
        <w:t>.</w:t>
      </w:r>
    </w:p>
    <w:p w14:paraId="0B8410C9" w14:textId="77777777" w:rsidR="007F5893" w:rsidRPr="004F572A" w:rsidRDefault="007F5893" w:rsidP="000928CA">
      <w:pPr>
        <w:tabs>
          <w:tab w:val="clear" w:pos="567"/>
        </w:tabs>
        <w:spacing w:line="240" w:lineRule="auto"/>
        <w:rPr>
          <w:sz w:val="22"/>
          <w:szCs w:val="22"/>
        </w:rPr>
      </w:pPr>
    </w:p>
    <w:p w14:paraId="3664684F" w14:textId="1377ADD4" w:rsidR="00B10CAA" w:rsidRPr="004F572A" w:rsidRDefault="000928CA" w:rsidP="000928CA">
      <w:pPr>
        <w:pStyle w:val="PlainText1"/>
        <w:tabs>
          <w:tab w:val="left" w:pos="5954"/>
          <w:tab w:val="left" w:pos="6237"/>
          <w:tab w:val="left" w:pos="6663"/>
          <w:tab w:val="left" w:pos="6946"/>
        </w:tabs>
        <w:rPr>
          <w:rFonts w:ascii="Times New Roman" w:hAnsi="Times New Roman" w:cs="Times New Roman"/>
          <w:sz w:val="22"/>
          <w:szCs w:val="22"/>
          <w:lang w:val="lt-LT"/>
        </w:rPr>
      </w:pPr>
      <w:r w:rsidRPr="004F572A">
        <w:rPr>
          <w:rFonts w:ascii="Times New Roman" w:hAnsi="Times New Roman" w:cs="Times New Roman"/>
          <w:sz w:val="22"/>
          <w:szCs w:val="22"/>
          <w:lang w:val="lt-LT"/>
        </w:rPr>
        <w:t>Išsami informacija apie šį vaistinį preparatą pateikiama Valstybinės vaistų kontrolės tarnybos prie Lietuvos Respublikos sveikatos apsaugos ministerijos tinklalapyje</w:t>
      </w:r>
      <w:r w:rsidR="00F009AF" w:rsidRPr="000D1CAE">
        <w:rPr>
          <w:lang w:val="lt-LT"/>
        </w:rPr>
        <w:t xml:space="preserve"> </w:t>
      </w:r>
      <w:hyperlink r:id="rId15" w:history="1">
        <w:r w:rsidR="00B10CAA" w:rsidRPr="00D67B92">
          <w:rPr>
            <w:rStyle w:val="Hipersaitas"/>
            <w:rFonts w:ascii="Times New Roman" w:hAnsi="Times New Roman" w:cs="Times New Roman"/>
            <w:sz w:val="22"/>
            <w:szCs w:val="22"/>
            <w:lang w:val="lt-LT"/>
          </w:rPr>
          <w:t>https://vvkt.lrv.lt/lt/</w:t>
        </w:r>
      </w:hyperlink>
      <w:r w:rsidR="00F009AF" w:rsidRPr="00F009AF">
        <w:rPr>
          <w:rFonts w:ascii="Times New Roman" w:hAnsi="Times New Roman" w:cs="Times New Roman"/>
          <w:sz w:val="22"/>
          <w:szCs w:val="22"/>
          <w:lang w:val="lt-LT"/>
        </w:rPr>
        <w:t>.</w:t>
      </w:r>
    </w:p>
    <w:bookmarkEnd w:id="12"/>
    <w:p w14:paraId="34BA51C7" w14:textId="77777777" w:rsidR="000928CA" w:rsidRPr="004F572A" w:rsidRDefault="000928CA" w:rsidP="000928CA">
      <w:pPr>
        <w:pageBreakBefore/>
        <w:rPr>
          <w:sz w:val="22"/>
          <w:szCs w:val="22"/>
        </w:rPr>
      </w:pPr>
    </w:p>
    <w:p w14:paraId="6AE00F17" w14:textId="77777777" w:rsidR="000928CA" w:rsidRPr="004F572A" w:rsidRDefault="000928CA" w:rsidP="000928CA">
      <w:pPr>
        <w:rPr>
          <w:sz w:val="22"/>
          <w:szCs w:val="22"/>
        </w:rPr>
      </w:pPr>
    </w:p>
    <w:p w14:paraId="30AFD05B" w14:textId="77777777" w:rsidR="000928CA" w:rsidRPr="004F572A" w:rsidRDefault="000928CA" w:rsidP="000928CA">
      <w:pPr>
        <w:rPr>
          <w:sz w:val="22"/>
          <w:szCs w:val="22"/>
        </w:rPr>
      </w:pPr>
    </w:p>
    <w:p w14:paraId="63D8F538" w14:textId="77777777" w:rsidR="000928CA" w:rsidRPr="004F572A" w:rsidRDefault="000928CA" w:rsidP="000928CA">
      <w:pPr>
        <w:rPr>
          <w:sz w:val="22"/>
          <w:szCs w:val="22"/>
        </w:rPr>
      </w:pPr>
    </w:p>
    <w:p w14:paraId="15444E19" w14:textId="77777777" w:rsidR="000928CA" w:rsidRPr="004F572A" w:rsidRDefault="000928CA" w:rsidP="000928CA">
      <w:pPr>
        <w:rPr>
          <w:sz w:val="22"/>
          <w:szCs w:val="22"/>
        </w:rPr>
      </w:pPr>
    </w:p>
    <w:p w14:paraId="7874C602" w14:textId="77777777" w:rsidR="000928CA" w:rsidRPr="004F572A" w:rsidRDefault="000928CA" w:rsidP="000928CA">
      <w:pPr>
        <w:rPr>
          <w:sz w:val="22"/>
          <w:szCs w:val="22"/>
        </w:rPr>
      </w:pPr>
    </w:p>
    <w:p w14:paraId="32DD2C05" w14:textId="77777777" w:rsidR="000928CA" w:rsidRPr="004F572A" w:rsidRDefault="000928CA" w:rsidP="000928CA">
      <w:pPr>
        <w:rPr>
          <w:sz w:val="22"/>
          <w:szCs w:val="22"/>
        </w:rPr>
      </w:pPr>
    </w:p>
    <w:p w14:paraId="69EE87DE" w14:textId="77777777" w:rsidR="000928CA" w:rsidRPr="004F572A" w:rsidRDefault="000928CA" w:rsidP="000928CA">
      <w:pPr>
        <w:rPr>
          <w:sz w:val="22"/>
          <w:szCs w:val="22"/>
        </w:rPr>
      </w:pPr>
    </w:p>
    <w:p w14:paraId="7EDF377F" w14:textId="77777777" w:rsidR="000928CA" w:rsidRPr="004F572A" w:rsidRDefault="000928CA" w:rsidP="000928CA">
      <w:pPr>
        <w:rPr>
          <w:sz w:val="22"/>
          <w:szCs w:val="22"/>
        </w:rPr>
      </w:pPr>
    </w:p>
    <w:p w14:paraId="5460F9E6" w14:textId="77777777" w:rsidR="000928CA" w:rsidRPr="004F572A" w:rsidRDefault="000928CA" w:rsidP="000928CA">
      <w:pPr>
        <w:rPr>
          <w:sz w:val="22"/>
          <w:szCs w:val="22"/>
        </w:rPr>
      </w:pPr>
    </w:p>
    <w:p w14:paraId="275FC2A6" w14:textId="77777777" w:rsidR="000928CA" w:rsidRPr="004F572A" w:rsidRDefault="000928CA" w:rsidP="000928CA">
      <w:pPr>
        <w:rPr>
          <w:sz w:val="22"/>
          <w:szCs w:val="22"/>
        </w:rPr>
      </w:pPr>
    </w:p>
    <w:p w14:paraId="1FBB28D5" w14:textId="77777777" w:rsidR="000928CA" w:rsidRPr="004F572A" w:rsidRDefault="000928CA" w:rsidP="000928CA">
      <w:pPr>
        <w:rPr>
          <w:sz w:val="22"/>
          <w:szCs w:val="22"/>
        </w:rPr>
      </w:pPr>
    </w:p>
    <w:p w14:paraId="6A1A34A4" w14:textId="77777777" w:rsidR="000928CA" w:rsidRPr="004F572A" w:rsidRDefault="000928CA" w:rsidP="000928CA">
      <w:pPr>
        <w:rPr>
          <w:sz w:val="22"/>
          <w:szCs w:val="22"/>
        </w:rPr>
      </w:pPr>
    </w:p>
    <w:p w14:paraId="0A625970" w14:textId="77777777" w:rsidR="000928CA" w:rsidRPr="004F572A" w:rsidRDefault="000928CA" w:rsidP="000928CA">
      <w:pPr>
        <w:rPr>
          <w:sz w:val="22"/>
          <w:szCs w:val="22"/>
        </w:rPr>
      </w:pPr>
    </w:p>
    <w:p w14:paraId="7A0DD9B4" w14:textId="77777777" w:rsidR="000928CA" w:rsidRPr="004F572A" w:rsidRDefault="000928CA" w:rsidP="000928CA">
      <w:pPr>
        <w:rPr>
          <w:sz w:val="22"/>
          <w:szCs w:val="22"/>
        </w:rPr>
      </w:pPr>
    </w:p>
    <w:p w14:paraId="0065BB31" w14:textId="77777777" w:rsidR="000928CA" w:rsidRPr="004F572A" w:rsidRDefault="000928CA" w:rsidP="000928CA">
      <w:pPr>
        <w:jc w:val="center"/>
        <w:rPr>
          <w:b/>
          <w:sz w:val="22"/>
          <w:szCs w:val="22"/>
        </w:rPr>
      </w:pPr>
    </w:p>
    <w:p w14:paraId="59CAF062" w14:textId="77777777" w:rsidR="000928CA" w:rsidRPr="004F572A" w:rsidRDefault="000928CA" w:rsidP="000928CA">
      <w:pPr>
        <w:jc w:val="center"/>
        <w:rPr>
          <w:b/>
          <w:sz w:val="22"/>
          <w:szCs w:val="22"/>
        </w:rPr>
      </w:pPr>
    </w:p>
    <w:p w14:paraId="5974D889" w14:textId="77777777" w:rsidR="000928CA" w:rsidRPr="004F572A" w:rsidRDefault="000928CA" w:rsidP="000928CA">
      <w:pPr>
        <w:jc w:val="center"/>
        <w:rPr>
          <w:b/>
          <w:sz w:val="22"/>
          <w:szCs w:val="22"/>
        </w:rPr>
      </w:pPr>
    </w:p>
    <w:p w14:paraId="72A3EE70" w14:textId="77777777" w:rsidR="000928CA" w:rsidRPr="004F572A" w:rsidRDefault="000928CA" w:rsidP="000928CA">
      <w:pPr>
        <w:jc w:val="center"/>
        <w:rPr>
          <w:b/>
          <w:sz w:val="22"/>
          <w:szCs w:val="22"/>
        </w:rPr>
      </w:pPr>
    </w:p>
    <w:p w14:paraId="15FF2365" w14:textId="77777777" w:rsidR="000928CA" w:rsidRPr="004F572A" w:rsidRDefault="000928CA" w:rsidP="000928CA">
      <w:pPr>
        <w:jc w:val="center"/>
        <w:rPr>
          <w:b/>
          <w:sz w:val="22"/>
          <w:szCs w:val="22"/>
        </w:rPr>
      </w:pPr>
    </w:p>
    <w:p w14:paraId="77FD91F6" w14:textId="77777777" w:rsidR="000928CA" w:rsidRPr="004F572A" w:rsidRDefault="000928CA" w:rsidP="000928CA">
      <w:pPr>
        <w:jc w:val="center"/>
        <w:rPr>
          <w:b/>
          <w:sz w:val="22"/>
          <w:szCs w:val="22"/>
        </w:rPr>
      </w:pPr>
    </w:p>
    <w:p w14:paraId="55D57404" w14:textId="77777777" w:rsidR="000928CA" w:rsidRPr="004F572A" w:rsidRDefault="000928CA" w:rsidP="000928CA">
      <w:pPr>
        <w:jc w:val="center"/>
        <w:rPr>
          <w:b/>
          <w:sz w:val="22"/>
          <w:szCs w:val="22"/>
        </w:rPr>
      </w:pPr>
    </w:p>
    <w:p w14:paraId="78D09BC9" w14:textId="77777777" w:rsidR="000928CA" w:rsidRPr="004F572A" w:rsidRDefault="000928CA" w:rsidP="000928CA">
      <w:pPr>
        <w:jc w:val="center"/>
        <w:rPr>
          <w:sz w:val="22"/>
          <w:szCs w:val="22"/>
        </w:rPr>
      </w:pPr>
      <w:r w:rsidRPr="004F572A">
        <w:rPr>
          <w:b/>
          <w:sz w:val="22"/>
          <w:szCs w:val="22"/>
        </w:rPr>
        <w:t>II PRIEDAS</w:t>
      </w:r>
    </w:p>
    <w:p w14:paraId="75F56228" w14:textId="77777777" w:rsidR="000928CA" w:rsidRPr="004F572A" w:rsidRDefault="000928CA" w:rsidP="000928CA">
      <w:pPr>
        <w:ind w:right="1416"/>
        <w:rPr>
          <w:sz w:val="22"/>
          <w:szCs w:val="22"/>
        </w:rPr>
      </w:pPr>
    </w:p>
    <w:p w14:paraId="61C38759" w14:textId="77777777" w:rsidR="000928CA" w:rsidRPr="004F572A" w:rsidRDefault="000928CA" w:rsidP="000928CA">
      <w:pPr>
        <w:jc w:val="center"/>
        <w:rPr>
          <w:sz w:val="22"/>
          <w:szCs w:val="22"/>
        </w:rPr>
      </w:pPr>
      <w:r w:rsidRPr="004F572A">
        <w:rPr>
          <w:b/>
          <w:sz w:val="22"/>
          <w:szCs w:val="22"/>
        </w:rPr>
        <w:t>REGISTRACIJOS SĄLYGOS</w:t>
      </w:r>
    </w:p>
    <w:p w14:paraId="252C540D" w14:textId="77777777" w:rsidR="000928CA" w:rsidRPr="004F572A" w:rsidRDefault="000928CA" w:rsidP="000928CA">
      <w:pPr>
        <w:rPr>
          <w:sz w:val="22"/>
          <w:szCs w:val="22"/>
        </w:rPr>
      </w:pPr>
    </w:p>
    <w:p w14:paraId="30A12DB9" w14:textId="77777777" w:rsidR="000928CA" w:rsidRPr="004F572A" w:rsidRDefault="000928CA" w:rsidP="000928CA">
      <w:pPr>
        <w:tabs>
          <w:tab w:val="clear" w:pos="567"/>
          <w:tab w:val="left" w:pos="1701"/>
        </w:tabs>
        <w:ind w:left="1701" w:right="567" w:hanging="540"/>
        <w:rPr>
          <w:sz w:val="22"/>
          <w:szCs w:val="22"/>
        </w:rPr>
      </w:pPr>
      <w:r w:rsidRPr="004F572A">
        <w:rPr>
          <w:b/>
          <w:sz w:val="22"/>
          <w:szCs w:val="22"/>
        </w:rPr>
        <w:t>A.</w:t>
      </w:r>
      <w:r w:rsidRPr="004F572A">
        <w:rPr>
          <w:b/>
          <w:sz w:val="22"/>
          <w:szCs w:val="22"/>
        </w:rPr>
        <w:tab/>
        <w:t>GAMINTOJAS (-AI), ATSAKINGAS (-I) UŽ SERIJŲ IŠLEIDIMĄ</w:t>
      </w:r>
    </w:p>
    <w:p w14:paraId="3263D21F" w14:textId="77777777" w:rsidR="000928CA" w:rsidRPr="004F572A" w:rsidRDefault="000928CA" w:rsidP="000928CA">
      <w:pPr>
        <w:tabs>
          <w:tab w:val="clear" w:pos="567"/>
          <w:tab w:val="left" w:pos="1701"/>
        </w:tabs>
        <w:ind w:left="945" w:right="567"/>
        <w:rPr>
          <w:sz w:val="22"/>
          <w:szCs w:val="22"/>
        </w:rPr>
      </w:pPr>
    </w:p>
    <w:p w14:paraId="3A80C6C7" w14:textId="77777777" w:rsidR="000928CA" w:rsidRPr="004F572A" w:rsidRDefault="000928CA" w:rsidP="000928CA">
      <w:pPr>
        <w:tabs>
          <w:tab w:val="clear" w:pos="567"/>
          <w:tab w:val="left" w:pos="1701"/>
        </w:tabs>
        <w:ind w:left="1701" w:right="567" w:hanging="567"/>
        <w:rPr>
          <w:sz w:val="22"/>
          <w:szCs w:val="22"/>
        </w:rPr>
      </w:pPr>
      <w:r w:rsidRPr="004F572A">
        <w:rPr>
          <w:b/>
          <w:sz w:val="22"/>
          <w:szCs w:val="22"/>
        </w:rPr>
        <w:t>B.</w:t>
      </w:r>
      <w:r w:rsidRPr="004F572A">
        <w:rPr>
          <w:b/>
          <w:sz w:val="22"/>
          <w:szCs w:val="22"/>
        </w:rPr>
        <w:tab/>
        <w:t>TIEKIMO IR VARTOJIMO SĄLYGOS AR APRIBOJIMAI</w:t>
      </w:r>
    </w:p>
    <w:p w14:paraId="7956A020" w14:textId="77777777" w:rsidR="000928CA" w:rsidRPr="004F572A" w:rsidRDefault="000928CA" w:rsidP="000928CA">
      <w:pPr>
        <w:tabs>
          <w:tab w:val="clear" w:pos="567"/>
          <w:tab w:val="left" w:pos="1701"/>
        </w:tabs>
        <w:ind w:right="567"/>
        <w:rPr>
          <w:sz w:val="22"/>
          <w:szCs w:val="22"/>
        </w:rPr>
      </w:pPr>
    </w:p>
    <w:p w14:paraId="0B49D1AE" w14:textId="77777777" w:rsidR="000928CA" w:rsidRPr="004F572A" w:rsidRDefault="000928CA" w:rsidP="000928CA">
      <w:pPr>
        <w:tabs>
          <w:tab w:val="clear" w:pos="567"/>
          <w:tab w:val="left" w:pos="1701"/>
        </w:tabs>
        <w:ind w:right="567"/>
        <w:rPr>
          <w:b/>
          <w:sz w:val="22"/>
          <w:szCs w:val="22"/>
        </w:rPr>
      </w:pPr>
    </w:p>
    <w:p w14:paraId="29FDC2F9" w14:textId="77777777" w:rsidR="000928CA" w:rsidRPr="004F572A" w:rsidRDefault="000928CA" w:rsidP="000928CA">
      <w:pPr>
        <w:ind w:right="1558"/>
        <w:rPr>
          <w:b/>
          <w:sz w:val="22"/>
          <w:szCs w:val="22"/>
        </w:rPr>
      </w:pPr>
    </w:p>
    <w:p w14:paraId="072D9E3B" w14:textId="77777777" w:rsidR="000928CA" w:rsidRPr="004F572A" w:rsidRDefault="000928CA" w:rsidP="000928CA">
      <w:pPr>
        <w:rPr>
          <w:sz w:val="22"/>
          <w:szCs w:val="22"/>
        </w:rPr>
      </w:pPr>
    </w:p>
    <w:p w14:paraId="7C1BF3C1" w14:textId="77777777" w:rsidR="000928CA" w:rsidRPr="004F572A" w:rsidRDefault="000928CA" w:rsidP="000928CA">
      <w:pPr>
        <w:ind w:right="-1"/>
        <w:rPr>
          <w:sz w:val="22"/>
          <w:szCs w:val="22"/>
        </w:rPr>
      </w:pPr>
    </w:p>
    <w:p w14:paraId="57632767" w14:textId="77777777" w:rsidR="000928CA" w:rsidRPr="004F572A" w:rsidRDefault="000928CA" w:rsidP="000928CA">
      <w:pPr>
        <w:pageBreakBefore/>
        <w:rPr>
          <w:sz w:val="22"/>
          <w:szCs w:val="22"/>
        </w:rPr>
      </w:pPr>
      <w:r w:rsidRPr="004F572A">
        <w:rPr>
          <w:b/>
          <w:sz w:val="22"/>
          <w:szCs w:val="22"/>
        </w:rPr>
        <w:lastRenderedPageBreak/>
        <w:t>A.</w:t>
      </w:r>
      <w:r w:rsidRPr="004F572A">
        <w:rPr>
          <w:b/>
          <w:sz w:val="22"/>
          <w:szCs w:val="22"/>
        </w:rPr>
        <w:tab/>
        <w:t>GAMINTOJAS (-AI), ATSAKINGAS (-I) UŽ SERIJŲ IŠLEIDIMĄ</w:t>
      </w:r>
    </w:p>
    <w:p w14:paraId="11EB70AA" w14:textId="77777777" w:rsidR="000928CA" w:rsidRPr="004F572A" w:rsidRDefault="000928CA" w:rsidP="000928CA">
      <w:pPr>
        <w:rPr>
          <w:sz w:val="22"/>
          <w:szCs w:val="22"/>
        </w:rPr>
      </w:pPr>
    </w:p>
    <w:p w14:paraId="104DDFDC" w14:textId="77777777" w:rsidR="000928CA" w:rsidRPr="004F572A" w:rsidRDefault="000928CA" w:rsidP="000928CA">
      <w:pPr>
        <w:rPr>
          <w:i/>
          <w:sz w:val="22"/>
          <w:szCs w:val="22"/>
        </w:rPr>
      </w:pPr>
      <w:r w:rsidRPr="004F572A">
        <w:rPr>
          <w:sz w:val="22"/>
          <w:szCs w:val="22"/>
          <w:u w:val="single"/>
        </w:rPr>
        <w:t>Gamintojo (-ų), atsakingo (-ų) už serijų išleidimą, pavadinimas (-ai) ir adresas (-ai)</w:t>
      </w:r>
    </w:p>
    <w:p w14:paraId="1691B3F2" w14:textId="77777777" w:rsidR="000928CA" w:rsidRPr="004F572A" w:rsidRDefault="000928CA" w:rsidP="000928CA">
      <w:pPr>
        <w:pStyle w:val="Antrat4"/>
        <w:rPr>
          <w:rFonts w:ascii="Times New Roman" w:hAnsi="Times New Roman" w:cs="Times New Roman"/>
          <w:b w:val="0"/>
          <w:i/>
          <w:sz w:val="22"/>
          <w:szCs w:val="22"/>
          <w:lang w:val="lt-LT"/>
        </w:rPr>
      </w:pPr>
    </w:p>
    <w:p w14:paraId="047E6E55" w14:textId="77777777" w:rsidR="00615B94" w:rsidRPr="004F572A" w:rsidRDefault="00615B94" w:rsidP="00615B94">
      <w:pPr>
        <w:tabs>
          <w:tab w:val="left" w:pos="425"/>
        </w:tabs>
        <w:rPr>
          <w:sz w:val="22"/>
          <w:szCs w:val="22"/>
        </w:rPr>
      </w:pPr>
      <w:proofErr w:type="spellStart"/>
      <w:r w:rsidRPr="004F572A">
        <w:rPr>
          <w:sz w:val="22"/>
          <w:szCs w:val="22"/>
        </w:rPr>
        <w:t>Synthon</w:t>
      </w:r>
      <w:proofErr w:type="spellEnd"/>
      <w:r w:rsidRPr="004F572A">
        <w:rPr>
          <w:sz w:val="22"/>
          <w:szCs w:val="22"/>
        </w:rPr>
        <w:t xml:space="preserve"> </w:t>
      </w:r>
      <w:proofErr w:type="spellStart"/>
      <w:r w:rsidRPr="004F572A">
        <w:rPr>
          <w:sz w:val="22"/>
          <w:szCs w:val="22"/>
        </w:rPr>
        <w:t>Hispania</w:t>
      </w:r>
      <w:proofErr w:type="spellEnd"/>
      <w:r w:rsidRPr="004F572A">
        <w:rPr>
          <w:sz w:val="22"/>
          <w:szCs w:val="22"/>
        </w:rPr>
        <w:t xml:space="preserve"> S.L. </w:t>
      </w:r>
    </w:p>
    <w:p w14:paraId="670016DE" w14:textId="3D7D2197" w:rsidR="00615B94" w:rsidRPr="004F572A" w:rsidRDefault="00615B94" w:rsidP="00615B94">
      <w:pPr>
        <w:tabs>
          <w:tab w:val="left" w:pos="425"/>
        </w:tabs>
        <w:rPr>
          <w:sz w:val="22"/>
          <w:szCs w:val="22"/>
        </w:rPr>
      </w:pPr>
      <w:proofErr w:type="spellStart"/>
      <w:r w:rsidRPr="004F572A">
        <w:rPr>
          <w:sz w:val="22"/>
          <w:szCs w:val="22"/>
        </w:rPr>
        <w:t>Calle</w:t>
      </w:r>
      <w:proofErr w:type="spellEnd"/>
      <w:r w:rsidRPr="004F572A">
        <w:rPr>
          <w:sz w:val="22"/>
          <w:szCs w:val="22"/>
        </w:rPr>
        <w:t xml:space="preserve"> De </w:t>
      </w:r>
      <w:proofErr w:type="spellStart"/>
      <w:r w:rsidRPr="004F572A">
        <w:rPr>
          <w:sz w:val="22"/>
          <w:szCs w:val="22"/>
        </w:rPr>
        <w:t>Castello</w:t>
      </w:r>
      <w:proofErr w:type="spellEnd"/>
      <w:r w:rsidRPr="004F572A">
        <w:rPr>
          <w:sz w:val="22"/>
          <w:szCs w:val="22"/>
        </w:rPr>
        <w:t xml:space="preserve"> 1 </w:t>
      </w:r>
    </w:p>
    <w:p w14:paraId="097A2B7A" w14:textId="77777777" w:rsidR="00615B94" w:rsidRPr="004F572A" w:rsidRDefault="00615B94" w:rsidP="00615B94">
      <w:pPr>
        <w:tabs>
          <w:tab w:val="left" w:pos="425"/>
        </w:tabs>
        <w:rPr>
          <w:sz w:val="22"/>
          <w:szCs w:val="22"/>
        </w:rPr>
      </w:pPr>
      <w:proofErr w:type="spellStart"/>
      <w:r w:rsidRPr="004F572A">
        <w:rPr>
          <w:sz w:val="22"/>
          <w:szCs w:val="22"/>
        </w:rPr>
        <w:t>Sant</w:t>
      </w:r>
      <w:proofErr w:type="spellEnd"/>
      <w:r w:rsidRPr="004F572A">
        <w:rPr>
          <w:sz w:val="22"/>
          <w:szCs w:val="22"/>
        </w:rPr>
        <w:t xml:space="preserve"> </w:t>
      </w:r>
      <w:proofErr w:type="spellStart"/>
      <w:r w:rsidRPr="004F572A">
        <w:rPr>
          <w:sz w:val="22"/>
          <w:szCs w:val="22"/>
        </w:rPr>
        <w:t>Boi</w:t>
      </w:r>
      <w:proofErr w:type="spellEnd"/>
      <w:r w:rsidRPr="004F572A">
        <w:rPr>
          <w:sz w:val="22"/>
          <w:szCs w:val="22"/>
        </w:rPr>
        <w:t xml:space="preserve"> De </w:t>
      </w:r>
      <w:proofErr w:type="spellStart"/>
      <w:r w:rsidRPr="004F572A">
        <w:rPr>
          <w:sz w:val="22"/>
          <w:szCs w:val="22"/>
        </w:rPr>
        <w:t>Llobregat</w:t>
      </w:r>
      <w:proofErr w:type="spellEnd"/>
      <w:r w:rsidRPr="004F572A">
        <w:rPr>
          <w:sz w:val="22"/>
          <w:szCs w:val="22"/>
        </w:rPr>
        <w:t xml:space="preserve"> </w:t>
      </w:r>
    </w:p>
    <w:p w14:paraId="2EE29F38" w14:textId="77777777" w:rsidR="00615B94" w:rsidRPr="004F572A" w:rsidRDefault="00615B94" w:rsidP="00615B94">
      <w:pPr>
        <w:tabs>
          <w:tab w:val="left" w:pos="425"/>
        </w:tabs>
        <w:rPr>
          <w:sz w:val="22"/>
          <w:szCs w:val="22"/>
        </w:rPr>
      </w:pPr>
      <w:proofErr w:type="spellStart"/>
      <w:r w:rsidRPr="004F572A">
        <w:rPr>
          <w:sz w:val="22"/>
          <w:szCs w:val="22"/>
        </w:rPr>
        <w:t>Barcelona</w:t>
      </w:r>
      <w:proofErr w:type="spellEnd"/>
      <w:r w:rsidRPr="004F572A">
        <w:rPr>
          <w:sz w:val="22"/>
          <w:szCs w:val="22"/>
        </w:rPr>
        <w:t xml:space="preserve"> </w:t>
      </w:r>
    </w:p>
    <w:p w14:paraId="4702EE27" w14:textId="7BDDA16A" w:rsidR="00615B94" w:rsidRPr="004F572A" w:rsidRDefault="00615B94" w:rsidP="00615B94">
      <w:pPr>
        <w:tabs>
          <w:tab w:val="left" w:pos="425"/>
        </w:tabs>
        <w:rPr>
          <w:sz w:val="22"/>
          <w:szCs w:val="22"/>
        </w:rPr>
      </w:pPr>
      <w:r w:rsidRPr="004F572A">
        <w:rPr>
          <w:sz w:val="22"/>
          <w:szCs w:val="22"/>
        </w:rPr>
        <w:t xml:space="preserve">08830, Ispanija </w:t>
      </w:r>
    </w:p>
    <w:p w14:paraId="68FE4C7F" w14:textId="77777777" w:rsidR="00615B94" w:rsidRDefault="00615B94" w:rsidP="00615B94">
      <w:pPr>
        <w:tabs>
          <w:tab w:val="left" w:pos="425"/>
        </w:tabs>
        <w:rPr>
          <w:sz w:val="22"/>
          <w:szCs w:val="22"/>
        </w:rPr>
      </w:pPr>
    </w:p>
    <w:p w14:paraId="74C8E7B8" w14:textId="7660D55A" w:rsidR="004F5C2E" w:rsidRDefault="004F5C2E" w:rsidP="00615B94">
      <w:pPr>
        <w:tabs>
          <w:tab w:val="left" w:pos="425"/>
        </w:tabs>
        <w:rPr>
          <w:sz w:val="22"/>
          <w:szCs w:val="22"/>
        </w:rPr>
      </w:pPr>
      <w:r>
        <w:rPr>
          <w:sz w:val="22"/>
          <w:szCs w:val="22"/>
        </w:rPr>
        <w:t>arba</w:t>
      </w:r>
    </w:p>
    <w:p w14:paraId="126B035F" w14:textId="77777777" w:rsidR="004F5C2E" w:rsidRPr="004F572A" w:rsidRDefault="004F5C2E" w:rsidP="00615B94">
      <w:pPr>
        <w:tabs>
          <w:tab w:val="left" w:pos="425"/>
        </w:tabs>
        <w:rPr>
          <w:sz w:val="22"/>
          <w:szCs w:val="22"/>
        </w:rPr>
      </w:pPr>
    </w:p>
    <w:p w14:paraId="5046A364" w14:textId="77777777" w:rsidR="00615B94" w:rsidRPr="004F572A" w:rsidRDefault="00615B94" w:rsidP="00615B94">
      <w:pPr>
        <w:tabs>
          <w:tab w:val="left" w:pos="425"/>
        </w:tabs>
        <w:rPr>
          <w:sz w:val="22"/>
          <w:szCs w:val="22"/>
        </w:rPr>
      </w:pPr>
      <w:proofErr w:type="spellStart"/>
      <w:r w:rsidRPr="004F572A">
        <w:rPr>
          <w:sz w:val="22"/>
          <w:szCs w:val="22"/>
        </w:rPr>
        <w:t>Synthon</w:t>
      </w:r>
      <w:proofErr w:type="spellEnd"/>
      <w:r w:rsidRPr="004F572A">
        <w:rPr>
          <w:sz w:val="22"/>
          <w:szCs w:val="22"/>
        </w:rPr>
        <w:t xml:space="preserve"> B.V. </w:t>
      </w:r>
    </w:p>
    <w:p w14:paraId="40F70A78" w14:textId="77777777" w:rsidR="00615B94" w:rsidRPr="004F572A" w:rsidRDefault="00615B94" w:rsidP="00615B94">
      <w:pPr>
        <w:tabs>
          <w:tab w:val="left" w:pos="425"/>
        </w:tabs>
        <w:rPr>
          <w:sz w:val="22"/>
          <w:szCs w:val="22"/>
        </w:rPr>
      </w:pPr>
      <w:proofErr w:type="spellStart"/>
      <w:r w:rsidRPr="004F572A">
        <w:rPr>
          <w:sz w:val="22"/>
          <w:szCs w:val="22"/>
        </w:rPr>
        <w:t>Microweg</w:t>
      </w:r>
      <w:proofErr w:type="spellEnd"/>
      <w:r w:rsidRPr="004F572A">
        <w:rPr>
          <w:sz w:val="22"/>
          <w:szCs w:val="22"/>
        </w:rPr>
        <w:t xml:space="preserve"> 22 </w:t>
      </w:r>
    </w:p>
    <w:p w14:paraId="605980F2" w14:textId="77777777" w:rsidR="00615B94" w:rsidRPr="004F572A" w:rsidRDefault="00615B94" w:rsidP="00615B94">
      <w:pPr>
        <w:tabs>
          <w:tab w:val="left" w:pos="425"/>
        </w:tabs>
        <w:rPr>
          <w:sz w:val="22"/>
          <w:szCs w:val="22"/>
        </w:rPr>
      </w:pPr>
      <w:proofErr w:type="spellStart"/>
      <w:r w:rsidRPr="004F572A">
        <w:rPr>
          <w:sz w:val="22"/>
          <w:szCs w:val="22"/>
        </w:rPr>
        <w:t>Nijmegen</w:t>
      </w:r>
      <w:proofErr w:type="spellEnd"/>
      <w:r w:rsidRPr="004F572A">
        <w:rPr>
          <w:sz w:val="22"/>
          <w:szCs w:val="22"/>
        </w:rPr>
        <w:t xml:space="preserve"> </w:t>
      </w:r>
    </w:p>
    <w:p w14:paraId="64B4BE92" w14:textId="77777777" w:rsidR="00615B94" w:rsidRPr="004F572A" w:rsidRDefault="00615B94" w:rsidP="00615B94">
      <w:pPr>
        <w:tabs>
          <w:tab w:val="left" w:pos="425"/>
        </w:tabs>
        <w:rPr>
          <w:sz w:val="22"/>
          <w:szCs w:val="22"/>
        </w:rPr>
      </w:pPr>
      <w:proofErr w:type="spellStart"/>
      <w:r w:rsidRPr="004F572A">
        <w:rPr>
          <w:sz w:val="22"/>
          <w:szCs w:val="22"/>
        </w:rPr>
        <w:t>Gelderland</w:t>
      </w:r>
      <w:proofErr w:type="spellEnd"/>
      <w:r w:rsidRPr="004F572A">
        <w:rPr>
          <w:sz w:val="22"/>
          <w:szCs w:val="22"/>
        </w:rPr>
        <w:t xml:space="preserve"> </w:t>
      </w:r>
    </w:p>
    <w:p w14:paraId="04FFCE25" w14:textId="70250AB7" w:rsidR="00615B94" w:rsidRPr="004F572A" w:rsidRDefault="00615B94" w:rsidP="00615B94">
      <w:pPr>
        <w:tabs>
          <w:tab w:val="left" w:pos="425"/>
        </w:tabs>
        <w:rPr>
          <w:sz w:val="22"/>
          <w:szCs w:val="22"/>
        </w:rPr>
      </w:pPr>
      <w:r w:rsidRPr="004F572A">
        <w:rPr>
          <w:sz w:val="22"/>
          <w:szCs w:val="22"/>
        </w:rPr>
        <w:t>6545 CM , Nyderlandai</w:t>
      </w:r>
    </w:p>
    <w:p w14:paraId="3809CBD7" w14:textId="77777777" w:rsidR="000928CA" w:rsidRDefault="000928CA" w:rsidP="000928CA">
      <w:pPr>
        <w:rPr>
          <w:sz w:val="22"/>
          <w:szCs w:val="22"/>
        </w:rPr>
      </w:pPr>
    </w:p>
    <w:p w14:paraId="029F3A3E" w14:textId="74F28B4B" w:rsidR="00F009AF" w:rsidRPr="00F009AF" w:rsidRDefault="00F009AF" w:rsidP="00F009AF">
      <w:pPr>
        <w:rPr>
          <w:sz w:val="22"/>
          <w:szCs w:val="22"/>
        </w:rPr>
      </w:pPr>
      <w:r w:rsidRPr="00F009AF">
        <w:rPr>
          <w:sz w:val="22"/>
          <w:szCs w:val="22"/>
        </w:rPr>
        <w:t>Su pakuote pateikiamame lapelyje nurodomas gamintojo, atsakingo už konkrečios serijos išleidimą, pavadinimas ir adresas.</w:t>
      </w:r>
    </w:p>
    <w:p w14:paraId="29974C87" w14:textId="77777777" w:rsidR="00F009AF" w:rsidRDefault="00F009AF" w:rsidP="000928CA">
      <w:pPr>
        <w:rPr>
          <w:sz w:val="22"/>
          <w:szCs w:val="22"/>
        </w:rPr>
      </w:pPr>
    </w:p>
    <w:p w14:paraId="6D2F6A9A" w14:textId="77777777" w:rsidR="00F009AF" w:rsidRPr="004F572A" w:rsidRDefault="00F009AF" w:rsidP="000928CA">
      <w:pPr>
        <w:rPr>
          <w:sz w:val="22"/>
          <w:szCs w:val="22"/>
        </w:rPr>
      </w:pPr>
    </w:p>
    <w:p w14:paraId="6ADDC973" w14:textId="77777777" w:rsidR="000928CA" w:rsidRPr="004F572A" w:rsidRDefault="000928CA" w:rsidP="000928CA">
      <w:pPr>
        <w:rPr>
          <w:sz w:val="22"/>
          <w:szCs w:val="22"/>
        </w:rPr>
      </w:pPr>
      <w:r w:rsidRPr="004F572A">
        <w:rPr>
          <w:b/>
          <w:sz w:val="22"/>
          <w:szCs w:val="22"/>
        </w:rPr>
        <w:t>B.</w:t>
      </w:r>
      <w:r w:rsidRPr="004F572A">
        <w:rPr>
          <w:b/>
          <w:sz w:val="22"/>
          <w:szCs w:val="22"/>
        </w:rPr>
        <w:tab/>
        <w:t>TIEKIMO IR VARTOJIMO SĄLYGOS AR APRIBOJIMAI</w:t>
      </w:r>
    </w:p>
    <w:p w14:paraId="59863284" w14:textId="77777777" w:rsidR="000928CA" w:rsidRPr="004F572A" w:rsidRDefault="000928CA" w:rsidP="000928CA">
      <w:pPr>
        <w:rPr>
          <w:sz w:val="22"/>
          <w:szCs w:val="22"/>
        </w:rPr>
      </w:pPr>
    </w:p>
    <w:p w14:paraId="0C4CE7F8" w14:textId="77777777" w:rsidR="000928CA" w:rsidRPr="004F572A" w:rsidRDefault="000928CA" w:rsidP="000928CA">
      <w:pPr>
        <w:rPr>
          <w:sz w:val="22"/>
          <w:szCs w:val="22"/>
        </w:rPr>
      </w:pPr>
      <w:r w:rsidRPr="004F572A">
        <w:rPr>
          <w:sz w:val="22"/>
          <w:szCs w:val="22"/>
        </w:rPr>
        <w:t>Receptinis vaistinis preparatas.</w:t>
      </w:r>
    </w:p>
    <w:p w14:paraId="7D6BCBCA" w14:textId="77777777" w:rsidR="000928CA" w:rsidRPr="004F572A" w:rsidRDefault="000928CA" w:rsidP="000928CA">
      <w:pPr>
        <w:rPr>
          <w:sz w:val="22"/>
          <w:szCs w:val="22"/>
        </w:rPr>
      </w:pPr>
    </w:p>
    <w:p w14:paraId="2B75F527" w14:textId="77777777" w:rsidR="000928CA" w:rsidRPr="004F572A" w:rsidRDefault="000928CA" w:rsidP="000928CA">
      <w:pPr>
        <w:rPr>
          <w:sz w:val="22"/>
          <w:szCs w:val="22"/>
        </w:rPr>
      </w:pPr>
    </w:p>
    <w:p w14:paraId="674A9AE1" w14:textId="77777777" w:rsidR="000928CA" w:rsidRPr="004F572A" w:rsidRDefault="000928CA" w:rsidP="000928CA">
      <w:pPr>
        <w:pageBreakBefore/>
        <w:rPr>
          <w:sz w:val="22"/>
          <w:szCs w:val="22"/>
        </w:rPr>
      </w:pPr>
    </w:p>
    <w:p w14:paraId="34248F0B" w14:textId="77777777" w:rsidR="000928CA" w:rsidRPr="004F572A" w:rsidRDefault="000928CA" w:rsidP="000928CA">
      <w:pPr>
        <w:rPr>
          <w:sz w:val="22"/>
          <w:szCs w:val="22"/>
        </w:rPr>
      </w:pPr>
    </w:p>
    <w:p w14:paraId="799062A6" w14:textId="77777777" w:rsidR="000928CA" w:rsidRPr="004F572A" w:rsidRDefault="000928CA" w:rsidP="000928CA">
      <w:pPr>
        <w:rPr>
          <w:sz w:val="22"/>
          <w:szCs w:val="22"/>
        </w:rPr>
      </w:pPr>
    </w:p>
    <w:p w14:paraId="33256959" w14:textId="77777777" w:rsidR="000928CA" w:rsidRPr="004F572A" w:rsidRDefault="000928CA" w:rsidP="000928CA">
      <w:pPr>
        <w:rPr>
          <w:sz w:val="22"/>
          <w:szCs w:val="22"/>
        </w:rPr>
      </w:pPr>
    </w:p>
    <w:p w14:paraId="3D475CAA" w14:textId="77777777" w:rsidR="000928CA" w:rsidRPr="004F572A" w:rsidRDefault="000928CA" w:rsidP="000928CA">
      <w:pPr>
        <w:rPr>
          <w:sz w:val="22"/>
          <w:szCs w:val="22"/>
        </w:rPr>
      </w:pPr>
    </w:p>
    <w:p w14:paraId="75BABDB8" w14:textId="77777777" w:rsidR="000928CA" w:rsidRPr="004F572A" w:rsidRDefault="000928CA" w:rsidP="000928CA">
      <w:pPr>
        <w:rPr>
          <w:sz w:val="22"/>
          <w:szCs w:val="22"/>
        </w:rPr>
      </w:pPr>
    </w:p>
    <w:p w14:paraId="180D457D" w14:textId="77777777" w:rsidR="000928CA" w:rsidRPr="004F572A" w:rsidRDefault="000928CA" w:rsidP="000928CA">
      <w:pPr>
        <w:rPr>
          <w:sz w:val="22"/>
          <w:szCs w:val="22"/>
        </w:rPr>
      </w:pPr>
    </w:p>
    <w:p w14:paraId="502F99CF" w14:textId="77777777" w:rsidR="000928CA" w:rsidRPr="004F572A" w:rsidRDefault="000928CA" w:rsidP="000928CA">
      <w:pPr>
        <w:rPr>
          <w:sz w:val="22"/>
          <w:szCs w:val="22"/>
        </w:rPr>
      </w:pPr>
    </w:p>
    <w:p w14:paraId="4D2C8C64" w14:textId="77777777" w:rsidR="000928CA" w:rsidRPr="004F572A" w:rsidRDefault="000928CA" w:rsidP="000928CA">
      <w:pPr>
        <w:rPr>
          <w:sz w:val="22"/>
          <w:szCs w:val="22"/>
        </w:rPr>
      </w:pPr>
    </w:p>
    <w:p w14:paraId="4112AB46" w14:textId="77777777" w:rsidR="000928CA" w:rsidRPr="004F572A" w:rsidRDefault="000928CA" w:rsidP="000928CA">
      <w:pPr>
        <w:rPr>
          <w:b/>
          <w:sz w:val="22"/>
          <w:szCs w:val="22"/>
        </w:rPr>
      </w:pPr>
    </w:p>
    <w:p w14:paraId="04417932" w14:textId="77777777" w:rsidR="000928CA" w:rsidRPr="004F572A" w:rsidRDefault="000928CA" w:rsidP="000928CA">
      <w:pPr>
        <w:rPr>
          <w:b/>
          <w:sz w:val="22"/>
          <w:szCs w:val="22"/>
        </w:rPr>
      </w:pPr>
    </w:p>
    <w:p w14:paraId="5ED321B1" w14:textId="77777777" w:rsidR="000928CA" w:rsidRPr="004F572A" w:rsidRDefault="000928CA" w:rsidP="000928CA">
      <w:pPr>
        <w:rPr>
          <w:b/>
          <w:sz w:val="22"/>
          <w:szCs w:val="22"/>
        </w:rPr>
      </w:pPr>
    </w:p>
    <w:p w14:paraId="64C07BC9" w14:textId="77777777" w:rsidR="000928CA" w:rsidRPr="004F572A" w:rsidRDefault="000928CA" w:rsidP="000928CA">
      <w:pPr>
        <w:rPr>
          <w:b/>
          <w:sz w:val="22"/>
          <w:szCs w:val="22"/>
        </w:rPr>
      </w:pPr>
    </w:p>
    <w:p w14:paraId="4759AADB" w14:textId="77777777" w:rsidR="000928CA" w:rsidRPr="004F572A" w:rsidRDefault="000928CA" w:rsidP="000928CA">
      <w:pPr>
        <w:rPr>
          <w:b/>
          <w:sz w:val="22"/>
          <w:szCs w:val="22"/>
        </w:rPr>
      </w:pPr>
    </w:p>
    <w:p w14:paraId="55FC6F6B" w14:textId="77777777" w:rsidR="000928CA" w:rsidRPr="004F572A" w:rsidRDefault="000928CA" w:rsidP="000928CA">
      <w:pPr>
        <w:rPr>
          <w:b/>
          <w:sz w:val="22"/>
          <w:szCs w:val="22"/>
        </w:rPr>
      </w:pPr>
    </w:p>
    <w:p w14:paraId="504B503C" w14:textId="77777777" w:rsidR="000928CA" w:rsidRPr="004F572A" w:rsidRDefault="000928CA" w:rsidP="000928CA">
      <w:pPr>
        <w:rPr>
          <w:b/>
          <w:sz w:val="22"/>
          <w:szCs w:val="22"/>
        </w:rPr>
      </w:pPr>
    </w:p>
    <w:p w14:paraId="7451EB01" w14:textId="77777777" w:rsidR="000928CA" w:rsidRPr="004F572A" w:rsidRDefault="000928CA" w:rsidP="000928CA">
      <w:pPr>
        <w:rPr>
          <w:b/>
          <w:sz w:val="22"/>
          <w:szCs w:val="22"/>
        </w:rPr>
      </w:pPr>
    </w:p>
    <w:p w14:paraId="05B18412" w14:textId="77777777" w:rsidR="000928CA" w:rsidRPr="004F572A" w:rsidRDefault="000928CA" w:rsidP="000928CA">
      <w:pPr>
        <w:rPr>
          <w:b/>
          <w:sz w:val="22"/>
          <w:szCs w:val="22"/>
        </w:rPr>
      </w:pPr>
    </w:p>
    <w:p w14:paraId="06246003" w14:textId="77777777" w:rsidR="000928CA" w:rsidRPr="004F572A" w:rsidRDefault="000928CA" w:rsidP="000928CA">
      <w:pPr>
        <w:rPr>
          <w:b/>
          <w:sz w:val="22"/>
          <w:szCs w:val="22"/>
        </w:rPr>
      </w:pPr>
    </w:p>
    <w:p w14:paraId="3C8412C8" w14:textId="77777777" w:rsidR="000928CA" w:rsidRPr="004F572A" w:rsidRDefault="000928CA" w:rsidP="000928CA">
      <w:pPr>
        <w:rPr>
          <w:b/>
          <w:sz w:val="22"/>
          <w:szCs w:val="22"/>
        </w:rPr>
      </w:pPr>
    </w:p>
    <w:p w14:paraId="31D14545" w14:textId="77777777" w:rsidR="000928CA" w:rsidRPr="004F572A" w:rsidRDefault="000928CA" w:rsidP="000928CA">
      <w:pPr>
        <w:rPr>
          <w:b/>
          <w:sz w:val="22"/>
          <w:szCs w:val="22"/>
        </w:rPr>
      </w:pPr>
    </w:p>
    <w:p w14:paraId="445B2DE6" w14:textId="77777777" w:rsidR="000928CA" w:rsidRPr="004F572A" w:rsidRDefault="000928CA" w:rsidP="000928CA">
      <w:pPr>
        <w:rPr>
          <w:b/>
          <w:sz w:val="22"/>
          <w:szCs w:val="22"/>
        </w:rPr>
      </w:pPr>
    </w:p>
    <w:p w14:paraId="78FCB57B" w14:textId="77777777" w:rsidR="000928CA" w:rsidRPr="004F572A" w:rsidRDefault="000928CA" w:rsidP="000928CA">
      <w:pPr>
        <w:pStyle w:val="Antrat2"/>
        <w:spacing w:before="0" w:after="0"/>
        <w:jc w:val="center"/>
        <w:rPr>
          <w:rFonts w:ascii="Times New Roman" w:hAnsi="Times New Roman"/>
          <w:sz w:val="22"/>
          <w:szCs w:val="22"/>
          <w:lang w:val="lt-LT"/>
        </w:rPr>
      </w:pPr>
      <w:r w:rsidRPr="004F572A">
        <w:rPr>
          <w:rFonts w:ascii="Times New Roman" w:hAnsi="Times New Roman" w:cs="Times New Roman"/>
          <w:i w:val="0"/>
          <w:sz w:val="22"/>
          <w:szCs w:val="22"/>
          <w:lang w:val="lt-LT"/>
        </w:rPr>
        <w:t>III PRIEDAS</w:t>
      </w:r>
    </w:p>
    <w:p w14:paraId="11CB233A" w14:textId="77777777" w:rsidR="000928CA" w:rsidRPr="004F572A" w:rsidRDefault="000928CA" w:rsidP="000928CA">
      <w:pPr>
        <w:rPr>
          <w:sz w:val="22"/>
          <w:szCs w:val="22"/>
        </w:rPr>
      </w:pPr>
    </w:p>
    <w:p w14:paraId="39131F25" w14:textId="77777777" w:rsidR="000928CA" w:rsidRPr="004F572A" w:rsidRDefault="000928CA" w:rsidP="000928CA">
      <w:pPr>
        <w:pStyle w:val="Antrat2"/>
        <w:spacing w:before="0" w:after="0"/>
        <w:jc w:val="center"/>
        <w:rPr>
          <w:rFonts w:ascii="Times New Roman" w:hAnsi="Times New Roman"/>
          <w:sz w:val="22"/>
          <w:szCs w:val="22"/>
          <w:lang w:val="lt-LT"/>
        </w:rPr>
      </w:pPr>
      <w:r w:rsidRPr="004F572A">
        <w:rPr>
          <w:rFonts w:ascii="Times New Roman" w:hAnsi="Times New Roman" w:cs="Times New Roman"/>
          <w:i w:val="0"/>
          <w:sz w:val="22"/>
          <w:szCs w:val="22"/>
          <w:lang w:val="lt-LT"/>
        </w:rPr>
        <w:t>ŽENKLINIMAS IR PAKUOTĖS LAPELIS</w:t>
      </w:r>
    </w:p>
    <w:p w14:paraId="2D9E9553" w14:textId="77777777" w:rsidR="000928CA" w:rsidRPr="004F572A" w:rsidRDefault="000928CA" w:rsidP="000928CA">
      <w:pPr>
        <w:rPr>
          <w:sz w:val="22"/>
          <w:szCs w:val="22"/>
        </w:rPr>
      </w:pPr>
    </w:p>
    <w:p w14:paraId="37D3648C" w14:textId="77777777" w:rsidR="000928CA" w:rsidRPr="004F572A" w:rsidRDefault="000928CA" w:rsidP="000928CA">
      <w:pPr>
        <w:pageBreakBefore/>
        <w:rPr>
          <w:sz w:val="22"/>
          <w:szCs w:val="22"/>
        </w:rPr>
      </w:pPr>
    </w:p>
    <w:p w14:paraId="43C52F11" w14:textId="77777777" w:rsidR="000928CA" w:rsidRPr="004F572A" w:rsidRDefault="000928CA" w:rsidP="000928CA">
      <w:pPr>
        <w:rPr>
          <w:sz w:val="22"/>
          <w:szCs w:val="22"/>
        </w:rPr>
      </w:pPr>
    </w:p>
    <w:p w14:paraId="7EAB81B4" w14:textId="77777777" w:rsidR="000928CA" w:rsidRPr="004F572A" w:rsidRDefault="000928CA" w:rsidP="000928CA">
      <w:pPr>
        <w:rPr>
          <w:sz w:val="22"/>
          <w:szCs w:val="22"/>
        </w:rPr>
      </w:pPr>
    </w:p>
    <w:p w14:paraId="149BD120" w14:textId="77777777" w:rsidR="000928CA" w:rsidRPr="004F572A" w:rsidRDefault="000928CA" w:rsidP="000928CA">
      <w:pPr>
        <w:rPr>
          <w:sz w:val="22"/>
          <w:szCs w:val="22"/>
        </w:rPr>
      </w:pPr>
    </w:p>
    <w:p w14:paraId="38B2807B" w14:textId="77777777" w:rsidR="000928CA" w:rsidRPr="004F572A" w:rsidRDefault="000928CA" w:rsidP="000928CA">
      <w:pPr>
        <w:rPr>
          <w:sz w:val="22"/>
          <w:szCs w:val="22"/>
        </w:rPr>
      </w:pPr>
    </w:p>
    <w:p w14:paraId="32F7CFF1" w14:textId="77777777" w:rsidR="000928CA" w:rsidRPr="004F572A" w:rsidRDefault="000928CA" w:rsidP="000928CA">
      <w:pPr>
        <w:rPr>
          <w:sz w:val="22"/>
          <w:szCs w:val="22"/>
        </w:rPr>
      </w:pPr>
    </w:p>
    <w:p w14:paraId="67F1218C" w14:textId="77777777" w:rsidR="000928CA" w:rsidRPr="004F572A" w:rsidRDefault="000928CA" w:rsidP="000928CA">
      <w:pPr>
        <w:rPr>
          <w:sz w:val="22"/>
          <w:szCs w:val="22"/>
        </w:rPr>
      </w:pPr>
    </w:p>
    <w:p w14:paraId="28A0DF43" w14:textId="77777777" w:rsidR="000928CA" w:rsidRPr="004F572A" w:rsidRDefault="000928CA" w:rsidP="000928CA">
      <w:pPr>
        <w:rPr>
          <w:sz w:val="22"/>
          <w:szCs w:val="22"/>
        </w:rPr>
      </w:pPr>
    </w:p>
    <w:p w14:paraId="3EA1DA4B" w14:textId="77777777" w:rsidR="000928CA" w:rsidRPr="004F572A" w:rsidRDefault="000928CA" w:rsidP="000928CA">
      <w:pPr>
        <w:rPr>
          <w:sz w:val="22"/>
          <w:szCs w:val="22"/>
        </w:rPr>
      </w:pPr>
    </w:p>
    <w:p w14:paraId="624037A0" w14:textId="77777777" w:rsidR="000928CA" w:rsidRPr="004F572A" w:rsidRDefault="000928CA" w:rsidP="000928CA">
      <w:pPr>
        <w:rPr>
          <w:sz w:val="22"/>
          <w:szCs w:val="22"/>
        </w:rPr>
      </w:pPr>
    </w:p>
    <w:p w14:paraId="54A2E0CC" w14:textId="77777777" w:rsidR="000928CA" w:rsidRPr="004F572A" w:rsidRDefault="000928CA" w:rsidP="000928CA">
      <w:pPr>
        <w:rPr>
          <w:sz w:val="22"/>
          <w:szCs w:val="22"/>
        </w:rPr>
      </w:pPr>
    </w:p>
    <w:p w14:paraId="0796CCA0" w14:textId="77777777" w:rsidR="000928CA" w:rsidRPr="004F572A" w:rsidRDefault="000928CA" w:rsidP="000928CA">
      <w:pPr>
        <w:rPr>
          <w:sz w:val="22"/>
          <w:szCs w:val="22"/>
        </w:rPr>
      </w:pPr>
    </w:p>
    <w:p w14:paraId="3F34D9C9" w14:textId="77777777" w:rsidR="000928CA" w:rsidRPr="004F572A" w:rsidRDefault="000928CA" w:rsidP="000928CA">
      <w:pPr>
        <w:rPr>
          <w:sz w:val="22"/>
          <w:szCs w:val="22"/>
        </w:rPr>
      </w:pPr>
    </w:p>
    <w:p w14:paraId="6993CEAE" w14:textId="77777777" w:rsidR="000928CA" w:rsidRPr="004F572A" w:rsidRDefault="000928CA" w:rsidP="000928CA">
      <w:pPr>
        <w:rPr>
          <w:sz w:val="22"/>
          <w:szCs w:val="22"/>
        </w:rPr>
      </w:pPr>
    </w:p>
    <w:p w14:paraId="666CE12B" w14:textId="77777777" w:rsidR="000928CA" w:rsidRPr="004F572A" w:rsidRDefault="000928CA" w:rsidP="000928CA">
      <w:pPr>
        <w:rPr>
          <w:sz w:val="22"/>
          <w:szCs w:val="22"/>
        </w:rPr>
      </w:pPr>
    </w:p>
    <w:p w14:paraId="7A072767" w14:textId="77777777" w:rsidR="000928CA" w:rsidRPr="004F572A" w:rsidRDefault="000928CA" w:rsidP="000928CA">
      <w:pPr>
        <w:rPr>
          <w:sz w:val="22"/>
          <w:szCs w:val="22"/>
        </w:rPr>
      </w:pPr>
    </w:p>
    <w:p w14:paraId="7F7F9320" w14:textId="77777777" w:rsidR="000928CA" w:rsidRPr="004F572A" w:rsidRDefault="000928CA" w:rsidP="000928CA">
      <w:pPr>
        <w:rPr>
          <w:sz w:val="22"/>
          <w:szCs w:val="22"/>
        </w:rPr>
      </w:pPr>
    </w:p>
    <w:p w14:paraId="5C3C2471" w14:textId="77777777" w:rsidR="000928CA" w:rsidRPr="004F572A" w:rsidRDefault="000928CA" w:rsidP="000928CA">
      <w:pPr>
        <w:rPr>
          <w:sz w:val="22"/>
          <w:szCs w:val="22"/>
        </w:rPr>
      </w:pPr>
    </w:p>
    <w:p w14:paraId="0A4ED999" w14:textId="77777777" w:rsidR="000928CA" w:rsidRPr="004F572A" w:rsidRDefault="000928CA" w:rsidP="000928CA">
      <w:pPr>
        <w:rPr>
          <w:sz w:val="22"/>
          <w:szCs w:val="22"/>
        </w:rPr>
      </w:pPr>
    </w:p>
    <w:p w14:paraId="0DFE6E32" w14:textId="77777777" w:rsidR="000928CA" w:rsidRPr="004F572A" w:rsidRDefault="000928CA" w:rsidP="000928CA">
      <w:pPr>
        <w:rPr>
          <w:sz w:val="22"/>
          <w:szCs w:val="22"/>
        </w:rPr>
      </w:pPr>
    </w:p>
    <w:p w14:paraId="74D61CB3" w14:textId="77777777" w:rsidR="000928CA" w:rsidRPr="004F572A" w:rsidRDefault="000928CA" w:rsidP="000928CA">
      <w:pPr>
        <w:rPr>
          <w:sz w:val="22"/>
          <w:szCs w:val="22"/>
        </w:rPr>
      </w:pPr>
    </w:p>
    <w:p w14:paraId="5517E321" w14:textId="77777777" w:rsidR="000928CA" w:rsidRPr="004F572A" w:rsidRDefault="000928CA" w:rsidP="000928CA">
      <w:pPr>
        <w:rPr>
          <w:sz w:val="22"/>
          <w:szCs w:val="22"/>
        </w:rPr>
      </w:pPr>
    </w:p>
    <w:p w14:paraId="10715C9B" w14:textId="77777777" w:rsidR="000928CA" w:rsidRPr="004F572A" w:rsidRDefault="000928CA" w:rsidP="000928CA">
      <w:pPr>
        <w:pStyle w:val="Antrat2"/>
        <w:spacing w:before="0" w:after="0"/>
        <w:jc w:val="center"/>
        <w:rPr>
          <w:rFonts w:ascii="Times New Roman" w:hAnsi="Times New Roman"/>
          <w:sz w:val="22"/>
          <w:szCs w:val="22"/>
          <w:lang w:val="lt-LT"/>
        </w:rPr>
      </w:pPr>
      <w:r w:rsidRPr="004F572A">
        <w:rPr>
          <w:rFonts w:ascii="Times New Roman" w:hAnsi="Times New Roman" w:cs="Times New Roman"/>
          <w:i w:val="0"/>
          <w:sz w:val="22"/>
          <w:szCs w:val="22"/>
          <w:lang w:val="lt-LT"/>
        </w:rPr>
        <w:t>A. ŽENKLINIMAS</w:t>
      </w:r>
    </w:p>
    <w:p w14:paraId="67FA6432" w14:textId="77777777" w:rsidR="000928CA" w:rsidRPr="004F572A" w:rsidRDefault="000928CA" w:rsidP="000928CA">
      <w:pPr>
        <w:rPr>
          <w:sz w:val="22"/>
          <w:szCs w:val="22"/>
        </w:rPr>
      </w:pPr>
    </w:p>
    <w:p w14:paraId="0BE2D3B8" w14:textId="77777777" w:rsidR="000928CA" w:rsidRPr="004F572A" w:rsidRDefault="000928CA" w:rsidP="000928CA">
      <w:pPr>
        <w:pageBreakBefore/>
        <w:pBdr>
          <w:top w:val="single" w:sz="4" w:space="1" w:color="000000"/>
          <w:left w:val="single" w:sz="4" w:space="4" w:color="000000"/>
          <w:bottom w:val="single" w:sz="4" w:space="1" w:color="000000"/>
          <w:right w:val="single" w:sz="4" w:space="4" w:color="000000"/>
        </w:pBdr>
        <w:rPr>
          <w:b/>
          <w:sz w:val="22"/>
          <w:szCs w:val="22"/>
        </w:rPr>
      </w:pPr>
      <w:r w:rsidRPr="004F572A">
        <w:rPr>
          <w:b/>
          <w:sz w:val="22"/>
          <w:szCs w:val="22"/>
        </w:rPr>
        <w:lastRenderedPageBreak/>
        <w:t>INFORMACIJA ANT IŠORINĖS PAKUOTĖS</w:t>
      </w:r>
    </w:p>
    <w:p w14:paraId="17E0EF7F" w14:textId="77777777" w:rsidR="000928CA" w:rsidRPr="004F572A" w:rsidRDefault="000928CA" w:rsidP="000928CA">
      <w:pPr>
        <w:pBdr>
          <w:top w:val="single" w:sz="4" w:space="1" w:color="000000"/>
          <w:left w:val="single" w:sz="4" w:space="4" w:color="000000"/>
          <w:bottom w:val="single" w:sz="4" w:space="1" w:color="000000"/>
          <w:right w:val="single" w:sz="4" w:space="4" w:color="000000"/>
        </w:pBdr>
        <w:rPr>
          <w:b/>
          <w:sz w:val="22"/>
          <w:szCs w:val="22"/>
        </w:rPr>
      </w:pPr>
    </w:p>
    <w:p w14:paraId="2B5090B6" w14:textId="3946C0DE" w:rsidR="000928CA" w:rsidRPr="004F572A" w:rsidRDefault="00580E1E" w:rsidP="000928CA">
      <w:pPr>
        <w:pBdr>
          <w:top w:val="single" w:sz="4" w:space="1" w:color="000000"/>
          <w:left w:val="single" w:sz="4" w:space="4" w:color="000000"/>
          <w:bottom w:val="single" w:sz="4" w:space="1" w:color="000000"/>
          <w:right w:val="single" w:sz="4" w:space="4" w:color="000000"/>
        </w:pBdr>
        <w:rPr>
          <w:sz w:val="22"/>
          <w:szCs w:val="22"/>
        </w:rPr>
      </w:pPr>
      <w:r w:rsidRPr="004F572A">
        <w:rPr>
          <w:b/>
          <w:sz w:val="22"/>
          <w:szCs w:val="22"/>
        </w:rPr>
        <w:t xml:space="preserve">IŠORINĖ </w:t>
      </w:r>
      <w:r w:rsidR="000928CA" w:rsidRPr="004F572A">
        <w:rPr>
          <w:b/>
          <w:sz w:val="22"/>
          <w:szCs w:val="22"/>
        </w:rPr>
        <w:t>KARTONO DĖŽUTĖ</w:t>
      </w:r>
      <w:r w:rsidRPr="004F572A">
        <w:rPr>
          <w:b/>
          <w:sz w:val="22"/>
          <w:szCs w:val="22"/>
        </w:rPr>
        <w:t xml:space="preserve"> - </w:t>
      </w:r>
      <w:r w:rsidR="001A7C2D" w:rsidRPr="004F572A">
        <w:rPr>
          <w:b/>
          <w:sz w:val="22"/>
          <w:szCs w:val="22"/>
        </w:rPr>
        <w:t xml:space="preserve">ES visas / </w:t>
      </w:r>
      <w:r w:rsidR="001A7C2D" w:rsidRPr="004F572A">
        <w:rPr>
          <w:b/>
          <w:i/>
          <w:iCs/>
          <w:sz w:val="22"/>
          <w:szCs w:val="22"/>
          <w:shd w:val="clear" w:color="auto" w:fill="BFBFBF" w:themeFill="background1" w:themeFillShade="BF"/>
        </w:rPr>
        <w:t>sutrumpintas</w:t>
      </w:r>
      <w:r w:rsidR="001A7C2D" w:rsidRPr="004F572A">
        <w:rPr>
          <w:b/>
          <w:sz w:val="22"/>
          <w:szCs w:val="22"/>
        </w:rPr>
        <w:t xml:space="preserve"> harmonizuotas ženklinimo tekstas</w:t>
      </w:r>
    </w:p>
    <w:p w14:paraId="4CCC6B16" w14:textId="77777777" w:rsidR="000928CA" w:rsidRPr="004F572A" w:rsidRDefault="000928CA" w:rsidP="000928CA">
      <w:pPr>
        <w:rPr>
          <w:sz w:val="22"/>
          <w:szCs w:val="22"/>
        </w:rPr>
      </w:pPr>
    </w:p>
    <w:p w14:paraId="59350415" w14:textId="77777777" w:rsidR="000928CA" w:rsidRPr="004F572A" w:rsidRDefault="000928CA" w:rsidP="000928CA">
      <w:pPr>
        <w:rPr>
          <w:sz w:val="22"/>
          <w:szCs w:val="22"/>
        </w:rPr>
      </w:pPr>
    </w:p>
    <w:p w14:paraId="61EA7258" w14:textId="77777777" w:rsidR="000928CA" w:rsidRPr="004F572A" w:rsidRDefault="000928CA" w:rsidP="000928CA">
      <w:pPr>
        <w:pBdr>
          <w:top w:val="single" w:sz="4" w:space="1" w:color="000000"/>
          <w:left w:val="single" w:sz="4" w:space="4" w:color="000000"/>
          <w:bottom w:val="single" w:sz="4" w:space="1" w:color="000000"/>
          <w:right w:val="single" w:sz="4" w:space="4" w:color="000000"/>
        </w:pBdr>
        <w:rPr>
          <w:sz w:val="22"/>
          <w:szCs w:val="22"/>
        </w:rPr>
      </w:pPr>
      <w:r w:rsidRPr="004F572A">
        <w:rPr>
          <w:b/>
          <w:sz w:val="22"/>
          <w:szCs w:val="22"/>
        </w:rPr>
        <w:t>1.</w:t>
      </w:r>
      <w:r w:rsidRPr="004F572A">
        <w:rPr>
          <w:b/>
          <w:sz w:val="22"/>
          <w:szCs w:val="22"/>
        </w:rPr>
        <w:tab/>
      </w:r>
      <w:r w:rsidRPr="004F572A">
        <w:rPr>
          <w:b/>
          <w:caps/>
          <w:sz w:val="22"/>
          <w:szCs w:val="22"/>
        </w:rPr>
        <w:t>VAISTINIO</w:t>
      </w:r>
      <w:r w:rsidRPr="004F572A">
        <w:rPr>
          <w:b/>
          <w:sz w:val="22"/>
          <w:szCs w:val="22"/>
        </w:rPr>
        <w:t xml:space="preserve"> PREPARATO PAVADINIMAS</w:t>
      </w:r>
    </w:p>
    <w:p w14:paraId="7A317634" w14:textId="77777777" w:rsidR="000928CA" w:rsidRPr="004F572A" w:rsidRDefault="000928CA" w:rsidP="000928CA">
      <w:pPr>
        <w:rPr>
          <w:sz w:val="22"/>
          <w:szCs w:val="22"/>
        </w:rPr>
      </w:pPr>
    </w:p>
    <w:p w14:paraId="26BFD739" w14:textId="77777777" w:rsidR="00580E1E" w:rsidRPr="004F572A" w:rsidRDefault="00580E1E" w:rsidP="00580E1E">
      <w:pPr>
        <w:ind w:right="3670"/>
        <w:rPr>
          <w:spacing w:val="-1"/>
          <w:sz w:val="22"/>
          <w:szCs w:val="22"/>
        </w:rPr>
      </w:pPr>
      <w:proofErr w:type="spellStart"/>
      <w:r w:rsidRPr="004F572A">
        <w:rPr>
          <w:spacing w:val="-1"/>
          <w:sz w:val="22"/>
          <w:szCs w:val="22"/>
        </w:rPr>
        <w:t>Lenvatinib</w:t>
      </w:r>
      <w:proofErr w:type="spellEnd"/>
      <w:r w:rsidRPr="004F572A">
        <w:rPr>
          <w:spacing w:val="-1"/>
          <w:sz w:val="22"/>
          <w:szCs w:val="22"/>
        </w:rPr>
        <w:t xml:space="preserve"> </w:t>
      </w:r>
      <w:proofErr w:type="spellStart"/>
      <w:r w:rsidRPr="004F572A">
        <w:rPr>
          <w:spacing w:val="-1"/>
          <w:sz w:val="22"/>
          <w:szCs w:val="22"/>
        </w:rPr>
        <w:t>Sandoz</w:t>
      </w:r>
      <w:proofErr w:type="spellEnd"/>
      <w:r w:rsidRPr="004F572A">
        <w:rPr>
          <w:spacing w:val="-1"/>
          <w:sz w:val="22"/>
          <w:szCs w:val="22"/>
        </w:rPr>
        <w:t xml:space="preserve"> 4 mg kietosios kapsulės</w:t>
      </w:r>
    </w:p>
    <w:p w14:paraId="28B07E20" w14:textId="77777777" w:rsidR="00580E1E" w:rsidRPr="004F572A" w:rsidRDefault="00580E1E" w:rsidP="001A7C2D">
      <w:pPr>
        <w:shd w:val="clear" w:color="auto" w:fill="D9D9D9" w:themeFill="background1" w:themeFillShade="D9"/>
        <w:ind w:right="5110"/>
        <w:rPr>
          <w:spacing w:val="-1"/>
          <w:sz w:val="22"/>
          <w:szCs w:val="22"/>
        </w:rPr>
      </w:pPr>
      <w:proofErr w:type="spellStart"/>
      <w:r w:rsidRPr="004F572A">
        <w:rPr>
          <w:spacing w:val="-1"/>
          <w:sz w:val="22"/>
          <w:szCs w:val="22"/>
        </w:rPr>
        <w:t>Lenvatinib</w:t>
      </w:r>
      <w:proofErr w:type="spellEnd"/>
      <w:r w:rsidRPr="004F572A">
        <w:rPr>
          <w:spacing w:val="-1"/>
          <w:sz w:val="22"/>
          <w:szCs w:val="22"/>
        </w:rPr>
        <w:t xml:space="preserve"> </w:t>
      </w:r>
      <w:proofErr w:type="spellStart"/>
      <w:r w:rsidRPr="004F572A">
        <w:rPr>
          <w:spacing w:val="-1"/>
          <w:sz w:val="22"/>
          <w:szCs w:val="22"/>
        </w:rPr>
        <w:t>Sandoz</w:t>
      </w:r>
      <w:proofErr w:type="spellEnd"/>
      <w:r w:rsidRPr="004F572A">
        <w:rPr>
          <w:spacing w:val="-1"/>
          <w:sz w:val="22"/>
          <w:szCs w:val="22"/>
        </w:rPr>
        <w:t xml:space="preserve"> 10 mg kietosios kapsulės</w:t>
      </w:r>
    </w:p>
    <w:p w14:paraId="57271B03" w14:textId="77777777" w:rsidR="000928CA" w:rsidRPr="004F572A" w:rsidRDefault="000928CA" w:rsidP="000928CA">
      <w:pPr>
        <w:rPr>
          <w:sz w:val="22"/>
          <w:szCs w:val="22"/>
        </w:rPr>
      </w:pPr>
    </w:p>
    <w:p w14:paraId="12441BA2" w14:textId="48C63CD3" w:rsidR="000928CA" w:rsidRPr="004F572A" w:rsidRDefault="00580E1E" w:rsidP="001A7C2D">
      <w:pPr>
        <w:shd w:val="clear" w:color="auto" w:fill="A6A6A6" w:themeFill="background1" w:themeFillShade="A6"/>
        <w:ind w:right="7720"/>
        <w:rPr>
          <w:sz w:val="22"/>
          <w:szCs w:val="22"/>
        </w:rPr>
      </w:pPr>
      <w:proofErr w:type="spellStart"/>
      <w:r w:rsidRPr="00E27691">
        <w:rPr>
          <w:i/>
          <w:iCs/>
          <w:sz w:val="22"/>
          <w:szCs w:val="22"/>
        </w:rPr>
        <w:t>l</w:t>
      </w:r>
      <w:r w:rsidRPr="004F572A">
        <w:rPr>
          <w:i/>
          <w:iCs/>
          <w:sz w:val="22"/>
          <w:szCs w:val="22"/>
        </w:rPr>
        <w:t>envatinibum</w:t>
      </w:r>
      <w:proofErr w:type="spellEnd"/>
      <w:r w:rsidR="000928CA" w:rsidRPr="004F572A">
        <w:rPr>
          <w:i/>
          <w:iCs/>
          <w:sz w:val="22"/>
          <w:szCs w:val="22"/>
        </w:rPr>
        <w:t xml:space="preserve"> </w:t>
      </w:r>
    </w:p>
    <w:p w14:paraId="59E4CBA6" w14:textId="77777777" w:rsidR="000928CA" w:rsidRPr="004F572A" w:rsidRDefault="000928CA" w:rsidP="000928CA">
      <w:pPr>
        <w:rPr>
          <w:sz w:val="22"/>
          <w:szCs w:val="22"/>
        </w:rPr>
      </w:pPr>
    </w:p>
    <w:p w14:paraId="3965892E" w14:textId="77777777" w:rsidR="000928CA" w:rsidRPr="004F572A" w:rsidRDefault="000928CA" w:rsidP="000928CA">
      <w:pPr>
        <w:rPr>
          <w:sz w:val="22"/>
          <w:szCs w:val="22"/>
        </w:rPr>
      </w:pPr>
    </w:p>
    <w:p w14:paraId="074C7671" w14:textId="77777777" w:rsidR="000928CA" w:rsidRPr="004F572A" w:rsidRDefault="000928CA" w:rsidP="000928CA">
      <w:pPr>
        <w:pBdr>
          <w:top w:val="single" w:sz="4" w:space="1" w:color="000000"/>
          <w:left w:val="single" w:sz="4" w:space="4" w:color="000000"/>
          <w:bottom w:val="single" w:sz="4" w:space="1" w:color="000000"/>
          <w:right w:val="single" w:sz="4" w:space="4" w:color="000000"/>
        </w:pBdr>
        <w:rPr>
          <w:sz w:val="22"/>
          <w:szCs w:val="22"/>
        </w:rPr>
      </w:pPr>
      <w:r w:rsidRPr="004F572A">
        <w:rPr>
          <w:b/>
          <w:sz w:val="22"/>
          <w:szCs w:val="22"/>
        </w:rPr>
        <w:t>2.</w:t>
      </w:r>
      <w:r w:rsidRPr="004F572A">
        <w:rPr>
          <w:b/>
          <w:sz w:val="22"/>
          <w:szCs w:val="22"/>
        </w:rPr>
        <w:tab/>
        <w:t>VEIKLIOJI (-IOS) MEDŽIAGA (-OS) IR JOS (-Ų) KIEKIS (-IAI)</w:t>
      </w:r>
    </w:p>
    <w:p w14:paraId="1B688087" w14:textId="77777777" w:rsidR="000928CA" w:rsidRPr="004F572A" w:rsidRDefault="000928CA" w:rsidP="000928CA">
      <w:pPr>
        <w:rPr>
          <w:sz w:val="22"/>
          <w:szCs w:val="22"/>
        </w:rPr>
      </w:pPr>
    </w:p>
    <w:p w14:paraId="13178CB8" w14:textId="1CBD6C1E" w:rsidR="000928CA" w:rsidRPr="004F572A" w:rsidRDefault="000928CA" w:rsidP="000928CA">
      <w:pPr>
        <w:widowControl w:val="0"/>
        <w:tabs>
          <w:tab w:val="clear" w:pos="567"/>
        </w:tabs>
        <w:ind w:right="151"/>
        <w:rPr>
          <w:spacing w:val="-1"/>
          <w:sz w:val="22"/>
          <w:szCs w:val="22"/>
        </w:rPr>
      </w:pPr>
      <w:r w:rsidRPr="004F572A">
        <w:rPr>
          <w:spacing w:val="-1"/>
          <w:sz w:val="22"/>
          <w:szCs w:val="22"/>
        </w:rPr>
        <w:t xml:space="preserve">Kiekvienoje </w:t>
      </w:r>
      <w:r w:rsidRPr="004F572A">
        <w:rPr>
          <w:i/>
          <w:iCs/>
          <w:spacing w:val="-1"/>
          <w:sz w:val="22"/>
          <w:szCs w:val="22"/>
          <w:highlight w:val="darkGray"/>
        </w:rPr>
        <w:t>kietojoje</w:t>
      </w:r>
      <w:r w:rsidRPr="004F572A">
        <w:rPr>
          <w:spacing w:val="-1"/>
          <w:sz w:val="22"/>
          <w:szCs w:val="22"/>
        </w:rPr>
        <w:t xml:space="preserve"> kapsulėje yra </w:t>
      </w:r>
      <w:proofErr w:type="spellStart"/>
      <w:r w:rsidR="004F572A" w:rsidRPr="004F572A">
        <w:rPr>
          <w:spacing w:val="-1"/>
          <w:sz w:val="22"/>
          <w:szCs w:val="22"/>
        </w:rPr>
        <w:t>lenvatinibo</w:t>
      </w:r>
      <w:proofErr w:type="spellEnd"/>
      <w:r w:rsidR="004F572A" w:rsidRPr="004F572A">
        <w:rPr>
          <w:spacing w:val="-1"/>
          <w:sz w:val="22"/>
          <w:szCs w:val="22"/>
        </w:rPr>
        <w:t xml:space="preserve"> </w:t>
      </w:r>
      <w:proofErr w:type="spellStart"/>
      <w:r w:rsidR="004F572A" w:rsidRPr="004F572A">
        <w:rPr>
          <w:spacing w:val="-1"/>
          <w:sz w:val="22"/>
          <w:szCs w:val="22"/>
        </w:rPr>
        <w:t>besilato</w:t>
      </w:r>
      <w:proofErr w:type="spellEnd"/>
      <w:r w:rsidR="004F572A" w:rsidRPr="004F572A">
        <w:rPr>
          <w:spacing w:val="-1"/>
          <w:sz w:val="22"/>
          <w:szCs w:val="22"/>
        </w:rPr>
        <w:t xml:space="preserve">, atitinkančio </w:t>
      </w:r>
      <w:r w:rsidR="001A7C2D" w:rsidRPr="004F572A">
        <w:rPr>
          <w:spacing w:val="-1"/>
          <w:sz w:val="22"/>
          <w:szCs w:val="22"/>
        </w:rPr>
        <w:t>4</w:t>
      </w:r>
      <w:r w:rsidRPr="004F572A">
        <w:rPr>
          <w:spacing w:val="-1"/>
          <w:sz w:val="22"/>
          <w:szCs w:val="22"/>
        </w:rPr>
        <w:t xml:space="preserve"> mg </w:t>
      </w:r>
      <w:proofErr w:type="spellStart"/>
      <w:r w:rsidR="001A7C2D" w:rsidRPr="004F572A">
        <w:rPr>
          <w:spacing w:val="-1"/>
          <w:sz w:val="22"/>
          <w:szCs w:val="22"/>
        </w:rPr>
        <w:t>le</w:t>
      </w:r>
      <w:r w:rsidR="00E267B9" w:rsidRPr="004F572A">
        <w:rPr>
          <w:spacing w:val="-1"/>
          <w:sz w:val="22"/>
          <w:szCs w:val="22"/>
        </w:rPr>
        <w:t>n</w:t>
      </w:r>
      <w:r w:rsidR="001A7C2D" w:rsidRPr="004F572A">
        <w:rPr>
          <w:spacing w:val="-1"/>
          <w:sz w:val="22"/>
          <w:szCs w:val="22"/>
        </w:rPr>
        <w:t>vatinibo</w:t>
      </w:r>
      <w:proofErr w:type="spellEnd"/>
      <w:r w:rsidRPr="004F572A">
        <w:rPr>
          <w:spacing w:val="-1"/>
          <w:sz w:val="22"/>
          <w:szCs w:val="22"/>
        </w:rPr>
        <w:t>.</w:t>
      </w:r>
    </w:p>
    <w:p w14:paraId="097E21E0" w14:textId="7EFC7EE9" w:rsidR="000928CA" w:rsidRPr="004F572A" w:rsidRDefault="000928CA" w:rsidP="00020362">
      <w:pPr>
        <w:widowControl w:val="0"/>
        <w:tabs>
          <w:tab w:val="clear" w:pos="567"/>
          <w:tab w:val="left" w:pos="6480"/>
        </w:tabs>
        <w:ind w:right="151"/>
        <w:rPr>
          <w:spacing w:val="-1"/>
          <w:sz w:val="22"/>
          <w:szCs w:val="22"/>
        </w:rPr>
      </w:pPr>
      <w:r w:rsidRPr="004F572A">
        <w:rPr>
          <w:spacing w:val="-1"/>
          <w:sz w:val="22"/>
          <w:szCs w:val="22"/>
          <w:highlight w:val="lightGray"/>
        </w:rPr>
        <w:t xml:space="preserve">Kiekvienoje </w:t>
      </w:r>
      <w:r w:rsidRPr="004F572A">
        <w:rPr>
          <w:i/>
          <w:iCs/>
          <w:spacing w:val="-1"/>
          <w:sz w:val="22"/>
          <w:szCs w:val="22"/>
          <w:highlight w:val="darkGray"/>
        </w:rPr>
        <w:t>kietojoje</w:t>
      </w:r>
      <w:r w:rsidRPr="004F572A">
        <w:rPr>
          <w:spacing w:val="-1"/>
          <w:sz w:val="22"/>
          <w:szCs w:val="22"/>
          <w:highlight w:val="lightGray"/>
        </w:rPr>
        <w:t xml:space="preserve"> kapsulėje yra </w:t>
      </w:r>
      <w:proofErr w:type="spellStart"/>
      <w:r w:rsidR="004F572A" w:rsidRPr="004F572A">
        <w:rPr>
          <w:spacing w:val="-1"/>
          <w:sz w:val="22"/>
          <w:szCs w:val="22"/>
        </w:rPr>
        <w:t>lenvatinibo</w:t>
      </w:r>
      <w:proofErr w:type="spellEnd"/>
      <w:r w:rsidR="004F572A" w:rsidRPr="004F572A">
        <w:rPr>
          <w:spacing w:val="-1"/>
          <w:sz w:val="22"/>
          <w:szCs w:val="22"/>
        </w:rPr>
        <w:t xml:space="preserve"> </w:t>
      </w:r>
      <w:proofErr w:type="spellStart"/>
      <w:r w:rsidR="004F572A" w:rsidRPr="004F572A">
        <w:rPr>
          <w:spacing w:val="-1"/>
          <w:sz w:val="22"/>
          <w:szCs w:val="22"/>
        </w:rPr>
        <w:t>besilato</w:t>
      </w:r>
      <w:proofErr w:type="spellEnd"/>
      <w:r w:rsidR="004F572A" w:rsidRPr="004F572A">
        <w:rPr>
          <w:spacing w:val="-1"/>
          <w:sz w:val="22"/>
          <w:szCs w:val="22"/>
        </w:rPr>
        <w:t xml:space="preserve">, atitinkančio </w:t>
      </w:r>
      <w:r w:rsidRPr="004F572A">
        <w:rPr>
          <w:spacing w:val="-1"/>
          <w:sz w:val="22"/>
          <w:szCs w:val="22"/>
          <w:highlight w:val="lightGray"/>
        </w:rPr>
        <w:t>1</w:t>
      </w:r>
      <w:r w:rsidR="001A7C2D" w:rsidRPr="004F572A">
        <w:rPr>
          <w:spacing w:val="-1"/>
          <w:sz w:val="22"/>
          <w:szCs w:val="22"/>
          <w:highlight w:val="lightGray"/>
        </w:rPr>
        <w:t>0</w:t>
      </w:r>
      <w:r w:rsidRPr="004F572A">
        <w:rPr>
          <w:spacing w:val="-1"/>
          <w:sz w:val="22"/>
          <w:szCs w:val="22"/>
          <w:highlight w:val="lightGray"/>
        </w:rPr>
        <w:t xml:space="preserve"> mg </w:t>
      </w:r>
      <w:proofErr w:type="spellStart"/>
      <w:r w:rsidR="001A7C2D" w:rsidRPr="004F572A">
        <w:rPr>
          <w:spacing w:val="-1"/>
          <w:sz w:val="22"/>
          <w:szCs w:val="22"/>
          <w:highlight w:val="lightGray"/>
        </w:rPr>
        <w:t>le</w:t>
      </w:r>
      <w:r w:rsidR="00E267B9" w:rsidRPr="004F572A">
        <w:rPr>
          <w:spacing w:val="-1"/>
          <w:sz w:val="22"/>
          <w:szCs w:val="22"/>
          <w:highlight w:val="lightGray"/>
        </w:rPr>
        <w:t>n</w:t>
      </w:r>
      <w:r w:rsidR="001A7C2D" w:rsidRPr="004F572A">
        <w:rPr>
          <w:spacing w:val="-1"/>
          <w:sz w:val="22"/>
          <w:szCs w:val="22"/>
          <w:highlight w:val="lightGray"/>
        </w:rPr>
        <w:t>vatinibo</w:t>
      </w:r>
      <w:proofErr w:type="spellEnd"/>
      <w:r w:rsidRPr="004F572A">
        <w:rPr>
          <w:spacing w:val="-1"/>
          <w:sz w:val="22"/>
          <w:szCs w:val="22"/>
          <w:highlight w:val="lightGray"/>
        </w:rPr>
        <w:t>.</w:t>
      </w:r>
    </w:p>
    <w:p w14:paraId="1B98456F" w14:textId="77777777" w:rsidR="000928CA" w:rsidRPr="004F572A" w:rsidRDefault="000928CA" w:rsidP="000928CA">
      <w:pPr>
        <w:rPr>
          <w:sz w:val="22"/>
          <w:szCs w:val="22"/>
        </w:rPr>
      </w:pPr>
    </w:p>
    <w:p w14:paraId="3BAC617B" w14:textId="77777777" w:rsidR="000928CA" w:rsidRPr="004F572A" w:rsidRDefault="000928CA" w:rsidP="000928CA">
      <w:pPr>
        <w:rPr>
          <w:sz w:val="22"/>
          <w:szCs w:val="22"/>
        </w:rPr>
      </w:pPr>
    </w:p>
    <w:p w14:paraId="5F248153" w14:textId="77777777" w:rsidR="000928CA" w:rsidRPr="004F572A" w:rsidRDefault="000928CA" w:rsidP="000928CA">
      <w:pPr>
        <w:pBdr>
          <w:top w:val="single" w:sz="4" w:space="1" w:color="000000"/>
          <w:left w:val="single" w:sz="4" w:space="4" w:color="000000"/>
          <w:bottom w:val="single" w:sz="4" w:space="1" w:color="000000"/>
          <w:right w:val="single" w:sz="4" w:space="4" w:color="000000"/>
        </w:pBdr>
        <w:rPr>
          <w:sz w:val="22"/>
          <w:szCs w:val="22"/>
        </w:rPr>
      </w:pPr>
      <w:r w:rsidRPr="004F572A">
        <w:rPr>
          <w:b/>
          <w:sz w:val="22"/>
          <w:szCs w:val="22"/>
        </w:rPr>
        <w:t>3.</w:t>
      </w:r>
      <w:r w:rsidRPr="004F572A">
        <w:rPr>
          <w:b/>
          <w:sz w:val="22"/>
          <w:szCs w:val="22"/>
        </w:rPr>
        <w:tab/>
        <w:t>PAGALBINIŲ MEDŽIAGŲ SĄRAŠAS</w:t>
      </w:r>
    </w:p>
    <w:p w14:paraId="16823E99" w14:textId="77777777" w:rsidR="000928CA" w:rsidRPr="004F572A" w:rsidRDefault="000928CA" w:rsidP="000928CA">
      <w:pPr>
        <w:rPr>
          <w:sz w:val="22"/>
          <w:szCs w:val="22"/>
        </w:rPr>
      </w:pPr>
    </w:p>
    <w:p w14:paraId="0E6E03F2" w14:textId="77777777" w:rsidR="000928CA" w:rsidRPr="004F572A" w:rsidRDefault="000928CA" w:rsidP="000928CA">
      <w:pPr>
        <w:rPr>
          <w:sz w:val="22"/>
          <w:szCs w:val="22"/>
        </w:rPr>
      </w:pPr>
    </w:p>
    <w:p w14:paraId="2D9A22EC" w14:textId="77777777" w:rsidR="000928CA" w:rsidRPr="004F572A" w:rsidRDefault="000928CA" w:rsidP="000928CA">
      <w:pPr>
        <w:pBdr>
          <w:top w:val="single" w:sz="4" w:space="1" w:color="000000"/>
          <w:left w:val="single" w:sz="4" w:space="4" w:color="000000"/>
          <w:bottom w:val="single" w:sz="4" w:space="1" w:color="000000"/>
          <w:right w:val="single" w:sz="4" w:space="4" w:color="000000"/>
        </w:pBdr>
        <w:rPr>
          <w:sz w:val="22"/>
          <w:szCs w:val="22"/>
        </w:rPr>
      </w:pPr>
      <w:r w:rsidRPr="004F572A">
        <w:rPr>
          <w:b/>
          <w:sz w:val="22"/>
          <w:szCs w:val="22"/>
        </w:rPr>
        <w:t>4.</w:t>
      </w:r>
      <w:r w:rsidRPr="004F572A">
        <w:rPr>
          <w:b/>
          <w:sz w:val="22"/>
          <w:szCs w:val="22"/>
        </w:rPr>
        <w:tab/>
        <w:t>FARMACINĖ FORMA IR KIEKIS PAKUOTĖJE</w:t>
      </w:r>
    </w:p>
    <w:p w14:paraId="29877B1D" w14:textId="77777777" w:rsidR="000928CA" w:rsidRPr="004F572A" w:rsidRDefault="000928CA" w:rsidP="000928CA">
      <w:pPr>
        <w:rPr>
          <w:sz w:val="22"/>
          <w:szCs w:val="22"/>
        </w:rPr>
      </w:pPr>
    </w:p>
    <w:p w14:paraId="2368B272" w14:textId="5B819004" w:rsidR="00020362" w:rsidRPr="004F572A" w:rsidRDefault="00020362" w:rsidP="000928CA">
      <w:pPr>
        <w:rPr>
          <w:i/>
          <w:iCs/>
          <w:sz w:val="22"/>
          <w:szCs w:val="22"/>
        </w:rPr>
      </w:pPr>
      <w:r w:rsidRPr="004F572A">
        <w:rPr>
          <w:i/>
          <w:iCs/>
          <w:sz w:val="22"/>
          <w:szCs w:val="22"/>
          <w:highlight w:val="darkGray"/>
        </w:rPr>
        <w:t>Kietoji kapsulė</w:t>
      </w:r>
    </w:p>
    <w:p w14:paraId="606FAAE3" w14:textId="77777777" w:rsidR="00020362" w:rsidRPr="004F572A" w:rsidRDefault="00020362" w:rsidP="000928CA">
      <w:pPr>
        <w:rPr>
          <w:sz w:val="22"/>
          <w:szCs w:val="22"/>
        </w:rPr>
      </w:pPr>
    </w:p>
    <w:p w14:paraId="4D8ACD71" w14:textId="74759D62" w:rsidR="000928CA" w:rsidRPr="004F572A" w:rsidRDefault="000928CA" w:rsidP="000928CA">
      <w:pPr>
        <w:rPr>
          <w:sz w:val="22"/>
          <w:szCs w:val="22"/>
        </w:rPr>
      </w:pPr>
      <w:r w:rsidRPr="004F572A">
        <w:rPr>
          <w:sz w:val="22"/>
          <w:szCs w:val="22"/>
        </w:rPr>
        <w:t xml:space="preserve">30 </w:t>
      </w:r>
      <w:r w:rsidRPr="004F572A">
        <w:rPr>
          <w:i/>
          <w:iCs/>
          <w:sz w:val="22"/>
          <w:szCs w:val="22"/>
          <w:highlight w:val="darkGray"/>
        </w:rPr>
        <w:t>kietųjų</w:t>
      </w:r>
      <w:r w:rsidRPr="004F572A">
        <w:rPr>
          <w:sz w:val="22"/>
          <w:szCs w:val="22"/>
        </w:rPr>
        <w:t xml:space="preserve"> kapsulių</w:t>
      </w:r>
    </w:p>
    <w:p w14:paraId="484425EB" w14:textId="4D7EE776" w:rsidR="000928CA" w:rsidRPr="004F572A" w:rsidRDefault="000928CA" w:rsidP="00020362">
      <w:pPr>
        <w:rPr>
          <w:sz w:val="22"/>
          <w:szCs w:val="22"/>
        </w:rPr>
      </w:pPr>
      <w:r w:rsidRPr="004F572A">
        <w:rPr>
          <w:sz w:val="22"/>
          <w:szCs w:val="22"/>
          <w:highlight w:val="lightGray"/>
        </w:rPr>
        <w:t xml:space="preserve">60 </w:t>
      </w:r>
      <w:r w:rsidRPr="004F572A">
        <w:rPr>
          <w:i/>
          <w:iCs/>
          <w:sz w:val="22"/>
          <w:szCs w:val="22"/>
          <w:highlight w:val="darkGray"/>
        </w:rPr>
        <w:t>kietųjų</w:t>
      </w:r>
      <w:r w:rsidRPr="004F572A">
        <w:rPr>
          <w:sz w:val="22"/>
          <w:szCs w:val="22"/>
          <w:highlight w:val="lightGray"/>
        </w:rPr>
        <w:t xml:space="preserve"> kapsulių</w:t>
      </w:r>
    </w:p>
    <w:p w14:paraId="53BBC672" w14:textId="03936FAE" w:rsidR="00020362" w:rsidRPr="004F572A" w:rsidRDefault="00020362" w:rsidP="00020362">
      <w:pPr>
        <w:rPr>
          <w:sz w:val="22"/>
          <w:szCs w:val="22"/>
        </w:rPr>
      </w:pPr>
      <w:r w:rsidRPr="004F572A">
        <w:rPr>
          <w:sz w:val="22"/>
          <w:szCs w:val="22"/>
          <w:highlight w:val="lightGray"/>
        </w:rPr>
        <w:t xml:space="preserve">90 </w:t>
      </w:r>
      <w:r w:rsidRPr="004F572A">
        <w:rPr>
          <w:i/>
          <w:iCs/>
          <w:sz w:val="22"/>
          <w:szCs w:val="22"/>
          <w:highlight w:val="darkGray"/>
        </w:rPr>
        <w:t>kietųjų</w:t>
      </w:r>
      <w:r w:rsidRPr="004F572A">
        <w:rPr>
          <w:sz w:val="22"/>
          <w:szCs w:val="22"/>
          <w:highlight w:val="lightGray"/>
        </w:rPr>
        <w:t xml:space="preserve"> kapsulių</w:t>
      </w:r>
    </w:p>
    <w:p w14:paraId="0961A5BD" w14:textId="3912AB8C" w:rsidR="00020362" w:rsidRPr="004F572A" w:rsidRDefault="00020362" w:rsidP="00020362">
      <w:pPr>
        <w:rPr>
          <w:sz w:val="22"/>
          <w:szCs w:val="22"/>
        </w:rPr>
      </w:pPr>
      <w:r w:rsidRPr="004F572A">
        <w:rPr>
          <w:sz w:val="22"/>
          <w:szCs w:val="22"/>
          <w:highlight w:val="lightGray"/>
        </w:rPr>
        <w:t xml:space="preserve">30 x 1 </w:t>
      </w:r>
      <w:r w:rsidRPr="004F572A">
        <w:rPr>
          <w:i/>
          <w:iCs/>
          <w:sz w:val="22"/>
          <w:szCs w:val="22"/>
          <w:highlight w:val="darkGray"/>
        </w:rPr>
        <w:t>kietųjų</w:t>
      </w:r>
      <w:r w:rsidRPr="004F572A">
        <w:rPr>
          <w:sz w:val="22"/>
          <w:szCs w:val="22"/>
          <w:highlight w:val="lightGray"/>
        </w:rPr>
        <w:t xml:space="preserve"> kapsulių</w:t>
      </w:r>
    </w:p>
    <w:p w14:paraId="02200BD2" w14:textId="292CE790" w:rsidR="00020362" w:rsidRPr="004F572A" w:rsidRDefault="00020362" w:rsidP="00020362">
      <w:pPr>
        <w:rPr>
          <w:sz w:val="22"/>
          <w:szCs w:val="22"/>
        </w:rPr>
      </w:pPr>
      <w:r w:rsidRPr="004F572A">
        <w:rPr>
          <w:sz w:val="22"/>
          <w:szCs w:val="22"/>
          <w:highlight w:val="lightGray"/>
        </w:rPr>
        <w:t xml:space="preserve">60 x 1 </w:t>
      </w:r>
      <w:r w:rsidRPr="004F572A">
        <w:rPr>
          <w:i/>
          <w:iCs/>
          <w:sz w:val="22"/>
          <w:szCs w:val="22"/>
          <w:highlight w:val="darkGray"/>
        </w:rPr>
        <w:t>kietųjų</w:t>
      </w:r>
      <w:r w:rsidRPr="004F572A">
        <w:rPr>
          <w:sz w:val="22"/>
          <w:szCs w:val="22"/>
          <w:highlight w:val="lightGray"/>
        </w:rPr>
        <w:t xml:space="preserve"> kapsulių</w:t>
      </w:r>
    </w:p>
    <w:p w14:paraId="227227B2" w14:textId="641FDC95" w:rsidR="00020362" w:rsidRPr="004F572A" w:rsidRDefault="00020362" w:rsidP="00020362">
      <w:pPr>
        <w:rPr>
          <w:sz w:val="22"/>
          <w:szCs w:val="22"/>
        </w:rPr>
      </w:pPr>
      <w:r w:rsidRPr="004F572A">
        <w:rPr>
          <w:sz w:val="22"/>
          <w:szCs w:val="22"/>
          <w:highlight w:val="lightGray"/>
        </w:rPr>
        <w:t xml:space="preserve">90 x 1 </w:t>
      </w:r>
      <w:r w:rsidRPr="004F572A">
        <w:rPr>
          <w:i/>
          <w:iCs/>
          <w:sz w:val="22"/>
          <w:szCs w:val="22"/>
          <w:highlight w:val="darkGray"/>
        </w:rPr>
        <w:t>kietųjų</w:t>
      </w:r>
      <w:r w:rsidRPr="004F572A">
        <w:rPr>
          <w:sz w:val="22"/>
          <w:szCs w:val="22"/>
          <w:highlight w:val="lightGray"/>
        </w:rPr>
        <w:t xml:space="preserve"> kapsulių</w:t>
      </w:r>
    </w:p>
    <w:p w14:paraId="04DE2419" w14:textId="77777777" w:rsidR="00020362" w:rsidRPr="004F572A" w:rsidRDefault="00020362" w:rsidP="00020362">
      <w:pPr>
        <w:rPr>
          <w:sz w:val="22"/>
          <w:szCs w:val="22"/>
        </w:rPr>
      </w:pPr>
    </w:p>
    <w:p w14:paraId="0E8A7EB2" w14:textId="77777777" w:rsidR="00020362" w:rsidRPr="004F572A" w:rsidRDefault="00020362" w:rsidP="00020362">
      <w:pPr>
        <w:rPr>
          <w:sz w:val="22"/>
          <w:szCs w:val="22"/>
        </w:rPr>
      </w:pPr>
    </w:p>
    <w:p w14:paraId="3779AFC8" w14:textId="77777777" w:rsidR="000928CA" w:rsidRPr="004F572A" w:rsidRDefault="000928CA" w:rsidP="000928CA">
      <w:pPr>
        <w:pBdr>
          <w:top w:val="single" w:sz="4" w:space="1" w:color="000000"/>
          <w:left w:val="single" w:sz="4" w:space="4" w:color="000000"/>
          <w:bottom w:val="single" w:sz="4" w:space="1" w:color="000000"/>
          <w:right w:val="single" w:sz="4" w:space="4" w:color="000000"/>
        </w:pBdr>
        <w:rPr>
          <w:sz w:val="22"/>
          <w:szCs w:val="22"/>
        </w:rPr>
      </w:pPr>
      <w:r w:rsidRPr="004F572A">
        <w:rPr>
          <w:b/>
          <w:sz w:val="22"/>
          <w:szCs w:val="22"/>
        </w:rPr>
        <w:t>5.</w:t>
      </w:r>
      <w:r w:rsidRPr="004F572A">
        <w:rPr>
          <w:b/>
          <w:sz w:val="22"/>
          <w:szCs w:val="22"/>
        </w:rPr>
        <w:tab/>
        <w:t>VARTOJIMO METODAS IR BŪDAS (-AI)</w:t>
      </w:r>
    </w:p>
    <w:p w14:paraId="197202D9" w14:textId="77777777" w:rsidR="00020362" w:rsidRPr="004F572A" w:rsidRDefault="00020362" w:rsidP="00020362">
      <w:pPr>
        <w:rPr>
          <w:sz w:val="22"/>
          <w:szCs w:val="22"/>
        </w:rPr>
      </w:pPr>
    </w:p>
    <w:p w14:paraId="56408908" w14:textId="04D5CEFA" w:rsidR="00020362" w:rsidRPr="004F572A" w:rsidRDefault="00020362" w:rsidP="00020362">
      <w:pPr>
        <w:rPr>
          <w:i/>
          <w:iCs/>
          <w:sz w:val="22"/>
          <w:szCs w:val="22"/>
        </w:rPr>
      </w:pPr>
      <w:r w:rsidRPr="004F572A">
        <w:rPr>
          <w:i/>
          <w:iCs/>
          <w:sz w:val="22"/>
          <w:szCs w:val="22"/>
          <w:highlight w:val="darkGray"/>
        </w:rPr>
        <w:t>Vartoti per burną</w:t>
      </w:r>
      <w:r w:rsidRPr="004F572A">
        <w:rPr>
          <w:sz w:val="22"/>
          <w:szCs w:val="22"/>
          <w:highlight w:val="darkGray"/>
        </w:rPr>
        <w:t>.</w:t>
      </w:r>
    </w:p>
    <w:p w14:paraId="49A615AC" w14:textId="77777777" w:rsidR="000928CA" w:rsidRPr="004F572A" w:rsidRDefault="000928CA" w:rsidP="000928CA">
      <w:pPr>
        <w:rPr>
          <w:sz w:val="22"/>
          <w:szCs w:val="22"/>
        </w:rPr>
      </w:pPr>
      <w:r w:rsidRPr="004F572A">
        <w:rPr>
          <w:sz w:val="22"/>
          <w:szCs w:val="22"/>
        </w:rPr>
        <w:t>Prieš vartojimą perskaitykite pakuotės lapelį.</w:t>
      </w:r>
    </w:p>
    <w:p w14:paraId="7DBF9962" w14:textId="77777777" w:rsidR="000928CA" w:rsidRPr="004F572A" w:rsidRDefault="000928CA" w:rsidP="000928CA">
      <w:pPr>
        <w:rPr>
          <w:sz w:val="22"/>
          <w:szCs w:val="22"/>
        </w:rPr>
      </w:pPr>
    </w:p>
    <w:p w14:paraId="3A6C3B70" w14:textId="77777777" w:rsidR="000928CA" w:rsidRPr="004F572A" w:rsidRDefault="000928CA" w:rsidP="000928CA">
      <w:pPr>
        <w:rPr>
          <w:sz w:val="22"/>
          <w:szCs w:val="22"/>
        </w:rPr>
      </w:pPr>
    </w:p>
    <w:p w14:paraId="653114D2" w14:textId="77777777" w:rsidR="000928CA" w:rsidRPr="004F572A" w:rsidRDefault="000928CA" w:rsidP="00E27691">
      <w:pPr>
        <w:pBdr>
          <w:top w:val="single" w:sz="4" w:space="1" w:color="000000"/>
          <w:left w:val="single" w:sz="4" w:space="4" w:color="000000"/>
          <w:bottom w:val="single" w:sz="4" w:space="1" w:color="000000"/>
          <w:right w:val="single" w:sz="4" w:space="4" w:color="000000"/>
        </w:pBdr>
        <w:ind w:left="567" w:hanging="567"/>
        <w:rPr>
          <w:sz w:val="22"/>
          <w:szCs w:val="22"/>
        </w:rPr>
      </w:pPr>
      <w:r w:rsidRPr="004F572A">
        <w:rPr>
          <w:b/>
          <w:sz w:val="22"/>
          <w:szCs w:val="22"/>
        </w:rPr>
        <w:t>6.</w:t>
      </w:r>
      <w:r w:rsidRPr="004F572A">
        <w:rPr>
          <w:b/>
          <w:sz w:val="22"/>
          <w:szCs w:val="22"/>
        </w:rPr>
        <w:tab/>
        <w:t>SPECIALUS ĮSPĖJIMAS, KAD VAISTINĮ PREPARATĄ BŪTINA LAIKYTI VAIKAMS NEPASTEBIMOJE IR  NEPASIEKIAMOJE VIETOJE</w:t>
      </w:r>
    </w:p>
    <w:p w14:paraId="26F8B407" w14:textId="77777777" w:rsidR="000928CA" w:rsidRPr="004F572A" w:rsidRDefault="000928CA" w:rsidP="000928CA">
      <w:pPr>
        <w:rPr>
          <w:sz w:val="22"/>
          <w:szCs w:val="22"/>
        </w:rPr>
      </w:pPr>
    </w:p>
    <w:p w14:paraId="2E1F2E0F" w14:textId="77777777" w:rsidR="000928CA" w:rsidRPr="004F572A" w:rsidRDefault="000928CA" w:rsidP="000928CA">
      <w:pPr>
        <w:rPr>
          <w:sz w:val="22"/>
          <w:szCs w:val="22"/>
        </w:rPr>
      </w:pPr>
      <w:r w:rsidRPr="004F572A">
        <w:rPr>
          <w:sz w:val="22"/>
          <w:szCs w:val="22"/>
        </w:rPr>
        <w:t>Laikyti vaikams nepastebimoje ir nepasiekiamoje vietoje.</w:t>
      </w:r>
    </w:p>
    <w:p w14:paraId="7D36D428" w14:textId="77777777" w:rsidR="000928CA" w:rsidRPr="004F572A" w:rsidRDefault="000928CA" w:rsidP="000928CA">
      <w:pPr>
        <w:rPr>
          <w:sz w:val="22"/>
          <w:szCs w:val="22"/>
        </w:rPr>
      </w:pPr>
    </w:p>
    <w:p w14:paraId="3B75F326" w14:textId="77777777" w:rsidR="000928CA" w:rsidRPr="004F572A" w:rsidRDefault="000928CA" w:rsidP="000928CA">
      <w:pPr>
        <w:rPr>
          <w:sz w:val="22"/>
          <w:szCs w:val="22"/>
        </w:rPr>
      </w:pPr>
    </w:p>
    <w:p w14:paraId="36FDD2F2" w14:textId="77777777" w:rsidR="000928CA" w:rsidRPr="004F572A" w:rsidRDefault="000928CA" w:rsidP="000928CA">
      <w:pPr>
        <w:pBdr>
          <w:top w:val="single" w:sz="4" w:space="1" w:color="000000"/>
          <w:left w:val="single" w:sz="4" w:space="4" w:color="000000"/>
          <w:bottom w:val="single" w:sz="4" w:space="1" w:color="000000"/>
          <w:right w:val="single" w:sz="4" w:space="4" w:color="000000"/>
        </w:pBdr>
        <w:rPr>
          <w:sz w:val="22"/>
          <w:szCs w:val="22"/>
        </w:rPr>
      </w:pPr>
      <w:r w:rsidRPr="004F572A">
        <w:rPr>
          <w:b/>
          <w:sz w:val="22"/>
          <w:szCs w:val="22"/>
        </w:rPr>
        <w:t>7.</w:t>
      </w:r>
      <w:r w:rsidRPr="004F572A">
        <w:rPr>
          <w:b/>
          <w:sz w:val="22"/>
          <w:szCs w:val="22"/>
        </w:rPr>
        <w:tab/>
        <w:t>KITAS (-I) SPECIALUS (-ŪS) ĮSPĖJIMAS (-AI) (JEI REIKIA)</w:t>
      </w:r>
    </w:p>
    <w:p w14:paraId="42925519" w14:textId="77777777" w:rsidR="000928CA" w:rsidRPr="004F572A" w:rsidRDefault="000928CA" w:rsidP="000928CA">
      <w:pPr>
        <w:rPr>
          <w:sz w:val="22"/>
          <w:szCs w:val="22"/>
        </w:rPr>
      </w:pPr>
    </w:p>
    <w:p w14:paraId="5EF107E2" w14:textId="77777777" w:rsidR="000928CA" w:rsidRPr="004F572A" w:rsidRDefault="000928CA" w:rsidP="000928CA">
      <w:pPr>
        <w:rPr>
          <w:sz w:val="22"/>
          <w:szCs w:val="22"/>
        </w:rPr>
      </w:pPr>
    </w:p>
    <w:p w14:paraId="5FC84663" w14:textId="77777777" w:rsidR="000928CA" w:rsidRPr="004F572A" w:rsidRDefault="000928CA" w:rsidP="000928CA">
      <w:pPr>
        <w:pBdr>
          <w:top w:val="single" w:sz="4" w:space="1" w:color="000000"/>
          <w:left w:val="single" w:sz="4" w:space="4" w:color="000000"/>
          <w:bottom w:val="single" w:sz="4" w:space="1" w:color="000000"/>
          <w:right w:val="single" w:sz="4" w:space="4" w:color="000000"/>
        </w:pBdr>
        <w:rPr>
          <w:sz w:val="22"/>
          <w:szCs w:val="22"/>
        </w:rPr>
      </w:pPr>
      <w:r w:rsidRPr="004F572A">
        <w:rPr>
          <w:b/>
          <w:sz w:val="22"/>
          <w:szCs w:val="22"/>
        </w:rPr>
        <w:t>8.</w:t>
      </w:r>
      <w:r w:rsidRPr="004F572A">
        <w:rPr>
          <w:b/>
          <w:sz w:val="22"/>
          <w:szCs w:val="22"/>
        </w:rPr>
        <w:tab/>
        <w:t>TINKAMUMO LAIKAS</w:t>
      </w:r>
    </w:p>
    <w:p w14:paraId="21412347" w14:textId="77777777" w:rsidR="000928CA" w:rsidRPr="004F572A" w:rsidRDefault="000928CA" w:rsidP="000928CA">
      <w:pPr>
        <w:rPr>
          <w:sz w:val="22"/>
          <w:szCs w:val="22"/>
        </w:rPr>
      </w:pPr>
    </w:p>
    <w:p w14:paraId="5AF31011" w14:textId="7E0844A7" w:rsidR="000928CA" w:rsidRPr="004F572A" w:rsidRDefault="000928CA" w:rsidP="000928CA">
      <w:pPr>
        <w:rPr>
          <w:sz w:val="22"/>
          <w:szCs w:val="22"/>
        </w:rPr>
      </w:pPr>
      <w:r w:rsidRPr="004F572A">
        <w:rPr>
          <w:sz w:val="22"/>
          <w:szCs w:val="22"/>
        </w:rPr>
        <w:t>EXP {mm</w:t>
      </w:r>
      <w:r w:rsidR="008F6A26">
        <w:rPr>
          <w:sz w:val="22"/>
          <w:szCs w:val="22"/>
        </w:rPr>
        <w:t>/</w:t>
      </w:r>
      <w:r w:rsidRPr="004F572A">
        <w:rPr>
          <w:sz w:val="22"/>
          <w:szCs w:val="22"/>
        </w:rPr>
        <w:t>MMMM}</w:t>
      </w:r>
    </w:p>
    <w:p w14:paraId="50E0954D" w14:textId="77777777" w:rsidR="008A0460" w:rsidRPr="004F572A" w:rsidRDefault="008A0460" w:rsidP="000928CA">
      <w:pPr>
        <w:rPr>
          <w:sz w:val="22"/>
          <w:szCs w:val="22"/>
        </w:rPr>
      </w:pPr>
    </w:p>
    <w:p w14:paraId="4E18EFD0" w14:textId="77777777" w:rsidR="000928CA" w:rsidRPr="004F572A" w:rsidRDefault="000928CA" w:rsidP="000928CA">
      <w:pPr>
        <w:rPr>
          <w:sz w:val="22"/>
          <w:szCs w:val="22"/>
        </w:rPr>
      </w:pPr>
    </w:p>
    <w:p w14:paraId="2DB4E8E3" w14:textId="77777777" w:rsidR="000928CA" w:rsidRPr="004F572A" w:rsidRDefault="000928CA" w:rsidP="000928CA">
      <w:pPr>
        <w:keepNext/>
        <w:pBdr>
          <w:top w:val="single" w:sz="4" w:space="1" w:color="000000"/>
          <w:left w:val="single" w:sz="4" w:space="4" w:color="000000"/>
          <w:bottom w:val="single" w:sz="4" w:space="1" w:color="000000"/>
          <w:right w:val="single" w:sz="4" w:space="4" w:color="000000"/>
        </w:pBdr>
        <w:rPr>
          <w:sz w:val="22"/>
          <w:szCs w:val="22"/>
        </w:rPr>
      </w:pPr>
      <w:r w:rsidRPr="004F572A">
        <w:rPr>
          <w:b/>
          <w:sz w:val="22"/>
          <w:szCs w:val="22"/>
        </w:rPr>
        <w:lastRenderedPageBreak/>
        <w:t>9.</w:t>
      </w:r>
      <w:r w:rsidRPr="004F572A">
        <w:rPr>
          <w:b/>
          <w:sz w:val="22"/>
          <w:szCs w:val="22"/>
        </w:rPr>
        <w:tab/>
        <w:t>SPECIALIOS LAIKYMO SĄLYGOS</w:t>
      </w:r>
    </w:p>
    <w:p w14:paraId="10571CA4" w14:textId="77777777" w:rsidR="000928CA" w:rsidRPr="004F572A" w:rsidRDefault="000928CA" w:rsidP="000928CA">
      <w:pPr>
        <w:rPr>
          <w:sz w:val="22"/>
          <w:szCs w:val="22"/>
        </w:rPr>
      </w:pPr>
    </w:p>
    <w:p w14:paraId="78F280B0" w14:textId="3385A7F7" w:rsidR="000928CA" w:rsidRPr="004F572A" w:rsidRDefault="000928CA" w:rsidP="000928CA">
      <w:pPr>
        <w:rPr>
          <w:sz w:val="22"/>
          <w:szCs w:val="22"/>
        </w:rPr>
      </w:pPr>
      <w:r w:rsidRPr="004F572A">
        <w:rPr>
          <w:sz w:val="22"/>
          <w:szCs w:val="22"/>
        </w:rPr>
        <w:t>Laikyti gamintojo pakuotėje, kad vaistas būtų apsaugotas nuo drėgmės.</w:t>
      </w:r>
    </w:p>
    <w:p w14:paraId="0A3FDA39" w14:textId="77777777" w:rsidR="000928CA" w:rsidRPr="004F572A" w:rsidRDefault="000928CA" w:rsidP="000928CA">
      <w:pPr>
        <w:rPr>
          <w:sz w:val="22"/>
          <w:szCs w:val="22"/>
        </w:rPr>
      </w:pPr>
    </w:p>
    <w:p w14:paraId="4EA380F7" w14:textId="77777777" w:rsidR="000928CA" w:rsidRPr="004F572A" w:rsidRDefault="000928CA" w:rsidP="000928CA">
      <w:pPr>
        <w:rPr>
          <w:sz w:val="22"/>
          <w:szCs w:val="22"/>
        </w:rPr>
      </w:pPr>
    </w:p>
    <w:p w14:paraId="71976FC6" w14:textId="77777777" w:rsidR="000928CA" w:rsidRPr="004F572A" w:rsidRDefault="000928CA" w:rsidP="00E27691">
      <w:pPr>
        <w:pBdr>
          <w:top w:val="single" w:sz="4" w:space="1" w:color="000000"/>
          <w:left w:val="single" w:sz="4" w:space="4" w:color="000000"/>
          <w:bottom w:val="single" w:sz="4" w:space="1" w:color="000000"/>
          <w:right w:val="single" w:sz="4" w:space="4" w:color="000000"/>
        </w:pBdr>
        <w:ind w:left="567" w:hanging="567"/>
        <w:rPr>
          <w:sz w:val="22"/>
          <w:szCs w:val="22"/>
        </w:rPr>
      </w:pPr>
      <w:r w:rsidRPr="004F572A">
        <w:rPr>
          <w:b/>
          <w:sz w:val="22"/>
          <w:szCs w:val="22"/>
        </w:rPr>
        <w:t>10.</w:t>
      </w:r>
      <w:r w:rsidRPr="004F572A">
        <w:rPr>
          <w:b/>
          <w:sz w:val="22"/>
          <w:szCs w:val="22"/>
        </w:rPr>
        <w:tab/>
        <w:t>SPECIALIOS ATSARGUMO PRIEMONĖS DĖL NESUVARTOTO VAISTINIO PREPARATO AR JO ATLIEKŲ TVARKYMO (JEI REIKIA)</w:t>
      </w:r>
    </w:p>
    <w:p w14:paraId="59A7FC49" w14:textId="77777777" w:rsidR="000928CA" w:rsidRPr="004F572A" w:rsidRDefault="000928CA" w:rsidP="000928CA">
      <w:pPr>
        <w:rPr>
          <w:sz w:val="22"/>
          <w:szCs w:val="22"/>
        </w:rPr>
      </w:pPr>
    </w:p>
    <w:p w14:paraId="27C04974" w14:textId="77777777" w:rsidR="000928CA" w:rsidRPr="004F572A" w:rsidRDefault="000928CA" w:rsidP="000928CA">
      <w:pPr>
        <w:rPr>
          <w:sz w:val="22"/>
          <w:szCs w:val="22"/>
        </w:rPr>
      </w:pPr>
    </w:p>
    <w:p w14:paraId="16CE9FA4" w14:textId="77777777" w:rsidR="000928CA" w:rsidRPr="004F572A" w:rsidRDefault="000928CA" w:rsidP="000928CA">
      <w:pPr>
        <w:pBdr>
          <w:top w:val="single" w:sz="4" w:space="1" w:color="000000"/>
          <w:left w:val="single" w:sz="4" w:space="4" w:color="000000"/>
          <w:bottom w:val="single" w:sz="4" w:space="1" w:color="000000"/>
          <w:right w:val="single" w:sz="4" w:space="4" w:color="000000"/>
        </w:pBdr>
        <w:rPr>
          <w:sz w:val="22"/>
          <w:szCs w:val="22"/>
        </w:rPr>
      </w:pPr>
      <w:r w:rsidRPr="004F572A">
        <w:rPr>
          <w:b/>
          <w:sz w:val="22"/>
          <w:szCs w:val="22"/>
        </w:rPr>
        <w:t>11.</w:t>
      </w:r>
      <w:r w:rsidRPr="004F572A">
        <w:rPr>
          <w:b/>
          <w:sz w:val="22"/>
          <w:szCs w:val="22"/>
        </w:rPr>
        <w:tab/>
      </w:r>
      <w:r w:rsidRPr="004F572A">
        <w:rPr>
          <w:b/>
          <w:caps/>
          <w:sz w:val="22"/>
          <w:szCs w:val="22"/>
        </w:rPr>
        <w:t xml:space="preserve"> REGISTRUOTOJO PAVADINIMAS IR ADRESAS</w:t>
      </w:r>
    </w:p>
    <w:p w14:paraId="0FCF0869" w14:textId="77777777" w:rsidR="000928CA" w:rsidRPr="004F572A" w:rsidRDefault="000928CA" w:rsidP="000928CA">
      <w:pPr>
        <w:rPr>
          <w:sz w:val="22"/>
          <w:szCs w:val="22"/>
        </w:rPr>
      </w:pPr>
    </w:p>
    <w:p w14:paraId="14824F9B" w14:textId="77777777" w:rsidR="000928CA" w:rsidRPr="004F572A" w:rsidRDefault="000928CA" w:rsidP="000928CA">
      <w:pPr>
        <w:tabs>
          <w:tab w:val="left" w:pos="425"/>
        </w:tabs>
        <w:rPr>
          <w:sz w:val="22"/>
          <w:szCs w:val="22"/>
        </w:rPr>
      </w:pPr>
      <w:proofErr w:type="spellStart"/>
      <w:r w:rsidRPr="004F572A">
        <w:rPr>
          <w:sz w:val="22"/>
          <w:szCs w:val="22"/>
        </w:rPr>
        <w:t>Sandoz</w:t>
      </w:r>
      <w:proofErr w:type="spellEnd"/>
      <w:r w:rsidRPr="004F572A">
        <w:rPr>
          <w:sz w:val="22"/>
          <w:szCs w:val="22"/>
        </w:rPr>
        <w:t xml:space="preserve"> </w:t>
      </w:r>
      <w:proofErr w:type="spellStart"/>
      <w:r w:rsidRPr="004F572A">
        <w:rPr>
          <w:sz w:val="22"/>
          <w:szCs w:val="22"/>
        </w:rPr>
        <w:t>d.d</w:t>
      </w:r>
      <w:proofErr w:type="spellEnd"/>
      <w:r w:rsidRPr="004F572A">
        <w:rPr>
          <w:sz w:val="22"/>
          <w:szCs w:val="22"/>
        </w:rPr>
        <w:t>.</w:t>
      </w:r>
    </w:p>
    <w:p w14:paraId="6634AE45" w14:textId="77777777" w:rsidR="000928CA" w:rsidRPr="004F572A" w:rsidRDefault="000928CA" w:rsidP="000928CA">
      <w:pPr>
        <w:tabs>
          <w:tab w:val="left" w:pos="425"/>
        </w:tabs>
        <w:rPr>
          <w:sz w:val="22"/>
          <w:szCs w:val="22"/>
        </w:rPr>
      </w:pPr>
      <w:proofErr w:type="spellStart"/>
      <w:r w:rsidRPr="004F572A">
        <w:rPr>
          <w:sz w:val="22"/>
          <w:szCs w:val="22"/>
        </w:rPr>
        <w:t>Verovškova</w:t>
      </w:r>
      <w:proofErr w:type="spellEnd"/>
      <w:r w:rsidRPr="004F572A">
        <w:rPr>
          <w:sz w:val="22"/>
          <w:szCs w:val="22"/>
        </w:rPr>
        <w:t xml:space="preserve"> 57</w:t>
      </w:r>
    </w:p>
    <w:p w14:paraId="0E0E796B" w14:textId="77777777" w:rsidR="000928CA" w:rsidRPr="004F572A" w:rsidRDefault="000928CA" w:rsidP="000928CA">
      <w:pPr>
        <w:tabs>
          <w:tab w:val="left" w:pos="425"/>
        </w:tabs>
        <w:rPr>
          <w:sz w:val="22"/>
          <w:szCs w:val="22"/>
        </w:rPr>
      </w:pPr>
      <w:r w:rsidRPr="004F572A">
        <w:rPr>
          <w:sz w:val="22"/>
          <w:szCs w:val="22"/>
        </w:rPr>
        <w:t xml:space="preserve">SI-1000 </w:t>
      </w:r>
      <w:proofErr w:type="spellStart"/>
      <w:r w:rsidRPr="004F572A">
        <w:rPr>
          <w:sz w:val="22"/>
          <w:szCs w:val="22"/>
        </w:rPr>
        <w:t>Ljubljana</w:t>
      </w:r>
      <w:proofErr w:type="spellEnd"/>
    </w:p>
    <w:p w14:paraId="5C54A402" w14:textId="77777777" w:rsidR="000928CA" w:rsidRPr="004F572A" w:rsidRDefault="000928CA" w:rsidP="000928CA">
      <w:pPr>
        <w:tabs>
          <w:tab w:val="left" w:pos="425"/>
        </w:tabs>
        <w:rPr>
          <w:sz w:val="22"/>
          <w:szCs w:val="22"/>
        </w:rPr>
      </w:pPr>
      <w:r w:rsidRPr="004F572A">
        <w:rPr>
          <w:sz w:val="22"/>
          <w:szCs w:val="22"/>
        </w:rPr>
        <w:t>Slovėnija</w:t>
      </w:r>
    </w:p>
    <w:p w14:paraId="3624CC06" w14:textId="77777777" w:rsidR="000928CA" w:rsidRPr="004F572A" w:rsidRDefault="000928CA" w:rsidP="000928CA">
      <w:pPr>
        <w:rPr>
          <w:sz w:val="22"/>
          <w:szCs w:val="22"/>
        </w:rPr>
      </w:pPr>
    </w:p>
    <w:p w14:paraId="3CB3E037" w14:textId="77777777" w:rsidR="000928CA" w:rsidRPr="004F572A" w:rsidRDefault="000928CA" w:rsidP="000928CA">
      <w:pPr>
        <w:rPr>
          <w:sz w:val="22"/>
          <w:szCs w:val="22"/>
        </w:rPr>
      </w:pPr>
    </w:p>
    <w:p w14:paraId="5BAD763F" w14:textId="77777777" w:rsidR="000928CA" w:rsidRPr="004F572A" w:rsidRDefault="000928CA" w:rsidP="000928CA">
      <w:pPr>
        <w:pBdr>
          <w:top w:val="single" w:sz="4" w:space="1" w:color="000000"/>
          <w:left w:val="single" w:sz="4" w:space="4" w:color="000000"/>
          <w:bottom w:val="single" w:sz="4" w:space="1" w:color="000000"/>
          <w:right w:val="single" w:sz="4" w:space="4" w:color="000000"/>
        </w:pBdr>
        <w:rPr>
          <w:sz w:val="22"/>
          <w:szCs w:val="22"/>
        </w:rPr>
      </w:pPr>
      <w:r w:rsidRPr="004F572A">
        <w:rPr>
          <w:b/>
          <w:sz w:val="22"/>
          <w:szCs w:val="22"/>
        </w:rPr>
        <w:t>12.</w:t>
      </w:r>
      <w:r w:rsidRPr="004F572A">
        <w:rPr>
          <w:b/>
          <w:sz w:val="22"/>
          <w:szCs w:val="22"/>
        </w:rPr>
        <w:tab/>
        <w:t xml:space="preserve">REGISTRACIJOS PAŽYMĖJIMO NUMERIS (-IAI) </w:t>
      </w:r>
    </w:p>
    <w:p w14:paraId="289E27AE" w14:textId="77777777" w:rsidR="000928CA" w:rsidRPr="004F572A" w:rsidRDefault="000928CA" w:rsidP="000928CA">
      <w:pPr>
        <w:rPr>
          <w:sz w:val="22"/>
          <w:szCs w:val="22"/>
        </w:rPr>
      </w:pPr>
    </w:p>
    <w:p w14:paraId="174E6712" w14:textId="6B8DC4CA" w:rsidR="007F5893" w:rsidRPr="007F5893" w:rsidRDefault="007F5893" w:rsidP="007F5893">
      <w:pPr>
        <w:rPr>
          <w:sz w:val="22"/>
          <w:szCs w:val="22"/>
        </w:rPr>
      </w:pPr>
      <w:r w:rsidRPr="007F5893">
        <w:rPr>
          <w:sz w:val="22"/>
          <w:szCs w:val="22"/>
          <w:highlight w:val="lightGray"/>
        </w:rPr>
        <w:t>&lt;</w:t>
      </w:r>
      <w:r w:rsidRPr="007F5893">
        <w:rPr>
          <w:sz w:val="22"/>
          <w:szCs w:val="22"/>
          <w:highlight w:val="lightGray"/>
        </w:rPr>
        <w:t>4 mg</w:t>
      </w:r>
      <w:r w:rsidRPr="007F5893">
        <w:rPr>
          <w:sz w:val="22"/>
          <w:szCs w:val="22"/>
          <w:highlight w:val="lightGray"/>
        </w:rPr>
        <w:t>&gt;</w:t>
      </w:r>
    </w:p>
    <w:p w14:paraId="40077344" w14:textId="77777777" w:rsidR="007F5893" w:rsidRPr="007F5893" w:rsidRDefault="007F5893" w:rsidP="007F5893">
      <w:pPr>
        <w:rPr>
          <w:sz w:val="22"/>
          <w:szCs w:val="22"/>
          <w:highlight w:val="lightGray"/>
        </w:rPr>
      </w:pPr>
      <w:r w:rsidRPr="007F5893">
        <w:rPr>
          <w:sz w:val="22"/>
          <w:szCs w:val="22"/>
        </w:rPr>
        <w:t xml:space="preserve">LT/1/25/5873/001 </w:t>
      </w:r>
      <w:r w:rsidRPr="007F5893">
        <w:rPr>
          <w:sz w:val="22"/>
          <w:szCs w:val="22"/>
          <w:highlight w:val="lightGray"/>
        </w:rPr>
        <w:t>– N30</w:t>
      </w:r>
    </w:p>
    <w:p w14:paraId="78DDD8CF" w14:textId="77777777" w:rsidR="007F5893" w:rsidRPr="007F5893" w:rsidRDefault="007F5893" w:rsidP="007F5893">
      <w:pPr>
        <w:rPr>
          <w:sz w:val="22"/>
          <w:szCs w:val="22"/>
          <w:highlight w:val="lightGray"/>
        </w:rPr>
      </w:pPr>
      <w:r w:rsidRPr="007F5893">
        <w:rPr>
          <w:sz w:val="22"/>
          <w:szCs w:val="22"/>
          <w:highlight w:val="lightGray"/>
        </w:rPr>
        <w:t>LT/1/25/5873/002 – N60</w:t>
      </w:r>
    </w:p>
    <w:p w14:paraId="71D3669F" w14:textId="77777777" w:rsidR="007F5893" w:rsidRPr="007F5893" w:rsidRDefault="007F5893" w:rsidP="007F5893">
      <w:pPr>
        <w:rPr>
          <w:sz w:val="22"/>
          <w:szCs w:val="22"/>
          <w:highlight w:val="lightGray"/>
        </w:rPr>
      </w:pPr>
      <w:r w:rsidRPr="007F5893">
        <w:rPr>
          <w:sz w:val="22"/>
          <w:szCs w:val="22"/>
          <w:highlight w:val="lightGray"/>
        </w:rPr>
        <w:t>LT/1/25/5873/003 – N90</w:t>
      </w:r>
    </w:p>
    <w:p w14:paraId="77B52EED" w14:textId="77777777" w:rsidR="007F5893" w:rsidRPr="007F5893" w:rsidRDefault="007F5893" w:rsidP="007F5893">
      <w:pPr>
        <w:rPr>
          <w:sz w:val="22"/>
          <w:szCs w:val="22"/>
          <w:highlight w:val="lightGray"/>
        </w:rPr>
      </w:pPr>
      <w:r w:rsidRPr="007F5893">
        <w:rPr>
          <w:sz w:val="22"/>
          <w:szCs w:val="22"/>
          <w:highlight w:val="lightGray"/>
        </w:rPr>
        <w:t>LT/1/25/5873/004 – N30x1</w:t>
      </w:r>
    </w:p>
    <w:p w14:paraId="7CD632BB" w14:textId="77777777" w:rsidR="007F5893" w:rsidRPr="007F5893" w:rsidRDefault="007F5893" w:rsidP="007F5893">
      <w:pPr>
        <w:rPr>
          <w:sz w:val="22"/>
          <w:szCs w:val="22"/>
          <w:highlight w:val="lightGray"/>
        </w:rPr>
      </w:pPr>
      <w:r w:rsidRPr="007F5893">
        <w:rPr>
          <w:sz w:val="22"/>
          <w:szCs w:val="22"/>
          <w:highlight w:val="lightGray"/>
        </w:rPr>
        <w:t>LT/1/25/5873/005 – N60x1</w:t>
      </w:r>
    </w:p>
    <w:p w14:paraId="09AB6256" w14:textId="77777777" w:rsidR="007F5893" w:rsidRPr="007F5893" w:rsidRDefault="007F5893" w:rsidP="007F5893">
      <w:pPr>
        <w:rPr>
          <w:sz w:val="22"/>
          <w:szCs w:val="22"/>
          <w:highlight w:val="lightGray"/>
        </w:rPr>
      </w:pPr>
      <w:r w:rsidRPr="007F5893">
        <w:rPr>
          <w:sz w:val="22"/>
          <w:szCs w:val="22"/>
          <w:highlight w:val="lightGray"/>
        </w:rPr>
        <w:t>LT/1/25/5873/006 – N90x1</w:t>
      </w:r>
    </w:p>
    <w:p w14:paraId="40651ADB" w14:textId="09940184" w:rsidR="007F5893" w:rsidRPr="007F5893" w:rsidRDefault="007F5893" w:rsidP="007F5893">
      <w:pPr>
        <w:rPr>
          <w:sz w:val="22"/>
          <w:szCs w:val="22"/>
          <w:highlight w:val="lightGray"/>
        </w:rPr>
      </w:pPr>
      <w:r w:rsidRPr="007F5893">
        <w:rPr>
          <w:sz w:val="22"/>
          <w:szCs w:val="22"/>
          <w:highlight w:val="lightGray"/>
        </w:rPr>
        <w:t>&lt;</w:t>
      </w:r>
      <w:r w:rsidRPr="007F5893">
        <w:rPr>
          <w:sz w:val="22"/>
          <w:szCs w:val="22"/>
          <w:highlight w:val="lightGray"/>
        </w:rPr>
        <w:t>10 mg</w:t>
      </w:r>
      <w:r w:rsidRPr="007F5893">
        <w:rPr>
          <w:sz w:val="22"/>
          <w:szCs w:val="22"/>
          <w:highlight w:val="lightGray"/>
        </w:rPr>
        <w:t>&gt;</w:t>
      </w:r>
    </w:p>
    <w:p w14:paraId="5CD39646" w14:textId="1695BD83" w:rsidR="007F5893" w:rsidRPr="007F5893" w:rsidRDefault="007F5893" w:rsidP="007F5893">
      <w:pPr>
        <w:rPr>
          <w:sz w:val="22"/>
          <w:szCs w:val="22"/>
          <w:highlight w:val="lightGray"/>
        </w:rPr>
      </w:pPr>
      <w:r w:rsidRPr="007F5893">
        <w:rPr>
          <w:sz w:val="22"/>
          <w:szCs w:val="22"/>
          <w:highlight w:val="lightGray"/>
        </w:rPr>
        <w:t>LT/1/25/5874/001 – N30</w:t>
      </w:r>
    </w:p>
    <w:p w14:paraId="3C38F497" w14:textId="77777777" w:rsidR="007F5893" w:rsidRPr="007F5893" w:rsidRDefault="007F5893" w:rsidP="007F5893">
      <w:pPr>
        <w:rPr>
          <w:sz w:val="22"/>
          <w:szCs w:val="22"/>
          <w:highlight w:val="lightGray"/>
        </w:rPr>
      </w:pPr>
      <w:r w:rsidRPr="007F5893">
        <w:rPr>
          <w:sz w:val="22"/>
          <w:szCs w:val="22"/>
          <w:highlight w:val="lightGray"/>
        </w:rPr>
        <w:t>LT/1/25/5874/002 – N60</w:t>
      </w:r>
    </w:p>
    <w:p w14:paraId="700C2AAE" w14:textId="77777777" w:rsidR="007F5893" w:rsidRPr="007F5893" w:rsidRDefault="007F5893" w:rsidP="007F5893">
      <w:pPr>
        <w:rPr>
          <w:sz w:val="22"/>
          <w:szCs w:val="22"/>
          <w:highlight w:val="lightGray"/>
        </w:rPr>
      </w:pPr>
      <w:r w:rsidRPr="007F5893">
        <w:rPr>
          <w:sz w:val="22"/>
          <w:szCs w:val="22"/>
          <w:highlight w:val="lightGray"/>
        </w:rPr>
        <w:t>LT/1/25/5874/003 – N90</w:t>
      </w:r>
    </w:p>
    <w:p w14:paraId="0ED23F4A" w14:textId="77777777" w:rsidR="007F5893" w:rsidRPr="007F5893" w:rsidRDefault="007F5893" w:rsidP="007F5893">
      <w:pPr>
        <w:rPr>
          <w:sz w:val="22"/>
          <w:szCs w:val="22"/>
          <w:highlight w:val="lightGray"/>
        </w:rPr>
      </w:pPr>
      <w:r w:rsidRPr="007F5893">
        <w:rPr>
          <w:sz w:val="22"/>
          <w:szCs w:val="22"/>
          <w:highlight w:val="lightGray"/>
        </w:rPr>
        <w:t>LT/1/25/5874/004 – N30x1</w:t>
      </w:r>
    </w:p>
    <w:p w14:paraId="32D2C543" w14:textId="77777777" w:rsidR="007F5893" w:rsidRPr="007F5893" w:rsidRDefault="007F5893" w:rsidP="007F5893">
      <w:pPr>
        <w:rPr>
          <w:sz w:val="22"/>
          <w:szCs w:val="22"/>
          <w:highlight w:val="lightGray"/>
        </w:rPr>
      </w:pPr>
      <w:r w:rsidRPr="007F5893">
        <w:rPr>
          <w:sz w:val="22"/>
          <w:szCs w:val="22"/>
          <w:highlight w:val="lightGray"/>
        </w:rPr>
        <w:t>LT/1/25/5874/005 – N60x1</w:t>
      </w:r>
    </w:p>
    <w:p w14:paraId="78FC2B2F" w14:textId="5AE66AD6" w:rsidR="000928CA" w:rsidRDefault="007F5893" w:rsidP="007F5893">
      <w:pPr>
        <w:rPr>
          <w:sz w:val="22"/>
          <w:szCs w:val="22"/>
        </w:rPr>
      </w:pPr>
      <w:r w:rsidRPr="007F5893">
        <w:rPr>
          <w:sz w:val="22"/>
          <w:szCs w:val="22"/>
          <w:highlight w:val="lightGray"/>
        </w:rPr>
        <w:t>LT/1/25/5874/006 – N90x1</w:t>
      </w:r>
    </w:p>
    <w:p w14:paraId="3AA66F15" w14:textId="77777777" w:rsidR="007F5893" w:rsidRPr="004F572A" w:rsidRDefault="007F5893" w:rsidP="007F5893">
      <w:pPr>
        <w:rPr>
          <w:sz w:val="22"/>
          <w:szCs w:val="22"/>
        </w:rPr>
      </w:pPr>
    </w:p>
    <w:p w14:paraId="7D119704" w14:textId="77777777" w:rsidR="000928CA" w:rsidRPr="004F572A" w:rsidRDefault="000928CA" w:rsidP="000928CA">
      <w:pPr>
        <w:rPr>
          <w:sz w:val="22"/>
          <w:szCs w:val="22"/>
        </w:rPr>
      </w:pPr>
    </w:p>
    <w:p w14:paraId="26DB78DA" w14:textId="77777777" w:rsidR="000928CA" w:rsidRPr="004F572A" w:rsidRDefault="000928CA" w:rsidP="000928CA">
      <w:pPr>
        <w:pBdr>
          <w:top w:val="single" w:sz="4" w:space="1" w:color="000000"/>
          <w:left w:val="single" w:sz="4" w:space="4" w:color="000000"/>
          <w:bottom w:val="single" w:sz="4" w:space="1" w:color="000000"/>
          <w:right w:val="single" w:sz="4" w:space="4" w:color="000000"/>
        </w:pBdr>
        <w:rPr>
          <w:sz w:val="22"/>
          <w:szCs w:val="22"/>
        </w:rPr>
      </w:pPr>
      <w:r w:rsidRPr="004F572A">
        <w:rPr>
          <w:b/>
          <w:sz w:val="22"/>
          <w:szCs w:val="22"/>
        </w:rPr>
        <w:t>13.</w:t>
      </w:r>
      <w:r w:rsidRPr="004F572A">
        <w:rPr>
          <w:b/>
          <w:sz w:val="22"/>
          <w:szCs w:val="22"/>
        </w:rPr>
        <w:tab/>
        <w:t xml:space="preserve">SERIJOS NUMERIS </w:t>
      </w:r>
    </w:p>
    <w:p w14:paraId="4CB81B89" w14:textId="77777777" w:rsidR="000928CA" w:rsidRPr="004F572A" w:rsidRDefault="000928CA" w:rsidP="000928CA">
      <w:pPr>
        <w:rPr>
          <w:sz w:val="22"/>
          <w:szCs w:val="22"/>
        </w:rPr>
      </w:pPr>
    </w:p>
    <w:p w14:paraId="4E053687" w14:textId="77777777" w:rsidR="000928CA" w:rsidRPr="004F572A" w:rsidRDefault="000928CA" w:rsidP="000928CA">
      <w:pPr>
        <w:rPr>
          <w:sz w:val="22"/>
          <w:szCs w:val="22"/>
        </w:rPr>
      </w:pPr>
      <w:r w:rsidRPr="004F572A">
        <w:rPr>
          <w:sz w:val="22"/>
          <w:szCs w:val="22"/>
        </w:rPr>
        <w:t>Lot</w:t>
      </w:r>
    </w:p>
    <w:p w14:paraId="3909B821" w14:textId="77777777" w:rsidR="000928CA" w:rsidRPr="004F572A" w:rsidRDefault="000928CA" w:rsidP="000928CA">
      <w:pPr>
        <w:rPr>
          <w:sz w:val="22"/>
          <w:szCs w:val="22"/>
        </w:rPr>
      </w:pPr>
    </w:p>
    <w:p w14:paraId="44E990B8" w14:textId="77777777" w:rsidR="000928CA" w:rsidRPr="004F572A" w:rsidRDefault="000928CA" w:rsidP="000928CA">
      <w:pPr>
        <w:rPr>
          <w:sz w:val="22"/>
          <w:szCs w:val="22"/>
        </w:rPr>
      </w:pPr>
    </w:p>
    <w:p w14:paraId="4F61CEAA" w14:textId="77777777" w:rsidR="000928CA" w:rsidRPr="004F572A" w:rsidRDefault="000928CA" w:rsidP="000928CA">
      <w:pPr>
        <w:pBdr>
          <w:top w:val="single" w:sz="4" w:space="1" w:color="000000"/>
          <w:left w:val="single" w:sz="4" w:space="4" w:color="000000"/>
          <w:bottom w:val="single" w:sz="4" w:space="1" w:color="000000"/>
          <w:right w:val="single" w:sz="4" w:space="4" w:color="000000"/>
        </w:pBdr>
        <w:rPr>
          <w:sz w:val="22"/>
          <w:szCs w:val="22"/>
        </w:rPr>
      </w:pPr>
      <w:r w:rsidRPr="004F572A">
        <w:rPr>
          <w:b/>
          <w:sz w:val="22"/>
          <w:szCs w:val="22"/>
        </w:rPr>
        <w:t>14.</w:t>
      </w:r>
      <w:r w:rsidRPr="004F572A">
        <w:rPr>
          <w:b/>
          <w:sz w:val="22"/>
          <w:szCs w:val="22"/>
        </w:rPr>
        <w:tab/>
        <w:t>PARDAVIMO (IŠDAVIMO) TVARKA</w:t>
      </w:r>
    </w:p>
    <w:p w14:paraId="76423834" w14:textId="77777777" w:rsidR="000928CA" w:rsidRPr="004F572A" w:rsidRDefault="000928CA" w:rsidP="000928CA">
      <w:pPr>
        <w:rPr>
          <w:sz w:val="22"/>
          <w:szCs w:val="22"/>
        </w:rPr>
      </w:pPr>
    </w:p>
    <w:p w14:paraId="65732B09" w14:textId="2BA3A115" w:rsidR="000928CA" w:rsidRPr="004F572A" w:rsidRDefault="000928CA" w:rsidP="000928CA">
      <w:pPr>
        <w:rPr>
          <w:sz w:val="22"/>
          <w:szCs w:val="22"/>
        </w:rPr>
      </w:pPr>
      <w:r w:rsidRPr="004F572A">
        <w:rPr>
          <w:sz w:val="22"/>
          <w:szCs w:val="22"/>
        </w:rPr>
        <w:t>Receptinis vaistas</w:t>
      </w:r>
      <w:r w:rsidR="004F572A" w:rsidRPr="004F572A">
        <w:rPr>
          <w:sz w:val="22"/>
          <w:szCs w:val="22"/>
        </w:rPr>
        <w:t>.</w:t>
      </w:r>
    </w:p>
    <w:p w14:paraId="0E46D3C3" w14:textId="77777777" w:rsidR="000928CA" w:rsidRPr="004F572A" w:rsidRDefault="000928CA" w:rsidP="000928CA">
      <w:pPr>
        <w:rPr>
          <w:sz w:val="22"/>
          <w:szCs w:val="22"/>
        </w:rPr>
      </w:pPr>
    </w:p>
    <w:p w14:paraId="4E368AFF" w14:textId="77777777" w:rsidR="000928CA" w:rsidRPr="004F572A" w:rsidRDefault="000928CA" w:rsidP="000928CA">
      <w:pPr>
        <w:rPr>
          <w:sz w:val="22"/>
          <w:szCs w:val="22"/>
        </w:rPr>
      </w:pPr>
    </w:p>
    <w:p w14:paraId="1D7F4A75" w14:textId="77777777" w:rsidR="000928CA" w:rsidRPr="004F572A" w:rsidRDefault="000928CA" w:rsidP="000928CA">
      <w:pPr>
        <w:pBdr>
          <w:top w:val="single" w:sz="4" w:space="2" w:color="000000"/>
          <w:left w:val="single" w:sz="4" w:space="4" w:color="000000"/>
          <w:bottom w:val="single" w:sz="4" w:space="1" w:color="000000"/>
          <w:right w:val="single" w:sz="4" w:space="4" w:color="000000"/>
        </w:pBdr>
        <w:rPr>
          <w:sz w:val="22"/>
          <w:szCs w:val="22"/>
        </w:rPr>
      </w:pPr>
      <w:r w:rsidRPr="004F572A">
        <w:rPr>
          <w:b/>
          <w:sz w:val="22"/>
          <w:szCs w:val="22"/>
        </w:rPr>
        <w:t>15.</w:t>
      </w:r>
      <w:r w:rsidRPr="004F572A">
        <w:rPr>
          <w:b/>
          <w:sz w:val="22"/>
          <w:szCs w:val="22"/>
        </w:rPr>
        <w:tab/>
        <w:t>VARTOJIMO INSTRUKCIJA</w:t>
      </w:r>
    </w:p>
    <w:p w14:paraId="37581A9C" w14:textId="77777777" w:rsidR="000928CA" w:rsidRPr="004F572A" w:rsidRDefault="000928CA" w:rsidP="000928CA">
      <w:pPr>
        <w:rPr>
          <w:sz w:val="22"/>
          <w:szCs w:val="22"/>
        </w:rPr>
      </w:pPr>
    </w:p>
    <w:p w14:paraId="4A019DAD" w14:textId="77777777" w:rsidR="000928CA" w:rsidRPr="004F572A" w:rsidRDefault="000928CA" w:rsidP="000928CA">
      <w:pPr>
        <w:rPr>
          <w:sz w:val="22"/>
          <w:szCs w:val="22"/>
        </w:rPr>
      </w:pPr>
    </w:p>
    <w:p w14:paraId="3B0AC8DE" w14:textId="77777777" w:rsidR="000928CA" w:rsidRPr="004F572A" w:rsidRDefault="000928CA" w:rsidP="000928CA">
      <w:pPr>
        <w:pBdr>
          <w:top w:val="single" w:sz="4" w:space="1" w:color="000000"/>
          <w:left w:val="single" w:sz="4" w:space="4" w:color="000000"/>
          <w:bottom w:val="single" w:sz="4" w:space="0" w:color="000000"/>
          <w:right w:val="single" w:sz="4" w:space="4" w:color="000000"/>
        </w:pBdr>
        <w:rPr>
          <w:sz w:val="22"/>
          <w:szCs w:val="22"/>
        </w:rPr>
      </w:pPr>
      <w:r w:rsidRPr="004F572A">
        <w:rPr>
          <w:b/>
          <w:sz w:val="22"/>
          <w:szCs w:val="22"/>
        </w:rPr>
        <w:t>16.</w:t>
      </w:r>
      <w:r w:rsidRPr="004F572A">
        <w:rPr>
          <w:b/>
          <w:sz w:val="22"/>
          <w:szCs w:val="22"/>
        </w:rPr>
        <w:tab/>
        <w:t>INFORMACIJA BRAILIO RAŠTU</w:t>
      </w:r>
    </w:p>
    <w:p w14:paraId="27C8D061" w14:textId="77777777" w:rsidR="000928CA" w:rsidRPr="004F572A" w:rsidRDefault="000928CA" w:rsidP="000928CA">
      <w:pPr>
        <w:rPr>
          <w:sz w:val="22"/>
          <w:szCs w:val="22"/>
        </w:rPr>
      </w:pPr>
    </w:p>
    <w:p w14:paraId="5DEEEA02" w14:textId="28ACB19D" w:rsidR="000928CA" w:rsidRPr="004F572A" w:rsidRDefault="00020362" w:rsidP="000928CA">
      <w:pPr>
        <w:rPr>
          <w:sz w:val="22"/>
          <w:szCs w:val="22"/>
        </w:rPr>
      </w:pPr>
      <w:proofErr w:type="spellStart"/>
      <w:r w:rsidRPr="004F572A">
        <w:rPr>
          <w:sz w:val="22"/>
          <w:szCs w:val="22"/>
        </w:rPr>
        <w:t>Lenvatinib</w:t>
      </w:r>
      <w:proofErr w:type="spellEnd"/>
      <w:r w:rsidRPr="004F572A">
        <w:rPr>
          <w:sz w:val="22"/>
          <w:szCs w:val="22"/>
        </w:rPr>
        <w:t xml:space="preserve"> </w:t>
      </w:r>
      <w:proofErr w:type="spellStart"/>
      <w:r w:rsidRPr="004F572A">
        <w:rPr>
          <w:sz w:val="22"/>
          <w:szCs w:val="22"/>
        </w:rPr>
        <w:t>Sandoz</w:t>
      </w:r>
      <w:proofErr w:type="spellEnd"/>
      <w:r w:rsidRPr="004F572A">
        <w:rPr>
          <w:sz w:val="22"/>
          <w:szCs w:val="22"/>
        </w:rPr>
        <w:t xml:space="preserve"> 4 mg</w:t>
      </w:r>
    </w:p>
    <w:p w14:paraId="5779A39F" w14:textId="539BF3CF" w:rsidR="00020362" w:rsidRPr="004F572A" w:rsidRDefault="00020362" w:rsidP="00020362">
      <w:pPr>
        <w:rPr>
          <w:sz w:val="22"/>
          <w:szCs w:val="22"/>
        </w:rPr>
      </w:pPr>
      <w:proofErr w:type="spellStart"/>
      <w:r w:rsidRPr="004F572A">
        <w:rPr>
          <w:sz w:val="22"/>
          <w:szCs w:val="22"/>
          <w:highlight w:val="lightGray"/>
        </w:rPr>
        <w:t>Lenvatinib</w:t>
      </w:r>
      <w:proofErr w:type="spellEnd"/>
      <w:r w:rsidRPr="004F572A">
        <w:rPr>
          <w:sz w:val="22"/>
          <w:szCs w:val="22"/>
          <w:highlight w:val="lightGray"/>
        </w:rPr>
        <w:t xml:space="preserve"> </w:t>
      </w:r>
      <w:proofErr w:type="spellStart"/>
      <w:r w:rsidRPr="004F572A">
        <w:rPr>
          <w:sz w:val="22"/>
          <w:szCs w:val="22"/>
          <w:highlight w:val="lightGray"/>
        </w:rPr>
        <w:t>Sandoz</w:t>
      </w:r>
      <w:proofErr w:type="spellEnd"/>
      <w:r w:rsidRPr="004F572A">
        <w:rPr>
          <w:sz w:val="22"/>
          <w:szCs w:val="22"/>
          <w:highlight w:val="lightGray"/>
        </w:rPr>
        <w:t xml:space="preserve"> 10 mg</w:t>
      </w:r>
    </w:p>
    <w:p w14:paraId="61580ED7" w14:textId="77777777" w:rsidR="000928CA" w:rsidRPr="004F572A" w:rsidRDefault="000928CA" w:rsidP="000928CA">
      <w:pPr>
        <w:rPr>
          <w:sz w:val="22"/>
          <w:szCs w:val="22"/>
        </w:rPr>
      </w:pPr>
    </w:p>
    <w:p w14:paraId="0A3E3283" w14:textId="77777777" w:rsidR="000928CA" w:rsidRPr="004F572A" w:rsidRDefault="000928CA" w:rsidP="000928CA">
      <w:pPr>
        <w:rPr>
          <w:sz w:val="22"/>
          <w:szCs w:val="22"/>
        </w:rPr>
      </w:pPr>
    </w:p>
    <w:p w14:paraId="0F248E5B" w14:textId="77777777" w:rsidR="000928CA" w:rsidRPr="004F572A" w:rsidRDefault="000928CA" w:rsidP="000928CA">
      <w:pPr>
        <w:keepNext/>
        <w:pBdr>
          <w:top w:val="single" w:sz="4" w:space="1" w:color="000000"/>
          <w:left w:val="single" w:sz="4" w:space="4" w:color="000000"/>
          <w:bottom w:val="single" w:sz="4" w:space="1" w:color="000000"/>
          <w:right w:val="single" w:sz="4" w:space="4" w:color="000000"/>
        </w:pBdr>
        <w:tabs>
          <w:tab w:val="left" w:pos="0"/>
        </w:tabs>
        <w:rPr>
          <w:sz w:val="22"/>
          <w:szCs w:val="22"/>
        </w:rPr>
      </w:pPr>
      <w:r w:rsidRPr="004F572A">
        <w:rPr>
          <w:b/>
          <w:sz w:val="22"/>
          <w:szCs w:val="22"/>
        </w:rPr>
        <w:lastRenderedPageBreak/>
        <w:t>17.</w:t>
      </w:r>
      <w:r w:rsidRPr="004F572A">
        <w:rPr>
          <w:b/>
          <w:sz w:val="22"/>
          <w:szCs w:val="22"/>
        </w:rPr>
        <w:tab/>
        <w:t>UNIKALUS IDENTIFIKATORIUS – 2D BRŪKŠNINIS KODAS</w:t>
      </w:r>
    </w:p>
    <w:p w14:paraId="0875E678" w14:textId="77777777" w:rsidR="000928CA" w:rsidRPr="004F572A" w:rsidRDefault="000928CA" w:rsidP="000928CA">
      <w:pPr>
        <w:rPr>
          <w:sz w:val="22"/>
          <w:szCs w:val="22"/>
        </w:rPr>
      </w:pPr>
    </w:p>
    <w:p w14:paraId="2E173FEB" w14:textId="77777777" w:rsidR="000928CA" w:rsidRPr="004F572A" w:rsidRDefault="000928CA" w:rsidP="000928CA">
      <w:pPr>
        <w:rPr>
          <w:sz w:val="22"/>
          <w:szCs w:val="22"/>
        </w:rPr>
      </w:pPr>
      <w:r w:rsidRPr="004F572A">
        <w:rPr>
          <w:sz w:val="22"/>
          <w:szCs w:val="22"/>
          <w:shd w:val="clear" w:color="auto" w:fill="C0C0C0"/>
        </w:rPr>
        <w:t>2D brūkšninis kodas su nurodytu unikaliu identifikatoriumi.</w:t>
      </w:r>
    </w:p>
    <w:p w14:paraId="4CFBE84C" w14:textId="77777777" w:rsidR="000928CA" w:rsidRPr="004F572A" w:rsidRDefault="000928CA" w:rsidP="000928CA">
      <w:pPr>
        <w:rPr>
          <w:sz w:val="22"/>
          <w:szCs w:val="22"/>
        </w:rPr>
      </w:pPr>
    </w:p>
    <w:p w14:paraId="770B81D9" w14:textId="77777777" w:rsidR="000928CA" w:rsidRPr="004F572A" w:rsidRDefault="000928CA" w:rsidP="000928CA">
      <w:pPr>
        <w:rPr>
          <w:sz w:val="22"/>
          <w:szCs w:val="22"/>
        </w:rPr>
      </w:pPr>
    </w:p>
    <w:p w14:paraId="0F8164A9" w14:textId="77777777" w:rsidR="000928CA" w:rsidRPr="004F572A" w:rsidRDefault="000928CA" w:rsidP="000928CA">
      <w:pPr>
        <w:keepNext/>
        <w:pBdr>
          <w:top w:val="single" w:sz="4" w:space="1" w:color="000000"/>
          <w:left w:val="single" w:sz="4" w:space="4" w:color="000000"/>
          <w:bottom w:val="single" w:sz="4" w:space="1" w:color="000000"/>
          <w:right w:val="single" w:sz="4" w:space="4" w:color="000000"/>
        </w:pBdr>
        <w:tabs>
          <w:tab w:val="left" w:pos="0"/>
        </w:tabs>
        <w:rPr>
          <w:sz w:val="22"/>
          <w:szCs w:val="22"/>
        </w:rPr>
      </w:pPr>
      <w:r w:rsidRPr="004F572A">
        <w:rPr>
          <w:b/>
          <w:sz w:val="22"/>
          <w:szCs w:val="22"/>
        </w:rPr>
        <w:t>18.</w:t>
      </w:r>
      <w:r w:rsidRPr="004F572A">
        <w:rPr>
          <w:b/>
          <w:sz w:val="22"/>
          <w:szCs w:val="22"/>
        </w:rPr>
        <w:tab/>
        <w:t>UNIKALUS IDENTIFIKATORIUS – ŽMONĖMS SUPRANTAMI DUOMENYS</w:t>
      </w:r>
    </w:p>
    <w:p w14:paraId="71FF6090" w14:textId="77777777" w:rsidR="000928CA" w:rsidRPr="004F572A" w:rsidRDefault="000928CA" w:rsidP="000928CA">
      <w:pPr>
        <w:rPr>
          <w:sz w:val="22"/>
          <w:szCs w:val="22"/>
        </w:rPr>
      </w:pPr>
    </w:p>
    <w:p w14:paraId="6D2864DA" w14:textId="3FBD530D" w:rsidR="000928CA" w:rsidRPr="004F572A" w:rsidRDefault="000928CA" w:rsidP="000928CA">
      <w:pPr>
        <w:rPr>
          <w:sz w:val="22"/>
          <w:szCs w:val="22"/>
        </w:rPr>
      </w:pPr>
      <w:r w:rsidRPr="004F572A">
        <w:rPr>
          <w:sz w:val="22"/>
          <w:szCs w:val="22"/>
        </w:rPr>
        <w:t>PC {numeris}</w:t>
      </w:r>
    </w:p>
    <w:p w14:paraId="41B1F8CE" w14:textId="5D27F476" w:rsidR="000928CA" w:rsidRPr="004F572A" w:rsidRDefault="000928CA" w:rsidP="000928CA">
      <w:pPr>
        <w:rPr>
          <w:sz w:val="22"/>
          <w:szCs w:val="22"/>
          <w:shd w:val="clear" w:color="auto" w:fill="C0C0C0"/>
        </w:rPr>
      </w:pPr>
      <w:r w:rsidRPr="004F572A">
        <w:rPr>
          <w:sz w:val="22"/>
          <w:szCs w:val="22"/>
        </w:rPr>
        <w:t>SN {numeris}</w:t>
      </w:r>
    </w:p>
    <w:p w14:paraId="63A2C92E" w14:textId="60DA2B6E" w:rsidR="000928CA" w:rsidRPr="004F572A" w:rsidRDefault="000928CA" w:rsidP="000928CA">
      <w:pPr>
        <w:rPr>
          <w:b/>
          <w:sz w:val="22"/>
          <w:szCs w:val="22"/>
        </w:rPr>
      </w:pPr>
      <w:r w:rsidRPr="004F572A">
        <w:rPr>
          <w:sz w:val="22"/>
          <w:szCs w:val="22"/>
        </w:rPr>
        <w:t>NN {numeris}</w:t>
      </w:r>
    </w:p>
    <w:p w14:paraId="770CDB73" w14:textId="77777777" w:rsidR="000928CA" w:rsidRPr="004F572A" w:rsidRDefault="000928CA" w:rsidP="000928CA">
      <w:pPr>
        <w:pageBreakBefore/>
        <w:pBdr>
          <w:top w:val="single" w:sz="4" w:space="1" w:color="000000"/>
          <w:left w:val="single" w:sz="4" w:space="4" w:color="000000"/>
          <w:bottom w:val="single" w:sz="4" w:space="1" w:color="000000"/>
          <w:right w:val="single" w:sz="4" w:space="4" w:color="000000"/>
        </w:pBdr>
        <w:rPr>
          <w:sz w:val="22"/>
          <w:szCs w:val="22"/>
        </w:rPr>
      </w:pPr>
      <w:r w:rsidRPr="004F572A">
        <w:rPr>
          <w:b/>
          <w:sz w:val="22"/>
          <w:szCs w:val="22"/>
        </w:rPr>
        <w:lastRenderedPageBreak/>
        <w:t>MINIMALI INFORMACIJA ANT LIZDINIŲ PLOKŠTELIŲ ARBA DVISLUOKSNIŲ JUOSTELIŲ</w:t>
      </w:r>
    </w:p>
    <w:p w14:paraId="434BC0A4" w14:textId="77777777" w:rsidR="000928CA" w:rsidRPr="004F572A" w:rsidRDefault="000928CA" w:rsidP="000928CA">
      <w:pPr>
        <w:pBdr>
          <w:top w:val="single" w:sz="4" w:space="1" w:color="000000"/>
          <w:left w:val="single" w:sz="4" w:space="4" w:color="000000"/>
          <w:bottom w:val="single" w:sz="4" w:space="1" w:color="000000"/>
          <w:right w:val="single" w:sz="4" w:space="4" w:color="000000"/>
        </w:pBdr>
        <w:rPr>
          <w:sz w:val="22"/>
          <w:szCs w:val="22"/>
        </w:rPr>
      </w:pPr>
    </w:p>
    <w:p w14:paraId="4C2A22C7" w14:textId="38653D45" w:rsidR="000928CA" w:rsidRPr="004F572A" w:rsidRDefault="000928CA" w:rsidP="000928CA">
      <w:pPr>
        <w:pBdr>
          <w:top w:val="single" w:sz="4" w:space="1" w:color="000000"/>
          <w:left w:val="single" w:sz="4" w:space="4" w:color="000000"/>
          <w:bottom w:val="single" w:sz="4" w:space="1" w:color="000000"/>
          <w:right w:val="single" w:sz="4" w:space="4" w:color="000000"/>
        </w:pBdr>
        <w:rPr>
          <w:sz w:val="22"/>
          <w:szCs w:val="22"/>
        </w:rPr>
      </w:pPr>
      <w:r w:rsidRPr="004F572A">
        <w:rPr>
          <w:b/>
          <w:sz w:val="22"/>
          <w:szCs w:val="22"/>
        </w:rPr>
        <w:t>LIZDINĖ</w:t>
      </w:r>
      <w:r w:rsidR="00B82F3F" w:rsidRPr="004F572A">
        <w:rPr>
          <w:b/>
          <w:sz w:val="22"/>
          <w:szCs w:val="22"/>
        </w:rPr>
        <w:t>S</w:t>
      </w:r>
      <w:r w:rsidRPr="004F572A">
        <w:rPr>
          <w:b/>
          <w:sz w:val="22"/>
          <w:szCs w:val="22"/>
        </w:rPr>
        <w:t xml:space="preserve"> PLOKŠTELĖ</w:t>
      </w:r>
      <w:r w:rsidR="00B82F3F" w:rsidRPr="004F572A">
        <w:rPr>
          <w:b/>
          <w:sz w:val="22"/>
          <w:szCs w:val="22"/>
        </w:rPr>
        <w:t xml:space="preserve">S – ES visas / </w:t>
      </w:r>
      <w:r w:rsidR="00B82F3F" w:rsidRPr="004F572A">
        <w:rPr>
          <w:b/>
          <w:i/>
          <w:iCs/>
          <w:sz w:val="22"/>
          <w:szCs w:val="22"/>
          <w:shd w:val="clear" w:color="auto" w:fill="BFBFBF" w:themeFill="background1" w:themeFillShade="BF"/>
        </w:rPr>
        <w:t>sutrumpintas</w:t>
      </w:r>
      <w:r w:rsidR="00B82F3F" w:rsidRPr="004F572A">
        <w:rPr>
          <w:b/>
          <w:sz w:val="22"/>
          <w:szCs w:val="22"/>
        </w:rPr>
        <w:t xml:space="preserve"> harmonizuotas ženklinimo tekstas</w:t>
      </w:r>
    </w:p>
    <w:p w14:paraId="078505E9" w14:textId="77777777" w:rsidR="000928CA" w:rsidRPr="004F572A" w:rsidRDefault="000928CA" w:rsidP="000928CA">
      <w:pPr>
        <w:rPr>
          <w:sz w:val="22"/>
          <w:szCs w:val="22"/>
        </w:rPr>
      </w:pPr>
    </w:p>
    <w:p w14:paraId="1540786A" w14:textId="77777777" w:rsidR="000928CA" w:rsidRPr="004F572A" w:rsidRDefault="000928CA" w:rsidP="000928CA">
      <w:pPr>
        <w:rPr>
          <w:sz w:val="22"/>
          <w:szCs w:val="22"/>
        </w:rPr>
      </w:pPr>
    </w:p>
    <w:p w14:paraId="655839E5" w14:textId="77777777" w:rsidR="000928CA" w:rsidRPr="004F572A" w:rsidRDefault="000928CA" w:rsidP="000928CA">
      <w:pPr>
        <w:suppressLineNumbers/>
        <w:pBdr>
          <w:top w:val="single" w:sz="4" w:space="1" w:color="000000"/>
          <w:left w:val="single" w:sz="4" w:space="4" w:color="000000"/>
          <w:bottom w:val="single" w:sz="4" w:space="1" w:color="000000"/>
          <w:right w:val="single" w:sz="4" w:space="4" w:color="000000"/>
        </w:pBdr>
        <w:rPr>
          <w:sz w:val="22"/>
          <w:szCs w:val="22"/>
        </w:rPr>
      </w:pPr>
      <w:r w:rsidRPr="004F572A">
        <w:rPr>
          <w:b/>
          <w:sz w:val="22"/>
          <w:szCs w:val="22"/>
        </w:rPr>
        <w:t>1.</w:t>
      </w:r>
      <w:r w:rsidRPr="004F572A">
        <w:rPr>
          <w:b/>
          <w:sz w:val="22"/>
          <w:szCs w:val="22"/>
        </w:rPr>
        <w:tab/>
      </w:r>
      <w:r w:rsidRPr="004F572A">
        <w:rPr>
          <w:b/>
          <w:caps/>
          <w:sz w:val="22"/>
          <w:szCs w:val="22"/>
        </w:rPr>
        <w:t>VAISTINIO</w:t>
      </w:r>
      <w:r w:rsidRPr="004F572A">
        <w:rPr>
          <w:b/>
          <w:sz w:val="22"/>
          <w:szCs w:val="22"/>
        </w:rPr>
        <w:t xml:space="preserve"> PREPARATO PAVADINIMAS</w:t>
      </w:r>
    </w:p>
    <w:p w14:paraId="04B1F9A9" w14:textId="77777777" w:rsidR="000928CA" w:rsidRPr="004F572A" w:rsidRDefault="000928CA" w:rsidP="000928CA">
      <w:pPr>
        <w:rPr>
          <w:sz w:val="22"/>
          <w:szCs w:val="22"/>
        </w:rPr>
      </w:pPr>
    </w:p>
    <w:p w14:paraId="0955BF7B" w14:textId="77777777" w:rsidR="00B82F3F" w:rsidRPr="004F572A" w:rsidRDefault="00B82F3F" w:rsidP="00B82F3F">
      <w:pPr>
        <w:ind w:right="3670"/>
        <w:rPr>
          <w:spacing w:val="-1"/>
          <w:sz w:val="22"/>
          <w:szCs w:val="22"/>
        </w:rPr>
      </w:pPr>
      <w:proofErr w:type="spellStart"/>
      <w:r w:rsidRPr="004F572A">
        <w:rPr>
          <w:spacing w:val="-1"/>
          <w:sz w:val="22"/>
          <w:szCs w:val="22"/>
        </w:rPr>
        <w:t>Lenvatinib</w:t>
      </w:r>
      <w:proofErr w:type="spellEnd"/>
      <w:r w:rsidRPr="004F572A">
        <w:rPr>
          <w:spacing w:val="-1"/>
          <w:sz w:val="22"/>
          <w:szCs w:val="22"/>
        </w:rPr>
        <w:t xml:space="preserve"> </w:t>
      </w:r>
      <w:proofErr w:type="spellStart"/>
      <w:r w:rsidRPr="004F572A">
        <w:rPr>
          <w:spacing w:val="-1"/>
          <w:sz w:val="22"/>
          <w:szCs w:val="22"/>
        </w:rPr>
        <w:t>Sandoz</w:t>
      </w:r>
      <w:proofErr w:type="spellEnd"/>
      <w:r w:rsidRPr="004F572A">
        <w:rPr>
          <w:spacing w:val="-1"/>
          <w:sz w:val="22"/>
          <w:szCs w:val="22"/>
        </w:rPr>
        <w:t xml:space="preserve"> 4 mg </w:t>
      </w:r>
      <w:r w:rsidRPr="004F572A">
        <w:rPr>
          <w:i/>
          <w:iCs/>
          <w:spacing w:val="-1"/>
          <w:sz w:val="22"/>
          <w:szCs w:val="22"/>
          <w:highlight w:val="darkGray"/>
        </w:rPr>
        <w:t>kietosios</w:t>
      </w:r>
      <w:r w:rsidRPr="004F572A">
        <w:rPr>
          <w:spacing w:val="-1"/>
          <w:sz w:val="22"/>
          <w:szCs w:val="22"/>
        </w:rPr>
        <w:t xml:space="preserve"> kapsulės</w:t>
      </w:r>
    </w:p>
    <w:p w14:paraId="399F80E4" w14:textId="77777777" w:rsidR="00B82F3F" w:rsidRPr="004F572A" w:rsidRDefault="00B82F3F" w:rsidP="00B82F3F">
      <w:pPr>
        <w:shd w:val="clear" w:color="auto" w:fill="D9D9D9" w:themeFill="background1" w:themeFillShade="D9"/>
        <w:ind w:right="5110"/>
        <w:rPr>
          <w:spacing w:val="-1"/>
          <w:sz w:val="22"/>
          <w:szCs w:val="22"/>
        </w:rPr>
      </w:pPr>
      <w:proofErr w:type="spellStart"/>
      <w:r w:rsidRPr="004F572A">
        <w:rPr>
          <w:spacing w:val="-1"/>
          <w:sz w:val="22"/>
          <w:szCs w:val="22"/>
        </w:rPr>
        <w:t>Lenvatinib</w:t>
      </w:r>
      <w:proofErr w:type="spellEnd"/>
      <w:r w:rsidRPr="004F572A">
        <w:rPr>
          <w:spacing w:val="-1"/>
          <w:sz w:val="22"/>
          <w:szCs w:val="22"/>
        </w:rPr>
        <w:t xml:space="preserve"> </w:t>
      </w:r>
      <w:proofErr w:type="spellStart"/>
      <w:r w:rsidRPr="004F572A">
        <w:rPr>
          <w:spacing w:val="-1"/>
          <w:sz w:val="22"/>
          <w:szCs w:val="22"/>
        </w:rPr>
        <w:t>Sandoz</w:t>
      </w:r>
      <w:proofErr w:type="spellEnd"/>
      <w:r w:rsidRPr="004F572A">
        <w:rPr>
          <w:spacing w:val="-1"/>
          <w:sz w:val="22"/>
          <w:szCs w:val="22"/>
        </w:rPr>
        <w:t xml:space="preserve"> 10 mg </w:t>
      </w:r>
      <w:r w:rsidRPr="004F572A">
        <w:rPr>
          <w:i/>
          <w:iCs/>
          <w:spacing w:val="-1"/>
          <w:sz w:val="22"/>
          <w:szCs w:val="22"/>
          <w:highlight w:val="darkGray"/>
        </w:rPr>
        <w:t>kietosios</w:t>
      </w:r>
      <w:r w:rsidRPr="004F572A">
        <w:rPr>
          <w:spacing w:val="-1"/>
          <w:sz w:val="22"/>
          <w:szCs w:val="22"/>
        </w:rPr>
        <w:t xml:space="preserve"> kapsulės</w:t>
      </w:r>
    </w:p>
    <w:p w14:paraId="37206EF0" w14:textId="77777777" w:rsidR="00B82F3F" w:rsidRPr="004F572A" w:rsidRDefault="00B82F3F" w:rsidP="00B82F3F">
      <w:pPr>
        <w:rPr>
          <w:sz w:val="22"/>
          <w:szCs w:val="22"/>
        </w:rPr>
      </w:pPr>
    </w:p>
    <w:p w14:paraId="724CCB4B" w14:textId="77777777" w:rsidR="00B82F3F" w:rsidRPr="004F572A" w:rsidRDefault="00B82F3F" w:rsidP="00B82F3F">
      <w:pPr>
        <w:shd w:val="clear" w:color="auto" w:fill="A6A6A6" w:themeFill="background1" w:themeFillShade="A6"/>
        <w:ind w:right="7720"/>
        <w:rPr>
          <w:sz w:val="22"/>
          <w:szCs w:val="22"/>
        </w:rPr>
      </w:pPr>
      <w:proofErr w:type="spellStart"/>
      <w:r w:rsidRPr="00E27691">
        <w:rPr>
          <w:i/>
          <w:iCs/>
          <w:sz w:val="22"/>
          <w:szCs w:val="22"/>
        </w:rPr>
        <w:t>l</w:t>
      </w:r>
      <w:r w:rsidRPr="004F572A">
        <w:rPr>
          <w:i/>
          <w:iCs/>
          <w:sz w:val="22"/>
          <w:szCs w:val="22"/>
        </w:rPr>
        <w:t>envatinibum</w:t>
      </w:r>
      <w:proofErr w:type="spellEnd"/>
      <w:r w:rsidRPr="004F572A">
        <w:rPr>
          <w:i/>
          <w:iCs/>
          <w:sz w:val="22"/>
          <w:szCs w:val="22"/>
        </w:rPr>
        <w:t xml:space="preserve"> </w:t>
      </w:r>
    </w:p>
    <w:p w14:paraId="6B14170C" w14:textId="77777777" w:rsidR="000928CA" w:rsidRPr="004F572A" w:rsidRDefault="000928CA" w:rsidP="000928CA">
      <w:pPr>
        <w:rPr>
          <w:sz w:val="22"/>
          <w:szCs w:val="22"/>
        </w:rPr>
      </w:pPr>
    </w:p>
    <w:p w14:paraId="7CC528FB" w14:textId="77777777" w:rsidR="000928CA" w:rsidRPr="004F572A" w:rsidRDefault="000928CA" w:rsidP="000928CA">
      <w:pPr>
        <w:rPr>
          <w:sz w:val="22"/>
          <w:szCs w:val="22"/>
        </w:rPr>
      </w:pPr>
    </w:p>
    <w:p w14:paraId="32C22EAE" w14:textId="77777777" w:rsidR="000928CA" w:rsidRPr="004F572A" w:rsidRDefault="000928CA" w:rsidP="000928CA">
      <w:pPr>
        <w:suppressLineNumbers/>
        <w:pBdr>
          <w:top w:val="single" w:sz="4" w:space="1" w:color="000000"/>
          <w:left w:val="single" w:sz="4" w:space="4" w:color="000000"/>
          <w:bottom w:val="single" w:sz="4" w:space="1" w:color="000000"/>
          <w:right w:val="single" w:sz="4" w:space="4" w:color="000000"/>
        </w:pBdr>
        <w:rPr>
          <w:sz w:val="22"/>
          <w:szCs w:val="22"/>
        </w:rPr>
      </w:pPr>
      <w:r w:rsidRPr="004F572A">
        <w:rPr>
          <w:b/>
          <w:sz w:val="22"/>
          <w:szCs w:val="22"/>
        </w:rPr>
        <w:t>2.</w:t>
      </w:r>
      <w:r w:rsidRPr="004F572A">
        <w:rPr>
          <w:b/>
          <w:sz w:val="22"/>
          <w:szCs w:val="22"/>
        </w:rPr>
        <w:tab/>
      </w:r>
      <w:r w:rsidRPr="004F572A">
        <w:rPr>
          <w:b/>
          <w:caps/>
          <w:sz w:val="22"/>
          <w:szCs w:val="22"/>
        </w:rPr>
        <w:t>REGISTRUOTOJO pavadinimas</w:t>
      </w:r>
    </w:p>
    <w:p w14:paraId="5E8588AC" w14:textId="77777777" w:rsidR="000928CA" w:rsidRPr="004F572A" w:rsidRDefault="000928CA" w:rsidP="000928CA">
      <w:pPr>
        <w:rPr>
          <w:sz w:val="22"/>
          <w:szCs w:val="22"/>
        </w:rPr>
      </w:pPr>
    </w:p>
    <w:p w14:paraId="43D928EB" w14:textId="77777777" w:rsidR="000928CA" w:rsidRPr="004F572A" w:rsidRDefault="000928CA" w:rsidP="000928CA">
      <w:pPr>
        <w:rPr>
          <w:sz w:val="22"/>
          <w:szCs w:val="22"/>
        </w:rPr>
      </w:pPr>
      <w:r w:rsidRPr="004F572A">
        <w:rPr>
          <w:sz w:val="22"/>
          <w:szCs w:val="22"/>
        </w:rPr>
        <w:t>SANDOZ</w:t>
      </w:r>
    </w:p>
    <w:p w14:paraId="7D039190" w14:textId="77777777" w:rsidR="000928CA" w:rsidRPr="004F572A" w:rsidRDefault="000928CA" w:rsidP="000928CA">
      <w:pPr>
        <w:rPr>
          <w:sz w:val="22"/>
          <w:szCs w:val="22"/>
        </w:rPr>
      </w:pPr>
    </w:p>
    <w:p w14:paraId="0CF44B7C" w14:textId="77777777" w:rsidR="000928CA" w:rsidRPr="004F572A" w:rsidRDefault="000928CA" w:rsidP="000928CA">
      <w:pPr>
        <w:rPr>
          <w:sz w:val="22"/>
          <w:szCs w:val="22"/>
        </w:rPr>
      </w:pPr>
    </w:p>
    <w:p w14:paraId="1300856D" w14:textId="77777777" w:rsidR="000928CA" w:rsidRPr="004F572A" w:rsidRDefault="000928CA" w:rsidP="000928CA">
      <w:pPr>
        <w:suppressLineNumbers/>
        <w:pBdr>
          <w:top w:val="single" w:sz="4" w:space="1" w:color="000000"/>
          <w:left w:val="single" w:sz="4" w:space="4" w:color="000000"/>
          <w:bottom w:val="single" w:sz="4" w:space="2" w:color="000000"/>
          <w:right w:val="single" w:sz="4" w:space="4" w:color="000000"/>
        </w:pBdr>
        <w:rPr>
          <w:sz w:val="22"/>
          <w:szCs w:val="22"/>
        </w:rPr>
      </w:pPr>
      <w:r w:rsidRPr="004F572A">
        <w:rPr>
          <w:b/>
          <w:sz w:val="22"/>
          <w:szCs w:val="22"/>
        </w:rPr>
        <w:t>3.</w:t>
      </w:r>
      <w:r w:rsidRPr="004F572A">
        <w:rPr>
          <w:b/>
          <w:sz w:val="22"/>
          <w:szCs w:val="22"/>
        </w:rPr>
        <w:tab/>
        <w:t>TINKAMUMO LAIKAS</w:t>
      </w:r>
    </w:p>
    <w:p w14:paraId="160B74FA" w14:textId="77777777" w:rsidR="000928CA" w:rsidRPr="004F572A" w:rsidRDefault="000928CA" w:rsidP="000928CA">
      <w:pPr>
        <w:rPr>
          <w:sz w:val="22"/>
          <w:szCs w:val="22"/>
        </w:rPr>
      </w:pPr>
    </w:p>
    <w:p w14:paraId="50934E25" w14:textId="3B828A0F" w:rsidR="000928CA" w:rsidRPr="004F572A" w:rsidRDefault="000928CA" w:rsidP="000928CA">
      <w:pPr>
        <w:rPr>
          <w:sz w:val="22"/>
          <w:szCs w:val="22"/>
        </w:rPr>
      </w:pPr>
      <w:r w:rsidRPr="004F572A">
        <w:rPr>
          <w:sz w:val="22"/>
          <w:szCs w:val="22"/>
        </w:rPr>
        <w:t>EXP {mm</w:t>
      </w:r>
      <w:r w:rsidR="008F6A26">
        <w:rPr>
          <w:sz w:val="22"/>
          <w:szCs w:val="22"/>
        </w:rPr>
        <w:t>/</w:t>
      </w:r>
      <w:r w:rsidRPr="004F572A">
        <w:rPr>
          <w:sz w:val="22"/>
          <w:szCs w:val="22"/>
        </w:rPr>
        <w:t>MMMM}</w:t>
      </w:r>
    </w:p>
    <w:p w14:paraId="3E29CB8A" w14:textId="77777777" w:rsidR="000928CA" w:rsidRPr="004F572A" w:rsidRDefault="000928CA" w:rsidP="000928CA">
      <w:pPr>
        <w:rPr>
          <w:sz w:val="22"/>
          <w:szCs w:val="22"/>
        </w:rPr>
      </w:pPr>
    </w:p>
    <w:p w14:paraId="64724EC3" w14:textId="77777777" w:rsidR="000928CA" w:rsidRPr="004F572A" w:rsidRDefault="000928CA" w:rsidP="000928CA">
      <w:pPr>
        <w:rPr>
          <w:sz w:val="22"/>
          <w:szCs w:val="22"/>
        </w:rPr>
      </w:pPr>
    </w:p>
    <w:p w14:paraId="104482AF" w14:textId="77777777" w:rsidR="000928CA" w:rsidRPr="004F572A" w:rsidRDefault="000928CA" w:rsidP="000928CA">
      <w:pPr>
        <w:suppressLineNumbers/>
        <w:pBdr>
          <w:top w:val="single" w:sz="4" w:space="1" w:color="000000"/>
          <w:left w:val="single" w:sz="4" w:space="4" w:color="000000"/>
          <w:bottom w:val="single" w:sz="4" w:space="1" w:color="000000"/>
          <w:right w:val="single" w:sz="4" w:space="4" w:color="000000"/>
        </w:pBdr>
        <w:rPr>
          <w:sz w:val="22"/>
          <w:szCs w:val="22"/>
        </w:rPr>
      </w:pPr>
      <w:r w:rsidRPr="004F572A">
        <w:rPr>
          <w:b/>
          <w:sz w:val="22"/>
          <w:szCs w:val="22"/>
        </w:rPr>
        <w:t>4.</w:t>
      </w:r>
      <w:r w:rsidRPr="004F572A">
        <w:rPr>
          <w:b/>
          <w:sz w:val="22"/>
          <w:szCs w:val="22"/>
        </w:rPr>
        <w:tab/>
        <w:t>SERIJOS NUMERIS</w:t>
      </w:r>
    </w:p>
    <w:p w14:paraId="2F562002" w14:textId="77777777" w:rsidR="000928CA" w:rsidRPr="004F572A" w:rsidRDefault="000928CA" w:rsidP="000928CA">
      <w:pPr>
        <w:rPr>
          <w:sz w:val="22"/>
          <w:szCs w:val="22"/>
        </w:rPr>
      </w:pPr>
    </w:p>
    <w:p w14:paraId="0125ED5D" w14:textId="572F1926" w:rsidR="000928CA" w:rsidRPr="004F572A" w:rsidRDefault="00B82F3F" w:rsidP="000928CA">
      <w:pPr>
        <w:rPr>
          <w:sz w:val="22"/>
          <w:szCs w:val="22"/>
        </w:rPr>
      </w:pPr>
      <w:r w:rsidRPr="004F572A">
        <w:rPr>
          <w:sz w:val="22"/>
          <w:szCs w:val="22"/>
        </w:rPr>
        <w:t>Lot {numeris}</w:t>
      </w:r>
    </w:p>
    <w:p w14:paraId="270FB3CC" w14:textId="77777777" w:rsidR="000928CA" w:rsidRPr="004F572A" w:rsidRDefault="000928CA" w:rsidP="000928CA">
      <w:pPr>
        <w:rPr>
          <w:sz w:val="22"/>
          <w:szCs w:val="22"/>
        </w:rPr>
      </w:pPr>
    </w:p>
    <w:p w14:paraId="6E61015B" w14:textId="77777777" w:rsidR="004F572A" w:rsidRPr="004F572A" w:rsidRDefault="004F572A" w:rsidP="000928CA">
      <w:pPr>
        <w:rPr>
          <w:sz w:val="22"/>
          <w:szCs w:val="22"/>
        </w:rPr>
      </w:pPr>
    </w:p>
    <w:p w14:paraId="207156A1" w14:textId="77777777" w:rsidR="000928CA" w:rsidRPr="004F572A" w:rsidRDefault="000928CA" w:rsidP="000928CA">
      <w:pPr>
        <w:suppressLineNumbers/>
        <w:pBdr>
          <w:top w:val="single" w:sz="4" w:space="1" w:color="000000"/>
          <w:left w:val="single" w:sz="4" w:space="4" w:color="000000"/>
          <w:bottom w:val="single" w:sz="4" w:space="1" w:color="000000"/>
          <w:right w:val="single" w:sz="4" w:space="4" w:color="000000"/>
        </w:pBdr>
        <w:rPr>
          <w:sz w:val="22"/>
          <w:szCs w:val="22"/>
        </w:rPr>
      </w:pPr>
      <w:r w:rsidRPr="004F572A">
        <w:rPr>
          <w:b/>
          <w:sz w:val="22"/>
          <w:szCs w:val="22"/>
        </w:rPr>
        <w:t>5.</w:t>
      </w:r>
      <w:r w:rsidRPr="004F572A">
        <w:rPr>
          <w:b/>
          <w:sz w:val="22"/>
          <w:szCs w:val="22"/>
        </w:rPr>
        <w:tab/>
        <w:t>KITA</w:t>
      </w:r>
    </w:p>
    <w:p w14:paraId="37152256" w14:textId="77777777" w:rsidR="000928CA" w:rsidRPr="004F572A" w:rsidRDefault="000928CA" w:rsidP="000928CA">
      <w:pPr>
        <w:rPr>
          <w:sz w:val="22"/>
          <w:szCs w:val="22"/>
        </w:rPr>
      </w:pPr>
    </w:p>
    <w:p w14:paraId="40D31625" w14:textId="77777777" w:rsidR="000928CA" w:rsidRPr="004F572A" w:rsidRDefault="000928CA" w:rsidP="000928CA">
      <w:pPr>
        <w:rPr>
          <w:sz w:val="22"/>
          <w:szCs w:val="22"/>
        </w:rPr>
      </w:pPr>
    </w:p>
    <w:p w14:paraId="6C3BE344" w14:textId="77777777" w:rsidR="000928CA" w:rsidRPr="004F572A" w:rsidRDefault="000928CA" w:rsidP="000928CA">
      <w:pPr>
        <w:pageBreakBefore/>
        <w:rPr>
          <w:sz w:val="22"/>
          <w:szCs w:val="22"/>
        </w:rPr>
      </w:pPr>
    </w:p>
    <w:p w14:paraId="508A9F83" w14:textId="77777777" w:rsidR="000928CA" w:rsidRPr="004F572A" w:rsidRDefault="000928CA" w:rsidP="000928CA">
      <w:pPr>
        <w:rPr>
          <w:sz w:val="22"/>
          <w:szCs w:val="22"/>
        </w:rPr>
      </w:pPr>
    </w:p>
    <w:p w14:paraId="71164F83" w14:textId="77777777" w:rsidR="000928CA" w:rsidRPr="004F572A" w:rsidRDefault="000928CA" w:rsidP="000928CA">
      <w:pPr>
        <w:rPr>
          <w:sz w:val="22"/>
          <w:szCs w:val="22"/>
        </w:rPr>
      </w:pPr>
    </w:p>
    <w:p w14:paraId="7FF53625" w14:textId="77777777" w:rsidR="000928CA" w:rsidRPr="004F572A" w:rsidRDefault="000928CA" w:rsidP="000928CA">
      <w:pPr>
        <w:rPr>
          <w:sz w:val="22"/>
          <w:szCs w:val="22"/>
        </w:rPr>
      </w:pPr>
    </w:p>
    <w:p w14:paraId="7D2B1675" w14:textId="77777777" w:rsidR="000928CA" w:rsidRPr="004F572A" w:rsidRDefault="000928CA" w:rsidP="000928CA">
      <w:pPr>
        <w:rPr>
          <w:sz w:val="22"/>
          <w:szCs w:val="22"/>
        </w:rPr>
      </w:pPr>
    </w:p>
    <w:p w14:paraId="790991CB" w14:textId="77777777" w:rsidR="000928CA" w:rsidRPr="004F572A" w:rsidRDefault="000928CA" w:rsidP="000928CA">
      <w:pPr>
        <w:rPr>
          <w:sz w:val="22"/>
          <w:szCs w:val="22"/>
        </w:rPr>
      </w:pPr>
    </w:p>
    <w:p w14:paraId="7F2B0C5B" w14:textId="77777777" w:rsidR="000928CA" w:rsidRPr="004F572A" w:rsidRDefault="000928CA" w:rsidP="000928CA">
      <w:pPr>
        <w:rPr>
          <w:sz w:val="22"/>
          <w:szCs w:val="22"/>
        </w:rPr>
      </w:pPr>
    </w:p>
    <w:p w14:paraId="318609C1" w14:textId="77777777" w:rsidR="000928CA" w:rsidRPr="004F572A" w:rsidRDefault="000928CA" w:rsidP="000928CA">
      <w:pPr>
        <w:rPr>
          <w:sz w:val="22"/>
          <w:szCs w:val="22"/>
        </w:rPr>
      </w:pPr>
    </w:p>
    <w:p w14:paraId="7E30ECFA" w14:textId="77777777" w:rsidR="000928CA" w:rsidRPr="004F572A" w:rsidRDefault="000928CA" w:rsidP="000928CA">
      <w:pPr>
        <w:rPr>
          <w:sz w:val="22"/>
          <w:szCs w:val="22"/>
        </w:rPr>
      </w:pPr>
    </w:p>
    <w:p w14:paraId="3600380B" w14:textId="77777777" w:rsidR="000928CA" w:rsidRPr="004F572A" w:rsidRDefault="000928CA" w:rsidP="000928CA">
      <w:pPr>
        <w:rPr>
          <w:sz w:val="22"/>
          <w:szCs w:val="22"/>
        </w:rPr>
      </w:pPr>
    </w:p>
    <w:p w14:paraId="4172D656" w14:textId="77777777" w:rsidR="000928CA" w:rsidRPr="004F572A" w:rsidRDefault="000928CA" w:rsidP="000928CA">
      <w:pPr>
        <w:rPr>
          <w:sz w:val="22"/>
          <w:szCs w:val="22"/>
        </w:rPr>
      </w:pPr>
    </w:p>
    <w:p w14:paraId="6D958100" w14:textId="77777777" w:rsidR="000928CA" w:rsidRPr="004F572A" w:rsidRDefault="000928CA" w:rsidP="000928CA">
      <w:pPr>
        <w:rPr>
          <w:sz w:val="22"/>
          <w:szCs w:val="22"/>
        </w:rPr>
      </w:pPr>
    </w:p>
    <w:p w14:paraId="1B82BC16" w14:textId="77777777" w:rsidR="000928CA" w:rsidRPr="004F572A" w:rsidRDefault="000928CA" w:rsidP="000928CA">
      <w:pPr>
        <w:rPr>
          <w:sz w:val="22"/>
          <w:szCs w:val="22"/>
        </w:rPr>
      </w:pPr>
    </w:p>
    <w:p w14:paraId="01765ECE" w14:textId="77777777" w:rsidR="000928CA" w:rsidRPr="004F572A" w:rsidRDefault="000928CA" w:rsidP="000928CA">
      <w:pPr>
        <w:rPr>
          <w:sz w:val="22"/>
          <w:szCs w:val="22"/>
        </w:rPr>
      </w:pPr>
    </w:p>
    <w:p w14:paraId="351FAAE7" w14:textId="77777777" w:rsidR="000928CA" w:rsidRPr="004F572A" w:rsidRDefault="000928CA" w:rsidP="000928CA">
      <w:pPr>
        <w:rPr>
          <w:sz w:val="22"/>
          <w:szCs w:val="22"/>
        </w:rPr>
      </w:pPr>
    </w:p>
    <w:p w14:paraId="1AEC1DE3" w14:textId="77777777" w:rsidR="000928CA" w:rsidRPr="004F572A" w:rsidRDefault="000928CA" w:rsidP="000928CA">
      <w:pPr>
        <w:rPr>
          <w:sz w:val="22"/>
          <w:szCs w:val="22"/>
        </w:rPr>
      </w:pPr>
    </w:p>
    <w:p w14:paraId="6F4354C2" w14:textId="77777777" w:rsidR="000928CA" w:rsidRPr="004F572A" w:rsidRDefault="000928CA" w:rsidP="000928CA">
      <w:pPr>
        <w:rPr>
          <w:sz w:val="22"/>
          <w:szCs w:val="22"/>
        </w:rPr>
      </w:pPr>
    </w:p>
    <w:p w14:paraId="05177D05" w14:textId="77777777" w:rsidR="000928CA" w:rsidRPr="004F572A" w:rsidRDefault="000928CA" w:rsidP="000928CA">
      <w:pPr>
        <w:rPr>
          <w:sz w:val="22"/>
          <w:szCs w:val="22"/>
        </w:rPr>
      </w:pPr>
    </w:p>
    <w:p w14:paraId="7123DF49" w14:textId="77777777" w:rsidR="000928CA" w:rsidRPr="004F572A" w:rsidRDefault="000928CA" w:rsidP="000928CA">
      <w:pPr>
        <w:rPr>
          <w:sz w:val="22"/>
          <w:szCs w:val="22"/>
        </w:rPr>
      </w:pPr>
    </w:p>
    <w:p w14:paraId="0839F5C0" w14:textId="77777777" w:rsidR="000928CA" w:rsidRPr="004F572A" w:rsidRDefault="000928CA" w:rsidP="000928CA">
      <w:pPr>
        <w:rPr>
          <w:sz w:val="22"/>
          <w:szCs w:val="22"/>
        </w:rPr>
      </w:pPr>
    </w:p>
    <w:p w14:paraId="32956E8A" w14:textId="77777777" w:rsidR="000928CA" w:rsidRPr="004F572A" w:rsidRDefault="000928CA" w:rsidP="000928CA">
      <w:pPr>
        <w:rPr>
          <w:sz w:val="22"/>
          <w:szCs w:val="22"/>
        </w:rPr>
      </w:pPr>
    </w:p>
    <w:p w14:paraId="29BE68EB" w14:textId="77777777" w:rsidR="000928CA" w:rsidRPr="004F572A" w:rsidRDefault="000928CA" w:rsidP="000928CA">
      <w:pPr>
        <w:rPr>
          <w:sz w:val="22"/>
          <w:szCs w:val="22"/>
        </w:rPr>
      </w:pPr>
    </w:p>
    <w:p w14:paraId="08CBCF79" w14:textId="77777777" w:rsidR="000928CA" w:rsidRPr="004F572A" w:rsidRDefault="000928CA" w:rsidP="000928CA">
      <w:pPr>
        <w:jc w:val="center"/>
        <w:rPr>
          <w:sz w:val="22"/>
          <w:szCs w:val="22"/>
        </w:rPr>
      </w:pPr>
      <w:r w:rsidRPr="004F572A">
        <w:rPr>
          <w:b/>
          <w:sz w:val="22"/>
          <w:szCs w:val="22"/>
        </w:rPr>
        <w:t>B. PAKUOTĖS LAPELIS</w:t>
      </w:r>
    </w:p>
    <w:p w14:paraId="0DE30F1B" w14:textId="43887192" w:rsidR="000928CA" w:rsidRPr="004F572A" w:rsidRDefault="000928CA" w:rsidP="000928CA">
      <w:pPr>
        <w:pStyle w:val="Antrat2"/>
        <w:pageBreakBefore/>
        <w:spacing w:before="0" w:after="0"/>
        <w:jc w:val="center"/>
        <w:rPr>
          <w:rFonts w:ascii="Times New Roman" w:hAnsi="Times New Roman"/>
          <w:sz w:val="22"/>
          <w:szCs w:val="22"/>
          <w:lang w:val="lt-LT"/>
        </w:rPr>
      </w:pPr>
      <w:r w:rsidRPr="004F572A">
        <w:rPr>
          <w:rFonts w:ascii="Times New Roman" w:hAnsi="Times New Roman" w:cs="Times New Roman"/>
          <w:i w:val="0"/>
          <w:sz w:val="22"/>
          <w:szCs w:val="22"/>
          <w:lang w:val="lt-LT"/>
        </w:rPr>
        <w:lastRenderedPageBreak/>
        <w:t>Pakuotės lapelis:</w:t>
      </w:r>
      <w:r w:rsidRPr="004F572A">
        <w:rPr>
          <w:rFonts w:ascii="Times New Roman" w:hAnsi="Times New Roman" w:cs="Times New Roman"/>
          <w:bCs w:val="0"/>
          <w:i w:val="0"/>
          <w:iCs w:val="0"/>
          <w:sz w:val="22"/>
          <w:szCs w:val="22"/>
          <w:lang w:val="lt-LT"/>
        </w:rPr>
        <w:t xml:space="preserve"> </w:t>
      </w:r>
      <w:r w:rsidRPr="004F572A">
        <w:rPr>
          <w:rFonts w:ascii="Times New Roman" w:hAnsi="Times New Roman" w:cs="Times New Roman"/>
          <w:i w:val="0"/>
          <w:sz w:val="22"/>
          <w:szCs w:val="22"/>
          <w:lang w:val="lt-LT"/>
        </w:rPr>
        <w:t xml:space="preserve">informacija </w:t>
      </w:r>
      <w:r w:rsidR="00F253FC" w:rsidRPr="004F572A">
        <w:rPr>
          <w:rFonts w:ascii="Times New Roman" w:hAnsi="Times New Roman" w:cs="Times New Roman"/>
          <w:i w:val="0"/>
          <w:sz w:val="22"/>
          <w:szCs w:val="22"/>
          <w:lang w:val="lt-LT"/>
        </w:rPr>
        <w:t>vartotojui</w:t>
      </w:r>
    </w:p>
    <w:p w14:paraId="2EFB9427" w14:textId="77777777" w:rsidR="00F253FC" w:rsidRPr="004F572A" w:rsidRDefault="00F253FC" w:rsidP="00F253FC">
      <w:pPr>
        <w:jc w:val="center"/>
        <w:rPr>
          <w:sz w:val="22"/>
          <w:szCs w:val="22"/>
        </w:rPr>
      </w:pPr>
    </w:p>
    <w:p w14:paraId="50D74547" w14:textId="1EEC4441" w:rsidR="00F253FC" w:rsidRPr="004F572A" w:rsidRDefault="00F253FC" w:rsidP="00F253FC">
      <w:pPr>
        <w:jc w:val="center"/>
        <w:rPr>
          <w:b/>
          <w:bCs/>
          <w:sz w:val="22"/>
          <w:szCs w:val="22"/>
        </w:rPr>
      </w:pPr>
      <w:proofErr w:type="spellStart"/>
      <w:r w:rsidRPr="004F572A">
        <w:rPr>
          <w:b/>
          <w:bCs/>
          <w:sz w:val="22"/>
          <w:szCs w:val="22"/>
        </w:rPr>
        <w:t>Lenvatinib</w:t>
      </w:r>
      <w:proofErr w:type="spellEnd"/>
      <w:r w:rsidRPr="004F572A">
        <w:rPr>
          <w:b/>
          <w:bCs/>
          <w:sz w:val="22"/>
          <w:szCs w:val="22"/>
        </w:rPr>
        <w:t xml:space="preserve"> </w:t>
      </w:r>
      <w:proofErr w:type="spellStart"/>
      <w:r w:rsidRPr="004F572A">
        <w:rPr>
          <w:b/>
          <w:bCs/>
          <w:sz w:val="22"/>
          <w:szCs w:val="22"/>
        </w:rPr>
        <w:t>Sandoz</w:t>
      </w:r>
      <w:proofErr w:type="spellEnd"/>
      <w:r w:rsidRPr="004F572A">
        <w:rPr>
          <w:b/>
          <w:bCs/>
          <w:sz w:val="22"/>
          <w:szCs w:val="22"/>
        </w:rPr>
        <w:t xml:space="preserve"> 4</w:t>
      </w:r>
      <w:r w:rsidR="00B10CAA">
        <w:rPr>
          <w:b/>
          <w:bCs/>
          <w:sz w:val="22"/>
          <w:szCs w:val="22"/>
        </w:rPr>
        <w:t> </w:t>
      </w:r>
      <w:r w:rsidRPr="004F572A">
        <w:rPr>
          <w:b/>
          <w:bCs/>
          <w:sz w:val="22"/>
          <w:szCs w:val="22"/>
        </w:rPr>
        <w:t>mg kietosios kapsulės</w:t>
      </w:r>
    </w:p>
    <w:p w14:paraId="5AC7307C" w14:textId="69033053" w:rsidR="000928CA" w:rsidRPr="004F572A" w:rsidRDefault="00F253FC" w:rsidP="00F253FC">
      <w:pPr>
        <w:jc w:val="center"/>
        <w:rPr>
          <w:b/>
          <w:bCs/>
          <w:sz w:val="22"/>
          <w:szCs w:val="22"/>
        </w:rPr>
      </w:pPr>
      <w:proofErr w:type="spellStart"/>
      <w:r w:rsidRPr="004F572A">
        <w:rPr>
          <w:b/>
          <w:bCs/>
          <w:sz w:val="22"/>
          <w:szCs w:val="22"/>
        </w:rPr>
        <w:t>Lenvatinib</w:t>
      </w:r>
      <w:proofErr w:type="spellEnd"/>
      <w:r w:rsidRPr="004F572A">
        <w:rPr>
          <w:b/>
          <w:bCs/>
          <w:sz w:val="22"/>
          <w:szCs w:val="22"/>
        </w:rPr>
        <w:t xml:space="preserve"> </w:t>
      </w:r>
      <w:proofErr w:type="spellStart"/>
      <w:r w:rsidRPr="004F572A">
        <w:rPr>
          <w:b/>
          <w:bCs/>
          <w:sz w:val="22"/>
          <w:szCs w:val="22"/>
        </w:rPr>
        <w:t>Sandoz</w:t>
      </w:r>
      <w:proofErr w:type="spellEnd"/>
      <w:r w:rsidRPr="004F572A">
        <w:rPr>
          <w:b/>
          <w:bCs/>
          <w:sz w:val="22"/>
          <w:szCs w:val="22"/>
        </w:rPr>
        <w:t xml:space="preserve"> 10</w:t>
      </w:r>
      <w:r w:rsidR="00B10CAA">
        <w:rPr>
          <w:b/>
          <w:bCs/>
          <w:sz w:val="22"/>
          <w:szCs w:val="22"/>
        </w:rPr>
        <w:t> </w:t>
      </w:r>
      <w:r w:rsidRPr="004F572A">
        <w:rPr>
          <w:b/>
          <w:bCs/>
          <w:sz w:val="22"/>
          <w:szCs w:val="22"/>
        </w:rPr>
        <w:t>mg kietosios kapsulės</w:t>
      </w:r>
    </w:p>
    <w:p w14:paraId="5D9DC21E" w14:textId="77777777" w:rsidR="00F253FC" w:rsidRPr="004F572A" w:rsidRDefault="00F253FC" w:rsidP="000928CA">
      <w:pPr>
        <w:tabs>
          <w:tab w:val="clear" w:pos="567"/>
        </w:tabs>
        <w:jc w:val="center"/>
        <w:rPr>
          <w:sz w:val="22"/>
          <w:szCs w:val="22"/>
        </w:rPr>
      </w:pPr>
    </w:p>
    <w:p w14:paraId="241D3DAB" w14:textId="082CDD88" w:rsidR="000928CA" w:rsidRPr="004F572A" w:rsidRDefault="00F253FC" w:rsidP="000928CA">
      <w:pPr>
        <w:tabs>
          <w:tab w:val="clear" w:pos="567"/>
        </w:tabs>
        <w:jc w:val="center"/>
        <w:rPr>
          <w:sz w:val="22"/>
          <w:szCs w:val="22"/>
        </w:rPr>
      </w:pPr>
      <w:proofErr w:type="spellStart"/>
      <w:r w:rsidRPr="004F572A">
        <w:rPr>
          <w:sz w:val="22"/>
          <w:szCs w:val="22"/>
        </w:rPr>
        <w:t>lenvatinibas</w:t>
      </w:r>
      <w:proofErr w:type="spellEnd"/>
    </w:p>
    <w:p w14:paraId="10D39E3E" w14:textId="77777777" w:rsidR="000928CA" w:rsidRPr="004F572A" w:rsidRDefault="000928CA" w:rsidP="000928CA">
      <w:pPr>
        <w:tabs>
          <w:tab w:val="clear" w:pos="567"/>
        </w:tabs>
        <w:rPr>
          <w:sz w:val="22"/>
          <w:szCs w:val="22"/>
        </w:rPr>
      </w:pPr>
    </w:p>
    <w:p w14:paraId="216A7130" w14:textId="77777777" w:rsidR="000928CA" w:rsidRPr="004F572A" w:rsidRDefault="000928CA" w:rsidP="000928CA">
      <w:pPr>
        <w:tabs>
          <w:tab w:val="clear" w:pos="567"/>
        </w:tabs>
        <w:rPr>
          <w:sz w:val="22"/>
          <w:szCs w:val="22"/>
        </w:rPr>
      </w:pPr>
      <w:r w:rsidRPr="004F572A">
        <w:rPr>
          <w:b/>
          <w:sz w:val="22"/>
          <w:szCs w:val="22"/>
        </w:rPr>
        <w:t>Atidžiai perskaitykite visą šį lapelį, prieš pradėdami vartoti vaistą, nes jame pateikiama Jums svarbi informacija.</w:t>
      </w:r>
    </w:p>
    <w:p w14:paraId="0B850EEA" w14:textId="77777777" w:rsidR="000928CA" w:rsidRPr="004F572A" w:rsidRDefault="000928CA" w:rsidP="00E27691">
      <w:pPr>
        <w:numPr>
          <w:ilvl w:val="0"/>
          <w:numId w:val="20"/>
        </w:numPr>
        <w:tabs>
          <w:tab w:val="clear" w:pos="567"/>
          <w:tab w:val="clear" w:pos="720"/>
        </w:tabs>
        <w:ind w:left="567" w:hanging="567"/>
        <w:rPr>
          <w:sz w:val="22"/>
          <w:szCs w:val="22"/>
        </w:rPr>
      </w:pPr>
      <w:r w:rsidRPr="004F572A">
        <w:rPr>
          <w:sz w:val="22"/>
          <w:szCs w:val="22"/>
        </w:rPr>
        <w:t xml:space="preserve">Neišmeskite šio lapelio, nes vėl gali prireikti jį perskaityti. </w:t>
      </w:r>
    </w:p>
    <w:p w14:paraId="0A99DDA2" w14:textId="77777777" w:rsidR="000928CA" w:rsidRPr="004F572A" w:rsidRDefault="000928CA" w:rsidP="00E27691">
      <w:pPr>
        <w:numPr>
          <w:ilvl w:val="0"/>
          <w:numId w:val="20"/>
        </w:numPr>
        <w:tabs>
          <w:tab w:val="clear" w:pos="567"/>
          <w:tab w:val="clear" w:pos="720"/>
        </w:tabs>
        <w:ind w:left="567" w:hanging="567"/>
        <w:rPr>
          <w:sz w:val="22"/>
          <w:szCs w:val="22"/>
        </w:rPr>
      </w:pPr>
      <w:r w:rsidRPr="004F572A">
        <w:rPr>
          <w:sz w:val="22"/>
          <w:szCs w:val="22"/>
        </w:rPr>
        <w:t>Jeigu kiltų daugiau klausimų, kreipkitės į gydytoją arba vaistininką.</w:t>
      </w:r>
    </w:p>
    <w:p w14:paraId="4BD85349" w14:textId="77777777" w:rsidR="000928CA" w:rsidRPr="004F572A" w:rsidRDefault="000928CA" w:rsidP="00E27691">
      <w:pPr>
        <w:numPr>
          <w:ilvl w:val="0"/>
          <w:numId w:val="20"/>
        </w:numPr>
        <w:tabs>
          <w:tab w:val="clear" w:pos="567"/>
          <w:tab w:val="clear" w:pos="720"/>
        </w:tabs>
        <w:ind w:left="567" w:hanging="567"/>
        <w:rPr>
          <w:sz w:val="22"/>
          <w:szCs w:val="22"/>
        </w:rPr>
      </w:pPr>
      <w:r w:rsidRPr="004F572A">
        <w:rPr>
          <w:sz w:val="22"/>
          <w:szCs w:val="22"/>
        </w:rPr>
        <w:t>Šis vaistas skirtas tik Jums, todėl kitiems žmonėms jo duoti negalima. Vaistas gali jiems pakenkti (net tiems, kurių ligos požymiai yra tokie patys kaip Jūsų).</w:t>
      </w:r>
    </w:p>
    <w:p w14:paraId="450003A4" w14:textId="50F71153" w:rsidR="000928CA" w:rsidRPr="004F572A" w:rsidRDefault="000928CA" w:rsidP="00E27691">
      <w:pPr>
        <w:numPr>
          <w:ilvl w:val="0"/>
          <w:numId w:val="20"/>
        </w:numPr>
        <w:tabs>
          <w:tab w:val="clear" w:pos="567"/>
          <w:tab w:val="clear" w:pos="720"/>
        </w:tabs>
        <w:ind w:left="567" w:hanging="567"/>
        <w:rPr>
          <w:sz w:val="22"/>
          <w:szCs w:val="22"/>
        </w:rPr>
      </w:pPr>
      <w:r w:rsidRPr="004F572A">
        <w:rPr>
          <w:sz w:val="22"/>
          <w:szCs w:val="22"/>
        </w:rPr>
        <w:t>Jeigu pasireiškė šalutinis poveikis (net jeigu jis šiame lapelyje nenurodytas), kreipkitės į gydytoją vaistininką</w:t>
      </w:r>
      <w:r w:rsidR="00F253FC" w:rsidRPr="004F572A">
        <w:rPr>
          <w:sz w:val="22"/>
          <w:szCs w:val="22"/>
        </w:rPr>
        <w:t xml:space="preserve"> arba slaugytoją</w:t>
      </w:r>
      <w:r w:rsidRPr="004F572A">
        <w:rPr>
          <w:sz w:val="22"/>
          <w:szCs w:val="22"/>
        </w:rPr>
        <w:t>. Žr.</w:t>
      </w:r>
      <w:r w:rsidR="00FB0A3A" w:rsidRPr="004F572A">
        <w:rPr>
          <w:sz w:val="22"/>
          <w:szCs w:val="22"/>
        </w:rPr>
        <w:t> </w:t>
      </w:r>
      <w:r w:rsidRPr="004F572A">
        <w:rPr>
          <w:sz w:val="22"/>
          <w:szCs w:val="22"/>
        </w:rPr>
        <w:t>4</w:t>
      </w:r>
      <w:r w:rsidR="00FB0A3A" w:rsidRPr="004F572A">
        <w:rPr>
          <w:sz w:val="22"/>
          <w:szCs w:val="22"/>
        </w:rPr>
        <w:t> </w:t>
      </w:r>
      <w:r w:rsidRPr="004F572A">
        <w:rPr>
          <w:sz w:val="22"/>
          <w:szCs w:val="22"/>
        </w:rPr>
        <w:t>skyrių.</w:t>
      </w:r>
    </w:p>
    <w:p w14:paraId="2C98888A" w14:textId="77777777" w:rsidR="000928CA" w:rsidRPr="004F572A" w:rsidRDefault="000928CA" w:rsidP="000928CA">
      <w:pPr>
        <w:tabs>
          <w:tab w:val="clear" w:pos="567"/>
        </w:tabs>
        <w:ind w:right="-2"/>
        <w:rPr>
          <w:sz w:val="22"/>
          <w:szCs w:val="22"/>
        </w:rPr>
      </w:pPr>
    </w:p>
    <w:p w14:paraId="72BAE76D" w14:textId="77777777" w:rsidR="000928CA" w:rsidRPr="004F572A" w:rsidRDefault="000928CA" w:rsidP="000928CA">
      <w:pPr>
        <w:pStyle w:val="Antrat4"/>
        <w:rPr>
          <w:rFonts w:ascii="Times New Roman" w:hAnsi="Times New Roman"/>
          <w:sz w:val="22"/>
          <w:szCs w:val="22"/>
          <w:lang w:val="lt-LT"/>
        </w:rPr>
      </w:pPr>
      <w:r w:rsidRPr="004F572A">
        <w:rPr>
          <w:rFonts w:ascii="Times New Roman" w:hAnsi="Times New Roman" w:cs="Times New Roman"/>
          <w:sz w:val="22"/>
          <w:szCs w:val="22"/>
          <w:lang w:val="lt-LT"/>
        </w:rPr>
        <w:t>Apie ką rašoma šiame lapelyje?</w:t>
      </w:r>
    </w:p>
    <w:p w14:paraId="074D43E0" w14:textId="77777777" w:rsidR="000928CA" w:rsidRPr="004F572A" w:rsidRDefault="000928CA" w:rsidP="000928CA">
      <w:pPr>
        <w:tabs>
          <w:tab w:val="clear" w:pos="567"/>
        </w:tabs>
        <w:ind w:right="-2"/>
        <w:rPr>
          <w:sz w:val="22"/>
          <w:szCs w:val="22"/>
        </w:rPr>
      </w:pPr>
    </w:p>
    <w:p w14:paraId="3A31A4D8" w14:textId="62B6777E" w:rsidR="000928CA" w:rsidRPr="004F572A" w:rsidRDefault="000928CA" w:rsidP="000928CA">
      <w:pPr>
        <w:tabs>
          <w:tab w:val="clear" w:pos="567"/>
          <w:tab w:val="left" w:pos="709"/>
        </w:tabs>
        <w:ind w:right="-2"/>
        <w:rPr>
          <w:sz w:val="22"/>
          <w:szCs w:val="22"/>
        </w:rPr>
      </w:pPr>
      <w:r w:rsidRPr="004F572A">
        <w:rPr>
          <w:sz w:val="22"/>
          <w:szCs w:val="22"/>
        </w:rPr>
        <w:t>1.</w:t>
      </w:r>
      <w:r w:rsidRPr="004F572A">
        <w:rPr>
          <w:sz w:val="22"/>
          <w:szCs w:val="22"/>
        </w:rPr>
        <w:tab/>
        <w:t xml:space="preserve">Kas yra </w:t>
      </w:r>
      <w:proofErr w:type="spellStart"/>
      <w:r w:rsidR="00F253FC" w:rsidRPr="004F572A">
        <w:rPr>
          <w:sz w:val="22"/>
          <w:szCs w:val="22"/>
        </w:rPr>
        <w:t>Lenvatinib</w:t>
      </w:r>
      <w:proofErr w:type="spellEnd"/>
      <w:r w:rsidR="00F253FC" w:rsidRPr="004F572A">
        <w:rPr>
          <w:sz w:val="22"/>
          <w:szCs w:val="22"/>
        </w:rPr>
        <w:t xml:space="preserve"> </w:t>
      </w:r>
      <w:proofErr w:type="spellStart"/>
      <w:r w:rsidR="00F253FC" w:rsidRPr="004F572A">
        <w:rPr>
          <w:sz w:val="22"/>
          <w:szCs w:val="22"/>
        </w:rPr>
        <w:t>Sandoz</w:t>
      </w:r>
      <w:proofErr w:type="spellEnd"/>
      <w:r w:rsidRPr="004F572A">
        <w:rPr>
          <w:sz w:val="22"/>
          <w:szCs w:val="22"/>
        </w:rPr>
        <w:t xml:space="preserve"> ir kam jis vartojamas </w:t>
      </w:r>
    </w:p>
    <w:p w14:paraId="1D8DBC5A" w14:textId="240431C0" w:rsidR="000928CA" w:rsidRPr="004F572A" w:rsidRDefault="000928CA" w:rsidP="000928CA">
      <w:pPr>
        <w:tabs>
          <w:tab w:val="clear" w:pos="567"/>
          <w:tab w:val="left" w:pos="709"/>
        </w:tabs>
        <w:ind w:right="-2"/>
        <w:rPr>
          <w:sz w:val="22"/>
          <w:szCs w:val="22"/>
        </w:rPr>
      </w:pPr>
      <w:r w:rsidRPr="004F572A">
        <w:rPr>
          <w:sz w:val="22"/>
          <w:szCs w:val="22"/>
        </w:rPr>
        <w:t>2.</w:t>
      </w:r>
      <w:r w:rsidRPr="004F572A">
        <w:rPr>
          <w:sz w:val="22"/>
          <w:szCs w:val="22"/>
        </w:rPr>
        <w:tab/>
        <w:t xml:space="preserve">Kas žinotina prieš vartojant </w:t>
      </w:r>
      <w:proofErr w:type="spellStart"/>
      <w:r w:rsidR="00F253FC" w:rsidRPr="004F572A">
        <w:rPr>
          <w:sz w:val="22"/>
          <w:szCs w:val="22"/>
        </w:rPr>
        <w:t>Lenvatinib</w:t>
      </w:r>
      <w:proofErr w:type="spellEnd"/>
      <w:r w:rsidR="00F253FC" w:rsidRPr="004F572A">
        <w:rPr>
          <w:sz w:val="22"/>
          <w:szCs w:val="22"/>
        </w:rPr>
        <w:t xml:space="preserve"> </w:t>
      </w:r>
      <w:proofErr w:type="spellStart"/>
      <w:r w:rsidR="00F253FC" w:rsidRPr="004F572A">
        <w:rPr>
          <w:sz w:val="22"/>
          <w:szCs w:val="22"/>
        </w:rPr>
        <w:t>Sandoz</w:t>
      </w:r>
      <w:proofErr w:type="spellEnd"/>
    </w:p>
    <w:p w14:paraId="617F7FEA" w14:textId="7BACE988" w:rsidR="000928CA" w:rsidRPr="004F572A" w:rsidRDefault="000928CA" w:rsidP="000928CA">
      <w:pPr>
        <w:tabs>
          <w:tab w:val="clear" w:pos="567"/>
          <w:tab w:val="left" w:pos="709"/>
        </w:tabs>
        <w:ind w:right="-2"/>
        <w:rPr>
          <w:sz w:val="22"/>
          <w:szCs w:val="22"/>
        </w:rPr>
      </w:pPr>
      <w:r w:rsidRPr="004F572A">
        <w:rPr>
          <w:sz w:val="22"/>
          <w:szCs w:val="22"/>
        </w:rPr>
        <w:t>3.</w:t>
      </w:r>
      <w:r w:rsidRPr="004F572A">
        <w:rPr>
          <w:sz w:val="22"/>
          <w:szCs w:val="22"/>
        </w:rPr>
        <w:tab/>
        <w:t xml:space="preserve">Kaip vartoti </w:t>
      </w:r>
      <w:proofErr w:type="spellStart"/>
      <w:r w:rsidR="00F253FC" w:rsidRPr="004F572A">
        <w:rPr>
          <w:sz w:val="22"/>
          <w:szCs w:val="22"/>
        </w:rPr>
        <w:t>Lenvatinib</w:t>
      </w:r>
      <w:proofErr w:type="spellEnd"/>
      <w:r w:rsidR="00F253FC" w:rsidRPr="004F572A">
        <w:rPr>
          <w:sz w:val="22"/>
          <w:szCs w:val="22"/>
        </w:rPr>
        <w:t xml:space="preserve"> </w:t>
      </w:r>
      <w:proofErr w:type="spellStart"/>
      <w:r w:rsidR="00F253FC" w:rsidRPr="004F572A">
        <w:rPr>
          <w:sz w:val="22"/>
          <w:szCs w:val="22"/>
        </w:rPr>
        <w:t>Sandoz</w:t>
      </w:r>
      <w:proofErr w:type="spellEnd"/>
      <w:r w:rsidRPr="004F572A">
        <w:rPr>
          <w:sz w:val="22"/>
          <w:szCs w:val="22"/>
        </w:rPr>
        <w:t xml:space="preserve"> </w:t>
      </w:r>
    </w:p>
    <w:p w14:paraId="735B2F30" w14:textId="77777777" w:rsidR="000928CA" w:rsidRPr="004F572A" w:rsidRDefault="000928CA" w:rsidP="000928CA">
      <w:pPr>
        <w:tabs>
          <w:tab w:val="clear" w:pos="567"/>
          <w:tab w:val="left" w:pos="709"/>
        </w:tabs>
        <w:ind w:right="-2"/>
        <w:rPr>
          <w:sz w:val="22"/>
          <w:szCs w:val="22"/>
        </w:rPr>
      </w:pPr>
      <w:r w:rsidRPr="004F572A">
        <w:rPr>
          <w:sz w:val="22"/>
          <w:szCs w:val="22"/>
        </w:rPr>
        <w:t>4.</w:t>
      </w:r>
      <w:r w:rsidRPr="004F572A">
        <w:rPr>
          <w:sz w:val="22"/>
          <w:szCs w:val="22"/>
        </w:rPr>
        <w:tab/>
        <w:t xml:space="preserve">Galimas šalutinis poveikis </w:t>
      </w:r>
    </w:p>
    <w:p w14:paraId="0C2E35F5" w14:textId="6CEA1513" w:rsidR="000928CA" w:rsidRPr="004F572A" w:rsidRDefault="000928CA" w:rsidP="000928CA">
      <w:pPr>
        <w:tabs>
          <w:tab w:val="clear" w:pos="567"/>
          <w:tab w:val="left" w:pos="709"/>
        </w:tabs>
        <w:ind w:right="-2"/>
        <w:rPr>
          <w:sz w:val="22"/>
          <w:szCs w:val="22"/>
        </w:rPr>
      </w:pPr>
      <w:r w:rsidRPr="004F572A">
        <w:rPr>
          <w:sz w:val="22"/>
          <w:szCs w:val="22"/>
        </w:rPr>
        <w:t>5.</w:t>
      </w:r>
      <w:r w:rsidRPr="004F572A">
        <w:rPr>
          <w:sz w:val="22"/>
          <w:szCs w:val="22"/>
        </w:rPr>
        <w:tab/>
        <w:t xml:space="preserve">Kaip laikyti </w:t>
      </w:r>
      <w:proofErr w:type="spellStart"/>
      <w:r w:rsidR="00F253FC" w:rsidRPr="004F572A">
        <w:rPr>
          <w:sz w:val="22"/>
          <w:szCs w:val="22"/>
        </w:rPr>
        <w:t>Lenvatinib</w:t>
      </w:r>
      <w:proofErr w:type="spellEnd"/>
      <w:r w:rsidR="00F253FC" w:rsidRPr="004F572A">
        <w:rPr>
          <w:sz w:val="22"/>
          <w:szCs w:val="22"/>
        </w:rPr>
        <w:t xml:space="preserve"> </w:t>
      </w:r>
      <w:proofErr w:type="spellStart"/>
      <w:r w:rsidR="00F253FC" w:rsidRPr="004F572A">
        <w:rPr>
          <w:sz w:val="22"/>
          <w:szCs w:val="22"/>
        </w:rPr>
        <w:t>Sandoz</w:t>
      </w:r>
      <w:proofErr w:type="spellEnd"/>
      <w:r w:rsidRPr="004F572A">
        <w:rPr>
          <w:sz w:val="22"/>
          <w:szCs w:val="22"/>
        </w:rPr>
        <w:t xml:space="preserve"> </w:t>
      </w:r>
    </w:p>
    <w:p w14:paraId="63D8B2AC" w14:textId="77777777" w:rsidR="000928CA" w:rsidRPr="004F572A" w:rsidRDefault="000928CA" w:rsidP="000928CA">
      <w:pPr>
        <w:tabs>
          <w:tab w:val="clear" w:pos="567"/>
          <w:tab w:val="left" w:pos="709"/>
        </w:tabs>
        <w:ind w:right="-2"/>
        <w:rPr>
          <w:sz w:val="22"/>
          <w:szCs w:val="22"/>
        </w:rPr>
      </w:pPr>
      <w:r w:rsidRPr="004F572A">
        <w:rPr>
          <w:sz w:val="22"/>
          <w:szCs w:val="22"/>
        </w:rPr>
        <w:t>6.</w:t>
      </w:r>
      <w:r w:rsidRPr="004F572A">
        <w:rPr>
          <w:sz w:val="22"/>
          <w:szCs w:val="22"/>
        </w:rPr>
        <w:tab/>
        <w:t>Pakuotės turinys ir kita informacija</w:t>
      </w:r>
    </w:p>
    <w:p w14:paraId="0B4B52F2" w14:textId="77777777" w:rsidR="000928CA" w:rsidRPr="004F572A" w:rsidRDefault="000928CA" w:rsidP="000928CA">
      <w:pPr>
        <w:tabs>
          <w:tab w:val="clear" w:pos="567"/>
        </w:tabs>
        <w:ind w:right="-2"/>
        <w:rPr>
          <w:sz w:val="22"/>
          <w:szCs w:val="22"/>
        </w:rPr>
      </w:pPr>
    </w:p>
    <w:p w14:paraId="63B9B4F3" w14:textId="77777777" w:rsidR="000928CA" w:rsidRPr="004F572A" w:rsidRDefault="000928CA" w:rsidP="000928CA">
      <w:pPr>
        <w:tabs>
          <w:tab w:val="clear" w:pos="567"/>
        </w:tabs>
        <w:ind w:right="-2"/>
        <w:rPr>
          <w:sz w:val="22"/>
          <w:szCs w:val="22"/>
        </w:rPr>
      </w:pPr>
    </w:p>
    <w:p w14:paraId="665FC077" w14:textId="4D78A729" w:rsidR="000928CA" w:rsidRPr="004F572A" w:rsidRDefault="000928CA" w:rsidP="000928CA">
      <w:pPr>
        <w:pStyle w:val="Antrat4"/>
        <w:rPr>
          <w:rFonts w:ascii="Times New Roman" w:hAnsi="Times New Roman"/>
          <w:sz w:val="22"/>
          <w:szCs w:val="22"/>
          <w:lang w:val="lt-LT"/>
        </w:rPr>
      </w:pPr>
      <w:r w:rsidRPr="004F572A">
        <w:rPr>
          <w:rFonts w:ascii="Times New Roman" w:hAnsi="Times New Roman" w:cs="Times New Roman"/>
          <w:sz w:val="22"/>
          <w:szCs w:val="22"/>
          <w:lang w:val="lt-LT"/>
        </w:rPr>
        <w:t>1.</w:t>
      </w:r>
      <w:r w:rsidRPr="004F572A">
        <w:rPr>
          <w:rFonts w:ascii="Times New Roman" w:hAnsi="Times New Roman" w:cs="Times New Roman"/>
          <w:sz w:val="22"/>
          <w:szCs w:val="22"/>
          <w:lang w:val="lt-LT"/>
        </w:rPr>
        <w:tab/>
        <w:t xml:space="preserve">Kas yra </w:t>
      </w:r>
      <w:proofErr w:type="spellStart"/>
      <w:r w:rsidR="00F253FC" w:rsidRPr="004F572A">
        <w:rPr>
          <w:rFonts w:ascii="Times New Roman" w:hAnsi="Times New Roman" w:cs="Times New Roman"/>
          <w:sz w:val="22"/>
          <w:szCs w:val="22"/>
          <w:lang w:val="lt-LT"/>
        </w:rPr>
        <w:t>Lenvatinib</w:t>
      </w:r>
      <w:proofErr w:type="spellEnd"/>
      <w:r w:rsidR="00F253FC" w:rsidRPr="004F572A">
        <w:rPr>
          <w:rFonts w:ascii="Times New Roman" w:hAnsi="Times New Roman" w:cs="Times New Roman"/>
          <w:sz w:val="22"/>
          <w:szCs w:val="22"/>
          <w:lang w:val="lt-LT"/>
        </w:rPr>
        <w:t xml:space="preserve"> </w:t>
      </w:r>
      <w:proofErr w:type="spellStart"/>
      <w:r w:rsidR="00F253FC" w:rsidRPr="004F572A">
        <w:rPr>
          <w:rFonts w:ascii="Times New Roman" w:hAnsi="Times New Roman" w:cs="Times New Roman"/>
          <w:sz w:val="22"/>
          <w:szCs w:val="22"/>
          <w:lang w:val="lt-LT"/>
        </w:rPr>
        <w:t>Sandoz</w:t>
      </w:r>
      <w:proofErr w:type="spellEnd"/>
      <w:r w:rsidRPr="004F572A">
        <w:rPr>
          <w:rFonts w:ascii="Times New Roman" w:hAnsi="Times New Roman" w:cs="Times New Roman"/>
          <w:sz w:val="22"/>
          <w:szCs w:val="22"/>
          <w:lang w:val="lt-LT"/>
        </w:rPr>
        <w:t xml:space="preserve"> ir kam jis vartojamas</w:t>
      </w:r>
    </w:p>
    <w:p w14:paraId="02678E8B" w14:textId="77777777" w:rsidR="000928CA" w:rsidRPr="004F572A" w:rsidRDefault="000928CA" w:rsidP="000928CA">
      <w:pPr>
        <w:tabs>
          <w:tab w:val="clear" w:pos="567"/>
        </w:tabs>
        <w:ind w:right="-2"/>
        <w:rPr>
          <w:sz w:val="22"/>
          <w:szCs w:val="22"/>
        </w:rPr>
      </w:pPr>
    </w:p>
    <w:p w14:paraId="2B4B7294" w14:textId="6454BF96" w:rsidR="00F253FC" w:rsidRPr="004F572A" w:rsidRDefault="00F253FC" w:rsidP="00F253FC">
      <w:pPr>
        <w:rPr>
          <w:sz w:val="22"/>
          <w:szCs w:val="22"/>
        </w:rPr>
      </w:pPr>
      <w:proofErr w:type="spellStart"/>
      <w:r w:rsidRPr="004F572A">
        <w:rPr>
          <w:sz w:val="22"/>
          <w:szCs w:val="22"/>
        </w:rPr>
        <w:t>Lenvatinib</w:t>
      </w:r>
      <w:proofErr w:type="spellEnd"/>
      <w:r w:rsidRPr="004F572A">
        <w:rPr>
          <w:sz w:val="22"/>
          <w:szCs w:val="22"/>
        </w:rPr>
        <w:t xml:space="preserve"> </w:t>
      </w:r>
      <w:proofErr w:type="spellStart"/>
      <w:r w:rsidRPr="004F572A">
        <w:rPr>
          <w:sz w:val="22"/>
          <w:szCs w:val="22"/>
        </w:rPr>
        <w:t>Sandoz</w:t>
      </w:r>
      <w:proofErr w:type="spellEnd"/>
      <w:r w:rsidRPr="004F572A">
        <w:rPr>
          <w:sz w:val="22"/>
          <w:szCs w:val="22"/>
        </w:rPr>
        <w:t xml:space="preserve"> yra vaistas, kurio sudėtyje yra</w:t>
      </w:r>
      <w:r w:rsidR="000928CA" w:rsidRPr="004F572A">
        <w:rPr>
          <w:sz w:val="22"/>
          <w:szCs w:val="22"/>
        </w:rPr>
        <w:t xml:space="preserve"> veiklio</w:t>
      </w:r>
      <w:r w:rsidRPr="004F572A">
        <w:rPr>
          <w:sz w:val="22"/>
          <w:szCs w:val="22"/>
        </w:rPr>
        <w:t xml:space="preserve">sios medžiagos </w:t>
      </w:r>
      <w:proofErr w:type="spellStart"/>
      <w:r w:rsidRPr="004F572A">
        <w:rPr>
          <w:sz w:val="22"/>
          <w:szCs w:val="22"/>
        </w:rPr>
        <w:t>lenvatinib</w:t>
      </w:r>
      <w:r w:rsidR="00586BE1">
        <w:rPr>
          <w:sz w:val="22"/>
          <w:szCs w:val="22"/>
        </w:rPr>
        <w:t>o</w:t>
      </w:r>
      <w:proofErr w:type="spellEnd"/>
      <w:r w:rsidR="000928CA" w:rsidRPr="004F572A">
        <w:rPr>
          <w:sz w:val="22"/>
          <w:szCs w:val="22"/>
        </w:rPr>
        <w:t xml:space="preserve">. </w:t>
      </w:r>
      <w:r w:rsidRPr="004F572A">
        <w:rPr>
          <w:sz w:val="22"/>
          <w:szCs w:val="22"/>
        </w:rPr>
        <w:t xml:space="preserve">Jis vartojamas </w:t>
      </w:r>
      <w:r w:rsidR="00525A01" w:rsidRPr="004F572A">
        <w:rPr>
          <w:sz w:val="22"/>
          <w:szCs w:val="22"/>
        </w:rPr>
        <w:t xml:space="preserve">atskirai </w:t>
      </w:r>
      <w:r w:rsidR="00586BE1">
        <w:rPr>
          <w:sz w:val="22"/>
          <w:szCs w:val="22"/>
        </w:rPr>
        <w:t>progresuojančiam arba pažengusiam</w:t>
      </w:r>
      <w:r w:rsidR="00525A01" w:rsidRPr="004F572A">
        <w:rPr>
          <w:sz w:val="22"/>
          <w:szCs w:val="22"/>
        </w:rPr>
        <w:t xml:space="preserve"> </w:t>
      </w:r>
      <w:r w:rsidRPr="004F572A">
        <w:rPr>
          <w:sz w:val="22"/>
          <w:szCs w:val="22"/>
        </w:rPr>
        <w:t>suaugusiųjų skydliaukės vėž</w:t>
      </w:r>
      <w:r w:rsidR="00DF406D" w:rsidRPr="004F572A">
        <w:rPr>
          <w:sz w:val="22"/>
          <w:szCs w:val="22"/>
        </w:rPr>
        <w:t>i</w:t>
      </w:r>
      <w:r w:rsidR="00586BE1">
        <w:rPr>
          <w:sz w:val="22"/>
          <w:szCs w:val="22"/>
        </w:rPr>
        <w:t>ui gydyti</w:t>
      </w:r>
      <w:r w:rsidRPr="004F572A">
        <w:rPr>
          <w:sz w:val="22"/>
          <w:szCs w:val="22"/>
        </w:rPr>
        <w:t xml:space="preserve"> tais atvejais, kai gydymas radioaktyviuoju jodu nepadėjo sustabdyti ligos</w:t>
      </w:r>
      <w:r w:rsidR="00586BE1">
        <w:rPr>
          <w:sz w:val="22"/>
          <w:szCs w:val="22"/>
        </w:rPr>
        <w:t xml:space="preserve"> progresavimo</w:t>
      </w:r>
      <w:r w:rsidRPr="004F572A">
        <w:rPr>
          <w:sz w:val="22"/>
          <w:szCs w:val="22"/>
        </w:rPr>
        <w:t>.</w:t>
      </w:r>
    </w:p>
    <w:p w14:paraId="05B2E0A5" w14:textId="77777777" w:rsidR="00525A01" w:rsidRPr="004F572A" w:rsidRDefault="00525A01" w:rsidP="00F253FC">
      <w:pPr>
        <w:rPr>
          <w:sz w:val="22"/>
          <w:szCs w:val="22"/>
        </w:rPr>
      </w:pPr>
    </w:p>
    <w:p w14:paraId="08775CDA" w14:textId="4EF8AEC0" w:rsidR="00F253FC" w:rsidRPr="004F572A" w:rsidRDefault="00F253FC" w:rsidP="00F253FC">
      <w:pPr>
        <w:rPr>
          <w:sz w:val="22"/>
          <w:szCs w:val="22"/>
        </w:rPr>
      </w:pPr>
      <w:r w:rsidRPr="004F572A">
        <w:rPr>
          <w:sz w:val="22"/>
          <w:szCs w:val="22"/>
        </w:rPr>
        <w:t xml:space="preserve">Vien tik </w:t>
      </w:r>
      <w:proofErr w:type="spellStart"/>
      <w:r w:rsidR="00525A01" w:rsidRPr="004F572A">
        <w:rPr>
          <w:sz w:val="22"/>
          <w:szCs w:val="22"/>
        </w:rPr>
        <w:t>Lenvatinib</w:t>
      </w:r>
      <w:proofErr w:type="spellEnd"/>
      <w:r w:rsidR="00525A01" w:rsidRPr="004F572A">
        <w:rPr>
          <w:sz w:val="22"/>
          <w:szCs w:val="22"/>
        </w:rPr>
        <w:t xml:space="preserve"> </w:t>
      </w:r>
      <w:proofErr w:type="spellStart"/>
      <w:r w:rsidR="00525A01" w:rsidRPr="004F572A">
        <w:rPr>
          <w:sz w:val="22"/>
          <w:szCs w:val="22"/>
        </w:rPr>
        <w:t>Sandoz</w:t>
      </w:r>
      <w:proofErr w:type="spellEnd"/>
      <w:r w:rsidRPr="004F572A">
        <w:rPr>
          <w:sz w:val="22"/>
          <w:szCs w:val="22"/>
        </w:rPr>
        <w:t xml:space="preserve"> taip pat galima gydyti kepenų vėži</w:t>
      </w:r>
      <w:r w:rsidR="00586BE1">
        <w:rPr>
          <w:sz w:val="22"/>
          <w:szCs w:val="22"/>
        </w:rPr>
        <w:t>u</w:t>
      </w:r>
      <w:r w:rsidRPr="004F572A">
        <w:rPr>
          <w:sz w:val="22"/>
          <w:szCs w:val="22"/>
        </w:rPr>
        <w:t xml:space="preserve"> (</w:t>
      </w:r>
      <w:proofErr w:type="spellStart"/>
      <w:r w:rsidRPr="004F572A">
        <w:rPr>
          <w:sz w:val="22"/>
          <w:szCs w:val="22"/>
        </w:rPr>
        <w:t>hepatoceliulin</w:t>
      </w:r>
      <w:r w:rsidR="00586BE1">
        <w:rPr>
          <w:sz w:val="22"/>
          <w:szCs w:val="22"/>
        </w:rPr>
        <w:t>e</w:t>
      </w:r>
      <w:proofErr w:type="spellEnd"/>
      <w:r w:rsidRPr="004F572A">
        <w:rPr>
          <w:sz w:val="22"/>
          <w:szCs w:val="22"/>
        </w:rPr>
        <w:t xml:space="preserve"> karcinom</w:t>
      </w:r>
      <w:r w:rsidR="00586BE1">
        <w:rPr>
          <w:sz w:val="22"/>
          <w:szCs w:val="22"/>
        </w:rPr>
        <w:t>a</w:t>
      </w:r>
      <w:r w:rsidRPr="004F572A">
        <w:rPr>
          <w:sz w:val="22"/>
          <w:szCs w:val="22"/>
        </w:rPr>
        <w:t>)</w:t>
      </w:r>
      <w:r w:rsidR="00586BE1">
        <w:rPr>
          <w:sz w:val="22"/>
          <w:szCs w:val="22"/>
        </w:rPr>
        <w:t xml:space="preserve"> sergančius suaugusiuosius</w:t>
      </w:r>
      <w:r w:rsidRPr="004F572A">
        <w:rPr>
          <w:sz w:val="22"/>
          <w:szCs w:val="22"/>
        </w:rPr>
        <w:t xml:space="preserve">, kuriems anksčiau nebuvo </w:t>
      </w:r>
      <w:r w:rsidR="00586BE1">
        <w:rPr>
          <w:sz w:val="22"/>
          <w:szCs w:val="22"/>
        </w:rPr>
        <w:t>skirtas</w:t>
      </w:r>
      <w:r w:rsidRPr="004F572A">
        <w:rPr>
          <w:sz w:val="22"/>
          <w:szCs w:val="22"/>
        </w:rPr>
        <w:t xml:space="preserve"> gydymas po visą kraujotakos sistemą pasklindančiais priešvėžin</w:t>
      </w:r>
      <w:r w:rsidR="00E267B9" w:rsidRPr="004F572A">
        <w:rPr>
          <w:sz w:val="22"/>
          <w:szCs w:val="22"/>
        </w:rPr>
        <w:t>i</w:t>
      </w:r>
      <w:r w:rsidRPr="004F572A">
        <w:rPr>
          <w:sz w:val="22"/>
          <w:szCs w:val="22"/>
        </w:rPr>
        <w:t xml:space="preserve">ais vaistais. Žmonės gydomi </w:t>
      </w:r>
      <w:proofErr w:type="spellStart"/>
      <w:r w:rsidR="00525A01" w:rsidRPr="004F572A">
        <w:rPr>
          <w:sz w:val="22"/>
          <w:szCs w:val="22"/>
        </w:rPr>
        <w:t>Lenvatinib</w:t>
      </w:r>
      <w:proofErr w:type="spellEnd"/>
      <w:r w:rsidR="00525A01" w:rsidRPr="004F572A">
        <w:rPr>
          <w:sz w:val="22"/>
          <w:szCs w:val="22"/>
        </w:rPr>
        <w:t xml:space="preserve"> </w:t>
      </w:r>
      <w:proofErr w:type="spellStart"/>
      <w:r w:rsidR="00525A01" w:rsidRPr="004F572A">
        <w:rPr>
          <w:sz w:val="22"/>
          <w:szCs w:val="22"/>
        </w:rPr>
        <w:t>Sandoz</w:t>
      </w:r>
      <w:proofErr w:type="spellEnd"/>
      <w:r w:rsidRPr="004F572A">
        <w:rPr>
          <w:sz w:val="22"/>
          <w:szCs w:val="22"/>
        </w:rPr>
        <w:t>, kai vėžys išplinta ar jo negalima pašalinti chirurginiu būdu.</w:t>
      </w:r>
    </w:p>
    <w:p w14:paraId="223E0C68" w14:textId="77777777" w:rsidR="00525A01" w:rsidRPr="004F572A" w:rsidRDefault="00525A01" w:rsidP="00F253FC">
      <w:pPr>
        <w:rPr>
          <w:sz w:val="22"/>
          <w:szCs w:val="22"/>
        </w:rPr>
      </w:pPr>
    </w:p>
    <w:p w14:paraId="6631DCCD" w14:textId="6833CD71" w:rsidR="00F253FC" w:rsidRPr="004F572A" w:rsidRDefault="00525A01" w:rsidP="00F253FC">
      <w:pPr>
        <w:rPr>
          <w:sz w:val="22"/>
          <w:szCs w:val="22"/>
        </w:rPr>
      </w:pPr>
      <w:proofErr w:type="spellStart"/>
      <w:r w:rsidRPr="004F572A">
        <w:rPr>
          <w:sz w:val="22"/>
          <w:szCs w:val="22"/>
        </w:rPr>
        <w:t>Lenvatinib</w:t>
      </w:r>
      <w:proofErr w:type="spellEnd"/>
      <w:r w:rsidRPr="004F572A">
        <w:rPr>
          <w:sz w:val="22"/>
          <w:szCs w:val="22"/>
        </w:rPr>
        <w:t xml:space="preserve"> </w:t>
      </w:r>
      <w:proofErr w:type="spellStart"/>
      <w:r w:rsidRPr="004F572A">
        <w:rPr>
          <w:sz w:val="22"/>
          <w:szCs w:val="22"/>
        </w:rPr>
        <w:t>Sandoz</w:t>
      </w:r>
      <w:proofErr w:type="spellEnd"/>
      <w:r w:rsidR="00F253FC" w:rsidRPr="004F572A">
        <w:rPr>
          <w:sz w:val="22"/>
          <w:szCs w:val="22"/>
        </w:rPr>
        <w:t xml:space="preserve"> taip pat gali būti vartojamas </w:t>
      </w:r>
      <w:r w:rsidR="003E69BD">
        <w:rPr>
          <w:sz w:val="22"/>
          <w:szCs w:val="22"/>
        </w:rPr>
        <w:t xml:space="preserve">kartu </w:t>
      </w:r>
      <w:r w:rsidR="00F253FC" w:rsidRPr="004F572A">
        <w:rPr>
          <w:sz w:val="22"/>
          <w:szCs w:val="22"/>
        </w:rPr>
        <w:t xml:space="preserve">su kitu vaistu nuo vėžio, vadinamu </w:t>
      </w:r>
      <w:proofErr w:type="spellStart"/>
      <w:r w:rsidR="00F253FC" w:rsidRPr="004F572A">
        <w:rPr>
          <w:sz w:val="22"/>
          <w:szCs w:val="22"/>
        </w:rPr>
        <w:t>pembrolizumabu</w:t>
      </w:r>
      <w:proofErr w:type="spellEnd"/>
      <w:r w:rsidR="00F253FC" w:rsidRPr="004F572A">
        <w:rPr>
          <w:sz w:val="22"/>
          <w:szCs w:val="22"/>
        </w:rPr>
        <w:t>, išplitusi</w:t>
      </w:r>
      <w:r w:rsidR="003E69BD">
        <w:rPr>
          <w:sz w:val="22"/>
          <w:szCs w:val="22"/>
        </w:rPr>
        <w:t>am</w:t>
      </w:r>
      <w:r w:rsidR="00F253FC" w:rsidRPr="004F572A">
        <w:rPr>
          <w:sz w:val="22"/>
          <w:szCs w:val="22"/>
        </w:rPr>
        <w:t xml:space="preserve"> gimdos gleivinės vėži</w:t>
      </w:r>
      <w:r w:rsidR="003E69BD">
        <w:rPr>
          <w:sz w:val="22"/>
          <w:szCs w:val="22"/>
        </w:rPr>
        <w:t>ui</w:t>
      </w:r>
      <w:r w:rsidR="00F253FC" w:rsidRPr="004F572A">
        <w:rPr>
          <w:sz w:val="22"/>
          <w:szCs w:val="22"/>
        </w:rPr>
        <w:t xml:space="preserve"> (</w:t>
      </w:r>
      <w:proofErr w:type="spellStart"/>
      <w:r w:rsidR="00F253FC" w:rsidRPr="004F572A">
        <w:rPr>
          <w:sz w:val="22"/>
          <w:szCs w:val="22"/>
        </w:rPr>
        <w:t>endometriumo</w:t>
      </w:r>
      <w:proofErr w:type="spellEnd"/>
      <w:r w:rsidR="00F253FC" w:rsidRPr="004F572A">
        <w:rPr>
          <w:sz w:val="22"/>
          <w:szCs w:val="22"/>
        </w:rPr>
        <w:t xml:space="preserve"> karcinom</w:t>
      </w:r>
      <w:r w:rsidR="003E69BD">
        <w:rPr>
          <w:sz w:val="22"/>
          <w:szCs w:val="22"/>
        </w:rPr>
        <w:t>ai</w:t>
      </w:r>
      <w:r w:rsidR="00F253FC" w:rsidRPr="004F572A">
        <w:rPr>
          <w:sz w:val="22"/>
          <w:szCs w:val="22"/>
        </w:rPr>
        <w:t>)</w:t>
      </w:r>
      <w:r w:rsidR="003E69BD">
        <w:rPr>
          <w:sz w:val="22"/>
          <w:szCs w:val="22"/>
        </w:rPr>
        <w:t xml:space="preserve"> gydyti suaugusiesiems</w:t>
      </w:r>
      <w:r w:rsidR="00F253FC" w:rsidRPr="004F572A">
        <w:rPr>
          <w:sz w:val="22"/>
          <w:szCs w:val="22"/>
        </w:rPr>
        <w:t xml:space="preserve">, kurių vėžys išplito po </w:t>
      </w:r>
      <w:r w:rsidR="003E69BD">
        <w:rPr>
          <w:sz w:val="22"/>
          <w:szCs w:val="22"/>
        </w:rPr>
        <w:t xml:space="preserve">to, kai </w:t>
      </w:r>
      <w:r w:rsidR="00F253FC" w:rsidRPr="004F572A">
        <w:rPr>
          <w:sz w:val="22"/>
          <w:szCs w:val="22"/>
        </w:rPr>
        <w:t xml:space="preserve">anksčiau </w:t>
      </w:r>
      <w:r w:rsidR="003E69BD">
        <w:rPr>
          <w:sz w:val="22"/>
          <w:szCs w:val="22"/>
        </w:rPr>
        <w:t>buvo</w:t>
      </w:r>
      <w:r w:rsidR="00DF406D" w:rsidRPr="004F572A">
        <w:rPr>
          <w:sz w:val="22"/>
          <w:szCs w:val="22"/>
        </w:rPr>
        <w:t xml:space="preserve"> gydym</w:t>
      </w:r>
      <w:r w:rsidR="003E69BD">
        <w:rPr>
          <w:sz w:val="22"/>
          <w:szCs w:val="22"/>
        </w:rPr>
        <w:t>as</w:t>
      </w:r>
      <w:r w:rsidR="00F253FC" w:rsidRPr="004F572A">
        <w:rPr>
          <w:sz w:val="22"/>
          <w:szCs w:val="22"/>
        </w:rPr>
        <w:t xml:space="preserve"> kitu vaistu nuo vėžio, pasklindančiu po visą kraujotakos sistemą, ir kurio negalima pašalinti chirurginiu būdu ar taikant spindulinį gydymą.</w:t>
      </w:r>
    </w:p>
    <w:p w14:paraId="2A920F32" w14:textId="77777777" w:rsidR="00DF406D" w:rsidRPr="004F572A" w:rsidRDefault="00DF406D" w:rsidP="00F253FC">
      <w:pPr>
        <w:rPr>
          <w:b/>
          <w:bCs/>
          <w:sz w:val="22"/>
          <w:szCs w:val="22"/>
        </w:rPr>
      </w:pPr>
    </w:p>
    <w:p w14:paraId="1EDF1E6E" w14:textId="5101CA67" w:rsidR="00F253FC" w:rsidRPr="004F572A" w:rsidRDefault="00F253FC" w:rsidP="00F253FC">
      <w:pPr>
        <w:rPr>
          <w:sz w:val="22"/>
          <w:szCs w:val="22"/>
        </w:rPr>
      </w:pPr>
      <w:r w:rsidRPr="004F572A">
        <w:rPr>
          <w:b/>
          <w:bCs/>
          <w:sz w:val="22"/>
          <w:szCs w:val="22"/>
        </w:rPr>
        <w:t xml:space="preserve">Kaip </w:t>
      </w:r>
      <w:proofErr w:type="spellStart"/>
      <w:r w:rsidR="00DF406D" w:rsidRPr="004F572A">
        <w:rPr>
          <w:b/>
          <w:bCs/>
          <w:sz w:val="22"/>
          <w:szCs w:val="22"/>
        </w:rPr>
        <w:t>Lenvatinib</w:t>
      </w:r>
      <w:proofErr w:type="spellEnd"/>
      <w:r w:rsidR="00DF406D" w:rsidRPr="004F572A">
        <w:rPr>
          <w:b/>
          <w:bCs/>
          <w:sz w:val="22"/>
          <w:szCs w:val="22"/>
        </w:rPr>
        <w:t xml:space="preserve"> </w:t>
      </w:r>
      <w:proofErr w:type="spellStart"/>
      <w:r w:rsidR="00DF406D" w:rsidRPr="004F572A">
        <w:rPr>
          <w:b/>
          <w:bCs/>
          <w:sz w:val="22"/>
          <w:szCs w:val="22"/>
        </w:rPr>
        <w:t>Sandoz</w:t>
      </w:r>
      <w:proofErr w:type="spellEnd"/>
      <w:r w:rsidRPr="004F572A">
        <w:rPr>
          <w:b/>
          <w:bCs/>
          <w:sz w:val="22"/>
          <w:szCs w:val="22"/>
        </w:rPr>
        <w:t xml:space="preserve"> veiki</w:t>
      </w:r>
      <w:r w:rsidR="00DF406D" w:rsidRPr="004F572A">
        <w:rPr>
          <w:b/>
          <w:bCs/>
          <w:sz w:val="22"/>
          <w:szCs w:val="22"/>
        </w:rPr>
        <w:t>a</w:t>
      </w:r>
    </w:p>
    <w:p w14:paraId="2234394B" w14:textId="575456F8" w:rsidR="00F253FC" w:rsidRPr="004F572A" w:rsidRDefault="00CB5A8E" w:rsidP="000928CA">
      <w:pPr>
        <w:rPr>
          <w:sz w:val="22"/>
          <w:szCs w:val="22"/>
        </w:rPr>
      </w:pPr>
      <w:proofErr w:type="spellStart"/>
      <w:r w:rsidRPr="004F572A">
        <w:rPr>
          <w:sz w:val="22"/>
          <w:szCs w:val="22"/>
        </w:rPr>
        <w:t>Lenvatinib</w:t>
      </w:r>
      <w:proofErr w:type="spellEnd"/>
      <w:r w:rsidRPr="004F572A">
        <w:rPr>
          <w:sz w:val="22"/>
          <w:szCs w:val="22"/>
        </w:rPr>
        <w:t xml:space="preserve"> </w:t>
      </w:r>
      <w:proofErr w:type="spellStart"/>
      <w:r w:rsidRPr="004F572A">
        <w:rPr>
          <w:sz w:val="22"/>
          <w:szCs w:val="22"/>
        </w:rPr>
        <w:t>Sandoz</w:t>
      </w:r>
      <w:proofErr w:type="spellEnd"/>
      <w:r w:rsidRPr="004F572A">
        <w:rPr>
          <w:sz w:val="22"/>
          <w:szCs w:val="22"/>
        </w:rPr>
        <w:t xml:space="preserve"> blokuoja baltymų, vadinamų receptor</w:t>
      </w:r>
      <w:r w:rsidR="009863E9" w:rsidRPr="004F572A">
        <w:rPr>
          <w:sz w:val="22"/>
          <w:szCs w:val="22"/>
        </w:rPr>
        <w:t>i</w:t>
      </w:r>
      <w:r w:rsidR="003E69BD">
        <w:rPr>
          <w:sz w:val="22"/>
          <w:szCs w:val="22"/>
        </w:rPr>
        <w:t>ų</w:t>
      </w:r>
      <w:r w:rsidRPr="004F572A">
        <w:rPr>
          <w:sz w:val="22"/>
          <w:szCs w:val="22"/>
        </w:rPr>
        <w:t xml:space="preserve"> </w:t>
      </w:r>
      <w:proofErr w:type="spellStart"/>
      <w:r w:rsidRPr="004F572A">
        <w:rPr>
          <w:sz w:val="22"/>
          <w:szCs w:val="22"/>
        </w:rPr>
        <w:t>tirozino</w:t>
      </w:r>
      <w:proofErr w:type="spellEnd"/>
      <w:r w:rsidRPr="004F572A">
        <w:rPr>
          <w:sz w:val="22"/>
          <w:szCs w:val="22"/>
        </w:rPr>
        <w:t xml:space="preserve"> </w:t>
      </w:r>
      <w:proofErr w:type="spellStart"/>
      <w:r w:rsidRPr="004F572A">
        <w:rPr>
          <w:sz w:val="22"/>
          <w:szCs w:val="22"/>
        </w:rPr>
        <w:t>kinazėmis</w:t>
      </w:r>
      <w:proofErr w:type="spellEnd"/>
      <w:r w:rsidRPr="004F572A">
        <w:rPr>
          <w:sz w:val="22"/>
          <w:szCs w:val="22"/>
        </w:rPr>
        <w:t xml:space="preserve"> (RTK), kurie dalyvauja naujų deguonį ir maistines medžiagas į ląsteles tiekiančių kraujagyslių </w:t>
      </w:r>
      <w:r w:rsidR="003E69BD">
        <w:rPr>
          <w:sz w:val="22"/>
          <w:szCs w:val="22"/>
        </w:rPr>
        <w:t>susidaryme</w:t>
      </w:r>
      <w:r w:rsidR="003E69BD" w:rsidRPr="004F572A">
        <w:rPr>
          <w:sz w:val="22"/>
          <w:szCs w:val="22"/>
        </w:rPr>
        <w:t xml:space="preserve"> </w:t>
      </w:r>
      <w:r w:rsidRPr="004F572A">
        <w:rPr>
          <w:sz w:val="22"/>
          <w:szCs w:val="22"/>
        </w:rPr>
        <w:t xml:space="preserve">bei padeda ląstelėms augti, veikimą. Šių baltymų dideliais kiekiais gali būti vėžinėse ląstelėse, blokuodamas jų veikimą </w:t>
      </w:r>
      <w:bookmarkStart w:id="13" w:name="_Hlk196812860"/>
      <w:proofErr w:type="spellStart"/>
      <w:r w:rsidR="009863E9" w:rsidRPr="004F572A">
        <w:rPr>
          <w:sz w:val="22"/>
          <w:szCs w:val="22"/>
        </w:rPr>
        <w:t>Lenvatinib</w:t>
      </w:r>
      <w:proofErr w:type="spellEnd"/>
      <w:r w:rsidR="009863E9" w:rsidRPr="004F572A">
        <w:rPr>
          <w:sz w:val="22"/>
          <w:szCs w:val="22"/>
        </w:rPr>
        <w:t xml:space="preserve"> </w:t>
      </w:r>
      <w:proofErr w:type="spellStart"/>
      <w:r w:rsidR="009863E9" w:rsidRPr="004F572A">
        <w:rPr>
          <w:sz w:val="22"/>
          <w:szCs w:val="22"/>
        </w:rPr>
        <w:t>Sandoz</w:t>
      </w:r>
      <w:proofErr w:type="spellEnd"/>
      <w:r w:rsidRPr="004F572A">
        <w:rPr>
          <w:sz w:val="22"/>
          <w:szCs w:val="22"/>
        </w:rPr>
        <w:t xml:space="preserve"> </w:t>
      </w:r>
      <w:bookmarkEnd w:id="13"/>
      <w:r w:rsidRPr="004F572A">
        <w:rPr>
          <w:sz w:val="22"/>
          <w:szCs w:val="22"/>
        </w:rPr>
        <w:t>gali lėtinti vėžinių ląstelių dauginim</w:t>
      </w:r>
      <w:r w:rsidR="003E69BD">
        <w:rPr>
          <w:sz w:val="22"/>
          <w:szCs w:val="22"/>
        </w:rPr>
        <w:t>ąsi</w:t>
      </w:r>
      <w:r w:rsidRPr="004F572A">
        <w:rPr>
          <w:sz w:val="22"/>
          <w:szCs w:val="22"/>
        </w:rPr>
        <w:t xml:space="preserve"> bei naviko augimą ir padėti sustabdyti vėžiui būtiną aprūpinimą krauj</w:t>
      </w:r>
      <w:r w:rsidR="009863E9" w:rsidRPr="004F572A">
        <w:rPr>
          <w:sz w:val="22"/>
          <w:szCs w:val="22"/>
        </w:rPr>
        <w:t>u.</w:t>
      </w:r>
    </w:p>
    <w:p w14:paraId="7222E9C5" w14:textId="77777777" w:rsidR="00F253FC" w:rsidRPr="004F572A" w:rsidRDefault="00F253FC" w:rsidP="000928CA">
      <w:pPr>
        <w:rPr>
          <w:sz w:val="22"/>
          <w:szCs w:val="22"/>
        </w:rPr>
      </w:pPr>
    </w:p>
    <w:p w14:paraId="57D9A5A6" w14:textId="77777777" w:rsidR="000928CA" w:rsidRPr="004F572A" w:rsidRDefault="000928CA" w:rsidP="000928CA">
      <w:pPr>
        <w:tabs>
          <w:tab w:val="clear" w:pos="567"/>
        </w:tabs>
        <w:ind w:right="-2"/>
        <w:rPr>
          <w:sz w:val="22"/>
          <w:szCs w:val="22"/>
        </w:rPr>
      </w:pPr>
    </w:p>
    <w:p w14:paraId="53B4AE84" w14:textId="4ED5C1A3" w:rsidR="000928CA" w:rsidRPr="004F572A" w:rsidRDefault="000928CA" w:rsidP="000928CA">
      <w:pPr>
        <w:pStyle w:val="Antrat4"/>
        <w:rPr>
          <w:rFonts w:ascii="Times New Roman" w:hAnsi="Times New Roman"/>
          <w:sz w:val="22"/>
          <w:szCs w:val="22"/>
          <w:lang w:val="lt-LT"/>
        </w:rPr>
      </w:pPr>
      <w:r w:rsidRPr="004F572A">
        <w:rPr>
          <w:rFonts w:ascii="Times New Roman" w:hAnsi="Times New Roman" w:cs="Times New Roman"/>
          <w:sz w:val="22"/>
          <w:szCs w:val="22"/>
          <w:lang w:val="lt-LT"/>
        </w:rPr>
        <w:t>2.</w:t>
      </w:r>
      <w:r w:rsidRPr="004F572A">
        <w:rPr>
          <w:rFonts w:ascii="Times New Roman" w:hAnsi="Times New Roman" w:cs="Times New Roman"/>
          <w:sz w:val="22"/>
          <w:szCs w:val="22"/>
          <w:lang w:val="lt-LT"/>
        </w:rPr>
        <w:tab/>
        <w:t xml:space="preserve">Kas žinotina prieš vartojant </w:t>
      </w:r>
      <w:proofErr w:type="spellStart"/>
      <w:r w:rsidR="009863E9" w:rsidRPr="004F572A">
        <w:rPr>
          <w:rFonts w:ascii="Times New Roman" w:hAnsi="Times New Roman" w:cs="Times New Roman"/>
          <w:sz w:val="22"/>
          <w:szCs w:val="22"/>
          <w:lang w:val="lt-LT"/>
        </w:rPr>
        <w:t>Lenvatinib</w:t>
      </w:r>
      <w:proofErr w:type="spellEnd"/>
      <w:r w:rsidR="009863E9" w:rsidRPr="004F572A">
        <w:rPr>
          <w:rFonts w:ascii="Times New Roman" w:hAnsi="Times New Roman" w:cs="Times New Roman"/>
          <w:sz w:val="22"/>
          <w:szCs w:val="22"/>
          <w:lang w:val="lt-LT"/>
        </w:rPr>
        <w:t xml:space="preserve"> </w:t>
      </w:r>
      <w:proofErr w:type="spellStart"/>
      <w:r w:rsidR="009863E9" w:rsidRPr="004F572A">
        <w:rPr>
          <w:rFonts w:ascii="Times New Roman" w:hAnsi="Times New Roman" w:cs="Times New Roman"/>
          <w:sz w:val="22"/>
          <w:szCs w:val="22"/>
          <w:lang w:val="lt-LT"/>
        </w:rPr>
        <w:t>Sandoz</w:t>
      </w:r>
      <w:proofErr w:type="spellEnd"/>
    </w:p>
    <w:p w14:paraId="5597D64B" w14:textId="77777777" w:rsidR="000928CA" w:rsidRPr="004F572A" w:rsidRDefault="000928CA" w:rsidP="000928CA">
      <w:pPr>
        <w:tabs>
          <w:tab w:val="clear" w:pos="567"/>
        </w:tabs>
        <w:ind w:right="-2"/>
        <w:rPr>
          <w:sz w:val="22"/>
          <w:szCs w:val="22"/>
        </w:rPr>
      </w:pPr>
    </w:p>
    <w:p w14:paraId="3D04DB01" w14:textId="2B2B53EE" w:rsidR="000928CA" w:rsidRPr="004F572A" w:rsidRDefault="00E267B9" w:rsidP="000928CA">
      <w:pPr>
        <w:pStyle w:val="Antrat4"/>
        <w:rPr>
          <w:rFonts w:ascii="Times New Roman" w:hAnsi="Times New Roman"/>
          <w:sz w:val="22"/>
          <w:szCs w:val="22"/>
          <w:lang w:val="lt-LT"/>
        </w:rPr>
      </w:pPr>
      <w:proofErr w:type="spellStart"/>
      <w:r w:rsidRPr="004F572A">
        <w:rPr>
          <w:rFonts w:ascii="Times New Roman" w:hAnsi="Times New Roman" w:cs="Times New Roman"/>
          <w:sz w:val="22"/>
          <w:szCs w:val="22"/>
          <w:lang w:val="lt-LT"/>
        </w:rPr>
        <w:t>Lenvatinib</w:t>
      </w:r>
      <w:proofErr w:type="spellEnd"/>
      <w:r w:rsidRPr="004F572A">
        <w:rPr>
          <w:rFonts w:ascii="Times New Roman" w:hAnsi="Times New Roman" w:cs="Times New Roman"/>
          <w:sz w:val="22"/>
          <w:szCs w:val="22"/>
          <w:lang w:val="lt-LT"/>
        </w:rPr>
        <w:t xml:space="preserve"> </w:t>
      </w:r>
      <w:proofErr w:type="spellStart"/>
      <w:r w:rsidRPr="004F572A">
        <w:rPr>
          <w:rFonts w:ascii="Times New Roman" w:hAnsi="Times New Roman" w:cs="Times New Roman"/>
          <w:sz w:val="22"/>
          <w:szCs w:val="22"/>
          <w:lang w:val="lt-LT"/>
        </w:rPr>
        <w:t>Sandoz</w:t>
      </w:r>
      <w:proofErr w:type="spellEnd"/>
      <w:r w:rsidR="000928CA" w:rsidRPr="004F572A">
        <w:rPr>
          <w:rFonts w:ascii="Times New Roman" w:hAnsi="Times New Roman" w:cs="Times New Roman"/>
          <w:sz w:val="22"/>
          <w:szCs w:val="22"/>
          <w:lang w:val="lt-LT"/>
        </w:rPr>
        <w:t xml:space="preserve"> vartoti </w:t>
      </w:r>
      <w:r w:rsidR="002A2890" w:rsidRPr="004F572A">
        <w:rPr>
          <w:rFonts w:ascii="Times New Roman" w:hAnsi="Times New Roman" w:cs="Times New Roman"/>
          <w:sz w:val="22"/>
          <w:szCs w:val="22"/>
          <w:lang w:val="lt-LT"/>
        </w:rPr>
        <w:t>draudžiama</w:t>
      </w:r>
      <w:r w:rsidR="000928CA" w:rsidRPr="004F572A">
        <w:rPr>
          <w:rFonts w:ascii="Times New Roman" w:hAnsi="Times New Roman" w:cs="Times New Roman"/>
          <w:sz w:val="22"/>
          <w:szCs w:val="22"/>
          <w:lang w:val="lt-LT"/>
        </w:rPr>
        <w:t>:</w:t>
      </w:r>
    </w:p>
    <w:p w14:paraId="7E529472" w14:textId="784B3A15" w:rsidR="000928CA" w:rsidRPr="004F572A" w:rsidRDefault="000928CA">
      <w:pPr>
        <w:numPr>
          <w:ilvl w:val="0"/>
          <w:numId w:val="19"/>
        </w:numPr>
        <w:tabs>
          <w:tab w:val="clear" w:pos="567"/>
          <w:tab w:val="clear" w:pos="720"/>
          <w:tab w:val="left" w:pos="360"/>
        </w:tabs>
        <w:ind w:left="360"/>
        <w:rPr>
          <w:sz w:val="22"/>
          <w:szCs w:val="22"/>
        </w:rPr>
      </w:pPr>
      <w:r w:rsidRPr="004F572A">
        <w:rPr>
          <w:sz w:val="22"/>
          <w:szCs w:val="22"/>
        </w:rPr>
        <w:t xml:space="preserve">jeigu yra alergija </w:t>
      </w:r>
      <w:proofErr w:type="spellStart"/>
      <w:r w:rsidR="009863E9" w:rsidRPr="004F572A">
        <w:rPr>
          <w:sz w:val="22"/>
          <w:szCs w:val="22"/>
        </w:rPr>
        <w:t>lenvatinibui</w:t>
      </w:r>
      <w:proofErr w:type="spellEnd"/>
      <w:r w:rsidRPr="004F572A">
        <w:rPr>
          <w:sz w:val="22"/>
          <w:szCs w:val="22"/>
        </w:rPr>
        <w:t xml:space="preserve"> arba bet kuriai pagalbinei šio vaisto medžiagai (jos išvardytos 6 skyriuje);</w:t>
      </w:r>
    </w:p>
    <w:p w14:paraId="4115C683" w14:textId="175B471C" w:rsidR="009863E9" w:rsidRPr="004F572A" w:rsidRDefault="000928CA">
      <w:pPr>
        <w:numPr>
          <w:ilvl w:val="0"/>
          <w:numId w:val="19"/>
        </w:numPr>
        <w:tabs>
          <w:tab w:val="clear" w:pos="567"/>
          <w:tab w:val="clear" w:pos="720"/>
          <w:tab w:val="left" w:pos="360"/>
        </w:tabs>
        <w:ind w:left="360"/>
        <w:rPr>
          <w:sz w:val="22"/>
          <w:szCs w:val="22"/>
        </w:rPr>
      </w:pPr>
      <w:r w:rsidRPr="004F572A">
        <w:rPr>
          <w:sz w:val="22"/>
          <w:szCs w:val="22"/>
        </w:rPr>
        <w:t xml:space="preserve">jeigu </w:t>
      </w:r>
      <w:r w:rsidR="003E69BD">
        <w:rPr>
          <w:sz w:val="22"/>
          <w:szCs w:val="22"/>
        </w:rPr>
        <w:t>žindote</w:t>
      </w:r>
      <w:r w:rsidR="009863E9" w:rsidRPr="004F572A">
        <w:rPr>
          <w:sz w:val="22"/>
          <w:szCs w:val="22"/>
        </w:rPr>
        <w:t xml:space="preserve"> (žr. toliau esantį skyrių „Nėštumas, žindymo laikotarpis ir vaisingumas</w:t>
      </w:r>
      <w:r w:rsidR="003E69BD">
        <w:rPr>
          <w:sz w:val="22"/>
          <w:szCs w:val="22"/>
        </w:rPr>
        <w:t>“</w:t>
      </w:r>
      <w:r w:rsidR="009863E9" w:rsidRPr="004F572A">
        <w:rPr>
          <w:sz w:val="22"/>
          <w:szCs w:val="22"/>
        </w:rPr>
        <w:t>).</w:t>
      </w:r>
    </w:p>
    <w:p w14:paraId="2C6495D0" w14:textId="77777777" w:rsidR="000928CA" w:rsidRPr="004F572A" w:rsidRDefault="000928CA" w:rsidP="000928CA">
      <w:pPr>
        <w:tabs>
          <w:tab w:val="clear" w:pos="567"/>
        </w:tabs>
        <w:ind w:right="-2"/>
        <w:rPr>
          <w:sz w:val="22"/>
          <w:szCs w:val="22"/>
        </w:rPr>
      </w:pPr>
    </w:p>
    <w:p w14:paraId="29D40822" w14:textId="77777777" w:rsidR="000928CA" w:rsidRPr="004F572A" w:rsidRDefault="000928CA" w:rsidP="000928CA">
      <w:pPr>
        <w:pStyle w:val="Antrat4"/>
        <w:rPr>
          <w:rFonts w:ascii="Times New Roman" w:hAnsi="Times New Roman"/>
          <w:sz w:val="22"/>
          <w:szCs w:val="22"/>
          <w:lang w:val="lt-LT"/>
        </w:rPr>
      </w:pPr>
      <w:r w:rsidRPr="004F572A">
        <w:rPr>
          <w:rFonts w:ascii="Times New Roman" w:hAnsi="Times New Roman" w:cs="Times New Roman"/>
          <w:sz w:val="22"/>
          <w:szCs w:val="22"/>
          <w:lang w:val="lt-LT"/>
        </w:rPr>
        <w:t xml:space="preserve">Įspėjimai ir atsargumo priemonės </w:t>
      </w:r>
    </w:p>
    <w:p w14:paraId="1855830B" w14:textId="33320635" w:rsidR="009863E9" w:rsidRPr="004F572A" w:rsidRDefault="009863E9" w:rsidP="009863E9">
      <w:pPr>
        <w:tabs>
          <w:tab w:val="clear" w:pos="567"/>
        </w:tabs>
        <w:suppressAutoHyphens w:val="0"/>
        <w:spacing w:line="240" w:lineRule="auto"/>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 xml:space="preserve">Pasitarkite su gydytoju, prieš pradėdami vartoti </w:t>
      </w:r>
      <w:proofErr w:type="spellStart"/>
      <w:r w:rsidR="00956CA5" w:rsidRPr="004F572A">
        <w:rPr>
          <w:rFonts w:ascii="TimesNewRomanPSMT" w:eastAsia="Times New Roman" w:hAnsi="TimesNewRomanPSMT"/>
          <w:sz w:val="22"/>
          <w:szCs w:val="22"/>
          <w:lang w:eastAsia="en-US"/>
        </w:rPr>
        <w:t>Lenvatinib</w:t>
      </w:r>
      <w:proofErr w:type="spellEnd"/>
      <w:r w:rsidR="00956CA5" w:rsidRPr="004F572A">
        <w:rPr>
          <w:rFonts w:ascii="TimesNewRomanPSMT" w:eastAsia="Times New Roman" w:hAnsi="TimesNewRomanPSMT"/>
          <w:sz w:val="22"/>
          <w:szCs w:val="22"/>
          <w:lang w:eastAsia="en-US"/>
        </w:rPr>
        <w:t xml:space="preserve"> </w:t>
      </w:r>
      <w:proofErr w:type="spellStart"/>
      <w:r w:rsidR="00956CA5" w:rsidRPr="004F572A">
        <w:rPr>
          <w:rFonts w:ascii="TimesNewRomanPSMT" w:eastAsia="Times New Roman" w:hAnsi="TimesNewRomanPSMT"/>
          <w:sz w:val="22"/>
          <w:szCs w:val="22"/>
          <w:lang w:eastAsia="en-US"/>
        </w:rPr>
        <w:t>Sandoz</w:t>
      </w:r>
      <w:proofErr w:type="spellEnd"/>
      <w:r w:rsidRPr="004F572A">
        <w:rPr>
          <w:rFonts w:ascii="TimesNewRomanPSMT" w:eastAsia="Times New Roman" w:hAnsi="TimesNewRomanPSMT"/>
          <w:sz w:val="22"/>
          <w:szCs w:val="22"/>
          <w:lang w:eastAsia="en-US"/>
        </w:rPr>
        <w:t>, jeigu:</w:t>
      </w:r>
    </w:p>
    <w:p w14:paraId="239103A8" w14:textId="212E58AE" w:rsidR="009863E9" w:rsidRPr="004F572A" w:rsidRDefault="009863E9">
      <w:pPr>
        <w:pStyle w:val="Sraopastraipa"/>
        <w:numPr>
          <w:ilvl w:val="0"/>
          <w:numId w:val="12"/>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 xml:space="preserve">Jums yra </w:t>
      </w:r>
      <w:r w:rsidR="002A236B">
        <w:rPr>
          <w:rFonts w:ascii="TimesNewRomanPSMT" w:eastAsia="Times New Roman" w:hAnsi="TimesNewRomanPSMT"/>
          <w:sz w:val="22"/>
          <w:szCs w:val="22"/>
          <w:lang w:eastAsia="en-US"/>
        </w:rPr>
        <w:t>padidėjęs</w:t>
      </w:r>
      <w:r w:rsidR="002A236B" w:rsidRPr="004F572A">
        <w:rPr>
          <w:rFonts w:ascii="TimesNewRomanPSMT" w:eastAsia="Times New Roman" w:hAnsi="TimesNewRomanPSMT"/>
          <w:sz w:val="22"/>
          <w:szCs w:val="22"/>
          <w:lang w:eastAsia="en-US"/>
        </w:rPr>
        <w:t xml:space="preserve"> </w:t>
      </w:r>
      <w:r w:rsidRPr="004F572A">
        <w:rPr>
          <w:rFonts w:ascii="TimesNewRomanPSMT" w:eastAsia="Times New Roman" w:hAnsi="TimesNewRomanPSMT"/>
          <w:sz w:val="22"/>
          <w:szCs w:val="22"/>
          <w:lang w:eastAsia="en-US"/>
        </w:rPr>
        <w:t>kraujo</w:t>
      </w:r>
      <w:r w:rsidR="002A236B">
        <w:rPr>
          <w:rFonts w:ascii="TimesNewRomanPSMT" w:eastAsia="Times New Roman" w:hAnsi="TimesNewRomanPSMT"/>
          <w:sz w:val="22"/>
          <w:szCs w:val="22"/>
          <w:lang w:eastAsia="en-US"/>
        </w:rPr>
        <w:t>spūdis</w:t>
      </w:r>
      <w:r w:rsidRPr="004F572A">
        <w:rPr>
          <w:rFonts w:ascii="TimesNewRomanPSMT" w:eastAsia="Times New Roman" w:hAnsi="TimesNewRomanPSMT"/>
          <w:sz w:val="22"/>
          <w:szCs w:val="22"/>
          <w:lang w:eastAsia="en-US"/>
        </w:rPr>
        <w:t>;</w:t>
      </w:r>
    </w:p>
    <w:p w14:paraId="0D461987" w14:textId="692E6FB9" w:rsidR="009863E9" w:rsidRPr="004F572A" w:rsidRDefault="009863E9">
      <w:pPr>
        <w:pStyle w:val="Sraopastraipa"/>
        <w:numPr>
          <w:ilvl w:val="0"/>
          <w:numId w:val="12"/>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esate moteris</w:t>
      </w:r>
      <w:r w:rsidR="002A236B">
        <w:rPr>
          <w:rFonts w:ascii="TimesNewRomanPSMT" w:eastAsia="Times New Roman" w:hAnsi="TimesNewRomanPSMT"/>
          <w:sz w:val="22"/>
          <w:szCs w:val="22"/>
          <w:lang w:eastAsia="en-US"/>
        </w:rPr>
        <w:t>, galinti pastoti</w:t>
      </w:r>
      <w:r w:rsidRPr="004F572A">
        <w:rPr>
          <w:rFonts w:ascii="TimesNewRomanPSMT" w:eastAsia="Times New Roman" w:hAnsi="TimesNewRomanPSMT"/>
          <w:sz w:val="22"/>
          <w:szCs w:val="22"/>
          <w:lang w:eastAsia="en-US"/>
        </w:rPr>
        <w:t xml:space="preserve"> (</w:t>
      </w:r>
      <w:r w:rsidR="00956CA5" w:rsidRPr="004F572A">
        <w:rPr>
          <w:rFonts w:ascii="TimesNewRomanPSMT" w:eastAsia="Times New Roman" w:hAnsi="TimesNewRomanPSMT"/>
          <w:sz w:val="22"/>
          <w:szCs w:val="22"/>
          <w:lang w:eastAsia="en-US"/>
        </w:rPr>
        <w:t>žr. toliau esantį skyrių „</w:t>
      </w:r>
      <w:r w:rsidR="006E5DBD">
        <w:rPr>
          <w:rFonts w:ascii="TimesNewRomanPSMT" w:eastAsia="Times New Roman" w:hAnsi="TimesNewRomanPSMT"/>
          <w:sz w:val="22"/>
          <w:szCs w:val="22"/>
          <w:lang w:eastAsia="en-US"/>
        </w:rPr>
        <w:t>N</w:t>
      </w:r>
      <w:r w:rsidR="00956CA5" w:rsidRPr="004F572A">
        <w:rPr>
          <w:rFonts w:ascii="TimesNewRomanPSMT" w:eastAsia="Times New Roman" w:hAnsi="TimesNewRomanPSMT"/>
          <w:sz w:val="22"/>
          <w:szCs w:val="22"/>
          <w:lang w:eastAsia="en-US"/>
        </w:rPr>
        <w:t>ėštumas</w:t>
      </w:r>
      <w:r w:rsidR="006E5DBD">
        <w:rPr>
          <w:rFonts w:ascii="TimesNewRomanPSMT" w:eastAsia="Times New Roman" w:hAnsi="TimesNewRomanPSMT"/>
          <w:sz w:val="22"/>
          <w:szCs w:val="22"/>
          <w:lang w:eastAsia="en-US"/>
        </w:rPr>
        <w:t>,</w:t>
      </w:r>
      <w:r w:rsidR="00956CA5" w:rsidRPr="004F572A">
        <w:rPr>
          <w:rFonts w:ascii="TimesNewRomanPSMT" w:eastAsia="Times New Roman" w:hAnsi="TimesNewRomanPSMT"/>
          <w:sz w:val="22"/>
          <w:szCs w:val="22"/>
          <w:lang w:eastAsia="en-US"/>
        </w:rPr>
        <w:t xml:space="preserve"> žindymo laikotarpis</w:t>
      </w:r>
      <w:r w:rsidR="006E5DBD">
        <w:rPr>
          <w:rFonts w:ascii="TimesNewRomanPSMT" w:eastAsia="Times New Roman" w:hAnsi="TimesNewRomanPSMT"/>
          <w:sz w:val="22"/>
          <w:szCs w:val="22"/>
          <w:lang w:eastAsia="en-US"/>
        </w:rPr>
        <w:t xml:space="preserve"> ir vaisingumas</w:t>
      </w:r>
      <w:r w:rsidR="002A236B">
        <w:rPr>
          <w:rFonts w:ascii="TimesNewRomanPSMT" w:eastAsia="Times New Roman" w:hAnsi="TimesNewRomanPSMT"/>
          <w:sz w:val="22"/>
          <w:szCs w:val="22"/>
          <w:lang w:eastAsia="en-US"/>
        </w:rPr>
        <w:t>“</w:t>
      </w:r>
      <w:r w:rsidR="00956CA5" w:rsidRPr="004F572A">
        <w:rPr>
          <w:rFonts w:ascii="TimesNewRomanPSMT" w:eastAsia="Times New Roman" w:hAnsi="TimesNewRomanPSMT"/>
          <w:sz w:val="22"/>
          <w:szCs w:val="22"/>
          <w:lang w:eastAsia="en-US"/>
        </w:rPr>
        <w:t>);</w:t>
      </w:r>
    </w:p>
    <w:p w14:paraId="2E5CA64E" w14:textId="32F3E7C0" w:rsidR="009863E9" w:rsidRPr="004F572A" w:rsidRDefault="009863E9">
      <w:pPr>
        <w:pStyle w:val="Sraopastraipa"/>
        <w:numPr>
          <w:ilvl w:val="0"/>
          <w:numId w:val="12"/>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 xml:space="preserve">Jums yra buvę širdies sutrikimų ar </w:t>
      </w:r>
      <w:r w:rsidR="006E5DBD">
        <w:rPr>
          <w:rFonts w:ascii="TimesNewRomanPSMT" w:eastAsia="Times New Roman" w:hAnsi="TimesNewRomanPSMT"/>
          <w:sz w:val="22"/>
          <w:szCs w:val="22"/>
          <w:lang w:eastAsia="en-US"/>
        </w:rPr>
        <w:t>insultas</w:t>
      </w:r>
      <w:r w:rsidRPr="004F572A">
        <w:rPr>
          <w:rFonts w:ascii="TimesNewRomanPSMT" w:eastAsia="Times New Roman" w:hAnsi="TimesNewRomanPSMT"/>
          <w:sz w:val="22"/>
          <w:szCs w:val="22"/>
          <w:lang w:eastAsia="en-US"/>
        </w:rPr>
        <w:t>;</w:t>
      </w:r>
    </w:p>
    <w:p w14:paraId="3364DD32" w14:textId="38C63C5D" w:rsidR="009863E9" w:rsidRPr="004F572A" w:rsidRDefault="009863E9">
      <w:pPr>
        <w:pStyle w:val="Sraopastraipa"/>
        <w:numPr>
          <w:ilvl w:val="0"/>
          <w:numId w:val="12"/>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Jums yra kepenų ar inkstų sutrikimų;</w:t>
      </w:r>
    </w:p>
    <w:p w14:paraId="3F869F5B" w14:textId="26C56E8F" w:rsidR="009863E9" w:rsidRPr="004F572A" w:rsidRDefault="009863E9">
      <w:pPr>
        <w:pStyle w:val="Sraopastraipa"/>
        <w:numPr>
          <w:ilvl w:val="0"/>
          <w:numId w:val="12"/>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Jums neseniai buvo atlikta operacija arba radioterapija;</w:t>
      </w:r>
    </w:p>
    <w:p w14:paraId="38DB4429" w14:textId="520E6E91" w:rsidR="009863E9" w:rsidRPr="004F572A" w:rsidRDefault="009863E9">
      <w:pPr>
        <w:pStyle w:val="Sraopastraipa"/>
        <w:numPr>
          <w:ilvl w:val="0"/>
          <w:numId w:val="12"/>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 xml:space="preserve">reikia atlikti chirurginę procedūrą. Jūsų gydytojas gali nurodyti nutraukti </w:t>
      </w:r>
      <w:proofErr w:type="spellStart"/>
      <w:r w:rsidR="00956CA5" w:rsidRPr="004F572A">
        <w:rPr>
          <w:rFonts w:ascii="TimesNewRomanPSMT" w:eastAsia="Times New Roman" w:hAnsi="TimesNewRomanPSMT"/>
          <w:sz w:val="22"/>
          <w:szCs w:val="22"/>
          <w:lang w:eastAsia="en-US"/>
        </w:rPr>
        <w:t>Lenvatinib</w:t>
      </w:r>
      <w:proofErr w:type="spellEnd"/>
      <w:r w:rsidR="00956CA5" w:rsidRPr="004F572A">
        <w:rPr>
          <w:rFonts w:ascii="TimesNewRomanPSMT" w:eastAsia="Times New Roman" w:hAnsi="TimesNewRomanPSMT"/>
          <w:sz w:val="22"/>
          <w:szCs w:val="22"/>
          <w:lang w:eastAsia="en-US"/>
        </w:rPr>
        <w:t xml:space="preserve"> </w:t>
      </w:r>
      <w:proofErr w:type="spellStart"/>
      <w:r w:rsidR="00956CA5" w:rsidRPr="004F572A">
        <w:rPr>
          <w:rFonts w:ascii="TimesNewRomanPSMT" w:eastAsia="Times New Roman" w:hAnsi="TimesNewRomanPSMT"/>
          <w:sz w:val="22"/>
          <w:szCs w:val="22"/>
          <w:lang w:eastAsia="en-US"/>
        </w:rPr>
        <w:t>Sandoz</w:t>
      </w:r>
      <w:proofErr w:type="spellEnd"/>
      <w:r w:rsidRPr="004F572A">
        <w:rPr>
          <w:rFonts w:ascii="TimesNewRomanPSMT" w:eastAsia="Times New Roman" w:hAnsi="TimesNewRomanPSMT"/>
          <w:sz w:val="22"/>
          <w:szCs w:val="22"/>
          <w:lang w:eastAsia="en-US"/>
        </w:rPr>
        <w:t xml:space="preserve"> vartojimą,</w:t>
      </w:r>
      <w:r w:rsidR="00956CA5" w:rsidRPr="004F572A">
        <w:rPr>
          <w:rFonts w:ascii="TimesNewRomanPSMT" w:eastAsia="Times New Roman" w:hAnsi="TimesNewRomanPSMT"/>
          <w:sz w:val="22"/>
          <w:szCs w:val="22"/>
          <w:lang w:eastAsia="en-US"/>
        </w:rPr>
        <w:t xml:space="preserve"> </w:t>
      </w:r>
      <w:r w:rsidRPr="004F572A">
        <w:rPr>
          <w:rFonts w:ascii="TimesNewRomanPSMT" w:eastAsia="Times New Roman" w:hAnsi="TimesNewRomanPSMT"/>
          <w:sz w:val="22"/>
          <w:szCs w:val="22"/>
          <w:lang w:eastAsia="en-US"/>
        </w:rPr>
        <w:t xml:space="preserve">jei </w:t>
      </w:r>
      <w:r w:rsidR="00956CA5" w:rsidRPr="004F572A">
        <w:rPr>
          <w:rFonts w:ascii="TimesNewRomanPSMT" w:eastAsia="Times New Roman" w:hAnsi="TimesNewRomanPSMT"/>
          <w:sz w:val="22"/>
          <w:szCs w:val="22"/>
          <w:lang w:eastAsia="en-US"/>
        </w:rPr>
        <w:t>J</w:t>
      </w:r>
      <w:r w:rsidRPr="004F572A">
        <w:rPr>
          <w:rFonts w:ascii="TimesNewRomanPSMT" w:eastAsia="Times New Roman" w:hAnsi="TimesNewRomanPSMT"/>
          <w:sz w:val="22"/>
          <w:szCs w:val="22"/>
          <w:lang w:eastAsia="en-US"/>
        </w:rPr>
        <w:t xml:space="preserve">ums reikėtų atlikti </w:t>
      </w:r>
      <w:r w:rsidR="002A236B">
        <w:rPr>
          <w:rFonts w:ascii="TimesNewRomanPSMT" w:eastAsia="Times New Roman" w:hAnsi="TimesNewRomanPSMT"/>
          <w:sz w:val="22"/>
          <w:szCs w:val="22"/>
          <w:lang w:eastAsia="en-US"/>
        </w:rPr>
        <w:t>sunkią</w:t>
      </w:r>
      <w:r w:rsidRPr="004F572A">
        <w:rPr>
          <w:rFonts w:ascii="TimesNewRomanPSMT" w:eastAsia="Times New Roman" w:hAnsi="TimesNewRomanPSMT"/>
          <w:sz w:val="22"/>
          <w:szCs w:val="22"/>
          <w:lang w:eastAsia="en-US"/>
        </w:rPr>
        <w:t xml:space="preserve"> chirurginę procedūrą, nes </w:t>
      </w:r>
      <w:proofErr w:type="spellStart"/>
      <w:r w:rsidR="00956CA5" w:rsidRPr="004F572A">
        <w:rPr>
          <w:rFonts w:ascii="TimesNewRomanPSMT" w:eastAsia="Times New Roman" w:hAnsi="TimesNewRomanPSMT"/>
          <w:sz w:val="22"/>
          <w:szCs w:val="22"/>
          <w:lang w:eastAsia="en-US"/>
        </w:rPr>
        <w:t>Lenvatinib</w:t>
      </w:r>
      <w:proofErr w:type="spellEnd"/>
      <w:r w:rsidR="00956CA5" w:rsidRPr="004F572A">
        <w:rPr>
          <w:rFonts w:ascii="TimesNewRomanPSMT" w:eastAsia="Times New Roman" w:hAnsi="TimesNewRomanPSMT"/>
          <w:sz w:val="22"/>
          <w:szCs w:val="22"/>
          <w:lang w:eastAsia="en-US"/>
        </w:rPr>
        <w:t xml:space="preserve"> </w:t>
      </w:r>
      <w:proofErr w:type="spellStart"/>
      <w:r w:rsidR="00956CA5" w:rsidRPr="004F572A">
        <w:rPr>
          <w:rFonts w:ascii="TimesNewRomanPSMT" w:eastAsia="Times New Roman" w:hAnsi="TimesNewRomanPSMT"/>
          <w:sz w:val="22"/>
          <w:szCs w:val="22"/>
          <w:lang w:eastAsia="en-US"/>
        </w:rPr>
        <w:t>Sandoz</w:t>
      </w:r>
      <w:proofErr w:type="spellEnd"/>
      <w:r w:rsidRPr="004F572A">
        <w:rPr>
          <w:rFonts w:ascii="TimesNewRomanPSMT" w:eastAsia="Times New Roman" w:hAnsi="TimesNewRomanPSMT"/>
          <w:sz w:val="22"/>
          <w:szCs w:val="22"/>
          <w:lang w:eastAsia="en-US"/>
        </w:rPr>
        <w:t xml:space="preserve"> gali </w:t>
      </w:r>
      <w:r w:rsidR="002A236B">
        <w:rPr>
          <w:rFonts w:ascii="TimesNewRomanPSMT" w:eastAsia="Times New Roman" w:hAnsi="TimesNewRomanPSMT"/>
          <w:sz w:val="22"/>
          <w:szCs w:val="22"/>
          <w:lang w:eastAsia="en-US"/>
        </w:rPr>
        <w:t>turėti įtakos</w:t>
      </w:r>
      <w:r w:rsidRPr="004F572A">
        <w:rPr>
          <w:rFonts w:ascii="TimesNewRomanPSMT" w:eastAsia="Times New Roman" w:hAnsi="TimesNewRomanPSMT"/>
          <w:sz w:val="22"/>
          <w:szCs w:val="22"/>
          <w:lang w:eastAsia="en-US"/>
        </w:rPr>
        <w:t xml:space="preserve"> žaizdų</w:t>
      </w:r>
      <w:r w:rsidR="00956CA5" w:rsidRPr="004F572A">
        <w:rPr>
          <w:rFonts w:ascii="TimesNewRomanPSMT" w:eastAsia="Times New Roman" w:hAnsi="TimesNewRomanPSMT"/>
          <w:sz w:val="22"/>
          <w:szCs w:val="22"/>
          <w:lang w:eastAsia="en-US"/>
        </w:rPr>
        <w:t xml:space="preserve"> </w:t>
      </w:r>
      <w:r w:rsidRPr="004F572A">
        <w:rPr>
          <w:rFonts w:ascii="TimesNewRomanPSMT" w:eastAsia="Times New Roman" w:hAnsi="TimesNewRomanPSMT"/>
          <w:sz w:val="22"/>
          <w:szCs w:val="22"/>
          <w:lang w:eastAsia="en-US"/>
        </w:rPr>
        <w:t xml:space="preserve">gijimui. </w:t>
      </w:r>
      <w:r w:rsidR="002A236B">
        <w:rPr>
          <w:rFonts w:ascii="TimesNewRomanPSMT" w:eastAsia="Times New Roman" w:hAnsi="TimesNewRomanPSMT"/>
          <w:sz w:val="22"/>
          <w:szCs w:val="22"/>
          <w:lang w:eastAsia="en-US"/>
        </w:rPr>
        <w:t>Po to, kai nustatoma</w:t>
      </w:r>
      <w:r w:rsidRPr="004F572A">
        <w:rPr>
          <w:rFonts w:ascii="TimesNewRomanPSMT" w:eastAsia="Times New Roman" w:hAnsi="TimesNewRomanPSMT"/>
          <w:sz w:val="22"/>
          <w:szCs w:val="22"/>
          <w:lang w:eastAsia="en-US"/>
        </w:rPr>
        <w:t xml:space="preserve">, kad žaizda </w:t>
      </w:r>
      <w:r w:rsidR="00956CA5" w:rsidRPr="004F572A">
        <w:rPr>
          <w:rFonts w:ascii="TimesNewRomanPSMT" w:eastAsia="Times New Roman" w:hAnsi="TimesNewRomanPSMT"/>
          <w:sz w:val="22"/>
          <w:szCs w:val="22"/>
          <w:lang w:eastAsia="en-US"/>
        </w:rPr>
        <w:t>už</w:t>
      </w:r>
      <w:r w:rsidRPr="004F572A">
        <w:rPr>
          <w:rFonts w:ascii="TimesNewRomanPSMT" w:eastAsia="Times New Roman" w:hAnsi="TimesNewRomanPSMT"/>
          <w:sz w:val="22"/>
          <w:szCs w:val="22"/>
          <w:lang w:eastAsia="en-US"/>
        </w:rPr>
        <w:t xml:space="preserve">gijo tinkamai, </w:t>
      </w:r>
      <w:proofErr w:type="spellStart"/>
      <w:r w:rsidR="00956CA5" w:rsidRPr="004F572A">
        <w:rPr>
          <w:rFonts w:ascii="TimesNewRomanPSMT" w:eastAsia="Times New Roman" w:hAnsi="TimesNewRomanPSMT"/>
          <w:sz w:val="22"/>
          <w:szCs w:val="22"/>
          <w:lang w:eastAsia="en-US"/>
        </w:rPr>
        <w:t>Lenvatinib</w:t>
      </w:r>
      <w:proofErr w:type="spellEnd"/>
      <w:r w:rsidR="00956CA5" w:rsidRPr="004F572A">
        <w:rPr>
          <w:rFonts w:ascii="TimesNewRomanPSMT" w:eastAsia="Times New Roman" w:hAnsi="TimesNewRomanPSMT"/>
          <w:sz w:val="22"/>
          <w:szCs w:val="22"/>
          <w:lang w:eastAsia="en-US"/>
        </w:rPr>
        <w:t xml:space="preserve"> </w:t>
      </w:r>
      <w:proofErr w:type="spellStart"/>
      <w:r w:rsidR="00956CA5" w:rsidRPr="004F572A">
        <w:rPr>
          <w:rFonts w:ascii="TimesNewRomanPSMT" w:eastAsia="Times New Roman" w:hAnsi="TimesNewRomanPSMT"/>
          <w:sz w:val="22"/>
          <w:szCs w:val="22"/>
          <w:lang w:eastAsia="en-US"/>
        </w:rPr>
        <w:t>Sandoz</w:t>
      </w:r>
      <w:proofErr w:type="spellEnd"/>
      <w:r w:rsidRPr="004F572A">
        <w:rPr>
          <w:rFonts w:ascii="TimesNewRomanPSMT" w:eastAsia="Times New Roman" w:hAnsi="TimesNewRomanPSMT"/>
          <w:sz w:val="22"/>
          <w:szCs w:val="22"/>
          <w:lang w:eastAsia="en-US"/>
        </w:rPr>
        <w:t xml:space="preserve"> vartojim</w:t>
      </w:r>
      <w:r w:rsidR="002A236B">
        <w:rPr>
          <w:rFonts w:ascii="TimesNewRomanPSMT" w:eastAsia="Times New Roman" w:hAnsi="TimesNewRomanPSMT"/>
          <w:sz w:val="22"/>
          <w:szCs w:val="22"/>
          <w:lang w:eastAsia="en-US"/>
        </w:rPr>
        <w:t>ą galima pratęsti</w:t>
      </w:r>
      <w:r w:rsidR="006E5DBD">
        <w:rPr>
          <w:rFonts w:ascii="TimesNewRomanPSMT" w:eastAsia="Times New Roman" w:hAnsi="TimesNewRomanPSMT"/>
          <w:sz w:val="22"/>
          <w:szCs w:val="22"/>
          <w:lang w:eastAsia="en-US"/>
        </w:rPr>
        <w:t>;</w:t>
      </w:r>
    </w:p>
    <w:p w14:paraId="4ED2A565" w14:textId="74F1FACA" w:rsidR="009863E9" w:rsidRPr="004F572A" w:rsidRDefault="009863E9">
      <w:pPr>
        <w:pStyle w:val="Sraopastraipa"/>
        <w:numPr>
          <w:ilvl w:val="0"/>
          <w:numId w:val="12"/>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 xml:space="preserve">Jums yra </w:t>
      </w:r>
      <w:r w:rsidR="00956CA5" w:rsidRPr="004F572A">
        <w:rPr>
          <w:rFonts w:ascii="TimesNewRomanPSMT" w:eastAsia="Times New Roman" w:hAnsi="TimesNewRomanPSMT"/>
          <w:sz w:val="22"/>
          <w:szCs w:val="22"/>
          <w:lang w:eastAsia="en-US"/>
        </w:rPr>
        <w:t>virš</w:t>
      </w:r>
      <w:r w:rsidRPr="004F572A">
        <w:rPr>
          <w:rFonts w:ascii="TimesNewRomanPSMT" w:eastAsia="Times New Roman" w:hAnsi="TimesNewRomanPSMT"/>
          <w:sz w:val="22"/>
          <w:szCs w:val="22"/>
          <w:lang w:eastAsia="en-US"/>
        </w:rPr>
        <w:t xml:space="preserve"> 75</w:t>
      </w:r>
      <w:r w:rsidR="00B10CAA">
        <w:rPr>
          <w:rFonts w:ascii="TimesNewRomanPSMT" w:eastAsia="Times New Roman" w:hAnsi="TimesNewRomanPSMT"/>
          <w:sz w:val="22"/>
          <w:szCs w:val="22"/>
          <w:lang w:eastAsia="en-US"/>
        </w:rPr>
        <w:t> </w:t>
      </w:r>
      <w:r w:rsidRPr="004F572A">
        <w:rPr>
          <w:rFonts w:ascii="TimesNewRomanPSMT" w:eastAsia="Times New Roman" w:hAnsi="TimesNewRomanPSMT"/>
          <w:sz w:val="22"/>
          <w:szCs w:val="22"/>
          <w:lang w:eastAsia="en-US"/>
        </w:rPr>
        <w:t>met</w:t>
      </w:r>
      <w:r w:rsidR="00956CA5" w:rsidRPr="004F572A">
        <w:rPr>
          <w:rFonts w:ascii="TimesNewRomanPSMT" w:eastAsia="Times New Roman" w:hAnsi="TimesNewRomanPSMT"/>
          <w:sz w:val="22"/>
          <w:szCs w:val="22"/>
          <w:lang w:eastAsia="en-US"/>
        </w:rPr>
        <w:t>ų</w:t>
      </w:r>
      <w:r w:rsidRPr="004F572A">
        <w:rPr>
          <w:rFonts w:ascii="TimesNewRomanPSMT" w:eastAsia="Times New Roman" w:hAnsi="TimesNewRomanPSMT"/>
          <w:sz w:val="22"/>
          <w:szCs w:val="22"/>
          <w:lang w:eastAsia="en-US"/>
        </w:rPr>
        <w:t>;</w:t>
      </w:r>
    </w:p>
    <w:p w14:paraId="021FFEFE" w14:textId="2F3AFF41" w:rsidR="009863E9" w:rsidRPr="004F572A" w:rsidRDefault="009863E9">
      <w:pPr>
        <w:pStyle w:val="Sraopastraipa"/>
        <w:numPr>
          <w:ilvl w:val="0"/>
          <w:numId w:val="12"/>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priklausote ne baltaodžių ar azijiečių, o kitai etninei grupei;</w:t>
      </w:r>
    </w:p>
    <w:p w14:paraId="20860DF3" w14:textId="07872D25" w:rsidR="009863E9" w:rsidRPr="004F572A" w:rsidRDefault="009863E9">
      <w:pPr>
        <w:pStyle w:val="Sraopastraipa"/>
        <w:numPr>
          <w:ilvl w:val="0"/>
          <w:numId w:val="12"/>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sveriate mažiau nei 60</w:t>
      </w:r>
      <w:r w:rsidR="00956CA5" w:rsidRPr="004F572A">
        <w:rPr>
          <w:rFonts w:ascii="TimesNewRomanPSMT" w:eastAsia="Times New Roman" w:hAnsi="TimesNewRomanPSMT"/>
          <w:sz w:val="22"/>
          <w:szCs w:val="22"/>
          <w:lang w:eastAsia="en-US"/>
        </w:rPr>
        <w:t> </w:t>
      </w:r>
      <w:r w:rsidRPr="004F572A">
        <w:rPr>
          <w:rFonts w:ascii="TimesNewRomanPSMT" w:eastAsia="Times New Roman" w:hAnsi="TimesNewRomanPSMT"/>
          <w:sz w:val="22"/>
          <w:szCs w:val="22"/>
          <w:lang w:eastAsia="en-US"/>
        </w:rPr>
        <w:t>kg;</w:t>
      </w:r>
    </w:p>
    <w:p w14:paraId="79EC3580" w14:textId="3E5B2553" w:rsidR="009863E9" w:rsidRPr="004F572A" w:rsidRDefault="009863E9">
      <w:pPr>
        <w:pStyle w:val="Sraopastraipa"/>
        <w:numPr>
          <w:ilvl w:val="0"/>
          <w:numId w:val="12"/>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anksčiau nustatyt</w:t>
      </w:r>
      <w:r w:rsidR="006E5DBD">
        <w:rPr>
          <w:rFonts w:ascii="TimesNewRomanPSMT" w:eastAsia="Times New Roman" w:hAnsi="TimesNewRomanPSMT"/>
          <w:sz w:val="22"/>
          <w:szCs w:val="22"/>
          <w:lang w:eastAsia="en-US"/>
        </w:rPr>
        <w:t>os</w:t>
      </w:r>
      <w:r w:rsidRPr="004F572A">
        <w:rPr>
          <w:rFonts w:ascii="TimesNewRomanPSMT" w:eastAsia="Times New Roman" w:hAnsi="TimesNewRomanPSMT"/>
          <w:sz w:val="22"/>
          <w:szCs w:val="22"/>
          <w:lang w:eastAsia="en-US"/>
        </w:rPr>
        <w:t xml:space="preserve"> nenormali</w:t>
      </w:r>
      <w:r w:rsidR="002A236B">
        <w:rPr>
          <w:rFonts w:ascii="TimesNewRomanPSMT" w:eastAsia="Times New Roman" w:hAnsi="TimesNewRomanPSMT"/>
          <w:sz w:val="22"/>
          <w:szCs w:val="22"/>
          <w:lang w:eastAsia="en-US"/>
        </w:rPr>
        <w:t>os</w:t>
      </w:r>
      <w:r w:rsidRPr="004F572A">
        <w:rPr>
          <w:rFonts w:ascii="TimesNewRomanPSMT" w:eastAsia="Times New Roman" w:hAnsi="TimesNewRomanPSMT"/>
          <w:sz w:val="22"/>
          <w:szCs w:val="22"/>
          <w:lang w:eastAsia="en-US"/>
        </w:rPr>
        <w:t xml:space="preserve"> jung</w:t>
      </w:r>
      <w:r w:rsidR="002A236B">
        <w:rPr>
          <w:rFonts w:ascii="TimesNewRomanPSMT" w:eastAsia="Times New Roman" w:hAnsi="TimesNewRomanPSMT"/>
          <w:sz w:val="22"/>
          <w:szCs w:val="22"/>
          <w:lang w:eastAsia="en-US"/>
        </w:rPr>
        <w:t>tys</w:t>
      </w:r>
      <w:r w:rsidRPr="004F572A">
        <w:rPr>
          <w:rFonts w:ascii="TimesNewRomanPSMT" w:eastAsia="Times New Roman" w:hAnsi="TimesNewRomanPSMT"/>
          <w:sz w:val="22"/>
          <w:szCs w:val="22"/>
          <w:lang w:eastAsia="en-US"/>
        </w:rPr>
        <w:t xml:space="preserve"> (vadinam</w:t>
      </w:r>
      <w:r w:rsidR="002A236B">
        <w:rPr>
          <w:rFonts w:ascii="TimesNewRomanPSMT" w:eastAsia="Times New Roman" w:hAnsi="TimesNewRomanPSMT"/>
          <w:sz w:val="22"/>
          <w:szCs w:val="22"/>
          <w:lang w:eastAsia="en-US"/>
        </w:rPr>
        <w:t>os</w:t>
      </w:r>
      <w:r w:rsidRPr="004F572A">
        <w:rPr>
          <w:rFonts w:ascii="TimesNewRomanPSMT" w:eastAsia="Times New Roman" w:hAnsi="TimesNewRomanPSMT"/>
          <w:sz w:val="22"/>
          <w:szCs w:val="22"/>
          <w:lang w:eastAsia="en-US"/>
        </w:rPr>
        <w:t xml:space="preserve"> fistul</w:t>
      </w:r>
      <w:r w:rsidR="002A236B">
        <w:rPr>
          <w:rFonts w:ascii="TimesNewRomanPSMT" w:eastAsia="Times New Roman" w:hAnsi="TimesNewRomanPSMT"/>
          <w:sz w:val="22"/>
          <w:szCs w:val="22"/>
          <w:lang w:eastAsia="en-US"/>
        </w:rPr>
        <w:t>ė</w:t>
      </w:r>
      <w:r w:rsidR="006E5DBD">
        <w:rPr>
          <w:rFonts w:ascii="TimesNewRomanPSMT" w:eastAsia="Times New Roman" w:hAnsi="TimesNewRomanPSMT"/>
          <w:sz w:val="22"/>
          <w:szCs w:val="22"/>
          <w:lang w:eastAsia="en-US"/>
        </w:rPr>
        <w:t>mi</w:t>
      </w:r>
      <w:r w:rsidR="002A236B">
        <w:rPr>
          <w:rFonts w:ascii="TimesNewRomanPSMT" w:eastAsia="Times New Roman" w:hAnsi="TimesNewRomanPSMT"/>
          <w:sz w:val="22"/>
          <w:szCs w:val="22"/>
          <w:lang w:eastAsia="en-US"/>
        </w:rPr>
        <w:t>s</w:t>
      </w:r>
      <w:r w:rsidRPr="004F572A">
        <w:rPr>
          <w:rFonts w:ascii="TimesNewRomanPSMT" w:eastAsia="Times New Roman" w:hAnsi="TimesNewRomanPSMT"/>
          <w:sz w:val="22"/>
          <w:szCs w:val="22"/>
          <w:lang w:eastAsia="en-US"/>
        </w:rPr>
        <w:t>) tarp skirtingų kūno organų arba</w:t>
      </w:r>
      <w:r w:rsidR="00956CA5" w:rsidRPr="004F572A">
        <w:rPr>
          <w:rFonts w:ascii="TimesNewRomanPSMT" w:eastAsia="Times New Roman" w:hAnsi="TimesNewRomanPSMT"/>
          <w:sz w:val="22"/>
          <w:szCs w:val="22"/>
          <w:lang w:eastAsia="en-US"/>
        </w:rPr>
        <w:t xml:space="preserve"> </w:t>
      </w:r>
      <w:r w:rsidRPr="004F572A">
        <w:rPr>
          <w:rFonts w:ascii="TimesNewRomanPSMT" w:eastAsia="Times New Roman" w:hAnsi="TimesNewRomanPSMT"/>
          <w:sz w:val="22"/>
          <w:szCs w:val="22"/>
          <w:lang w:eastAsia="en-US"/>
        </w:rPr>
        <w:t>tarp organo ir odos;</w:t>
      </w:r>
    </w:p>
    <w:p w14:paraId="654E9D9E" w14:textId="228306BC" w:rsidR="009863E9" w:rsidRPr="004F572A" w:rsidRDefault="009863E9">
      <w:pPr>
        <w:pStyle w:val="Sraopastraipa"/>
        <w:numPr>
          <w:ilvl w:val="0"/>
          <w:numId w:val="12"/>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 xml:space="preserve">Jums šiuo metu arba </w:t>
      </w:r>
      <w:r w:rsidR="002A236B">
        <w:rPr>
          <w:rFonts w:ascii="TimesNewRomanPSMT" w:eastAsia="Times New Roman" w:hAnsi="TimesNewRomanPSMT"/>
          <w:sz w:val="22"/>
          <w:szCs w:val="22"/>
          <w:lang w:eastAsia="en-US"/>
        </w:rPr>
        <w:t>praeityje</w:t>
      </w:r>
      <w:r w:rsidRPr="004F572A">
        <w:rPr>
          <w:rFonts w:ascii="TimesNewRomanPSMT" w:eastAsia="Times New Roman" w:hAnsi="TimesNewRomanPSMT"/>
          <w:sz w:val="22"/>
          <w:szCs w:val="22"/>
          <w:lang w:eastAsia="en-US"/>
        </w:rPr>
        <w:t xml:space="preserve"> buvo diagnozuota aneurizma (kraujagyslės sienelės išsipūtimas ir</w:t>
      </w:r>
      <w:r w:rsidR="005105E8" w:rsidRPr="004F572A">
        <w:rPr>
          <w:rFonts w:ascii="TimesNewRomanPSMT" w:eastAsia="Times New Roman" w:hAnsi="TimesNewRomanPSMT"/>
          <w:sz w:val="22"/>
          <w:szCs w:val="22"/>
          <w:lang w:eastAsia="en-US"/>
        </w:rPr>
        <w:t xml:space="preserve"> </w:t>
      </w:r>
      <w:r w:rsidRPr="004F572A">
        <w:rPr>
          <w:rFonts w:ascii="TimesNewRomanPSMT" w:eastAsia="Times New Roman" w:hAnsi="TimesNewRomanPSMT"/>
          <w:sz w:val="22"/>
          <w:szCs w:val="22"/>
          <w:lang w:eastAsia="en-US"/>
        </w:rPr>
        <w:t>susilpnėjimas) arba kraujagyslės sienelės įplyšimas;</w:t>
      </w:r>
    </w:p>
    <w:p w14:paraId="23A9E8E6" w14:textId="17FD207A" w:rsidR="009863E9" w:rsidRPr="004F572A" w:rsidRDefault="009863E9">
      <w:pPr>
        <w:pStyle w:val="Sraopastraipa"/>
        <w:numPr>
          <w:ilvl w:val="0"/>
          <w:numId w:val="12"/>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Jums skauda ar skaudėjo burną, dantis ir (arba) žandikaulį, burnoje yra patinimų ar žaizdų,</w:t>
      </w:r>
      <w:r w:rsidR="005105E8" w:rsidRPr="004F572A">
        <w:rPr>
          <w:rFonts w:ascii="TimesNewRomanPSMT" w:eastAsia="Times New Roman" w:hAnsi="TimesNewRomanPSMT"/>
          <w:sz w:val="22"/>
          <w:szCs w:val="22"/>
          <w:lang w:eastAsia="en-US"/>
        </w:rPr>
        <w:t xml:space="preserve"> </w:t>
      </w:r>
      <w:r w:rsidRPr="004F572A">
        <w:rPr>
          <w:rFonts w:ascii="TimesNewRomanPSMT" w:eastAsia="Times New Roman" w:hAnsi="TimesNewRomanPSMT"/>
          <w:sz w:val="22"/>
          <w:szCs w:val="22"/>
          <w:lang w:eastAsia="en-US"/>
        </w:rPr>
        <w:t>žandikaulis yra nutirpęs arba jaučiate sunkumą ar atsilaisvinusį dantį. Jums gali patarti prieš</w:t>
      </w:r>
      <w:r w:rsidR="005105E8" w:rsidRPr="004F572A">
        <w:rPr>
          <w:rFonts w:ascii="TimesNewRomanPSMT" w:eastAsia="Times New Roman" w:hAnsi="TimesNewRomanPSMT"/>
          <w:sz w:val="22"/>
          <w:szCs w:val="22"/>
          <w:lang w:eastAsia="en-US"/>
        </w:rPr>
        <w:t xml:space="preserve"> </w:t>
      </w:r>
      <w:r w:rsidRPr="004F572A">
        <w:rPr>
          <w:rFonts w:ascii="TimesNewRomanPSMT" w:eastAsia="Times New Roman" w:hAnsi="TimesNewRomanPSMT"/>
          <w:sz w:val="22"/>
          <w:szCs w:val="22"/>
          <w:lang w:eastAsia="en-US"/>
        </w:rPr>
        <w:t xml:space="preserve">pradedant gydymą </w:t>
      </w:r>
      <w:proofErr w:type="spellStart"/>
      <w:r w:rsidR="005105E8" w:rsidRPr="004F572A">
        <w:rPr>
          <w:rFonts w:ascii="TimesNewRomanPSMT" w:eastAsia="Times New Roman" w:hAnsi="TimesNewRomanPSMT"/>
          <w:sz w:val="22"/>
          <w:szCs w:val="22"/>
          <w:lang w:eastAsia="en-US"/>
        </w:rPr>
        <w:t>Lenvatinib</w:t>
      </w:r>
      <w:proofErr w:type="spellEnd"/>
      <w:r w:rsidR="005105E8" w:rsidRPr="004F572A">
        <w:rPr>
          <w:rFonts w:ascii="TimesNewRomanPSMT" w:eastAsia="Times New Roman" w:hAnsi="TimesNewRomanPSMT"/>
          <w:sz w:val="22"/>
          <w:szCs w:val="22"/>
          <w:lang w:eastAsia="en-US"/>
        </w:rPr>
        <w:t xml:space="preserve"> </w:t>
      </w:r>
      <w:proofErr w:type="spellStart"/>
      <w:r w:rsidR="005105E8" w:rsidRPr="004F572A">
        <w:rPr>
          <w:rFonts w:ascii="TimesNewRomanPSMT" w:eastAsia="Times New Roman" w:hAnsi="TimesNewRomanPSMT"/>
          <w:sz w:val="22"/>
          <w:szCs w:val="22"/>
          <w:lang w:eastAsia="en-US"/>
        </w:rPr>
        <w:t>Sandoz</w:t>
      </w:r>
      <w:proofErr w:type="spellEnd"/>
      <w:r w:rsidRPr="004F572A">
        <w:rPr>
          <w:rFonts w:ascii="TimesNewRomanPSMT" w:eastAsia="Times New Roman" w:hAnsi="TimesNewRomanPSMT"/>
          <w:sz w:val="22"/>
          <w:szCs w:val="22"/>
          <w:lang w:eastAsia="en-US"/>
        </w:rPr>
        <w:t xml:space="preserve"> atlikti odontologinę patikrą, nes buvo pranešta, kad </w:t>
      </w:r>
      <w:proofErr w:type="spellStart"/>
      <w:r w:rsidR="005105E8" w:rsidRPr="004F572A">
        <w:rPr>
          <w:rFonts w:ascii="TimesNewRomanPSMT" w:eastAsia="Times New Roman" w:hAnsi="TimesNewRomanPSMT"/>
          <w:sz w:val="22"/>
          <w:szCs w:val="22"/>
          <w:lang w:eastAsia="en-US"/>
        </w:rPr>
        <w:t>Lenvatinib</w:t>
      </w:r>
      <w:proofErr w:type="spellEnd"/>
      <w:r w:rsidR="005105E8" w:rsidRPr="004F572A">
        <w:rPr>
          <w:rFonts w:ascii="TimesNewRomanPSMT" w:eastAsia="Times New Roman" w:hAnsi="TimesNewRomanPSMT"/>
          <w:sz w:val="22"/>
          <w:szCs w:val="22"/>
          <w:lang w:eastAsia="en-US"/>
        </w:rPr>
        <w:t xml:space="preserve"> </w:t>
      </w:r>
      <w:proofErr w:type="spellStart"/>
      <w:r w:rsidR="005105E8" w:rsidRPr="004F572A">
        <w:rPr>
          <w:rFonts w:ascii="TimesNewRomanPSMT" w:eastAsia="Times New Roman" w:hAnsi="TimesNewRomanPSMT"/>
          <w:sz w:val="22"/>
          <w:szCs w:val="22"/>
          <w:lang w:eastAsia="en-US"/>
        </w:rPr>
        <w:t>Sandoz</w:t>
      </w:r>
      <w:proofErr w:type="spellEnd"/>
      <w:r w:rsidR="005105E8" w:rsidRPr="004F572A">
        <w:rPr>
          <w:rFonts w:ascii="TimesNewRomanPSMT" w:eastAsia="Times New Roman" w:hAnsi="TimesNewRomanPSMT"/>
          <w:sz w:val="22"/>
          <w:szCs w:val="22"/>
          <w:lang w:eastAsia="en-US"/>
        </w:rPr>
        <w:t xml:space="preserve"> </w:t>
      </w:r>
      <w:r w:rsidRPr="004F572A">
        <w:rPr>
          <w:rFonts w:ascii="TimesNewRomanPSMT" w:eastAsia="Times New Roman" w:hAnsi="TimesNewRomanPSMT"/>
          <w:sz w:val="22"/>
          <w:szCs w:val="22"/>
          <w:lang w:eastAsia="en-US"/>
        </w:rPr>
        <w:t>gydytiems pacientams pasireiškė žandikaulio kaulo pažeidimas (</w:t>
      </w:r>
      <w:proofErr w:type="spellStart"/>
      <w:r w:rsidRPr="004F572A">
        <w:rPr>
          <w:rFonts w:ascii="TimesNewRomanPSMT" w:eastAsia="Times New Roman" w:hAnsi="TimesNewRomanPSMT"/>
          <w:sz w:val="22"/>
          <w:szCs w:val="22"/>
          <w:lang w:eastAsia="en-US"/>
        </w:rPr>
        <w:t>osteonekrozė</w:t>
      </w:r>
      <w:proofErr w:type="spellEnd"/>
      <w:r w:rsidRPr="004F572A">
        <w:rPr>
          <w:rFonts w:ascii="TimesNewRomanPSMT" w:eastAsia="Times New Roman" w:hAnsi="TimesNewRomanPSMT"/>
          <w:sz w:val="22"/>
          <w:szCs w:val="22"/>
          <w:lang w:eastAsia="en-US"/>
        </w:rPr>
        <w:t>). Jeigu Jums turi</w:t>
      </w:r>
      <w:r w:rsidR="005105E8" w:rsidRPr="004F572A">
        <w:rPr>
          <w:rFonts w:ascii="TimesNewRomanPSMT" w:eastAsia="Times New Roman" w:hAnsi="TimesNewRomanPSMT"/>
          <w:sz w:val="22"/>
          <w:szCs w:val="22"/>
          <w:lang w:eastAsia="en-US"/>
        </w:rPr>
        <w:t xml:space="preserve"> </w:t>
      </w:r>
      <w:r w:rsidRPr="004F572A">
        <w:rPr>
          <w:rFonts w:ascii="TimesNewRomanPSMT" w:eastAsia="Times New Roman" w:hAnsi="TimesNewRomanPSMT"/>
          <w:sz w:val="22"/>
          <w:szCs w:val="22"/>
          <w:lang w:eastAsia="en-US"/>
        </w:rPr>
        <w:t>būti atliekama invazinė odontologinė procedūra arba odontologinė operacija, pasakykite</w:t>
      </w:r>
      <w:r w:rsidR="005105E8" w:rsidRPr="004F572A">
        <w:rPr>
          <w:rFonts w:ascii="TimesNewRomanPSMT" w:eastAsia="Times New Roman" w:hAnsi="TimesNewRomanPSMT"/>
          <w:sz w:val="22"/>
          <w:szCs w:val="22"/>
          <w:lang w:eastAsia="en-US"/>
        </w:rPr>
        <w:t xml:space="preserve"> </w:t>
      </w:r>
      <w:r w:rsidRPr="004F572A">
        <w:rPr>
          <w:rFonts w:ascii="TimesNewRomanPSMT" w:eastAsia="Times New Roman" w:hAnsi="TimesNewRomanPSMT"/>
          <w:sz w:val="22"/>
          <w:szCs w:val="22"/>
          <w:lang w:eastAsia="en-US"/>
        </w:rPr>
        <w:t xml:space="preserve">odontologui, kad esate gydomas </w:t>
      </w:r>
      <w:proofErr w:type="spellStart"/>
      <w:r w:rsidR="005105E8" w:rsidRPr="004F572A">
        <w:rPr>
          <w:rFonts w:ascii="TimesNewRomanPSMT" w:eastAsia="Times New Roman" w:hAnsi="TimesNewRomanPSMT"/>
          <w:sz w:val="22"/>
          <w:szCs w:val="22"/>
          <w:lang w:eastAsia="en-US"/>
        </w:rPr>
        <w:t>Lenvatinib</w:t>
      </w:r>
      <w:proofErr w:type="spellEnd"/>
      <w:r w:rsidR="005105E8" w:rsidRPr="004F572A">
        <w:rPr>
          <w:rFonts w:ascii="TimesNewRomanPSMT" w:eastAsia="Times New Roman" w:hAnsi="TimesNewRomanPSMT"/>
          <w:sz w:val="22"/>
          <w:szCs w:val="22"/>
          <w:lang w:eastAsia="en-US"/>
        </w:rPr>
        <w:t xml:space="preserve"> </w:t>
      </w:r>
      <w:proofErr w:type="spellStart"/>
      <w:r w:rsidR="005105E8" w:rsidRPr="004F572A">
        <w:rPr>
          <w:rFonts w:ascii="TimesNewRomanPSMT" w:eastAsia="Times New Roman" w:hAnsi="TimesNewRomanPSMT"/>
          <w:sz w:val="22"/>
          <w:szCs w:val="22"/>
          <w:lang w:eastAsia="en-US"/>
        </w:rPr>
        <w:t>Sandoz</w:t>
      </w:r>
      <w:proofErr w:type="spellEnd"/>
      <w:r w:rsidRPr="004F572A">
        <w:rPr>
          <w:rFonts w:ascii="TimesNewRomanPSMT" w:eastAsia="Times New Roman" w:hAnsi="TimesNewRomanPSMT"/>
          <w:sz w:val="22"/>
          <w:szCs w:val="22"/>
          <w:lang w:eastAsia="en-US"/>
        </w:rPr>
        <w:t>, ypač, jei taip pat Jums leidžiama ar buvo</w:t>
      </w:r>
      <w:r w:rsidR="005105E8" w:rsidRPr="004F572A">
        <w:rPr>
          <w:rFonts w:ascii="TimesNewRomanPSMT" w:eastAsia="Times New Roman" w:hAnsi="TimesNewRomanPSMT"/>
          <w:sz w:val="22"/>
          <w:szCs w:val="22"/>
          <w:lang w:eastAsia="en-US"/>
        </w:rPr>
        <w:t xml:space="preserve"> </w:t>
      </w:r>
      <w:r w:rsidRPr="004F572A">
        <w:rPr>
          <w:rFonts w:ascii="TimesNewRomanPSMT" w:eastAsia="Times New Roman" w:hAnsi="TimesNewRomanPSMT"/>
          <w:sz w:val="22"/>
          <w:szCs w:val="22"/>
          <w:lang w:eastAsia="en-US"/>
        </w:rPr>
        <w:t xml:space="preserve">leidžiama </w:t>
      </w:r>
      <w:proofErr w:type="spellStart"/>
      <w:r w:rsidRPr="004F572A">
        <w:rPr>
          <w:rFonts w:ascii="TimesNewRomanPSMT" w:eastAsia="Times New Roman" w:hAnsi="TimesNewRomanPSMT"/>
          <w:sz w:val="22"/>
          <w:szCs w:val="22"/>
          <w:lang w:eastAsia="en-US"/>
        </w:rPr>
        <w:t>bi</w:t>
      </w:r>
      <w:r w:rsidR="006E5DBD">
        <w:rPr>
          <w:rFonts w:ascii="TimesNewRomanPSMT" w:eastAsia="Times New Roman" w:hAnsi="TimesNewRomanPSMT"/>
          <w:sz w:val="22"/>
          <w:szCs w:val="22"/>
          <w:lang w:eastAsia="en-US"/>
        </w:rPr>
        <w:t>s</w:t>
      </w:r>
      <w:r w:rsidRPr="004F572A">
        <w:rPr>
          <w:rFonts w:ascii="TimesNewRomanPSMT" w:eastAsia="Times New Roman" w:hAnsi="TimesNewRomanPSMT"/>
          <w:sz w:val="22"/>
          <w:szCs w:val="22"/>
          <w:lang w:eastAsia="en-US"/>
        </w:rPr>
        <w:t>fosfonatų</w:t>
      </w:r>
      <w:proofErr w:type="spellEnd"/>
      <w:r w:rsidRPr="004F572A">
        <w:rPr>
          <w:rFonts w:ascii="TimesNewRomanPSMT" w:eastAsia="Times New Roman" w:hAnsi="TimesNewRomanPSMT"/>
          <w:sz w:val="22"/>
          <w:szCs w:val="22"/>
          <w:lang w:eastAsia="en-US"/>
        </w:rPr>
        <w:t xml:space="preserve"> (vartojamų kaulų sutrikimams gydyti ar jų profilaktikai);</w:t>
      </w:r>
    </w:p>
    <w:p w14:paraId="10287F1F" w14:textId="6C6B5368" w:rsidR="009863E9" w:rsidRPr="004F572A" w:rsidRDefault="009863E9">
      <w:pPr>
        <w:pStyle w:val="Sraopastraipa"/>
        <w:numPr>
          <w:ilvl w:val="0"/>
          <w:numId w:val="12"/>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vartojate arba vartojote tam tikrų osteoporozei gydyti skirtų vaistų (</w:t>
      </w:r>
      <w:proofErr w:type="spellStart"/>
      <w:r w:rsidRPr="004F572A">
        <w:rPr>
          <w:rFonts w:ascii="TimesNewRomanPSMT" w:eastAsia="Times New Roman" w:hAnsi="TimesNewRomanPSMT"/>
          <w:sz w:val="22"/>
          <w:szCs w:val="22"/>
          <w:lang w:eastAsia="en-US"/>
        </w:rPr>
        <w:t>antirezorbcinių</w:t>
      </w:r>
      <w:proofErr w:type="spellEnd"/>
      <w:r w:rsidRPr="004F572A">
        <w:rPr>
          <w:rFonts w:ascii="TimesNewRomanPSMT" w:eastAsia="Times New Roman" w:hAnsi="TimesNewRomanPSMT"/>
          <w:sz w:val="22"/>
          <w:szCs w:val="22"/>
          <w:lang w:eastAsia="en-US"/>
        </w:rPr>
        <w:t xml:space="preserve"> vaistų) arba</w:t>
      </w:r>
      <w:r w:rsidR="005105E8" w:rsidRPr="004F572A">
        <w:rPr>
          <w:rFonts w:ascii="TimesNewRomanPSMT" w:eastAsia="Times New Roman" w:hAnsi="TimesNewRomanPSMT"/>
          <w:sz w:val="22"/>
          <w:szCs w:val="22"/>
          <w:lang w:eastAsia="en-US"/>
        </w:rPr>
        <w:t xml:space="preserve"> </w:t>
      </w:r>
      <w:r w:rsidRPr="004F572A">
        <w:rPr>
          <w:rFonts w:ascii="TimesNewRomanPSMT" w:eastAsia="Times New Roman" w:hAnsi="TimesNewRomanPSMT"/>
          <w:sz w:val="22"/>
          <w:szCs w:val="22"/>
          <w:lang w:eastAsia="en-US"/>
        </w:rPr>
        <w:t xml:space="preserve">vaistų nuo vėžio, kurie keičia kraujagyslių </w:t>
      </w:r>
      <w:r w:rsidR="002A236B">
        <w:rPr>
          <w:rFonts w:ascii="TimesNewRomanPSMT" w:eastAsia="Times New Roman" w:hAnsi="TimesNewRomanPSMT"/>
          <w:sz w:val="22"/>
          <w:szCs w:val="22"/>
          <w:lang w:eastAsia="en-US"/>
        </w:rPr>
        <w:t>susidarymą</w:t>
      </w:r>
      <w:r w:rsidR="002A236B" w:rsidRPr="004F572A">
        <w:rPr>
          <w:rFonts w:ascii="TimesNewRomanPSMT" w:eastAsia="Times New Roman" w:hAnsi="TimesNewRomanPSMT"/>
          <w:sz w:val="22"/>
          <w:szCs w:val="22"/>
          <w:lang w:eastAsia="en-US"/>
        </w:rPr>
        <w:t xml:space="preserve"> </w:t>
      </w:r>
      <w:r w:rsidRPr="004F572A">
        <w:rPr>
          <w:rFonts w:ascii="TimesNewRomanPSMT" w:eastAsia="Times New Roman" w:hAnsi="TimesNewRomanPSMT"/>
          <w:sz w:val="22"/>
          <w:szCs w:val="22"/>
          <w:lang w:eastAsia="en-US"/>
        </w:rPr>
        <w:t xml:space="preserve">(vadinamų </w:t>
      </w:r>
      <w:proofErr w:type="spellStart"/>
      <w:r w:rsidRPr="004F572A">
        <w:rPr>
          <w:rFonts w:ascii="TimesNewRomanPSMT" w:eastAsia="Times New Roman" w:hAnsi="TimesNewRomanPSMT"/>
          <w:sz w:val="22"/>
          <w:szCs w:val="22"/>
          <w:lang w:eastAsia="en-US"/>
        </w:rPr>
        <w:t>angiogenezės</w:t>
      </w:r>
      <w:proofErr w:type="spellEnd"/>
      <w:r w:rsidRPr="004F572A">
        <w:rPr>
          <w:rFonts w:ascii="TimesNewRomanPSMT" w:eastAsia="Times New Roman" w:hAnsi="TimesNewRomanPSMT"/>
          <w:sz w:val="22"/>
          <w:szCs w:val="22"/>
          <w:lang w:eastAsia="en-US"/>
        </w:rPr>
        <w:t xml:space="preserve"> inhibitorių), nes</w:t>
      </w:r>
      <w:r w:rsidR="005105E8" w:rsidRPr="004F572A">
        <w:rPr>
          <w:rFonts w:ascii="TimesNewRomanPSMT" w:eastAsia="Times New Roman" w:hAnsi="TimesNewRomanPSMT"/>
          <w:sz w:val="22"/>
          <w:szCs w:val="22"/>
          <w:lang w:eastAsia="en-US"/>
        </w:rPr>
        <w:t xml:space="preserve"> </w:t>
      </w:r>
      <w:r w:rsidRPr="004F572A">
        <w:rPr>
          <w:rFonts w:ascii="TimesNewRomanPSMT" w:eastAsia="Times New Roman" w:hAnsi="TimesNewRomanPSMT"/>
          <w:sz w:val="22"/>
          <w:szCs w:val="22"/>
          <w:lang w:eastAsia="en-US"/>
        </w:rPr>
        <w:t xml:space="preserve">gali padidėti </w:t>
      </w:r>
      <w:r w:rsidR="002A236B">
        <w:rPr>
          <w:rFonts w:ascii="TimesNewRomanPSMT" w:eastAsia="Times New Roman" w:hAnsi="TimesNewRomanPSMT"/>
          <w:sz w:val="22"/>
          <w:szCs w:val="22"/>
          <w:lang w:eastAsia="en-US"/>
        </w:rPr>
        <w:t xml:space="preserve">žandikaulio </w:t>
      </w:r>
      <w:r w:rsidRPr="004F572A">
        <w:rPr>
          <w:rFonts w:ascii="TimesNewRomanPSMT" w:eastAsia="Times New Roman" w:hAnsi="TimesNewRomanPSMT"/>
          <w:sz w:val="22"/>
          <w:szCs w:val="22"/>
          <w:lang w:eastAsia="en-US"/>
        </w:rPr>
        <w:t>kaulo pažeidimo rizika.</w:t>
      </w:r>
    </w:p>
    <w:p w14:paraId="7CA17930" w14:textId="79A5DF17" w:rsidR="009863E9" w:rsidRPr="004F572A" w:rsidRDefault="009863E9" w:rsidP="005105E8">
      <w:pPr>
        <w:tabs>
          <w:tab w:val="clear" w:pos="567"/>
        </w:tabs>
        <w:suppressAutoHyphens w:val="0"/>
        <w:spacing w:line="240" w:lineRule="auto"/>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 xml:space="preserve">Prieš pradedant vartoti </w:t>
      </w:r>
      <w:proofErr w:type="spellStart"/>
      <w:r w:rsidR="005105E8" w:rsidRPr="004F572A">
        <w:rPr>
          <w:rFonts w:ascii="TimesNewRomanPSMT" w:eastAsia="Times New Roman" w:hAnsi="TimesNewRomanPSMT"/>
          <w:sz w:val="22"/>
          <w:szCs w:val="22"/>
          <w:lang w:eastAsia="en-US"/>
        </w:rPr>
        <w:t>Lenvatinib</w:t>
      </w:r>
      <w:proofErr w:type="spellEnd"/>
      <w:r w:rsidR="005105E8" w:rsidRPr="004F572A">
        <w:rPr>
          <w:rFonts w:ascii="TimesNewRomanPSMT" w:eastAsia="Times New Roman" w:hAnsi="TimesNewRomanPSMT"/>
          <w:sz w:val="22"/>
          <w:szCs w:val="22"/>
          <w:lang w:eastAsia="en-US"/>
        </w:rPr>
        <w:t xml:space="preserve"> </w:t>
      </w:r>
      <w:proofErr w:type="spellStart"/>
      <w:r w:rsidR="005105E8" w:rsidRPr="004F572A">
        <w:rPr>
          <w:rFonts w:ascii="TimesNewRomanPSMT" w:eastAsia="Times New Roman" w:hAnsi="TimesNewRomanPSMT"/>
          <w:sz w:val="22"/>
          <w:szCs w:val="22"/>
          <w:lang w:eastAsia="en-US"/>
        </w:rPr>
        <w:t>Sandoz</w:t>
      </w:r>
      <w:proofErr w:type="spellEnd"/>
      <w:r w:rsidR="005105E8" w:rsidRPr="004F572A">
        <w:rPr>
          <w:rFonts w:ascii="TimesNewRomanPSMT" w:eastAsia="Times New Roman" w:hAnsi="TimesNewRomanPSMT"/>
          <w:sz w:val="22"/>
          <w:szCs w:val="22"/>
          <w:lang w:eastAsia="en-US"/>
        </w:rPr>
        <w:t xml:space="preserve"> </w:t>
      </w:r>
      <w:r w:rsidRPr="004F572A">
        <w:rPr>
          <w:rFonts w:ascii="TimesNewRomanPSMT" w:eastAsia="Times New Roman" w:hAnsi="TimesNewRomanPSMT"/>
          <w:sz w:val="22"/>
          <w:szCs w:val="22"/>
          <w:lang w:eastAsia="en-US"/>
        </w:rPr>
        <w:t>gydytojas gali atlikti tam tikrus tyrimus, pvz., patikrinti Jūsų kraujo</w:t>
      </w:r>
      <w:r w:rsidR="002A236B">
        <w:rPr>
          <w:rFonts w:ascii="TimesNewRomanPSMT" w:eastAsia="Times New Roman" w:hAnsi="TimesNewRomanPSMT"/>
          <w:sz w:val="22"/>
          <w:szCs w:val="22"/>
          <w:lang w:eastAsia="en-US"/>
        </w:rPr>
        <w:t>spūdį ir</w:t>
      </w:r>
      <w:r w:rsidRPr="004F572A">
        <w:rPr>
          <w:rFonts w:ascii="TimesNewRomanPSMT" w:eastAsia="Times New Roman" w:hAnsi="TimesNewRomanPSMT"/>
          <w:sz w:val="22"/>
          <w:szCs w:val="22"/>
          <w:lang w:eastAsia="en-US"/>
        </w:rPr>
        <w:t xml:space="preserve"> kepenų ar inkstų funkciją ir ar nėra mažas druskų bei didelis skydliaukę stimuliuojančio hormono kiekis kraujyje. Gydytojas su Jumis aptars šių tyrimų rezultatus ir nuspręs, ar Jums galima skirti </w:t>
      </w:r>
      <w:proofErr w:type="spellStart"/>
      <w:r w:rsidR="005105E8" w:rsidRPr="004F572A">
        <w:rPr>
          <w:rFonts w:ascii="TimesNewRomanPSMT" w:eastAsia="Times New Roman" w:hAnsi="TimesNewRomanPSMT"/>
          <w:sz w:val="22"/>
          <w:szCs w:val="22"/>
          <w:lang w:eastAsia="en-US"/>
        </w:rPr>
        <w:t>Lenvatinib</w:t>
      </w:r>
      <w:proofErr w:type="spellEnd"/>
      <w:r w:rsidR="005105E8" w:rsidRPr="004F572A">
        <w:rPr>
          <w:rFonts w:ascii="TimesNewRomanPSMT" w:eastAsia="Times New Roman" w:hAnsi="TimesNewRomanPSMT"/>
          <w:sz w:val="22"/>
          <w:szCs w:val="22"/>
          <w:lang w:eastAsia="en-US"/>
        </w:rPr>
        <w:t xml:space="preserve"> </w:t>
      </w:r>
      <w:proofErr w:type="spellStart"/>
      <w:r w:rsidR="005105E8" w:rsidRPr="004F572A">
        <w:rPr>
          <w:rFonts w:ascii="TimesNewRomanPSMT" w:eastAsia="Times New Roman" w:hAnsi="TimesNewRomanPSMT"/>
          <w:sz w:val="22"/>
          <w:szCs w:val="22"/>
          <w:lang w:eastAsia="en-US"/>
        </w:rPr>
        <w:t>Sandoz</w:t>
      </w:r>
      <w:proofErr w:type="spellEnd"/>
      <w:r w:rsidRPr="004F572A">
        <w:rPr>
          <w:rFonts w:ascii="TimesNewRomanPSMT" w:eastAsia="Times New Roman" w:hAnsi="TimesNewRomanPSMT"/>
          <w:sz w:val="22"/>
          <w:szCs w:val="22"/>
          <w:lang w:eastAsia="en-US"/>
        </w:rPr>
        <w:t xml:space="preserve">. Jums gali reikėti papildomo gydymo kitais vaistais, vartoti mažesnę </w:t>
      </w:r>
      <w:proofErr w:type="spellStart"/>
      <w:r w:rsidR="005105E8" w:rsidRPr="004F572A">
        <w:rPr>
          <w:rFonts w:ascii="TimesNewRomanPSMT" w:eastAsia="Times New Roman" w:hAnsi="TimesNewRomanPSMT"/>
          <w:sz w:val="22"/>
          <w:szCs w:val="22"/>
          <w:lang w:eastAsia="en-US"/>
        </w:rPr>
        <w:t>Lenvatinib</w:t>
      </w:r>
      <w:proofErr w:type="spellEnd"/>
      <w:r w:rsidR="005105E8" w:rsidRPr="004F572A">
        <w:rPr>
          <w:rFonts w:ascii="TimesNewRomanPSMT" w:eastAsia="Times New Roman" w:hAnsi="TimesNewRomanPSMT"/>
          <w:sz w:val="22"/>
          <w:szCs w:val="22"/>
          <w:lang w:eastAsia="en-US"/>
        </w:rPr>
        <w:t xml:space="preserve"> </w:t>
      </w:r>
      <w:proofErr w:type="spellStart"/>
      <w:r w:rsidR="005105E8" w:rsidRPr="004F572A">
        <w:rPr>
          <w:rFonts w:ascii="TimesNewRomanPSMT" w:eastAsia="Times New Roman" w:hAnsi="TimesNewRomanPSMT"/>
          <w:sz w:val="22"/>
          <w:szCs w:val="22"/>
          <w:lang w:eastAsia="en-US"/>
        </w:rPr>
        <w:t>Sandoz</w:t>
      </w:r>
      <w:proofErr w:type="spellEnd"/>
      <w:r w:rsidRPr="004F572A">
        <w:rPr>
          <w:rFonts w:ascii="TimesNewRomanPSMT" w:eastAsia="Times New Roman" w:hAnsi="TimesNewRomanPSMT"/>
          <w:sz w:val="22"/>
          <w:szCs w:val="22"/>
          <w:lang w:eastAsia="en-US"/>
        </w:rPr>
        <w:t xml:space="preserve"> dozę arba būti ypač atsargiems dėl padidėjusios šalutinio poveikio rizikos.</w:t>
      </w:r>
    </w:p>
    <w:p w14:paraId="3CEE78D4" w14:textId="77777777" w:rsidR="005105E8" w:rsidRPr="004F572A" w:rsidRDefault="005105E8" w:rsidP="009863E9">
      <w:pPr>
        <w:tabs>
          <w:tab w:val="clear" w:pos="567"/>
        </w:tabs>
        <w:suppressAutoHyphens w:val="0"/>
        <w:spacing w:line="240" w:lineRule="auto"/>
        <w:rPr>
          <w:rFonts w:ascii="TimesNewRomanPSMT" w:eastAsia="Times New Roman" w:hAnsi="TimesNewRomanPSMT"/>
          <w:sz w:val="22"/>
          <w:szCs w:val="22"/>
          <w:lang w:eastAsia="en-US"/>
        </w:rPr>
      </w:pPr>
    </w:p>
    <w:p w14:paraId="06CADDC7" w14:textId="6B6C6E10" w:rsidR="002A236B" w:rsidRDefault="009863E9" w:rsidP="002A236B">
      <w:pPr>
        <w:tabs>
          <w:tab w:val="clear" w:pos="567"/>
        </w:tabs>
        <w:suppressAutoHyphens w:val="0"/>
        <w:spacing w:line="240" w:lineRule="auto"/>
      </w:pPr>
      <w:r w:rsidRPr="004F572A">
        <w:rPr>
          <w:rFonts w:ascii="TimesNewRomanPSMT" w:eastAsia="Times New Roman" w:hAnsi="TimesNewRomanPSMT"/>
          <w:sz w:val="22"/>
          <w:szCs w:val="22"/>
          <w:lang w:eastAsia="en-US"/>
        </w:rPr>
        <w:t xml:space="preserve">Jei abejojate, pasitarkite su </w:t>
      </w:r>
      <w:r w:rsidR="005105E8" w:rsidRPr="004F572A">
        <w:rPr>
          <w:rFonts w:ascii="TimesNewRomanPSMT" w:eastAsia="Times New Roman" w:hAnsi="TimesNewRomanPSMT"/>
          <w:sz w:val="22"/>
          <w:szCs w:val="22"/>
          <w:lang w:eastAsia="en-US"/>
        </w:rPr>
        <w:t xml:space="preserve">savo </w:t>
      </w:r>
      <w:r w:rsidRPr="004F572A">
        <w:rPr>
          <w:rFonts w:ascii="TimesNewRomanPSMT" w:eastAsia="Times New Roman" w:hAnsi="TimesNewRomanPSMT"/>
          <w:sz w:val="22"/>
          <w:szCs w:val="22"/>
          <w:lang w:eastAsia="en-US"/>
        </w:rPr>
        <w:t>gydytoju</w:t>
      </w:r>
      <w:r w:rsidR="002A236B" w:rsidRPr="002A236B">
        <w:rPr>
          <w:rFonts w:ascii="TimesNewRomanPSMT" w:eastAsia="Times New Roman" w:hAnsi="TimesNewRomanPSMT"/>
          <w:sz w:val="22"/>
          <w:szCs w:val="22"/>
          <w:lang w:eastAsia="en-US"/>
        </w:rPr>
        <w:t xml:space="preserve"> </w:t>
      </w:r>
      <w:r w:rsidR="002A236B" w:rsidRPr="004F572A">
        <w:rPr>
          <w:rFonts w:ascii="TimesNewRomanPSMT" w:eastAsia="Times New Roman" w:hAnsi="TimesNewRomanPSMT"/>
          <w:sz w:val="22"/>
          <w:szCs w:val="22"/>
          <w:lang w:eastAsia="en-US"/>
        </w:rPr>
        <w:t xml:space="preserve">prieš vartojant </w:t>
      </w:r>
      <w:proofErr w:type="spellStart"/>
      <w:r w:rsidR="002A236B" w:rsidRPr="004F572A">
        <w:rPr>
          <w:rFonts w:ascii="TimesNewRomanPSMT" w:eastAsia="Times New Roman" w:hAnsi="TimesNewRomanPSMT"/>
          <w:sz w:val="22"/>
          <w:szCs w:val="22"/>
          <w:lang w:eastAsia="en-US"/>
        </w:rPr>
        <w:t>Lenvatinib</w:t>
      </w:r>
      <w:proofErr w:type="spellEnd"/>
      <w:r w:rsidR="002A236B" w:rsidRPr="004F572A">
        <w:rPr>
          <w:rFonts w:ascii="TimesNewRomanPSMT" w:eastAsia="Times New Roman" w:hAnsi="TimesNewRomanPSMT"/>
          <w:sz w:val="22"/>
          <w:szCs w:val="22"/>
          <w:lang w:eastAsia="en-US"/>
        </w:rPr>
        <w:t xml:space="preserve"> </w:t>
      </w:r>
      <w:proofErr w:type="spellStart"/>
      <w:r w:rsidR="002A236B" w:rsidRPr="004F572A">
        <w:rPr>
          <w:rFonts w:ascii="TimesNewRomanPSMT" w:eastAsia="Times New Roman" w:hAnsi="TimesNewRomanPSMT"/>
          <w:sz w:val="22"/>
          <w:szCs w:val="22"/>
          <w:lang w:eastAsia="en-US"/>
        </w:rPr>
        <w:t>Sandoz</w:t>
      </w:r>
      <w:proofErr w:type="spellEnd"/>
      <w:r w:rsidRPr="004F572A">
        <w:rPr>
          <w:rFonts w:ascii="TimesNewRomanPSMT" w:eastAsia="Times New Roman" w:hAnsi="TimesNewRomanPSMT"/>
          <w:sz w:val="22"/>
          <w:szCs w:val="22"/>
          <w:lang w:eastAsia="en-US"/>
        </w:rPr>
        <w:t>.</w:t>
      </w:r>
      <w:r w:rsidR="002A236B" w:rsidRPr="002A236B">
        <w:t xml:space="preserve"> </w:t>
      </w:r>
    </w:p>
    <w:p w14:paraId="40D206F7" w14:textId="77777777" w:rsidR="002A236B" w:rsidRDefault="002A236B" w:rsidP="002A236B">
      <w:pPr>
        <w:tabs>
          <w:tab w:val="clear" w:pos="567"/>
        </w:tabs>
        <w:suppressAutoHyphens w:val="0"/>
        <w:spacing w:line="240" w:lineRule="auto"/>
      </w:pPr>
    </w:p>
    <w:p w14:paraId="6F6E89FD" w14:textId="1F19EE27" w:rsidR="002A236B" w:rsidRPr="00E27691" w:rsidRDefault="002A236B" w:rsidP="002A236B">
      <w:pPr>
        <w:tabs>
          <w:tab w:val="clear" w:pos="567"/>
        </w:tabs>
        <w:suppressAutoHyphens w:val="0"/>
        <w:spacing w:line="240" w:lineRule="auto"/>
        <w:rPr>
          <w:rFonts w:ascii="TimesNewRomanPSMT" w:eastAsia="Times New Roman" w:hAnsi="TimesNewRomanPSMT"/>
          <w:b/>
          <w:bCs/>
          <w:sz w:val="22"/>
          <w:szCs w:val="22"/>
          <w:lang w:eastAsia="en-US"/>
        </w:rPr>
      </w:pPr>
      <w:r w:rsidRPr="00E27691">
        <w:rPr>
          <w:rFonts w:ascii="TimesNewRomanPSMT" w:eastAsia="Times New Roman" w:hAnsi="TimesNewRomanPSMT"/>
          <w:b/>
          <w:bCs/>
          <w:sz w:val="22"/>
          <w:szCs w:val="22"/>
          <w:lang w:eastAsia="en-US"/>
        </w:rPr>
        <w:t>B</w:t>
      </w:r>
      <w:r w:rsidRPr="00E27691">
        <w:rPr>
          <w:rFonts w:ascii="TimesNewRomanPSMT" w:eastAsia="Times New Roman" w:hAnsi="TimesNewRomanPSMT" w:hint="eastAsia"/>
          <w:b/>
          <w:bCs/>
          <w:sz w:val="22"/>
          <w:szCs w:val="22"/>
          <w:lang w:eastAsia="en-US"/>
        </w:rPr>
        <w:t>ū</w:t>
      </w:r>
      <w:r w:rsidRPr="00E27691">
        <w:rPr>
          <w:rFonts w:ascii="TimesNewRomanPSMT" w:eastAsia="Times New Roman" w:hAnsi="TimesNewRomanPSMT"/>
          <w:b/>
          <w:bCs/>
          <w:sz w:val="22"/>
          <w:szCs w:val="22"/>
          <w:lang w:eastAsia="en-US"/>
        </w:rPr>
        <w:t>kl</w:t>
      </w:r>
      <w:r w:rsidRPr="00E27691">
        <w:rPr>
          <w:rFonts w:ascii="TimesNewRomanPSMT" w:eastAsia="Times New Roman" w:hAnsi="TimesNewRomanPSMT" w:hint="eastAsia"/>
          <w:b/>
          <w:bCs/>
          <w:sz w:val="22"/>
          <w:szCs w:val="22"/>
          <w:lang w:eastAsia="en-US"/>
        </w:rPr>
        <w:t>ė</w:t>
      </w:r>
      <w:r w:rsidRPr="00E27691">
        <w:rPr>
          <w:rFonts w:ascii="TimesNewRomanPSMT" w:eastAsia="Times New Roman" w:hAnsi="TimesNewRomanPSMT"/>
          <w:b/>
          <w:bCs/>
          <w:sz w:val="22"/>
          <w:szCs w:val="22"/>
          <w:lang w:eastAsia="en-US"/>
        </w:rPr>
        <w:t xml:space="preserve">s, </w:t>
      </w:r>
      <w:r w:rsidRPr="00E27691">
        <w:rPr>
          <w:rFonts w:ascii="TimesNewRomanPSMT" w:eastAsia="Times New Roman" w:hAnsi="TimesNewRomanPSMT" w:hint="eastAsia"/>
          <w:b/>
          <w:bCs/>
          <w:sz w:val="22"/>
          <w:szCs w:val="22"/>
          <w:lang w:eastAsia="en-US"/>
        </w:rPr>
        <w:t>į</w:t>
      </w:r>
      <w:r w:rsidRPr="00E27691">
        <w:rPr>
          <w:rFonts w:ascii="TimesNewRomanPSMT" w:eastAsia="Times New Roman" w:hAnsi="TimesNewRomanPSMT"/>
          <w:b/>
          <w:bCs/>
          <w:sz w:val="22"/>
          <w:szCs w:val="22"/>
          <w:lang w:eastAsia="en-US"/>
        </w:rPr>
        <w:t xml:space="preserve"> kurias reikia atkreipti d</w:t>
      </w:r>
      <w:r w:rsidRPr="00E27691">
        <w:rPr>
          <w:rFonts w:ascii="TimesNewRomanPSMT" w:eastAsia="Times New Roman" w:hAnsi="TimesNewRomanPSMT" w:hint="eastAsia"/>
          <w:b/>
          <w:bCs/>
          <w:sz w:val="22"/>
          <w:szCs w:val="22"/>
          <w:lang w:eastAsia="en-US"/>
        </w:rPr>
        <w:t>ė</w:t>
      </w:r>
      <w:r w:rsidRPr="00E27691">
        <w:rPr>
          <w:rFonts w:ascii="TimesNewRomanPSMT" w:eastAsia="Times New Roman" w:hAnsi="TimesNewRomanPSMT"/>
          <w:b/>
          <w:bCs/>
          <w:sz w:val="22"/>
          <w:szCs w:val="22"/>
          <w:lang w:eastAsia="en-US"/>
        </w:rPr>
        <w:t>mes</w:t>
      </w:r>
      <w:r w:rsidRPr="00E27691">
        <w:rPr>
          <w:rFonts w:ascii="TimesNewRomanPSMT" w:eastAsia="Times New Roman" w:hAnsi="TimesNewRomanPSMT" w:hint="eastAsia"/>
          <w:b/>
          <w:bCs/>
          <w:sz w:val="22"/>
          <w:szCs w:val="22"/>
          <w:lang w:eastAsia="en-US"/>
        </w:rPr>
        <w:t>į</w:t>
      </w:r>
      <w:r w:rsidRPr="00E27691">
        <w:rPr>
          <w:rFonts w:ascii="TimesNewRomanPSMT" w:eastAsia="Times New Roman" w:hAnsi="TimesNewRomanPSMT"/>
          <w:b/>
          <w:bCs/>
          <w:sz w:val="22"/>
          <w:szCs w:val="22"/>
          <w:lang w:eastAsia="en-US"/>
        </w:rPr>
        <w:t xml:space="preserve"> </w:t>
      </w:r>
    </w:p>
    <w:p w14:paraId="59B317BA" w14:textId="424763E2" w:rsidR="009863E9" w:rsidRPr="004F572A" w:rsidRDefault="002A236B" w:rsidP="002A236B">
      <w:pPr>
        <w:tabs>
          <w:tab w:val="clear" w:pos="567"/>
        </w:tabs>
        <w:suppressAutoHyphens w:val="0"/>
        <w:spacing w:line="240" w:lineRule="auto"/>
        <w:rPr>
          <w:rFonts w:ascii="TimesNewRomanPSMT" w:eastAsia="Times New Roman" w:hAnsi="TimesNewRomanPSMT"/>
          <w:sz w:val="22"/>
          <w:szCs w:val="22"/>
          <w:lang w:eastAsia="en-US"/>
        </w:rPr>
      </w:pPr>
      <w:r w:rsidRPr="002A236B">
        <w:rPr>
          <w:rFonts w:ascii="TimesNewRomanPSMT" w:eastAsia="Times New Roman" w:hAnsi="TimesNewRomanPSMT"/>
          <w:sz w:val="22"/>
          <w:szCs w:val="22"/>
          <w:lang w:eastAsia="en-US"/>
        </w:rPr>
        <w:t>Gydant vėžį, suirus naviko ląstelėms, į kraują gali patekti medžiagų, kurios gali sukelti komplikacijų grupę, vadinamą navik</w:t>
      </w:r>
      <w:r w:rsidR="00F24FA6">
        <w:rPr>
          <w:rFonts w:asciiTheme="minorHAnsi" w:eastAsia="Times New Roman" w:hAnsiTheme="minorHAnsi"/>
          <w:sz w:val="22"/>
          <w:szCs w:val="22"/>
          <w:lang w:eastAsia="en-US"/>
        </w:rPr>
        <w:t>ų</w:t>
      </w:r>
      <w:r w:rsidRPr="002A236B">
        <w:rPr>
          <w:rFonts w:ascii="TimesNewRomanPSMT" w:eastAsia="Times New Roman" w:hAnsi="TimesNewRomanPSMT"/>
          <w:sz w:val="22"/>
          <w:szCs w:val="22"/>
          <w:lang w:eastAsia="en-US"/>
        </w:rPr>
        <w:t xml:space="preserve"> </w:t>
      </w:r>
      <w:proofErr w:type="spellStart"/>
      <w:r w:rsidRPr="002A236B">
        <w:rPr>
          <w:rFonts w:ascii="TimesNewRomanPSMT" w:eastAsia="Times New Roman" w:hAnsi="TimesNewRomanPSMT"/>
          <w:sz w:val="22"/>
          <w:szCs w:val="22"/>
          <w:lang w:eastAsia="en-US"/>
        </w:rPr>
        <w:t>lizės</w:t>
      </w:r>
      <w:proofErr w:type="spellEnd"/>
      <w:r w:rsidRPr="002A236B">
        <w:rPr>
          <w:rFonts w:ascii="TimesNewRomanPSMT" w:eastAsia="Times New Roman" w:hAnsi="TimesNewRomanPSMT"/>
          <w:sz w:val="22"/>
          <w:szCs w:val="22"/>
          <w:lang w:eastAsia="en-US"/>
        </w:rPr>
        <w:t xml:space="preserve"> sindromu (</w:t>
      </w:r>
      <w:r w:rsidR="004A1EDC">
        <w:rPr>
          <w:rFonts w:ascii="TimesNewRomanPSMT" w:eastAsia="Times New Roman" w:hAnsi="TimesNewRomanPSMT"/>
          <w:sz w:val="22"/>
          <w:szCs w:val="22"/>
          <w:lang w:eastAsia="en-US"/>
        </w:rPr>
        <w:t>N</w:t>
      </w:r>
      <w:r w:rsidRPr="002A236B">
        <w:rPr>
          <w:rFonts w:ascii="TimesNewRomanPSMT" w:eastAsia="Times New Roman" w:hAnsi="TimesNewRomanPSMT"/>
          <w:sz w:val="22"/>
          <w:szCs w:val="22"/>
          <w:lang w:eastAsia="en-US"/>
        </w:rPr>
        <w:t xml:space="preserve">LS). Dėl to gali atsirasti pokyčių Jūsų inkstuose ir gali kilti pavojus gyvybei. Gydytojas stebės ir gali skirti gydymą šiai rizikai sumažinti. Nedelsdami praneškite gydytojui, jei pasireiškė </w:t>
      </w:r>
      <w:r w:rsidR="004A1EDC">
        <w:rPr>
          <w:rFonts w:ascii="TimesNewRomanPSMT" w:eastAsia="Times New Roman" w:hAnsi="TimesNewRomanPSMT"/>
          <w:sz w:val="22"/>
          <w:szCs w:val="22"/>
          <w:lang w:eastAsia="en-US"/>
        </w:rPr>
        <w:t>N</w:t>
      </w:r>
      <w:r w:rsidRPr="002A236B">
        <w:rPr>
          <w:rFonts w:ascii="TimesNewRomanPSMT" w:eastAsia="Times New Roman" w:hAnsi="TimesNewRomanPSMT"/>
          <w:sz w:val="22"/>
          <w:szCs w:val="22"/>
          <w:lang w:eastAsia="en-US"/>
        </w:rPr>
        <w:t>LS požymių (žr.</w:t>
      </w:r>
      <w:r w:rsidR="00B10CAA">
        <w:rPr>
          <w:rFonts w:ascii="TimesNewRomanPSMT" w:eastAsia="Times New Roman" w:hAnsi="TimesNewRomanPSMT"/>
          <w:sz w:val="22"/>
          <w:szCs w:val="22"/>
          <w:lang w:eastAsia="en-US"/>
        </w:rPr>
        <w:t> </w:t>
      </w:r>
      <w:r w:rsidRPr="002A236B">
        <w:rPr>
          <w:rFonts w:ascii="TimesNewRomanPSMT" w:eastAsia="Times New Roman" w:hAnsi="TimesNewRomanPSMT"/>
          <w:sz w:val="22"/>
          <w:szCs w:val="22"/>
          <w:lang w:eastAsia="en-US"/>
        </w:rPr>
        <w:t>4</w:t>
      </w:r>
      <w:r w:rsidR="00B10CAA">
        <w:rPr>
          <w:rFonts w:ascii="TimesNewRomanPSMT" w:eastAsia="Times New Roman" w:hAnsi="TimesNewRomanPSMT"/>
          <w:sz w:val="22"/>
          <w:szCs w:val="22"/>
          <w:lang w:eastAsia="en-US"/>
        </w:rPr>
        <w:t> </w:t>
      </w:r>
      <w:r w:rsidRPr="002A236B">
        <w:rPr>
          <w:rFonts w:ascii="TimesNewRomanPSMT" w:eastAsia="Times New Roman" w:hAnsi="TimesNewRomanPSMT"/>
          <w:sz w:val="22"/>
          <w:szCs w:val="22"/>
          <w:lang w:eastAsia="en-US"/>
        </w:rPr>
        <w:t>skyrių „Galimas šalutinis poveikis“).</w:t>
      </w:r>
    </w:p>
    <w:p w14:paraId="090151D8" w14:textId="77777777" w:rsidR="005105E8" w:rsidRPr="004F572A" w:rsidRDefault="005105E8" w:rsidP="009863E9">
      <w:pPr>
        <w:tabs>
          <w:tab w:val="clear" w:pos="567"/>
        </w:tabs>
        <w:suppressAutoHyphens w:val="0"/>
        <w:spacing w:line="240" w:lineRule="auto"/>
        <w:rPr>
          <w:rFonts w:ascii="TimesNewRomanPS-BoldMT" w:eastAsia="Times New Roman" w:hAnsi="TimesNewRomanPS-BoldMT"/>
          <w:b/>
          <w:bCs/>
          <w:sz w:val="22"/>
          <w:szCs w:val="22"/>
          <w:lang w:eastAsia="en-US"/>
        </w:rPr>
      </w:pPr>
    </w:p>
    <w:p w14:paraId="46A22CFC" w14:textId="239E3FC6" w:rsidR="009863E9" w:rsidRPr="004F572A" w:rsidRDefault="009863E9" w:rsidP="009863E9">
      <w:pPr>
        <w:tabs>
          <w:tab w:val="clear" w:pos="567"/>
        </w:tabs>
        <w:suppressAutoHyphens w:val="0"/>
        <w:spacing w:line="240" w:lineRule="auto"/>
        <w:rPr>
          <w:rFonts w:ascii="TimesNewRomanPS-BoldMT" w:eastAsia="Times New Roman" w:hAnsi="TimesNewRomanPS-BoldMT"/>
          <w:b/>
          <w:bCs/>
          <w:sz w:val="22"/>
          <w:szCs w:val="22"/>
          <w:lang w:eastAsia="en-US"/>
        </w:rPr>
      </w:pPr>
      <w:r w:rsidRPr="004F572A">
        <w:rPr>
          <w:rFonts w:ascii="TimesNewRomanPS-BoldMT" w:eastAsia="Times New Roman" w:hAnsi="TimesNewRomanPS-BoldMT"/>
          <w:b/>
          <w:bCs/>
          <w:sz w:val="22"/>
          <w:szCs w:val="22"/>
          <w:lang w:eastAsia="en-US"/>
        </w:rPr>
        <w:t>Vaikams ir paaugliams</w:t>
      </w:r>
    </w:p>
    <w:p w14:paraId="56A4A765" w14:textId="687A34E0" w:rsidR="009863E9" w:rsidRPr="004F572A" w:rsidRDefault="004A1EDC" w:rsidP="009863E9">
      <w:pPr>
        <w:tabs>
          <w:tab w:val="clear" w:pos="567"/>
        </w:tabs>
        <w:suppressAutoHyphens w:val="0"/>
        <w:spacing w:line="240" w:lineRule="auto"/>
        <w:rPr>
          <w:rFonts w:ascii="TimesNewRomanPSMT" w:eastAsia="Times New Roman" w:hAnsi="TimesNewRomanPSMT"/>
          <w:sz w:val="22"/>
          <w:szCs w:val="22"/>
          <w:lang w:eastAsia="en-US"/>
        </w:rPr>
      </w:pPr>
      <w:r w:rsidRPr="004A1EDC">
        <w:rPr>
          <w:rFonts w:ascii="TimesNewRomanPSMT" w:eastAsia="Times New Roman" w:hAnsi="TimesNewRomanPSMT"/>
          <w:sz w:val="22"/>
          <w:szCs w:val="22"/>
          <w:lang w:eastAsia="en-US"/>
        </w:rPr>
        <w:t>Vaikams ir paaugliams, jaunesniems nei 18</w:t>
      </w:r>
      <w:r w:rsidR="00B10CAA">
        <w:rPr>
          <w:rFonts w:ascii="TimesNewRomanPSMT" w:eastAsia="Times New Roman" w:hAnsi="TimesNewRomanPSMT"/>
          <w:sz w:val="22"/>
          <w:szCs w:val="22"/>
          <w:lang w:eastAsia="en-US"/>
        </w:rPr>
        <w:t> </w:t>
      </w:r>
      <w:r w:rsidRPr="004A1EDC">
        <w:rPr>
          <w:rFonts w:ascii="TimesNewRomanPSMT" w:eastAsia="Times New Roman" w:hAnsi="TimesNewRomanPSMT"/>
          <w:sz w:val="22"/>
          <w:szCs w:val="22"/>
          <w:lang w:eastAsia="en-US"/>
        </w:rPr>
        <w:t xml:space="preserve">metų amžiaus, </w:t>
      </w:r>
      <w:proofErr w:type="spellStart"/>
      <w:r w:rsidR="005105E8" w:rsidRPr="004F572A">
        <w:rPr>
          <w:rFonts w:ascii="TimesNewRomanPSMT" w:eastAsia="Times New Roman" w:hAnsi="TimesNewRomanPSMT"/>
          <w:sz w:val="22"/>
          <w:szCs w:val="22"/>
          <w:lang w:eastAsia="en-US"/>
        </w:rPr>
        <w:t>Lenvatinib</w:t>
      </w:r>
      <w:proofErr w:type="spellEnd"/>
      <w:r w:rsidR="005105E8" w:rsidRPr="004F572A">
        <w:rPr>
          <w:rFonts w:ascii="TimesNewRomanPSMT" w:eastAsia="Times New Roman" w:hAnsi="TimesNewRomanPSMT"/>
          <w:sz w:val="22"/>
          <w:szCs w:val="22"/>
          <w:lang w:eastAsia="en-US"/>
        </w:rPr>
        <w:t xml:space="preserve"> </w:t>
      </w:r>
      <w:proofErr w:type="spellStart"/>
      <w:r w:rsidR="005105E8" w:rsidRPr="004F572A">
        <w:rPr>
          <w:rFonts w:ascii="TimesNewRomanPSMT" w:eastAsia="Times New Roman" w:hAnsi="TimesNewRomanPSMT"/>
          <w:sz w:val="22"/>
          <w:szCs w:val="22"/>
          <w:lang w:eastAsia="en-US"/>
        </w:rPr>
        <w:t>Sandoz</w:t>
      </w:r>
      <w:proofErr w:type="spellEnd"/>
      <w:r w:rsidR="005105E8" w:rsidRPr="004F572A">
        <w:rPr>
          <w:rFonts w:ascii="TimesNewRomanPSMT" w:eastAsia="Times New Roman" w:hAnsi="TimesNewRomanPSMT"/>
          <w:sz w:val="22"/>
          <w:szCs w:val="22"/>
          <w:lang w:eastAsia="en-US"/>
        </w:rPr>
        <w:t xml:space="preserve"> šiuo metu </w:t>
      </w:r>
      <w:r w:rsidRPr="004F572A">
        <w:rPr>
          <w:rFonts w:ascii="TimesNewRomanPSMT" w:eastAsia="Times New Roman" w:hAnsi="TimesNewRomanPSMT"/>
          <w:sz w:val="22"/>
          <w:szCs w:val="22"/>
          <w:lang w:eastAsia="en-US"/>
        </w:rPr>
        <w:t xml:space="preserve">vartoti </w:t>
      </w:r>
      <w:r w:rsidR="005105E8" w:rsidRPr="004F572A">
        <w:rPr>
          <w:rFonts w:ascii="TimesNewRomanPSMT" w:eastAsia="Times New Roman" w:hAnsi="TimesNewRomanPSMT"/>
          <w:sz w:val="22"/>
          <w:szCs w:val="22"/>
          <w:lang w:eastAsia="en-US"/>
        </w:rPr>
        <w:t>nerekomenduojama</w:t>
      </w:r>
      <w:r w:rsidR="009863E9" w:rsidRPr="004F572A">
        <w:rPr>
          <w:rFonts w:ascii="TimesNewRomanPSMT" w:eastAsia="Times New Roman" w:hAnsi="TimesNewRomanPSMT"/>
          <w:sz w:val="22"/>
          <w:szCs w:val="22"/>
          <w:lang w:eastAsia="en-US"/>
        </w:rPr>
        <w:t>.</w:t>
      </w:r>
    </w:p>
    <w:p w14:paraId="030B38FC" w14:textId="77777777" w:rsidR="005105E8" w:rsidRPr="004F572A" w:rsidRDefault="005105E8" w:rsidP="009863E9">
      <w:pPr>
        <w:tabs>
          <w:tab w:val="clear" w:pos="567"/>
        </w:tabs>
        <w:ind w:right="-2"/>
        <w:rPr>
          <w:rFonts w:ascii="TimesNewRomanPS-BoldMT" w:eastAsia="Times New Roman" w:hAnsi="TimesNewRomanPS-BoldMT"/>
          <w:b/>
          <w:bCs/>
          <w:sz w:val="22"/>
          <w:szCs w:val="22"/>
          <w:lang w:eastAsia="en-US"/>
        </w:rPr>
      </w:pPr>
    </w:p>
    <w:p w14:paraId="2BC8E1B2" w14:textId="5B152A5D" w:rsidR="000928CA" w:rsidRPr="004F572A" w:rsidRDefault="009863E9" w:rsidP="009863E9">
      <w:pPr>
        <w:tabs>
          <w:tab w:val="clear" w:pos="567"/>
        </w:tabs>
        <w:ind w:right="-2"/>
        <w:rPr>
          <w:sz w:val="22"/>
          <w:szCs w:val="22"/>
        </w:rPr>
      </w:pPr>
      <w:r w:rsidRPr="004F572A">
        <w:rPr>
          <w:rFonts w:ascii="TimesNewRomanPS-BoldMT" w:eastAsia="Times New Roman" w:hAnsi="TimesNewRomanPS-BoldMT"/>
          <w:b/>
          <w:bCs/>
          <w:sz w:val="22"/>
          <w:szCs w:val="22"/>
          <w:lang w:eastAsia="en-US"/>
        </w:rPr>
        <w:t xml:space="preserve">Kiti vaistai ir </w:t>
      </w:r>
      <w:proofErr w:type="spellStart"/>
      <w:r w:rsidR="00CC4425" w:rsidRPr="004F572A">
        <w:rPr>
          <w:rFonts w:ascii="TimesNewRomanPS-BoldMT" w:eastAsia="Times New Roman" w:hAnsi="TimesNewRomanPS-BoldMT"/>
          <w:b/>
          <w:bCs/>
          <w:sz w:val="22"/>
          <w:szCs w:val="22"/>
          <w:lang w:eastAsia="en-US"/>
        </w:rPr>
        <w:t>Lenvatinib</w:t>
      </w:r>
      <w:proofErr w:type="spellEnd"/>
      <w:r w:rsidR="00CC4425" w:rsidRPr="004F572A">
        <w:rPr>
          <w:rFonts w:ascii="TimesNewRomanPS-BoldMT" w:eastAsia="Times New Roman" w:hAnsi="TimesNewRomanPS-BoldMT"/>
          <w:b/>
          <w:bCs/>
          <w:sz w:val="22"/>
          <w:szCs w:val="22"/>
          <w:lang w:eastAsia="en-US"/>
        </w:rPr>
        <w:t xml:space="preserve"> </w:t>
      </w:r>
      <w:proofErr w:type="spellStart"/>
      <w:r w:rsidR="00CC4425" w:rsidRPr="004F572A">
        <w:rPr>
          <w:rFonts w:ascii="TimesNewRomanPS-BoldMT" w:eastAsia="Times New Roman" w:hAnsi="TimesNewRomanPS-BoldMT"/>
          <w:b/>
          <w:bCs/>
          <w:sz w:val="22"/>
          <w:szCs w:val="22"/>
          <w:lang w:eastAsia="en-US"/>
        </w:rPr>
        <w:t>Sandoz</w:t>
      </w:r>
      <w:proofErr w:type="spellEnd"/>
    </w:p>
    <w:p w14:paraId="338F62FE" w14:textId="49B3BCB7" w:rsidR="00CC4425" w:rsidRPr="004F572A" w:rsidRDefault="00CC4425" w:rsidP="00CC4425">
      <w:pPr>
        <w:tabs>
          <w:tab w:val="clear" w:pos="567"/>
        </w:tabs>
        <w:ind w:right="-2"/>
        <w:rPr>
          <w:sz w:val="22"/>
          <w:szCs w:val="22"/>
        </w:rPr>
      </w:pPr>
      <w:r w:rsidRPr="004F572A">
        <w:rPr>
          <w:sz w:val="22"/>
          <w:szCs w:val="22"/>
        </w:rPr>
        <w:t xml:space="preserve">Jeigu vartojate ar neseniai vartojote kitų vaistų, įskaitant </w:t>
      </w:r>
      <w:r w:rsidR="006E5DBD">
        <w:rPr>
          <w:sz w:val="22"/>
          <w:szCs w:val="22"/>
        </w:rPr>
        <w:t>augalinius</w:t>
      </w:r>
      <w:r w:rsidRPr="004F572A">
        <w:rPr>
          <w:sz w:val="22"/>
          <w:szCs w:val="22"/>
        </w:rPr>
        <w:t xml:space="preserve"> ir nereceptinius vaistus, arba dėl to nesate tikri, apie tai pasakykite gydytojui arba vaistininkui.</w:t>
      </w:r>
    </w:p>
    <w:p w14:paraId="3B87AFE6" w14:textId="77777777" w:rsidR="00CC4425" w:rsidRPr="004F572A" w:rsidRDefault="00CC4425" w:rsidP="00CC4425">
      <w:pPr>
        <w:tabs>
          <w:tab w:val="clear" w:pos="567"/>
        </w:tabs>
        <w:ind w:right="-2"/>
        <w:rPr>
          <w:b/>
          <w:bCs/>
          <w:sz w:val="22"/>
          <w:szCs w:val="22"/>
        </w:rPr>
      </w:pPr>
    </w:p>
    <w:p w14:paraId="1ED582EA" w14:textId="2DE69D01" w:rsidR="00CC4425" w:rsidRPr="004F572A" w:rsidRDefault="006E5DBD" w:rsidP="00CC4425">
      <w:pPr>
        <w:tabs>
          <w:tab w:val="clear" w:pos="567"/>
        </w:tabs>
        <w:ind w:right="-2"/>
        <w:rPr>
          <w:b/>
          <w:bCs/>
          <w:sz w:val="22"/>
          <w:szCs w:val="22"/>
        </w:rPr>
      </w:pPr>
      <w:r>
        <w:rPr>
          <w:b/>
          <w:bCs/>
          <w:sz w:val="22"/>
          <w:szCs w:val="22"/>
        </w:rPr>
        <w:t>N</w:t>
      </w:r>
      <w:r w:rsidR="00CC4425" w:rsidRPr="004F572A">
        <w:rPr>
          <w:b/>
          <w:bCs/>
          <w:sz w:val="22"/>
          <w:szCs w:val="22"/>
        </w:rPr>
        <w:t>ėštumas</w:t>
      </w:r>
      <w:r>
        <w:rPr>
          <w:b/>
          <w:bCs/>
          <w:sz w:val="22"/>
          <w:szCs w:val="22"/>
        </w:rPr>
        <w:t>,</w:t>
      </w:r>
      <w:r w:rsidR="00C0108C">
        <w:rPr>
          <w:b/>
          <w:bCs/>
          <w:sz w:val="22"/>
          <w:szCs w:val="22"/>
        </w:rPr>
        <w:t xml:space="preserve"> </w:t>
      </w:r>
      <w:r w:rsidR="00CC4425" w:rsidRPr="004F572A">
        <w:rPr>
          <w:b/>
          <w:bCs/>
          <w:sz w:val="22"/>
          <w:szCs w:val="22"/>
        </w:rPr>
        <w:t>žindymo laikotarpis</w:t>
      </w:r>
      <w:r>
        <w:rPr>
          <w:b/>
          <w:bCs/>
          <w:sz w:val="22"/>
          <w:szCs w:val="22"/>
        </w:rPr>
        <w:t xml:space="preserve"> ir vaisingumas</w:t>
      </w:r>
    </w:p>
    <w:p w14:paraId="000C2048" w14:textId="77777777" w:rsidR="00CC4425" w:rsidRPr="004F572A" w:rsidRDefault="00CC4425" w:rsidP="00CC4425">
      <w:pPr>
        <w:tabs>
          <w:tab w:val="clear" w:pos="567"/>
        </w:tabs>
        <w:ind w:right="-2"/>
        <w:rPr>
          <w:sz w:val="22"/>
          <w:szCs w:val="22"/>
        </w:rPr>
      </w:pPr>
      <w:r w:rsidRPr="004F572A">
        <w:rPr>
          <w:sz w:val="22"/>
          <w:szCs w:val="22"/>
        </w:rPr>
        <w:t>Jeigu esate nėščia, žindote kūdikį, manote, kad galbūt esate nėščia arba planuojate pastoti, tai prieš vartodama šį vaistą pasitarkite su gydytoju arba vaistininku.</w:t>
      </w:r>
    </w:p>
    <w:p w14:paraId="14DF6D42" w14:textId="0321EE9B" w:rsidR="00CE7615" w:rsidRPr="004F572A" w:rsidRDefault="00CC4425">
      <w:pPr>
        <w:pStyle w:val="Sraopastraipa"/>
        <w:numPr>
          <w:ilvl w:val="0"/>
          <w:numId w:val="13"/>
        </w:numPr>
        <w:tabs>
          <w:tab w:val="clear" w:pos="567"/>
        </w:tabs>
        <w:ind w:left="540" w:right="-2" w:hanging="540"/>
        <w:rPr>
          <w:sz w:val="22"/>
          <w:szCs w:val="22"/>
        </w:rPr>
      </w:pPr>
      <w:r w:rsidRPr="004F572A">
        <w:rPr>
          <w:sz w:val="22"/>
          <w:szCs w:val="22"/>
        </w:rPr>
        <w:t>Jeigu galite pastoti, naudokite labai veiksmingą kontracepcijos metodą, kol vartojate šio vaisto ir bent mėnesį pa</w:t>
      </w:r>
      <w:r w:rsidR="004A1EDC">
        <w:rPr>
          <w:sz w:val="22"/>
          <w:szCs w:val="22"/>
        </w:rPr>
        <w:t>si</w:t>
      </w:r>
      <w:r w:rsidRPr="004F572A">
        <w:rPr>
          <w:sz w:val="22"/>
          <w:szCs w:val="22"/>
        </w:rPr>
        <w:t>baigus gydym</w:t>
      </w:r>
      <w:r w:rsidR="004A1EDC">
        <w:rPr>
          <w:sz w:val="22"/>
          <w:szCs w:val="22"/>
        </w:rPr>
        <w:t>ui</w:t>
      </w:r>
      <w:r w:rsidRPr="004F572A">
        <w:rPr>
          <w:sz w:val="22"/>
          <w:szCs w:val="22"/>
        </w:rPr>
        <w:t xml:space="preserve">. Kadangi nežinoma, ar </w:t>
      </w:r>
      <w:bookmarkStart w:id="14" w:name="_Hlk196819070"/>
      <w:proofErr w:type="spellStart"/>
      <w:r w:rsidRPr="004F572A">
        <w:rPr>
          <w:sz w:val="22"/>
          <w:szCs w:val="22"/>
        </w:rPr>
        <w:t>Lenvatinib</w:t>
      </w:r>
      <w:proofErr w:type="spellEnd"/>
      <w:r w:rsidRPr="004F572A">
        <w:rPr>
          <w:sz w:val="22"/>
          <w:szCs w:val="22"/>
        </w:rPr>
        <w:t xml:space="preserve"> </w:t>
      </w:r>
      <w:proofErr w:type="spellStart"/>
      <w:r w:rsidRPr="004F572A">
        <w:rPr>
          <w:sz w:val="22"/>
          <w:szCs w:val="22"/>
        </w:rPr>
        <w:t>Sandoz</w:t>
      </w:r>
      <w:proofErr w:type="spellEnd"/>
      <w:r w:rsidRPr="004F572A">
        <w:rPr>
          <w:sz w:val="22"/>
          <w:szCs w:val="22"/>
        </w:rPr>
        <w:t xml:space="preserve"> </w:t>
      </w:r>
      <w:bookmarkEnd w:id="14"/>
      <w:r w:rsidRPr="004F572A">
        <w:rPr>
          <w:sz w:val="22"/>
          <w:szCs w:val="22"/>
        </w:rPr>
        <w:t xml:space="preserve">gali mažinti </w:t>
      </w:r>
      <w:r w:rsidRPr="004F572A">
        <w:rPr>
          <w:sz w:val="22"/>
          <w:szCs w:val="22"/>
        </w:rPr>
        <w:lastRenderedPageBreak/>
        <w:t xml:space="preserve">geriamosios kontraceptinės </w:t>
      </w:r>
      <w:r w:rsidR="005015FD">
        <w:rPr>
          <w:sz w:val="22"/>
          <w:szCs w:val="22"/>
        </w:rPr>
        <w:t>tabletės</w:t>
      </w:r>
      <w:r w:rsidRPr="004F572A">
        <w:rPr>
          <w:sz w:val="22"/>
          <w:szCs w:val="22"/>
        </w:rPr>
        <w:t xml:space="preserve"> poveikį; jei tai yra įprastas Jūsų kontracepcijos metodas,</w:t>
      </w:r>
      <w:r w:rsidR="00CE7615" w:rsidRPr="004F572A">
        <w:t xml:space="preserve"> </w:t>
      </w:r>
      <w:r w:rsidR="00CE7615" w:rsidRPr="004F572A">
        <w:rPr>
          <w:sz w:val="22"/>
          <w:szCs w:val="22"/>
        </w:rPr>
        <w:t xml:space="preserve">turite užtikrinti, kad taip pat būtų naudojamas barjerinis metodas, pvz., </w:t>
      </w:r>
      <w:proofErr w:type="spellStart"/>
      <w:r w:rsidR="00CE7615" w:rsidRPr="004F572A">
        <w:rPr>
          <w:sz w:val="22"/>
          <w:szCs w:val="22"/>
        </w:rPr>
        <w:t>gaubtelis</w:t>
      </w:r>
      <w:proofErr w:type="spellEnd"/>
      <w:r w:rsidR="00CE7615" w:rsidRPr="004F572A">
        <w:rPr>
          <w:sz w:val="22"/>
          <w:szCs w:val="22"/>
        </w:rPr>
        <w:t xml:space="preserve"> ar prezervatyvai, jeigu gydymo </w:t>
      </w:r>
      <w:proofErr w:type="spellStart"/>
      <w:r w:rsidR="00CE7615" w:rsidRPr="004F572A">
        <w:rPr>
          <w:sz w:val="22"/>
          <w:szCs w:val="22"/>
        </w:rPr>
        <w:t>Lenvatinib</w:t>
      </w:r>
      <w:proofErr w:type="spellEnd"/>
      <w:r w:rsidR="00CE7615" w:rsidRPr="004F572A">
        <w:rPr>
          <w:sz w:val="22"/>
          <w:szCs w:val="22"/>
        </w:rPr>
        <w:t xml:space="preserve"> </w:t>
      </w:r>
      <w:proofErr w:type="spellStart"/>
      <w:r w:rsidR="00CE7615" w:rsidRPr="004F572A">
        <w:rPr>
          <w:sz w:val="22"/>
          <w:szCs w:val="22"/>
        </w:rPr>
        <w:t>Sandoz</w:t>
      </w:r>
      <w:proofErr w:type="spellEnd"/>
      <w:r w:rsidR="00CE7615" w:rsidRPr="004F572A">
        <w:rPr>
          <w:sz w:val="22"/>
          <w:szCs w:val="22"/>
        </w:rPr>
        <w:t xml:space="preserve"> laikotarpiu turite lytinių santykių</w:t>
      </w:r>
      <w:r w:rsidR="00AA54EA" w:rsidRPr="004F572A">
        <w:rPr>
          <w:sz w:val="22"/>
          <w:szCs w:val="22"/>
        </w:rPr>
        <w:t>.</w:t>
      </w:r>
    </w:p>
    <w:p w14:paraId="28ACC1CB" w14:textId="0B25BE0B" w:rsidR="00CC4425" w:rsidRPr="004F572A" w:rsidRDefault="00CC4425">
      <w:pPr>
        <w:pStyle w:val="Sraopastraipa"/>
        <w:numPr>
          <w:ilvl w:val="0"/>
          <w:numId w:val="13"/>
        </w:numPr>
        <w:tabs>
          <w:tab w:val="clear" w:pos="567"/>
        </w:tabs>
        <w:ind w:left="540" w:right="-2" w:hanging="540"/>
        <w:rPr>
          <w:sz w:val="22"/>
          <w:szCs w:val="22"/>
        </w:rPr>
      </w:pPr>
      <w:r w:rsidRPr="004F572A">
        <w:rPr>
          <w:sz w:val="22"/>
          <w:szCs w:val="22"/>
        </w:rPr>
        <w:t xml:space="preserve">Nevartokite </w:t>
      </w:r>
      <w:proofErr w:type="spellStart"/>
      <w:r w:rsidR="00AA54EA" w:rsidRPr="004F572A">
        <w:rPr>
          <w:sz w:val="22"/>
          <w:szCs w:val="22"/>
        </w:rPr>
        <w:t>Lenvatinib</w:t>
      </w:r>
      <w:proofErr w:type="spellEnd"/>
      <w:r w:rsidR="00AA54EA" w:rsidRPr="004F572A">
        <w:rPr>
          <w:sz w:val="22"/>
          <w:szCs w:val="22"/>
        </w:rPr>
        <w:t xml:space="preserve"> </w:t>
      </w:r>
      <w:proofErr w:type="spellStart"/>
      <w:r w:rsidR="00AA54EA" w:rsidRPr="004F572A">
        <w:rPr>
          <w:sz w:val="22"/>
          <w:szCs w:val="22"/>
        </w:rPr>
        <w:t>Sandoz</w:t>
      </w:r>
      <w:proofErr w:type="spellEnd"/>
      <w:r w:rsidRPr="004F572A">
        <w:rPr>
          <w:sz w:val="22"/>
          <w:szCs w:val="22"/>
        </w:rPr>
        <w:t xml:space="preserve">, jeigu gydymo metu planuojate pastoti. </w:t>
      </w:r>
      <w:r w:rsidR="004A1EDC">
        <w:rPr>
          <w:sz w:val="22"/>
          <w:szCs w:val="22"/>
        </w:rPr>
        <w:t xml:space="preserve">Vartoti negalima, nes vaistas </w:t>
      </w:r>
      <w:r w:rsidR="00AA54EA" w:rsidRPr="004F572A">
        <w:rPr>
          <w:sz w:val="22"/>
          <w:szCs w:val="22"/>
        </w:rPr>
        <w:t xml:space="preserve">gali </w:t>
      </w:r>
      <w:r w:rsidR="004A1EDC">
        <w:rPr>
          <w:sz w:val="22"/>
          <w:szCs w:val="22"/>
        </w:rPr>
        <w:t>labai</w:t>
      </w:r>
      <w:r w:rsidR="00AA54EA" w:rsidRPr="004F572A">
        <w:rPr>
          <w:sz w:val="22"/>
          <w:szCs w:val="22"/>
        </w:rPr>
        <w:t xml:space="preserve"> pakenkti Jūsų kūdikiui.</w:t>
      </w:r>
    </w:p>
    <w:p w14:paraId="5E8A8E0D" w14:textId="671CC092" w:rsidR="00CC4425" w:rsidRPr="004F572A" w:rsidRDefault="00CC4425">
      <w:pPr>
        <w:pStyle w:val="Sraopastraipa"/>
        <w:numPr>
          <w:ilvl w:val="0"/>
          <w:numId w:val="13"/>
        </w:numPr>
        <w:tabs>
          <w:tab w:val="clear" w:pos="567"/>
        </w:tabs>
        <w:ind w:left="540" w:right="-2" w:hanging="540"/>
        <w:rPr>
          <w:sz w:val="22"/>
          <w:szCs w:val="22"/>
        </w:rPr>
      </w:pPr>
      <w:r w:rsidRPr="004F572A">
        <w:rPr>
          <w:sz w:val="22"/>
          <w:szCs w:val="22"/>
        </w:rPr>
        <w:t xml:space="preserve">Jeigu gydymo </w:t>
      </w:r>
      <w:proofErr w:type="spellStart"/>
      <w:r w:rsidR="00AA54EA" w:rsidRPr="004F572A">
        <w:rPr>
          <w:sz w:val="22"/>
          <w:szCs w:val="22"/>
        </w:rPr>
        <w:t>Lenvatinib</w:t>
      </w:r>
      <w:proofErr w:type="spellEnd"/>
      <w:r w:rsidR="00AA54EA" w:rsidRPr="004F572A">
        <w:rPr>
          <w:sz w:val="22"/>
          <w:szCs w:val="22"/>
        </w:rPr>
        <w:t xml:space="preserve"> </w:t>
      </w:r>
      <w:proofErr w:type="spellStart"/>
      <w:r w:rsidR="00AA54EA" w:rsidRPr="004F572A">
        <w:rPr>
          <w:sz w:val="22"/>
          <w:szCs w:val="22"/>
        </w:rPr>
        <w:t>Sandoz</w:t>
      </w:r>
      <w:proofErr w:type="spellEnd"/>
      <w:r w:rsidRPr="004F572A">
        <w:rPr>
          <w:sz w:val="22"/>
          <w:szCs w:val="22"/>
        </w:rPr>
        <w:t xml:space="preserve"> </w:t>
      </w:r>
      <w:r w:rsidR="004A1EDC">
        <w:rPr>
          <w:sz w:val="22"/>
          <w:szCs w:val="22"/>
        </w:rPr>
        <w:t>metu</w:t>
      </w:r>
      <w:r w:rsidRPr="004F572A">
        <w:rPr>
          <w:sz w:val="22"/>
          <w:szCs w:val="22"/>
        </w:rPr>
        <w:t xml:space="preserve"> pastojote, nedelsdama apie tai pasakykite gydytojui. Gydytojas</w:t>
      </w:r>
      <w:r w:rsidR="00AA54EA" w:rsidRPr="004F572A">
        <w:rPr>
          <w:sz w:val="22"/>
          <w:szCs w:val="22"/>
        </w:rPr>
        <w:t xml:space="preserve"> </w:t>
      </w:r>
      <w:r w:rsidRPr="004F572A">
        <w:rPr>
          <w:sz w:val="22"/>
          <w:szCs w:val="22"/>
        </w:rPr>
        <w:t>padės Jums nuspręsti, ar gydym</w:t>
      </w:r>
      <w:r w:rsidR="00AA54EA" w:rsidRPr="004F572A">
        <w:rPr>
          <w:sz w:val="22"/>
          <w:szCs w:val="22"/>
        </w:rPr>
        <w:t xml:space="preserve">as </w:t>
      </w:r>
      <w:r w:rsidR="004A1EDC">
        <w:rPr>
          <w:sz w:val="22"/>
          <w:szCs w:val="22"/>
        </w:rPr>
        <w:t>reikia tęsti</w:t>
      </w:r>
      <w:r w:rsidRPr="004F572A">
        <w:rPr>
          <w:sz w:val="22"/>
          <w:szCs w:val="22"/>
        </w:rPr>
        <w:t>.</w:t>
      </w:r>
    </w:p>
    <w:p w14:paraId="64BED3A6" w14:textId="0E1C9704" w:rsidR="00CC4425" w:rsidRPr="004F572A" w:rsidRDefault="00CC4425">
      <w:pPr>
        <w:pStyle w:val="Sraopastraipa"/>
        <w:numPr>
          <w:ilvl w:val="0"/>
          <w:numId w:val="13"/>
        </w:numPr>
        <w:tabs>
          <w:tab w:val="clear" w:pos="567"/>
        </w:tabs>
        <w:ind w:left="540" w:right="-2" w:hanging="540"/>
        <w:rPr>
          <w:sz w:val="22"/>
          <w:szCs w:val="22"/>
        </w:rPr>
      </w:pPr>
      <w:r w:rsidRPr="004F572A">
        <w:rPr>
          <w:sz w:val="22"/>
          <w:szCs w:val="22"/>
        </w:rPr>
        <w:t xml:space="preserve">Jeigu vartojate </w:t>
      </w:r>
      <w:proofErr w:type="spellStart"/>
      <w:r w:rsidR="00AA54EA" w:rsidRPr="004F572A">
        <w:rPr>
          <w:sz w:val="22"/>
          <w:szCs w:val="22"/>
        </w:rPr>
        <w:t>Lenvatinib</w:t>
      </w:r>
      <w:proofErr w:type="spellEnd"/>
      <w:r w:rsidR="00AA54EA" w:rsidRPr="004F572A">
        <w:rPr>
          <w:sz w:val="22"/>
          <w:szCs w:val="22"/>
        </w:rPr>
        <w:t xml:space="preserve"> </w:t>
      </w:r>
      <w:proofErr w:type="spellStart"/>
      <w:r w:rsidR="00AA54EA" w:rsidRPr="004F572A">
        <w:rPr>
          <w:sz w:val="22"/>
          <w:szCs w:val="22"/>
        </w:rPr>
        <w:t>Sandoz</w:t>
      </w:r>
      <w:proofErr w:type="spellEnd"/>
      <w:r w:rsidRPr="004F572A">
        <w:rPr>
          <w:sz w:val="22"/>
          <w:szCs w:val="22"/>
        </w:rPr>
        <w:t xml:space="preserve">, nežindykite. </w:t>
      </w:r>
      <w:r w:rsidR="004A1EDC" w:rsidRPr="004A1EDC">
        <w:rPr>
          <w:sz w:val="22"/>
          <w:szCs w:val="22"/>
        </w:rPr>
        <w:t>Žindyti negalima,</w:t>
      </w:r>
      <w:r w:rsidR="004A1EDC">
        <w:rPr>
          <w:sz w:val="22"/>
          <w:szCs w:val="22"/>
        </w:rPr>
        <w:t xml:space="preserve"> nes </w:t>
      </w:r>
      <w:r w:rsidR="00AA54EA" w:rsidRPr="004F572A">
        <w:rPr>
          <w:sz w:val="22"/>
          <w:szCs w:val="22"/>
        </w:rPr>
        <w:t xml:space="preserve">vaistas patenka į motinos pieną ir gali </w:t>
      </w:r>
      <w:r w:rsidR="004A1EDC">
        <w:rPr>
          <w:sz w:val="22"/>
          <w:szCs w:val="22"/>
        </w:rPr>
        <w:t>labai</w:t>
      </w:r>
      <w:r w:rsidR="004A1EDC" w:rsidRPr="004F572A">
        <w:rPr>
          <w:sz w:val="22"/>
          <w:szCs w:val="22"/>
        </w:rPr>
        <w:t xml:space="preserve"> </w:t>
      </w:r>
      <w:r w:rsidR="00AA54EA" w:rsidRPr="004F572A">
        <w:rPr>
          <w:sz w:val="22"/>
          <w:szCs w:val="22"/>
        </w:rPr>
        <w:t>pakenkti žindomam kūdikiui.</w:t>
      </w:r>
    </w:p>
    <w:p w14:paraId="4EB119F3" w14:textId="77777777" w:rsidR="00AA54EA" w:rsidRPr="004F572A" w:rsidRDefault="00AA54EA" w:rsidP="00CC4425">
      <w:pPr>
        <w:tabs>
          <w:tab w:val="clear" w:pos="567"/>
        </w:tabs>
        <w:ind w:right="-2"/>
        <w:rPr>
          <w:b/>
          <w:bCs/>
          <w:sz w:val="22"/>
          <w:szCs w:val="22"/>
        </w:rPr>
      </w:pPr>
    </w:p>
    <w:p w14:paraId="07CA7095" w14:textId="1622C375" w:rsidR="00CC4425" w:rsidRPr="004F572A" w:rsidRDefault="00CC4425" w:rsidP="00CC4425">
      <w:pPr>
        <w:tabs>
          <w:tab w:val="clear" w:pos="567"/>
        </w:tabs>
        <w:ind w:right="-2"/>
        <w:rPr>
          <w:b/>
          <w:bCs/>
          <w:sz w:val="22"/>
          <w:szCs w:val="22"/>
        </w:rPr>
      </w:pPr>
      <w:r w:rsidRPr="004F572A">
        <w:rPr>
          <w:b/>
          <w:bCs/>
          <w:sz w:val="22"/>
          <w:szCs w:val="22"/>
        </w:rPr>
        <w:t>Vairavimas ir mechanizmų valdymas</w:t>
      </w:r>
    </w:p>
    <w:p w14:paraId="7C4DBF78" w14:textId="6F3FE531" w:rsidR="00CC4425" w:rsidRPr="004F572A" w:rsidRDefault="00AA54EA" w:rsidP="00CC4425">
      <w:pPr>
        <w:tabs>
          <w:tab w:val="clear" w:pos="567"/>
        </w:tabs>
        <w:ind w:right="-2"/>
        <w:rPr>
          <w:sz w:val="22"/>
          <w:szCs w:val="22"/>
        </w:rPr>
      </w:pPr>
      <w:proofErr w:type="spellStart"/>
      <w:r w:rsidRPr="004F572A">
        <w:rPr>
          <w:sz w:val="22"/>
          <w:szCs w:val="22"/>
        </w:rPr>
        <w:t>Lenvatinib</w:t>
      </w:r>
      <w:proofErr w:type="spellEnd"/>
      <w:r w:rsidRPr="004F572A">
        <w:rPr>
          <w:sz w:val="22"/>
          <w:szCs w:val="22"/>
        </w:rPr>
        <w:t xml:space="preserve"> </w:t>
      </w:r>
      <w:proofErr w:type="spellStart"/>
      <w:r w:rsidRPr="004F572A">
        <w:rPr>
          <w:sz w:val="22"/>
          <w:szCs w:val="22"/>
        </w:rPr>
        <w:t>Sandoz</w:t>
      </w:r>
      <w:proofErr w:type="spellEnd"/>
      <w:r w:rsidR="00CC4425" w:rsidRPr="004F572A">
        <w:rPr>
          <w:sz w:val="22"/>
          <w:szCs w:val="22"/>
        </w:rPr>
        <w:t xml:space="preserve"> gali sukelti šalutinį poveikį, kuris gali </w:t>
      </w:r>
      <w:r w:rsidRPr="004F572A">
        <w:rPr>
          <w:sz w:val="22"/>
          <w:szCs w:val="22"/>
        </w:rPr>
        <w:t>pa</w:t>
      </w:r>
      <w:r w:rsidR="00CC4425" w:rsidRPr="004F572A">
        <w:rPr>
          <w:sz w:val="22"/>
          <w:szCs w:val="22"/>
        </w:rPr>
        <w:t xml:space="preserve">veikti </w:t>
      </w:r>
      <w:r w:rsidRPr="004F572A">
        <w:rPr>
          <w:sz w:val="22"/>
          <w:szCs w:val="22"/>
        </w:rPr>
        <w:t xml:space="preserve">Jūsų </w:t>
      </w:r>
      <w:r w:rsidR="00CC4425" w:rsidRPr="004F572A">
        <w:rPr>
          <w:sz w:val="22"/>
          <w:szCs w:val="22"/>
        </w:rPr>
        <w:t xml:space="preserve">gebėjimą vairuoti ir valdyti mechanizmus. </w:t>
      </w:r>
      <w:r w:rsidRPr="004F572A">
        <w:rPr>
          <w:sz w:val="22"/>
          <w:szCs w:val="22"/>
        </w:rPr>
        <w:t xml:space="preserve">Nevairuokite arba nevaldykite mechanizmų, jeigu jaučiate </w:t>
      </w:r>
      <w:r w:rsidR="00CC4425" w:rsidRPr="004F572A">
        <w:rPr>
          <w:sz w:val="22"/>
          <w:szCs w:val="22"/>
        </w:rPr>
        <w:t>svaigulį arba nuovargį.</w:t>
      </w:r>
    </w:p>
    <w:p w14:paraId="64E80A8F" w14:textId="77777777" w:rsidR="00AA54EA" w:rsidRPr="004F572A" w:rsidRDefault="00AA54EA" w:rsidP="00CC4425">
      <w:pPr>
        <w:tabs>
          <w:tab w:val="clear" w:pos="567"/>
        </w:tabs>
        <w:ind w:right="-2"/>
        <w:rPr>
          <w:sz w:val="22"/>
          <w:szCs w:val="22"/>
        </w:rPr>
      </w:pPr>
    </w:p>
    <w:p w14:paraId="2A0D57B6" w14:textId="13430E7B" w:rsidR="006546DE" w:rsidRPr="004F572A" w:rsidRDefault="006546DE" w:rsidP="006546DE">
      <w:pPr>
        <w:tabs>
          <w:tab w:val="clear" w:pos="567"/>
        </w:tabs>
        <w:ind w:right="-2"/>
        <w:rPr>
          <w:b/>
          <w:sz w:val="22"/>
          <w:szCs w:val="22"/>
        </w:rPr>
      </w:pPr>
      <w:proofErr w:type="spellStart"/>
      <w:r w:rsidRPr="004F572A">
        <w:rPr>
          <w:b/>
          <w:bCs/>
          <w:sz w:val="22"/>
          <w:szCs w:val="22"/>
        </w:rPr>
        <w:t>Lenvatinib</w:t>
      </w:r>
      <w:proofErr w:type="spellEnd"/>
      <w:r w:rsidRPr="004F572A">
        <w:rPr>
          <w:b/>
          <w:bCs/>
          <w:sz w:val="22"/>
          <w:szCs w:val="22"/>
        </w:rPr>
        <w:t xml:space="preserve"> </w:t>
      </w:r>
      <w:proofErr w:type="spellStart"/>
      <w:r w:rsidRPr="004F572A">
        <w:rPr>
          <w:b/>
          <w:bCs/>
          <w:sz w:val="22"/>
          <w:szCs w:val="22"/>
        </w:rPr>
        <w:t>Sandoz</w:t>
      </w:r>
      <w:proofErr w:type="spellEnd"/>
      <w:r w:rsidRPr="004F572A">
        <w:rPr>
          <w:b/>
          <w:bCs/>
          <w:sz w:val="22"/>
          <w:szCs w:val="22"/>
        </w:rPr>
        <w:t xml:space="preserve"> sudėtyje </w:t>
      </w:r>
      <w:r w:rsidRPr="004F572A">
        <w:rPr>
          <w:b/>
          <w:sz w:val="22"/>
          <w:szCs w:val="22"/>
        </w:rPr>
        <w:t>yra natrio</w:t>
      </w:r>
      <w:r w:rsidRPr="004F572A">
        <w:rPr>
          <w:b/>
          <w:bCs/>
          <w:sz w:val="22"/>
          <w:szCs w:val="22"/>
        </w:rPr>
        <w:t xml:space="preserve"> </w:t>
      </w:r>
    </w:p>
    <w:p w14:paraId="6203DEA4" w14:textId="0E8F3B76" w:rsidR="006546DE" w:rsidRPr="004F572A" w:rsidRDefault="006546DE" w:rsidP="006546DE">
      <w:pPr>
        <w:rPr>
          <w:sz w:val="22"/>
          <w:szCs w:val="22"/>
        </w:rPr>
      </w:pPr>
      <w:r w:rsidRPr="004F572A">
        <w:rPr>
          <w:sz w:val="22"/>
          <w:szCs w:val="22"/>
        </w:rPr>
        <w:t>Šio vaisto kietojoje kapsulėje yra mažiau kaip 1 </w:t>
      </w:r>
      <w:proofErr w:type="spellStart"/>
      <w:r w:rsidRPr="004F572A">
        <w:rPr>
          <w:sz w:val="22"/>
          <w:szCs w:val="22"/>
        </w:rPr>
        <w:t>mmol</w:t>
      </w:r>
      <w:proofErr w:type="spellEnd"/>
      <w:r w:rsidRPr="004F572A">
        <w:rPr>
          <w:sz w:val="22"/>
          <w:szCs w:val="22"/>
        </w:rPr>
        <w:t xml:space="preserve"> (23 mg) natrio, t. y. jis beveik neturi reikšmės.</w:t>
      </w:r>
    </w:p>
    <w:p w14:paraId="6407F19C" w14:textId="77777777" w:rsidR="008B0A7C" w:rsidRPr="004F572A" w:rsidRDefault="008B0A7C" w:rsidP="008B0A7C">
      <w:pPr>
        <w:tabs>
          <w:tab w:val="clear" w:pos="567"/>
        </w:tabs>
        <w:ind w:right="-2"/>
        <w:rPr>
          <w:bCs/>
          <w:sz w:val="22"/>
          <w:szCs w:val="22"/>
        </w:rPr>
      </w:pPr>
    </w:p>
    <w:p w14:paraId="47DFFB74" w14:textId="77777777" w:rsidR="008B0A7C" w:rsidRPr="004F572A" w:rsidRDefault="008B0A7C" w:rsidP="008B0A7C">
      <w:pPr>
        <w:tabs>
          <w:tab w:val="clear" w:pos="567"/>
        </w:tabs>
        <w:ind w:right="-2"/>
        <w:rPr>
          <w:bCs/>
          <w:sz w:val="22"/>
          <w:szCs w:val="22"/>
        </w:rPr>
      </w:pPr>
    </w:p>
    <w:p w14:paraId="1FCCCB1C" w14:textId="32D1475C" w:rsidR="008B0A7C" w:rsidRPr="004F572A" w:rsidRDefault="008B0A7C" w:rsidP="008B0A7C">
      <w:pPr>
        <w:ind w:right="-2"/>
        <w:rPr>
          <w:sz w:val="22"/>
          <w:szCs w:val="22"/>
        </w:rPr>
      </w:pPr>
      <w:r w:rsidRPr="004F572A">
        <w:rPr>
          <w:b/>
          <w:bCs/>
          <w:sz w:val="22"/>
          <w:szCs w:val="22"/>
        </w:rPr>
        <w:t>3.</w:t>
      </w:r>
      <w:r w:rsidRPr="004F572A">
        <w:rPr>
          <w:b/>
          <w:bCs/>
          <w:sz w:val="22"/>
          <w:szCs w:val="22"/>
        </w:rPr>
        <w:tab/>
        <w:t xml:space="preserve">Kaip vartoti </w:t>
      </w:r>
      <w:proofErr w:type="spellStart"/>
      <w:r w:rsidRPr="004F572A">
        <w:rPr>
          <w:b/>
          <w:bCs/>
          <w:sz w:val="22"/>
          <w:szCs w:val="22"/>
        </w:rPr>
        <w:t>Lenvatinib</w:t>
      </w:r>
      <w:proofErr w:type="spellEnd"/>
      <w:r w:rsidRPr="004F572A">
        <w:rPr>
          <w:b/>
          <w:bCs/>
          <w:sz w:val="22"/>
          <w:szCs w:val="22"/>
        </w:rPr>
        <w:t xml:space="preserve"> </w:t>
      </w:r>
      <w:proofErr w:type="spellStart"/>
      <w:r w:rsidRPr="004F572A">
        <w:rPr>
          <w:b/>
          <w:bCs/>
          <w:sz w:val="22"/>
          <w:szCs w:val="22"/>
        </w:rPr>
        <w:t>Sandoz</w:t>
      </w:r>
      <w:proofErr w:type="spellEnd"/>
    </w:p>
    <w:p w14:paraId="0E98B80F" w14:textId="77777777" w:rsidR="008B0A7C" w:rsidRPr="004F572A" w:rsidRDefault="008B0A7C" w:rsidP="008B0A7C">
      <w:pPr>
        <w:tabs>
          <w:tab w:val="clear" w:pos="567"/>
        </w:tabs>
        <w:ind w:right="-2"/>
        <w:rPr>
          <w:sz w:val="22"/>
          <w:szCs w:val="22"/>
        </w:rPr>
      </w:pPr>
    </w:p>
    <w:p w14:paraId="0DED932C" w14:textId="77777777" w:rsidR="00CC4425" w:rsidRPr="004F572A" w:rsidRDefault="00CC4425" w:rsidP="00CC4425">
      <w:pPr>
        <w:tabs>
          <w:tab w:val="clear" w:pos="567"/>
        </w:tabs>
        <w:ind w:right="-2"/>
        <w:rPr>
          <w:sz w:val="22"/>
          <w:szCs w:val="22"/>
        </w:rPr>
      </w:pPr>
      <w:r w:rsidRPr="004F572A">
        <w:rPr>
          <w:sz w:val="22"/>
          <w:szCs w:val="22"/>
        </w:rPr>
        <w:t>Visada vartokite šį vaistą tiksliai, kaip nurodė gydytojas. Jeigu abejojate, kreipkitės į gydytoją arba vaistininką.</w:t>
      </w:r>
    </w:p>
    <w:p w14:paraId="0120DC1C" w14:textId="77777777" w:rsidR="008B0A7C" w:rsidRPr="004F572A" w:rsidRDefault="008B0A7C" w:rsidP="00CC4425">
      <w:pPr>
        <w:tabs>
          <w:tab w:val="clear" w:pos="567"/>
        </w:tabs>
        <w:ind w:right="-2"/>
        <w:rPr>
          <w:b/>
          <w:bCs/>
          <w:sz w:val="22"/>
          <w:szCs w:val="22"/>
        </w:rPr>
      </w:pPr>
    </w:p>
    <w:p w14:paraId="6E33AEC9" w14:textId="76BE6475" w:rsidR="00CC4425" w:rsidRPr="004F572A" w:rsidRDefault="00CC4425" w:rsidP="00CC4425">
      <w:pPr>
        <w:tabs>
          <w:tab w:val="clear" w:pos="567"/>
        </w:tabs>
        <w:ind w:right="-2"/>
        <w:rPr>
          <w:b/>
          <w:bCs/>
          <w:sz w:val="22"/>
          <w:szCs w:val="22"/>
        </w:rPr>
      </w:pPr>
      <w:r w:rsidRPr="004F572A">
        <w:rPr>
          <w:b/>
          <w:bCs/>
          <w:sz w:val="22"/>
          <w:szCs w:val="22"/>
        </w:rPr>
        <w:t>Kiek vaisto vartoti</w:t>
      </w:r>
    </w:p>
    <w:p w14:paraId="4FC550E0" w14:textId="77777777" w:rsidR="00CC4425" w:rsidRPr="004F572A" w:rsidRDefault="00CC4425" w:rsidP="00CC4425">
      <w:pPr>
        <w:tabs>
          <w:tab w:val="clear" w:pos="567"/>
        </w:tabs>
        <w:ind w:right="-2"/>
        <w:rPr>
          <w:sz w:val="22"/>
          <w:szCs w:val="22"/>
        </w:rPr>
      </w:pPr>
      <w:r w:rsidRPr="004F572A">
        <w:rPr>
          <w:sz w:val="22"/>
          <w:szCs w:val="22"/>
        </w:rPr>
        <w:t>Skydliaukės vėžys</w:t>
      </w:r>
    </w:p>
    <w:p w14:paraId="5E456DD7" w14:textId="6F1795DD" w:rsidR="00CC4425" w:rsidRPr="004F572A" w:rsidRDefault="00CC4425">
      <w:pPr>
        <w:pStyle w:val="Sraopastraipa"/>
        <w:numPr>
          <w:ilvl w:val="0"/>
          <w:numId w:val="14"/>
        </w:numPr>
        <w:tabs>
          <w:tab w:val="clear" w:pos="567"/>
        </w:tabs>
        <w:ind w:left="360" w:right="-2"/>
        <w:rPr>
          <w:sz w:val="22"/>
          <w:szCs w:val="22"/>
        </w:rPr>
      </w:pPr>
      <w:r w:rsidRPr="004F572A">
        <w:rPr>
          <w:sz w:val="22"/>
          <w:szCs w:val="22"/>
        </w:rPr>
        <w:t xml:space="preserve">Rekomenduojama </w:t>
      </w:r>
      <w:proofErr w:type="spellStart"/>
      <w:r w:rsidR="008B0A7C" w:rsidRPr="004F572A">
        <w:rPr>
          <w:sz w:val="22"/>
          <w:szCs w:val="22"/>
        </w:rPr>
        <w:t>Lenvatinib</w:t>
      </w:r>
      <w:proofErr w:type="spellEnd"/>
      <w:r w:rsidR="008B0A7C" w:rsidRPr="004F572A">
        <w:rPr>
          <w:sz w:val="22"/>
          <w:szCs w:val="22"/>
        </w:rPr>
        <w:t xml:space="preserve"> </w:t>
      </w:r>
      <w:proofErr w:type="spellStart"/>
      <w:r w:rsidR="008B0A7C" w:rsidRPr="004F572A">
        <w:rPr>
          <w:sz w:val="22"/>
          <w:szCs w:val="22"/>
        </w:rPr>
        <w:t>Sandoz</w:t>
      </w:r>
      <w:proofErr w:type="spellEnd"/>
      <w:r w:rsidRPr="004F572A">
        <w:rPr>
          <w:sz w:val="22"/>
          <w:szCs w:val="22"/>
        </w:rPr>
        <w:t xml:space="preserve"> dozė paprastai yra 24</w:t>
      </w:r>
      <w:r w:rsidR="008B0A7C" w:rsidRPr="004F572A">
        <w:rPr>
          <w:sz w:val="22"/>
          <w:szCs w:val="22"/>
        </w:rPr>
        <w:t> </w:t>
      </w:r>
      <w:r w:rsidRPr="004F572A">
        <w:rPr>
          <w:sz w:val="22"/>
          <w:szCs w:val="22"/>
        </w:rPr>
        <w:t>mg kartą per parą</w:t>
      </w:r>
      <w:r w:rsidR="008B0A7C" w:rsidRPr="004F572A">
        <w:rPr>
          <w:sz w:val="22"/>
          <w:szCs w:val="22"/>
        </w:rPr>
        <w:t xml:space="preserve"> </w:t>
      </w:r>
      <w:r w:rsidRPr="004F572A">
        <w:rPr>
          <w:sz w:val="22"/>
          <w:szCs w:val="22"/>
        </w:rPr>
        <w:t>(</w:t>
      </w:r>
      <w:r w:rsidR="00267048">
        <w:rPr>
          <w:sz w:val="22"/>
          <w:szCs w:val="22"/>
        </w:rPr>
        <w:t>2</w:t>
      </w:r>
      <w:r w:rsidR="00B10CAA">
        <w:rPr>
          <w:sz w:val="22"/>
          <w:szCs w:val="22"/>
        </w:rPr>
        <w:t> </w:t>
      </w:r>
      <w:r w:rsidR="00267048">
        <w:rPr>
          <w:sz w:val="22"/>
          <w:szCs w:val="22"/>
        </w:rPr>
        <w:t xml:space="preserve">kapsulės po </w:t>
      </w:r>
      <w:r w:rsidR="008B0A7C" w:rsidRPr="004F572A">
        <w:rPr>
          <w:sz w:val="22"/>
          <w:szCs w:val="22"/>
        </w:rPr>
        <w:t>10 mg</w:t>
      </w:r>
      <w:r w:rsidRPr="004F572A">
        <w:rPr>
          <w:sz w:val="22"/>
          <w:szCs w:val="22"/>
        </w:rPr>
        <w:t xml:space="preserve"> </w:t>
      </w:r>
      <w:r w:rsidR="008B0A7C" w:rsidRPr="004F572A">
        <w:rPr>
          <w:sz w:val="22"/>
          <w:szCs w:val="22"/>
        </w:rPr>
        <w:t xml:space="preserve">ir </w:t>
      </w:r>
      <w:r w:rsidR="00267048">
        <w:rPr>
          <w:sz w:val="22"/>
          <w:szCs w:val="22"/>
        </w:rPr>
        <w:t>1</w:t>
      </w:r>
      <w:r w:rsidR="00B10CAA">
        <w:rPr>
          <w:sz w:val="22"/>
          <w:szCs w:val="22"/>
        </w:rPr>
        <w:t> </w:t>
      </w:r>
      <w:r w:rsidR="00267048">
        <w:rPr>
          <w:sz w:val="22"/>
          <w:szCs w:val="22"/>
        </w:rPr>
        <w:t>kapsulė</w:t>
      </w:r>
      <w:r w:rsidR="00267048" w:rsidRPr="004F572A">
        <w:rPr>
          <w:sz w:val="22"/>
          <w:szCs w:val="22"/>
        </w:rPr>
        <w:t xml:space="preserve"> </w:t>
      </w:r>
      <w:r w:rsidR="00267048">
        <w:rPr>
          <w:sz w:val="22"/>
          <w:szCs w:val="22"/>
        </w:rPr>
        <w:t xml:space="preserve">po </w:t>
      </w:r>
      <w:r w:rsidR="008B0A7C" w:rsidRPr="004F572A">
        <w:rPr>
          <w:sz w:val="22"/>
          <w:szCs w:val="22"/>
        </w:rPr>
        <w:t>4 mg</w:t>
      </w:r>
      <w:r w:rsidRPr="004F572A">
        <w:rPr>
          <w:sz w:val="22"/>
          <w:szCs w:val="22"/>
        </w:rPr>
        <w:t>).</w:t>
      </w:r>
    </w:p>
    <w:p w14:paraId="44345609" w14:textId="2DC5E447" w:rsidR="00CC4425" w:rsidRPr="004F572A" w:rsidRDefault="00CC4425">
      <w:pPr>
        <w:pStyle w:val="Sraopastraipa"/>
        <w:numPr>
          <w:ilvl w:val="0"/>
          <w:numId w:val="14"/>
        </w:numPr>
        <w:tabs>
          <w:tab w:val="clear" w:pos="567"/>
        </w:tabs>
        <w:ind w:left="360" w:right="-2"/>
        <w:rPr>
          <w:sz w:val="22"/>
          <w:szCs w:val="22"/>
        </w:rPr>
      </w:pPr>
      <w:r w:rsidRPr="004F572A">
        <w:rPr>
          <w:sz w:val="22"/>
          <w:szCs w:val="22"/>
        </w:rPr>
        <w:t>Jeigu Jums yra sunkių kepenų ar inkstų sutrikimų, rekomenduojama dozė yra 14</w:t>
      </w:r>
      <w:r w:rsidR="008B0A7C" w:rsidRPr="004F572A">
        <w:rPr>
          <w:sz w:val="22"/>
          <w:szCs w:val="22"/>
        </w:rPr>
        <w:t> </w:t>
      </w:r>
      <w:r w:rsidRPr="004F572A">
        <w:rPr>
          <w:sz w:val="22"/>
          <w:szCs w:val="22"/>
        </w:rPr>
        <w:t>mg kartą per</w:t>
      </w:r>
      <w:r w:rsidR="008B0A7C" w:rsidRPr="004F572A">
        <w:rPr>
          <w:sz w:val="22"/>
          <w:szCs w:val="22"/>
        </w:rPr>
        <w:t xml:space="preserve"> </w:t>
      </w:r>
      <w:r w:rsidRPr="004F572A">
        <w:rPr>
          <w:sz w:val="22"/>
          <w:szCs w:val="22"/>
        </w:rPr>
        <w:t xml:space="preserve">parą </w:t>
      </w:r>
      <w:r w:rsidR="008B0A7C" w:rsidRPr="004F572A">
        <w:rPr>
          <w:sz w:val="22"/>
          <w:szCs w:val="22"/>
        </w:rPr>
        <w:t>(</w:t>
      </w:r>
      <w:r w:rsidR="00267048">
        <w:rPr>
          <w:sz w:val="22"/>
          <w:szCs w:val="22"/>
        </w:rPr>
        <w:t>1</w:t>
      </w:r>
      <w:r w:rsidR="00B10CAA">
        <w:rPr>
          <w:sz w:val="22"/>
          <w:szCs w:val="22"/>
        </w:rPr>
        <w:t> </w:t>
      </w:r>
      <w:r w:rsidR="00267048">
        <w:rPr>
          <w:sz w:val="22"/>
          <w:szCs w:val="22"/>
        </w:rPr>
        <w:t>kapsulė po</w:t>
      </w:r>
      <w:r w:rsidR="00267048" w:rsidRPr="004F572A">
        <w:rPr>
          <w:sz w:val="22"/>
          <w:szCs w:val="22"/>
        </w:rPr>
        <w:t xml:space="preserve"> </w:t>
      </w:r>
      <w:r w:rsidR="008B0A7C" w:rsidRPr="004F572A">
        <w:rPr>
          <w:sz w:val="22"/>
          <w:szCs w:val="22"/>
        </w:rPr>
        <w:t xml:space="preserve">10 mg ir </w:t>
      </w:r>
      <w:r w:rsidR="00267048">
        <w:rPr>
          <w:sz w:val="22"/>
          <w:szCs w:val="22"/>
        </w:rPr>
        <w:t>1</w:t>
      </w:r>
      <w:r w:rsidR="00B10CAA">
        <w:rPr>
          <w:sz w:val="22"/>
          <w:szCs w:val="22"/>
        </w:rPr>
        <w:t> </w:t>
      </w:r>
      <w:r w:rsidR="00267048">
        <w:rPr>
          <w:sz w:val="22"/>
          <w:szCs w:val="22"/>
        </w:rPr>
        <w:t>kapsulė po</w:t>
      </w:r>
      <w:r w:rsidR="00267048" w:rsidRPr="004F572A">
        <w:rPr>
          <w:sz w:val="22"/>
          <w:szCs w:val="22"/>
        </w:rPr>
        <w:t xml:space="preserve"> </w:t>
      </w:r>
      <w:r w:rsidR="008B0A7C" w:rsidRPr="004F572A">
        <w:rPr>
          <w:sz w:val="22"/>
          <w:szCs w:val="22"/>
        </w:rPr>
        <w:t>4 mg)</w:t>
      </w:r>
      <w:r w:rsidRPr="004F572A">
        <w:rPr>
          <w:sz w:val="22"/>
          <w:szCs w:val="22"/>
        </w:rPr>
        <w:t>.</w:t>
      </w:r>
    </w:p>
    <w:p w14:paraId="26D56592" w14:textId="4FF9A5C2" w:rsidR="00CC4425" w:rsidRPr="004F572A" w:rsidRDefault="00CC4425">
      <w:pPr>
        <w:pStyle w:val="Sraopastraipa"/>
        <w:numPr>
          <w:ilvl w:val="0"/>
          <w:numId w:val="14"/>
        </w:numPr>
        <w:tabs>
          <w:tab w:val="clear" w:pos="567"/>
        </w:tabs>
        <w:ind w:left="360" w:right="-2"/>
        <w:rPr>
          <w:sz w:val="22"/>
          <w:szCs w:val="22"/>
        </w:rPr>
      </w:pPr>
      <w:r w:rsidRPr="004F572A">
        <w:rPr>
          <w:sz w:val="22"/>
          <w:szCs w:val="22"/>
        </w:rPr>
        <w:t xml:space="preserve">Jeigu Jus vargina šalutinis poveikis, </w:t>
      </w:r>
      <w:r w:rsidR="008B0A7C" w:rsidRPr="004F572A">
        <w:rPr>
          <w:sz w:val="22"/>
          <w:szCs w:val="22"/>
        </w:rPr>
        <w:t xml:space="preserve">Jūsų </w:t>
      </w:r>
      <w:r w:rsidRPr="004F572A">
        <w:rPr>
          <w:sz w:val="22"/>
          <w:szCs w:val="22"/>
        </w:rPr>
        <w:t>gydytojas gali sumažinti dozę.</w:t>
      </w:r>
    </w:p>
    <w:p w14:paraId="67601BE6" w14:textId="77777777" w:rsidR="008B0A7C" w:rsidRPr="004F572A" w:rsidRDefault="008B0A7C" w:rsidP="00CC4425">
      <w:pPr>
        <w:tabs>
          <w:tab w:val="clear" w:pos="567"/>
        </w:tabs>
        <w:ind w:right="-2"/>
        <w:rPr>
          <w:sz w:val="22"/>
          <w:szCs w:val="22"/>
        </w:rPr>
      </w:pPr>
    </w:p>
    <w:p w14:paraId="63A664C2" w14:textId="3758DE97" w:rsidR="00CC4425" w:rsidRPr="004F572A" w:rsidRDefault="00CC4425" w:rsidP="00CC4425">
      <w:pPr>
        <w:tabs>
          <w:tab w:val="clear" w:pos="567"/>
        </w:tabs>
        <w:ind w:right="-2"/>
        <w:rPr>
          <w:sz w:val="22"/>
          <w:szCs w:val="22"/>
        </w:rPr>
      </w:pPr>
      <w:r w:rsidRPr="004F572A">
        <w:rPr>
          <w:sz w:val="22"/>
          <w:szCs w:val="22"/>
        </w:rPr>
        <w:t>Kepenų vėžys</w:t>
      </w:r>
    </w:p>
    <w:p w14:paraId="09D65BBD" w14:textId="3206A155" w:rsidR="00CC4425" w:rsidRPr="004F572A" w:rsidRDefault="008344AE" w:rsidP="008344AE">
      <w:pPr>
        <w:tabs>
          <w:tab w:val="clear" w:pos="567"/>
        </w:tabs>
        <w:ind w:left="360" w:right="-2" w:hanging="360"/>
        <w:rPr>
          <w:sz w:val="22"/>
          <w:szCs w:val="22"/>
        </w:rPr>
      </w:pPr>
      <w:r w:rsidRPr="004F572A">
        <w:rPr>
          <w:sz w:val="22"/>
          <w:szCs w:val="22"/>
        </w:rPr>
        <w:t>‒</w:t>
      </w:r>
      <w:r w:rsidRPr="004F572A">
        <w:rPr>
          <w:sz w:val="22"/>
          <w:szCs w:val="22"/>
        </w:rPr>
        <w:tab/>
      </w:r>
      <w:r w:rsidR="00CC4425" w:rsidRPr="004F572A">
        <w:rPr>
          <w:sz w:val="22"/>
          <w:szCs w:val="22"/>
        </w:rPr>
        <w:t xml:space="preserve">Rekomenduojama </w:t>
      </w:r>
      <w:proofErr w:type="spellStart"/>
      <w:r w:rsidR="008B0A7C" w:rsidRPr="004F572A">
        <w:rPr>
          <w:sz w:val="22"/>
          <w:szCs w:val="22"/>
        </w:rPr>
        <w:t>Lenvatinib</w:t>
      </w:r>
      <w:proofErr w:type="spellEnd"/>
      <w:r w:rsidR="008B0A7C" w:rsidRPr="004F572A">
        <w:rPr>
          <w:sz w:val="22"/>
          <w:szCs w:val="22"/>
        </w:rPr>
        <w:t xml:space="preserve"> </w:t>
      </w:r>
      <w:proofErr w:type="spellStart"/>
      <w:r w:rsidR="008B0A7C" w:rsidRPr="004F572A">
        <w:rPr>
          <w:sz w:val="22"/>
          <w:szCs w:val="22"/>
        </w:rPr>
        <w:t>Sandoz</w:t>
      </w:r>
      <w:proofErr w:type="spellEnd"/>
      <w:r w:rsidR="00CC4425" w:rsidRPr="004F572A">
        <w:rPr>
          <w:sz w:val="22"/>
          <w:szCs w:val="22"/>
        </w:rPr>
        <w:t xml:space="preserve"> doz</w:t>
      </w:r>
      <w:r w:rsidR="008B0A7C" w:rsidRPr="004F572A">
        <w:rPr>
          <w:sz w:val="22"/>
          <w:szCs w:val="22"/>
        </w:rPr>
        <w:t>ė</w:t>
      </w:r>
      <w:r w:rsidR="00CC4425" w:rsidRPr="004F572A">
        <w:rPr>
          <w:sz w:val="22"/>
          <w:szCs w:val="22"/>
        </w:rPr>
        <w:t xml:space="preserve"> priklauso nuo </w:t>
      </w:r>
      <w:r w:rsidR="008B0A7C" w:rsidRPr="004F572A">
        <w:rPr>
          <w:sz w:val="22"/>
          <w:szCs w:val="22"/>
        </w:rPr>
        <w:t>J</w:t>
      </w:r>
      <w:r w:rsidR="00CC4425" w:rsidRPr="004F572A">
        <w:rPr>
          <w:sz w:val="22"/>
          <w:szCs w:val="22"/>
        </w:rPr>
        <w:t>ūsų kūno svorio pradedant gydymą. Įprasta</w:t>
      </w:r>
      <w:r w:rsidR="008B0A7C" w:rsidRPr="004F572A">
        <w:rPr>
          <w:sz w:val="22"/>
          <w:szCs w:val="22"/>
        </w:rPr>
        <w:t xml:space="preserve"> </w:t>
      </w:r>
      <w:r w:rsidR="00CC4425" w:rsidRPr="004F572A">
        <w:rPr>
          <w:sz w:val="22"/>
          <w:szCs w:val="22"/>
        </w:rPr>
        <w:t>dozė yra 12</w:t>
      </w:r>
      <w:r w:rsidR="008B0A7C" w:rsidRPr="004F572A">
        <w:rPr>
          <w:sz w:val="22"/>
          <w:szCs w:val="22"/>
        </w:rPr>
        <w:t> </w:t>
      </w:r>
      <w:r w:rsidR="00CC4425" w:rsidRPr="004F572A">
        <w:rPr>
          <w:sz w:val="22"/>
          <w:szCs w:val="22"/>
        </w:rPr>
        <w:t>mg kartą per parą (</w:t>
      </w:r>
      <w:r w:rsidR="00267048">
        <w:rPr>
          <w:sz w:val="22"/>
          <w:szCs w:val="22"/>
        </w:rPr>
        <w:t>3</w:t>
      </w:r>
      <w:r w:rsidR="00B10CAA">
        <w:rPr>
          <w:sz w:val="22"/>
          <w:szCs w:val="22"/>
        </w:rPr>
        <w:t> </w:t>
      </w:r>
      <w:r w:rsidR="00267048">
        <w:rPr>
          <w:sz w:val="22"/>
          <w:szCs w:val="22"/>
        </w:rPr>
        <w:t>kapsulės po</w:t>
      </w:r>
      <w:r w:rsidR="00267048" w:rsidRPr="004F572A">
        <w:rPr>
          <w:sz w:val="22"/>
          <w:szCs w:val="22"/>
        </w:rPr>
        <w:t xml:space="preserve"> </w:t>
      </w:r>
      <w:r w:rsidR="008B0A7C" w:rsidRPr="004F572A">
        <w:rPr>
          <w:sz w:val="22"/>
          <w:szCs w:val="22"/>
        </w:rPr>
        <w:t>4 mg</w:t>
      </w:r>
      <w:r w:rsidR="00CC4425" w:rsidRPr="004F572A">
        <w:rPr>
          <w:sz w:val="22"/>
          <w:szCs w:val="22"/>
        </w:rPr>
        <w:t>)</w:t>
      </w:r>
      <w:r w:rsidR="008B0A7C" w:rsidRPr="004F572A">
        <w:rPr>
          <w:sz w:val="22"/>
          <w:szCs w:val="22"/>
        </w:rPr>
        <w:t>,</w:t>
      </w:r>
      <w:r w:rsidR="00CC4425" w:rsidRPr="004F572A">
        <w:rPr>
          <w:sz w:val="22"/>
          <w:szCs w:val="22"/>
        </w:rPr>
        <w:t xml:space="preserve"> jei sveriate 60</w:t>
      </w:r>
      <w:r w:rsidR="008B0A7C" w:rsidRPr="004F572A">
        <w:rPr>
          <w:sz w:val="22"/>
          <w:szCs w:val="22"/>
        </w:rPr>
        <w:t> </w:t>
      </w:r>
      <w:r w:rsidR="00CC4425" w:rsidRPr="004F572A">
        <w:rPr>
          <w:sz w:val="22"/>
          <w:szCs w:val="22"/>
        </w:rPr>
        <w:t>kg ar daugiau ir 8</w:t>
      </w:r>
      <w:r w:rsidR="008B0A7C" w:rsidRPr="004F572A">
        <w:rPr>
          <w:sz w:val="22"/>
          <w:szCs w:val="22"/>
        </w:rPr>
        <w:t> </w:t>
      </w:r>
      <w:r w:rsidR="00CC4425" w:rsidRPr="004F572A">
        <w:rPr>
          <w:sz w:val="22"/>
          <w:szCs w:val="22"/>
        </w:rPr>
        <w:t>mg</w:t>
      </w:r>
      <w:r w:rsidR="008B0A7C" w:rsidRPr="004F572A">
        <w:rPr>
          <w:sz w:val="22"/>
          <w:szCs w:val="22"/>
        </w:rPr>
        <w:t xml:space="preserve"> </w:t>
      </w:r>
      <w:r w:rsidR="00CC4425" w:rsidRPr="004F572A">
        <w:rPr>
          <w:sz w:val="22"/>
          <w:szCs w:val="22"/>
        </w:rPr>
        <w:t>kartą per parą (</w:t>
      </w:r>
      <w:r w:rsidR="00267048">
        <w:rPr>
          <w:sz w:val="22"/>
          <w:szCs w:val="22"/>
        </w:rPr>
        <w:t>2</w:t>
      </w:r>
      <w:r w:rsidR="00B10CAA">
        <w:rPr>
          <w:sz w:val="22"/>
          <w:szCs w:val="22"/>
        </w:rPr>
        <w:t> </w:t>
      </w:r>
      <w:r w:rsidR="00267048">
        <w:rPr>
          <w:sz w:val="22"/>
          <w:szCs w:val="22"/>
        </w:rPr>
        <w:t>kapsulės po</w:t>
      </w:r>
      <w:r w:rsidR="008B0A7C" w:rsidRPr="004F572A">
        <w:rPr>
          <w:sz w:val="22"/>
          <w:szCs w:val="22"/>
        </w:rPr>
        <w:t xml:space="preserve"> 4 mg</w:t>
      </w:r>
      <w:r w:rsidR="00CC4425" w:rsidRPr="004F572A">
        <w:rPr>
          <w:sz w:val="22"/>
          <w:szCs w:val="22"/>
        </w:rPr>
        <w:t>)</w:t>
      </w:r>
      <w:r w:rsidR="008B0A7C" w:rsidRPr="004F572A">
        <w:rPr>
          <w:sz w:val="22"/>
          <w:szCs w:val="22"/>
        </w:rPr>
        <w:t>,</w:t>
      </w:r>
      <w:r w:rsidR="00CC4425" w:rsidRPr="004F572A">
        <w:rPr>
          <w:sz w:val="22"/>
          <w:szCs w:val="22"/>
        </w:rPr>
        <w:t xml:space="preserve"> jei sveriate mažiau </w:t>
      </w:r>
      <w:r w:rsidRPr="004F572A">
        <w:rPr>
          <w:sz w:val="22"/>
          <w:szCs w:val="22"/>
        </w:rPr>
        <w:t>nei</w:t>
      </w:r>
      <w:r w:rsidR="00CC4425" w:rsidRPr="004F572A">
        <w:rPr>
          <w:sz w:val="22"/>
          <w:szCs w:val="22"/>
        </w:rPr>
        <w:t xml:space="preserve"> 60</w:t>
      </w:r>
      <w:r w:rsidR="008B0A7C" w:rsidRPr="004F572A">
        <w:rPr>
          <w:sz w:val="22"/>
          <w:szCs w:val="22"/>
        </w:rPr>
        <w:t> </w:t>
      </w:r>
      <w:r w:rsidR="00CC4425" w:rsidRPr="004F572A">
        <w:rPr>
          <w:sz w:val="22"/>
          <w:szCs w:val="22"/>
        </w:rPr>
        <w:t>kg.</w:t>
      </w:r>
    </w:p>
    <w:p w14:paraId="60B13907" w14:textId="1B5CA42B" w:rsidR="00CC4425" w:rsidRPr="004F572A" w:rsidRDefault="008344AE" w:rsidP="008344AE">
      <w:pPr>
        <w:tabs>
          <w:tab w:val="clear" w:pos="567"/>
        </w:tabs>
        <w:ind w:left="360" w:right="-2" w:hanging="360"/>
        <w:rPr>
          <w:sz w:val="22"/>
          <w:szCs w:val="22"/>
        </w:rPr>
      </w:pPr>
      <w:r w:rsidRPr="004F572A">
        <w:rPr>
          <w:sz w:val="22"/>
          <w:szCs w:val="22"/>
        </w:rPr>
        <w:t>‒</w:t>
      </w:r>
      <w:r w:rsidRPr="004F572A">
        <w:rPr>
          <w:sz w:val="22"/>
          <w:szCs w:val="22"/>
        </w:rPr>
        <w:tab/>
        <w:t>Jeigu Jus vargina šalutinis poveikis, Jūsų gydytojas gali sumažinti dozę.</w:t>
      </w:r>
    </w:p>
    <w:p w14:paraId="4CC83F42" w14:textId="77777777" w:rsidR="00CC4425" w:rsidRPr="004F572A" w:rsidRDefault="00CC4425" w:rsidP="000928CA">
      <w:pPr>
        <w:tabs>
          <w:tab w:val="clear" w:pos="567"/>
        </w:tabs>
        <w:ind w:right="-2"/>
        <w:rPr>
          <w:sz w:val="22"/>
          <w:szCs w:val="22"/>
        </w:rPr>
      </w:pPr>
    </w:p>
    <w:p w14:paraId="2F5E7A2B" w14:textId="77777777" w:rsidR="008344AE" w:rsidRPr="004F572A" w:rsidRDefault="008344AE" w:rsidP="008344AE">
      <w:pPr>
        <w:tabs>
          <w:tab w:val="clear" w:pos="567"/>
        </w:tabs>
        <w:ind w:right="-2"/>
        <w:rPr>
          <w:sz w:val="22"/>
          <w:szCs w:val="22"/>
        </w:rPr>
      </w:pPr>
      <w:r w:rsidRPr="004F572A">
        <w:rPr>
          <w:sz w:val="22"/>
          <w:szCs w:val="22"/>
        </w:rPr>
        <w:t>Gimdos vėžys</w:t>
      </w:r>
    </w:p>
    <w:p w14:paraId="1870204E" w14:textId="16BAC29F" w:rsidR="008344AE" w:rsidRPr="004F572A" w:rsidRDefault="008344AE" w:rsidP="008344AE">
      <w:pPr>
        <w:tabs>
          <w:tab w:val="clear" w:pos="567"/>
        </w:tabs>
        <w:ind w:left="360" w:right="-2" w:hanging="360"/>
        <w:rPr>
          <w:sz w:val="22"/>
          <w:szCs w:val="22"/>
        </w:rPr>
      </w:pPr>
      <w:r w:rsidRPr="004F572A">
        <w:rPr>
          <w:sz w:val="22"/>
          <w:szCs w:val="22"/>
        </w:rPr>
        <w:t>‒</w:t>
      </w:r>
      <w:r w:rsidRPr="004F572A">
        <w:rPr>
          <w:sz w:val="22"/>
          <w:szCs w:val="22"/>
        </w:rPr>
        <w:tab/>
        <w:t xml:space="preserve">Rekomenduojama </w:t>
      </w:r>
      <w:proofErr w:type="spellStart"/>
      <w:r w:rsidRPr="004F572A">
        <w:rPr>
          <w:sz w:val="22"/>
          <w:szCs w:val="22"/>
        </w:rPr>
        <w:t>Lenvatinib</w:t>
      </w:r>
      <w:proofErr w:type="spellEnd"/>
      <w:r w:rsidRPr="004F572A">
        <w:rPr>
          <w:sz w:val="22"/>
          <w:szCs w:val="22"/>
        </w:rPr>
        <w:t xml:space="preserve"> </w:t>
      </w:r>
      <w:proofErr w:type="spellStart"/>
      <w:r w:rsidRPr="004F572A">
        <w:rPr>
          <w:sz w:val="22"/>
          <w:szCs w:val="22"/>
        </w:rPr>
        <w:t>Sandoz</w:t>
      </w:r>
      <w:proofErr w:type="spellEnd"/>
      <w:r w:rsidRPr="004F572A">
        <w:rPr>
          <w:sz w:val="22"/>
          <w:szCs w:val="22"/>
        </w:rPr>
        <w:t xml:space="preserve"> dozė yra 20 mg kartą per parą (</w:t>
      </w:r>
      <w:r w:rsidR="00267048">
        <w:rPr>
          <w:sz w:val="22"/>
          <w:szCs w:val="22"/>
        </w:rPr>
        <w:t>2</w:t>
      </w:r>
      <w:r w:rsidR="00B10CAA">
        <w:rPr>
          <w:sz w:val="22"/>
          <w:szCs w:val="22"/>
        </w:rPr>
        <w:t> </w:t>
      </w:r>
      <w:r w:rsidR="00267048">
        <w:rPr>
          <w:sz w:val="22"/>
          <w:szCs w:val="22"/>
        </w:rPr>
        <w:t>kapsulės po</w:t>
      </w:r>
      <w:r w:rsidR="00267048" w:rsidRPr="004F572A">
        <w:rPr>
          <w:sz w:val="22"/>
          <w:szCs w:val="22"/>
        </w:rPr>
        <w:t xml:space="preserve"> </w:t>
      </w:r>
      <w:r w:rsidRPr="004F572A">
        <w:rPr>
          <w:sz w:val="22"/>
          <w:szCs w:val="22"/>
        </w:rPr>
        <w:t xml:space="preserve">10 mg) kartu su </w:t>
      </w:r>
      <w:proofErr w:type="spellStart"/>
      <w:r w:rsidRPr="004F572A">
        <w:rPr>
          <w:sz w:val="22"/>
          <w:szCs w:val="22"/>
        </w:rPr>
        <w:t>pembrolizumabu</w:t>
      </w:r>
      <w:proofErr w:type="spellEnd"/>
      <w:r w:rsidRPr="004F572A">
        <w:rPr>
          <w:sz w:val="22"/>
          <w:szCs w:val="22"/>
        </w:rPr>
        <w:t xml:space="preserve">. </w:t>
      </w:r>
      <w:proofErr w:type="spellStart"/>
      <w:r w:rsidRPr="004F572A">
        <w:rPr>
          <w:sz w:val="22"/>
          <w:szCs w:val="22"/>
        </w:rPr>
        <w:t>Pembrolizumabą</w:t>
      </w:r>
      <w:proofErr w:type="spellEnd"/>
      <w:r w:rsidRPr="004F572A">
        <w:rPr>
          <w:sz w:val="22"/>
          <w:szCs w:val="22"/>
        </w:rPr>
        <w:t xml:space="preserve"> Jūsų gydytojas suleidžia į veną, 200 mg kas 3</w:t>
      </w:r>
      <w:r w:rsidR="00B10CAA">
        <w:rPr>
          <w:sz w:val="22"/>
          <w:szCs w:val="22"/>
        </w:rPr>
        <w:t> </w:t>
      </w:r>
      <w:r w:rsidRPr="004F572A">
        <w:rPr>
          <w:sz w:val="22"/>
          <w:szCs w:val="22"/>
        </w:rPr>
        <w:t>savaites arba 400 mg kas 6</w:t>
      </w:r>
      <w:r w:rsidR="00B10CAA">
        <w:rPr>
          <w:sz w:val="22"/>
          <w:szCs w:val="22"/>
        </w:rPr>
        <w:t> </w:t>
      </w:r>
      <w:r w:rsidRPr="004F572A">
        <w:rPr>
          <w:sz w:val="22"/>
          <w:szCs w:val="22"/>
        </w:rPr>
        <w:t>savaites.</w:t>
      </w:r>
    </w:p>
    <w:p w14:paraId="3EA22A2B" w14:textId="77777777" w:rsidR="008344AE" w:rsidRPr="004F572A" w:rsidRDefault="008344AE" w:rsidP="008344AE">
      <w:pPr>
        <w:tabs>
          <w:tab w:val="clear" w:pos="567"/>
        </w:tabs>
        <w:ind w:left="360" w:right="-2" w:hanging="360"/>
        <w:rPr>
          <w:sz w:val="22"/>
          <w:szCs w:val="22"/>
        </w:rPr>
      </w:pPr>
      <w:r w:rsidRPr="004F572A">
        <w:rPr>
          <w:sz w:val="22"/>
          <w:szCs w:val="22"/>
        </w:rPr>
        <w:t>‒</w:t>
      </w:r>
      <w:r w:rsidRPr="004F572A">
        <w:rPr>
          <w:sz w:val="22"/>
          <w:szCs w:val="22"/>
        </w:rPr>
        <w:tab/>
        <w:t>Jeigu Jus vargina šalutinis poveikis, Jūsų gydytojas gali sumažinti dozę.</w:t>
      </w:r>
    </w:p>
    <w:p w14:paraId="09DA0214" w14:textId="77777777" w:rsidR="008344AE" w:rsidRPr="004F572A" w:rsidRDefault="008344AE" w:rsidP="008344AE">
      <w:pPr>
        <w:tabs>
          <w:tab w:val="clear" w:pos="567"/>
        </w:tabs>
        <w:ind w:right="-2"/>
        <w:rPr>
          <w:b/>
          <w:bCs/>
          <w:sz w:val="22"/>
          <w:szCs w:val="22"/>
        </w:rPr>
      </w:pPr>
    </w:p>
    <w:p w14:paraId="6D8204C5" w14:textId="6E388883" w:rsidR="008344AE" w:rsidRPr="004F572A" w:rsidRDefault="008344AE" w:rsidP="008344AE">
      <w:pPr>
        <w:tabs>
          <w:tab w:val="clear" w:pos="567"/>
        </w:tabs>
        <w:ind w:right="-2"/>
        <w:rPr>
          <w:b/>
          <w:bCs/>
          <w:sz w:val="22"/>
          <w:szCs w:val="22"/>
        </w:rPr>
      </w:pPr>
      <w:r w:rsidRPr="004F572A">
        <w:rPr>
          <w:b/>
          <w:bCs/>
          <w:sz w:val="22"/>
          <w:szCs w:val="22"/>
        </w:rPr>
        <w:t>Kaip vartoti šį vaistą</w:t>
      </w:r>
    </w:p>
    <w:p w14:paraId="2FFDE910" w14:textId="47736555" w:rsidR="008344AE" w:rsidRPr="004F572A" w:rsidRDefault="008344AE" w:rsidP="008344AE">
      <w:pPr>
        <w:tabs>
          <w:tab w:val="clear" w:pos="567"/>
        </w:tabs>
        <w:ind w:left="360" w:right="-2" w:hanging="360"/>
        <w:rPr>
          <w:sz w:val="22"/>
          <w:szCs w:val="22"/>
        </w:rPr>
      </w:pPr>
      <w:r w:rsidRPr="004F572A">
        <w:rPr>
          <w:sz w:val="22"/>
          <w:szCs w:val="22"/>
        </w:rPr>
        <w:t>‒</w:t>
      </w:r>
      <w:r w:rsidRPr="004F572A">
        <w:rPr>
          <w:sz w:val="22"/>
          <w:szCs w:val="22"/>
        </w:rPr>
        <w:tab/>
        <w:t>Kapsules galite vartoti valgio metu arba nevalgius.</w:t>
      </w:r>
    </w:p>
    <w:p w14:paraId="3AE2C914" w14:textId="47CB6F79" w:rsidR="008344AE" w:rsidRPr="004F572A" w:rsidRDefault="008344AE" w:rsidP="008344AE">
      <w:pPr>
        <w:tabs>
          <w:tab w:val="clear" w:pos="567"/>
        </w:tabs>
        <w:ind w:left="360" w:right="-2" w:hanging="360"/>
        <w:rPr>
          <w:sz w:val="22"/>
          <w:szCs w:val="22"/>
        </w:rPr>
      </w:pPr>
      <w:r w:rsidRPr="004F572A">
        <w:rPr>
          <w:sz w:val="22"/>
          <w:szCs w:val="22"/>
        </w:rPr>
        <w:t>‒</w:t>
      </w:r>
      <w:r w:rsidRPr="004F572A">
        <w:rPr>
          <w:sz w:val="22"/>
          <w:szCs w:val="22"/>
        </w:rPr>
        <w:tab/>
      </w:r>
      <w:r w:rsidR="00267048">
        <w:rPr>
          <w:sz w:val="22"/>
          <w:szCs w:val="22"/>
        </w:rPr>
        <w:t>Neatidarykite</w:t>
      </w:r>
      <w:r w:rsidR="00267048" w:rsidRPr="004F572A">
        <w:rPr>
          <w:sz w:val="22"/>
          <w:szCs w:val="22"/>
        </w:rPr>
        <w:t xml:space="preserve"> </w:t>
      </w:r>
      <w:r w:rsidRPr="004F572A">
        <w:rPr>
          <w:sz w:val="22"/>
          <w:szCs w:val="22"/>
        </w:rPr>
        <w:t xml:space="preserve">kapsulių, kad </w:t>
      </w:r>
      <w:r w:rsidR="00267048">
        <w:rPr>
          <w:sz w:val="22"/>
          <w:szCs w:val="22"/>
        </w:rPr>
        <w:t>būtų išvengta</w:t>
      </w:r>
      <w:r w:rsidR="0064493A" w:rsidRPr="004F572A">
        <w:rPr>
          <w:sz w:val="22"/>
          <w:szCs w:val="22"/>
        </w:rPr>
        <w:t xml:space="preserve"> </w:t>
      </w:r>
      <w:r w:rsidRPr="004F572A">
        <w:rPr>
          <w:sz w:val="22"/>
          <w:szCs w:val="22"/>
        </w:rPr>
        <w:t>kapsulės turini</w:t>
      </w:r>
      <w:r w:rsidR="00267048">
        <w:rPr>
          <w:sz w:val="22"/>
          <w:szCs w:val="22"/>
        </w:rPr>
        <w:t xml:space="preserve">o </w:t>
      </w:r>
      <w:r w:rsidR="006247AD">
        <w:rPr>
          <w:sz w:val="22"/>
          <w:szCs w:val="22"/>
        </w:rPr>
        <w:t>kontakto su aplinka</w:t>
      </w:r>
      <w:r w:rsidRPr="004F572A">
        <w:rPr>
          <w:sz w:val="22"/>
          <w:szCs w:val="22"/>
        </w:rPr>
        <w:t>.</w:t>
      </w:r>
    </w:p>
    <w:p w14:paraId="5F13E467" w14:textId="59590F5F" w:rsidR="008344AE" w:rsidRPr="004F572A" w:rsidRDefault="008344AE" w:rsidP="00267048">
      <w:pPr>
        <w:tabs>
          <w:tab w:val="clear" w:pos="567"/>
        </w:tabs>
        <w:ind w:left="360" w:right="-2" w:hanging="360"/>
        <w:rPr>
          <w:sz w:val="22"/>
          <w:szCs w:val="22"/>
        </w:rPr>
      </w:pPr>
      <w:r w:rsidRPr="004F572A">
        <w:rPr>
          <w:sz w:val="22"/>
          <w:szCs w:val="22"/>
        </w:rPr>
        <w:t>‒</w:t>
      </w:r>
      <w:r w:rsidRPr="004F572A">
        <w:rPr>
          <w:sz w:val="22"/>
          <w:szCs w:val="22"/>
        </w:rPr>
        <w:tab/>
        <w:t xml:space="preserve">Kapsulę </w:t>
      </w:r>
      <w:r w:rsidR="00267048">
        <w:rPr>
          <w:sz w:val="22"/>
          <w:szCs w:val="22"/>
        </w:rPr>
        <w:t>pra</w:t>
      </w:r>
      <w:r w:rsidR="0064493A" w:rsidRPr="004F572A">
        <w:rPr>
          <w:sz w:val="22"/>
          <w:szCs w:val="22"/>
        </w:rPr>
        <w:t>r</w:t>
      </w:r>
      <w:r w:rsidRPr="004F572A">
        <w:rPr>
          <w:sz w:val="22"/>
          <w:szCs w:val="22"/>
        </w:rPr>
        <w:t xml:space="preserve">ykite </w:t>
      </w:r>
      <w:r w:rsidR="00267048">
        <w:rPr>
          <w:sz w:val="22"/>
          <w:szCs w:val="22"/>
        </w:rPr>
        <w:t>visą</w:t>
      </w:r>
      <w:r w:rsidRPr="004F572A">
        <w:rPr>
          <w:sz w:val="22"/>
          <w:szCs w:val="22"/>
        </w:rPr>
        <w:t xml:space="preserve">, užgerdami vandeniu. Jei negalite </w:t>
      </w:r>
      <w:r w:rsidR="00267048">
        <w:rPr>
          <w:sz w:val="22"/>
          <w:szCs w:val="22"/>
        </w:rPr>
        <w:t>pra</w:t>
      </w:r>
      <w:r w:rsidRPr="004F572A">
        <w:rPr>
          <w:sz w:val="22"/>
          <w:szCs w:val="22"/>
        </w:rPr>
        <w:t xml:space="preserve">ryti </w:t>
      </w:r>
      <w:r w:rsidR="00267048">
        <w:rPr>
          <w:sz w:val="22"/>
          <w:szCs w:val="22"/>
        </w:rPr>
        <w:t>visos</w:t>
      </w:r>
      <w:r w:rsidRPr="004F572A">
        <w:rPr>
          <w:sz w:val="22"/>
          <w:szCs w:val="22"/>
        </w:rPr>
        <w:t xml:space="preserve"> kapsulės, </w:t>
      </w:r>
      <w:r w:rsidR="008F6A26" w:rsidRPr="008F6A26">
        <w:rPr>
          <w:sz w:val="22"/>
          <w:szCs w:val="22"/>
        </w:rPr>
        <w:t xml:space="preserve">reikėtų vartoti kitus vaistus, kurių sudėtyje yra </w:t>
      </w:r>
      <w:proofErr w:type="spellStart"/>
      <w:r w:rsidR="008F6A26" w:rsidRPr="008F6A26">
        <w:rPr>
          <w:sz w:val="22"/>
          <w:szCs w:val="22"/>
        </w:rPr>
        <w:t>lenvatinibo</w:t>
      </w:r>
      <w:proofErr w:type="spellEnd"/>
      <w:r w:rsidR="008F6A26" w:rsidRPr="008F6A26">
        <w:rPr>
          <w:sz w:val="22"/>
          <w:szCs w:val="22"/>
        </w:rPr>
        <w:t>.</w:t>
      </w:r>
    </w:p>
    <w:p w14:paraId="776ACB05" w14:textId="140C69C6" w:rsidR="008344AE" w:rsidRPr="004F572A" w:rsidRDefault="008344AE" w:rsidP="000D1CAE">
      <w:pPr>
        <w:tabs>
          <w:tab w:val="clear" w:pos="567"/>
        </w:tabs>
        <w:ind w:left="360" w:right="-2" w:hanging="360"/>
        <w:rPr>
          <w:sz w:val="22"/>
          <w:szCs w:val="22"/>
        </w:rPr>
      </w:pPr>
    </w:p>
    <w:p w14:paraId="087B7D9F" w14:textId="27584A77" w:rsidR="008344AE" w:rsidRPr="004F572A" w:rsidRDefault="00F35622" w:rsidP="00F35622">
      <w:pPr>
        <w:tabs>
          <w:tab w:val="clear" w:pos="567"/>
        </w:tabs>
        <w:ind w:left="360" w:right="-2" w:hanging="360"/>
        <w:rPr>
          <w:sz w:val="22"/>
          <w:szCs w:val="22"/>
        </w:rPr>
      </w:pPr>
      <w:r w:rsidRPr="004F572A">
        <w:rPr>
          <w:sz w:val="22"/>
          <w:szCs w:val="22"/>
        </w:rPr>
        <w:t>‒</w:t>
      </w:r>
      <w:r w:rsidRPr="004F572A">
        <w:rPr>
          <w:sz w:val="22"/>
          <w:szCs w:val="22"/>
        </w:rPr>
        <w:tab/>
      </w:r>
      <w:r w:rsidR="008344AE" w:rsidRPr="004F572A">
        <w:rPr>
          <w:sz w:val="22"/>
          <w:szCs w:val="22"/>
        </w:rPr>
        <w:t>Vartokite kapsules kasdien maždaug tuo pat metu.</w:t>
      </w:r>
    </w:p>
    <w:p w14:paraId="1404D5CE" w14:textId="77777777" w:rsidR="00F35622" w:rsidRPr="004F572A" w:rsidRDefault="00F35622" w:rsidP="008344AE">
      <w:pPr>
        <w:tabs>
          <w:tab w:val="clear" w:pos="567"/>
        </w:tabs>
        <w:ind w:right="-2"/>
        <w:rPr>
          <w:b/>
          <w:bCs/>
          <w:sz w:val="22"/>
          <w:szCs w:val="22"/>
        </w:rPr>
      </w:pPr>
    </w:p>
    <w:p w14:paraId="048EE454" w14:textId="0FFB3FB2" w:rsidR="008344AE" w:rsidRPr="004F572A" w:rsidRDefault="008344AE" w:rsidP="008344AE">
      <w:pPr>
        <w:tabs>
          <w:tab w:val="clear" w:pos="567"/>
        </w:tabs>
        <w:ind w:right="-2"/>
        <w:rPr>
          <w:b/>
          <w:bCs/>
          <w:sz w:val="22"/>
          <w:szCs w:val="22"/>
        </w:rPr>
      </w:pPr>
      <w:r w:rsidRPr="004F572A">
        <w:rPr>
          <w:b/>
          <w:bCs/>
          <w:sz w:val="22"/>
          <w:szCs w:val="22"/>
        </w:rPr>
        <w:t xml:space="preserve">Kiek laiko vartoti </w:t>
      </w:r>
      <w:proofErr w:type="spellStart"/>
      <w:r w:rsidR="00F35622" w:rsidRPr="004F572A">
        <w:rPr>
          <w:b/>
          <w:bCs/>
          <w:sz w:val="22"/>
          <w:szCs w:val="22"/>
        </w:rPr>
        <w:t>Lenvatinib</w:t>
      </w:r>
      <w:proofErr w:type="spellEnd"/>
      <w:r w:rsidR="00F35622" w:rsidRPr="004F572A">
        <w:rPr>
          <w:b/>
          <w:bCs/>
          <w:sz w:val="22"/>
          <w:szCs w:val="22"/>
        </w:rPr>
        <w:t xml:space="preserve"> </w:t>
      </w:r>
      <w:proofErr w:type="spellStart"/>
      <w:r w:rsidR="00F35622" w:rsidRPr="004F572A">
        <w:rPr>
          <w:b/>
          <w:bCs/>
          <w:sz w:val="22"/>
          <w:szCs w:val="22"/>
        </w:rPr>
        <w:t>Sandoz</w:t>
      </w:r>
      <w:proofErr w:type="spellEnd"/>
    </w:p>
    <w:p w14:paraId="78DA1A64" w14:textId="20BE909C" w:rsidR="008344AE" w:rsidRPr="004F572A" w:rsidRDefault="008344AE" w:rsidP="008344AE">
      <w:pPr>
        <w:tabs>
          <w:tab w:val="clear" w:pos="567"/>
        </w:tabs>
        <w:ind w:right="-2"/>
        <w:rPr>
          <w:sz w:val="22"/>
          <w:szCs w:val="22"/>
        </w:rPr>
      </w:pPr>
      <w:r w:rsidRPr="004F572A">
        <w:rPr>
          <w:sz w:val="22"/>
          <w:szCs w:val="22"/>
        </w:rPr>
        <w:t xml:space="preserve">Šį vaistą paprastai vartosite tol, kol </w:t>
      </w:r>
      <w:r w:rsidR="00F35622" w:rsidRPr="004F572A">
        <w:rPr>
          <w:sz w:val="22"/>
          <w:szCs w:val="22"/>
        </w:rPr>
        <w:t xml:space="preserve">Jums </w:t>
      </w:r>
      <w:r w:rsidRPr="004F572A">
        <w:rPr>
          <w:sz w:val="22"/>
          <w:szCs w:val="22"/>
        </w:rPr>
        <w:t>bus naud</w:t>
      </w:r>
      <w:r w:rsidR="00F35622" w:rsidRPr="004F572A">
        <w:rPr>
          <w:sz w:val="22"/>
          <w:szCs w:val="22"/>
        </w:rPr>
        <w:t>inga</w:t>
      </w:r>
      <w:r w:rsidRPr="004F572A">
        <w:rPr>
          <w:sz w:val="22"/>
          <w:szCs w:val="22"/>
        </w:rPr>
        <w:t>.</w:t>
      </w:r>
    </w:p>
    <w:p w14:paraId="4CE54357" w14:textId="77777777" w:rsidR="00F35622" w:rsidRPr="004F572A" w:rsidRDefault="00F35622" w:rsidP="008344AE">
      <w:pPr>
        <w:tabs>
          <w:tab w:val="clear" w:pos="567"/>
        </w:tabs>
        <w:ind w:right="-2"/>
        <w:rPr>
          <w:b/>
          <w:bCs/>
          <w:sz w:val="22"/>
          <w:szCs w:val="22"/>
        </w:rPr>
      </w:pPr>
    </w:p>
    <w:p w14:paraId="74CE915C" w14:textId="33D9FDAA" w:rsidR="00CC4425" w:rsidRPr="004F572A" w:rsidRDefault="008344AE" w:rsidP="008344AE">
      <w:pPr>
        <w:tabs>
          <w:tab w:val="clear" w:pos="567"/>
        </w:tabs>
        <w:ind w:right="-2"/>
        <w:rPr>
          <w:sz w:val="22"/>
          <w:szCs w:val="22"/>
        </w:rPr>
      </w:pPr>
      <w:r w:rsidRPr="004F572A">
        <w:rPr>
          <w:b/>
          <w:bCs/>
          <w:sz w:val="22"/>
          <w:szCs w:val="22"/>
        </w:rPr>
        <w:t xml:space="preserve">Ką daryti pavartojus per didelę </w:t>
      </w:r>
      <w:proofErr w:type="spellStart"/>
      <w:r w:rsidR="00F35622" w:rsidRPr="004F572A">
        <w:rPr>
          <w:b/>
          <w:bCs/>
          <w:sz w:val="22"/>
          <w:szCs w:val="22"/>
        </w:rPr>
        <w:t>Lenvatinib</w:t>
      </w:r>
      <w:proofErr w:type="spellEnd"/>
      <w:r w:rsidR="00F35622" w:rsidRPr="004F572A">
        <w:rPr>
          <w:b/>
          <w:bCs/>
          <w:sz w:val="22"/>
          <w:szCs w:val="22"/>
        </w:rPr>
        <w:t xml:space="preserve"> </w:t>
      </w:r>
      <w:proofErr w:type="spellStart"/>
      <w:r w:rsidR="00F35622" w:rsidRPr="004F572A">
        <w:rPr>
          <w:b/>
          <w:bCs/>
          <w:sz w:val="22"/>
          <w:szCs w:val="22"/>
        </w:rPr>
        <w:t>Sandoz</w:t>
      </w:r>
      <w:proofErr w:type="spellEnd"/>
      <w:r w:rsidRPr="004F572A">
        <w:rPr>
          <w:b/>
          <w:bCs/>
          <w:sz w:val="22"/>
          <w:szCs w:val="22"/>
        </w:rPr>
        <w:t xml:space="preserve"> dozę</w:t>
      </w:r>
    </w:p>
    <w:p w14:paraId="185075A4" w14:textId="1E26BCE0" w:rsidR="00F35622" w:rsidRPr="004F572A" w:rsidRDefault="00F35622" w:rsidP="00F35622">
      <w:pPr>
        <w:tabs>
          <w:tab w:val="clear" w:pos="567"/>
        </w:tabs>
        <w:ind w:right="-2"/>
        <w:rPr>
          <w:sz w:val="22"/>
          <w:szCs w:val="22"/>
        </w:rPr>
      </w:pPr>
      <w:r w:rsidRPr="004F572A">
        <w:rPr>
          <w:sz w:val="22"/>
          <w:szCs w:val="22"/>
        </w:rPr>
        <w:t xml:space="preserve">Pavartoję per didelę </w:t>
      </w:r>
      <w:proofErr w:type="spellStart"/>
      <w:r w:rsidRPr="004F572A">
        <w:rPr>
          <w:sz w:val="22"/>
          <w:szCs w:val="22"/>
        </w:rPr>
        <w:t>Lenvatinib</w:t>
      </w:r>
      <w:proofErr w:type="spellEnd"/>
      <w:r w:rsidRPr="004F572A">
        <w:rPr>
          <w:sz w:val="22"/>
          <w:szCs w:val="22"/>
        </w:rPr>
        <w:t xml:space="preserve"> </w:t>
      </w:r>
      <w:proofErr w:type="spellStart"/>
      <w:r w:rsidRPr="004F572A">
        <w:rPr>
          <w:sz w:val="22"/>
          <w:szCs w:val="22"/>
        </w:rPr>
        <w:t>Sandoz</w:t>
      </w:r>
      <w:proofErr w:type="spellEnd"/>
      <w:r w:rsidRPr="004F572A">
        <w:rPr>
          <w:sz w:val="22"/>
          <w:szCs w:val="22"/>
        </w:rPr>
        <w:t xml:space="preserve"> dozę, nedelsdami kreipkitės į gydytoją arba vaistininką. Pasiimkite su savimi vaisto pakuotę.</w:t>
      </w:r>
    </w:p>
    <w:p w14:paraId="121DA57E" w14:textId="77777777" w:rsidR="00003D91" w:rsidRPr="004F572A" w:rsidRDefault="00003D91" w:rsidP="00F35622">
      <w:pPr>
        <w:tabs>
          <w:tab w:val="clear" w:pos="567"/>
        </w:tabs>
        <w:ind w:right="-2"/>
        <w:rPr>
          <w:b/>
          <w:bCs/>
          <w:sz w:val="22"/>
          <w:szCs w:val="22"/>
        </w:rPr>
      </w:pPr>
    </w:p>
    <w:p w14:paraId="61BDE5B9" w14:textId="09627285" w:rsidR="00F35622" w:rsidRPr="004F572A" w:rsidRDefault="00F35622" w:rsidP="00F35622">
      <w:pPr>
        <w:tabs>
          <w:tab w:val="clear" w:pos="567"/>
        </w:tabs>
        <w:ind w:right="-2"/>
        <w:rPr>
          <w:b/>
          <w:bCs/>
          <w:sz w:val="22"/>
          <w:szCs w:val="22"/>
        </w:rPr>
      </w:pPr>
      <w:r w:rsidRPr="004F572A">
        <w:rPr>
          <w:b/>
          <w:bCs/>
          <w:sz w:val="22"/>
          <w:szCs w:val="22"/>
        </w:rPr>
        <w:t xml:space="preserve">Pamiršus pavartoti </w:t>
      </w:r>
      <w:proofErr w:type="spellStart"/>
      <w:r w:rsidR="00003D91" w:rsidRPr="004F572A">
        <w:rPr>
          <w:b/>
          <w:bCs/>
          <w:sz w:val="22"/>
          <w:szCs w:val="22"/>
        </w:rPr>
        <w:t>Lenvatinib</w:t>
      </w:r>
      <w:proofErr w:type="spellEnd"/>
      <w:r w:rsidR="00003D91" w:rsidRPr="004F572A">
        <w:rPr>
          <w:b/>
          <w:bCs/>
          <w:sz w:val="22"/>
          <w:szCs w:val="22"/>
        </w:rPr>
        <w:t xml:space="preserve"> </w:t>
      </w:r>
      <w:proofErr w:type="spellStart"/>
      <w:r w:rsidR="00003D91" w:rsidRPr="004F572A">
        <w:rPr>
          <w:b/>
          <w:bCs/>
          <w:sz w:val="22"/>
          <w:szCs w:val="22"/>
        </w:rPr>
        <w:t>Sandoz</w:t>
      </w:r>
      <w:proofErr w:type="spellEnd"/>
    </w:p>
    <w:p w14:paraId="4D22DF8B" w14:textId="77777777" w:rsidR="00F35622" w:rsidRPr="004F572A" w:rsidRDefault="00F35622" w:rsidP="00F35622">
      <w:pPr>
        <w:tabs>
          <w:tab w:val="clear" w:pos="567"/>
        </w:tabs>
        <w:ind w:right="-2"/>
        <w:rPr>
          <w:sz w:val="22"/>
          <w:szCs w:val="22"/>
        </w:rPr>
      </w:pPr>
      <w:r w:rsidRPr="004F572A">
        <w:rPr>
          <w:sz w:val="22"/>
          <w:szCs w:val="22"/>
        </w:rPr>
        <w:t>Negalima vartoti dvigubos dozės (dviejų dozių tuo pat metu) norint kompensuoti praleistą dozę.</w:t>
      </w:r>
    </w:p>
    <w:p w14:paraId="124B4D64" w14:textId="77777777" w:rsidR="00821BED" w:rsidRDefault="00821BED" w:rsidP="00F35622">
      <w:pPr>
        <w:tabs>
          <w:tab w:val="clear" w:pos="567"/>
        </w:tabs>
        <w:ind w:right="-2"/>
        <w:rPr>
          <w:sz w:val="22"/>
          <w:szCs w:val="22"/>
        </w:rPr>
      </w:pPr>
    </w:p>
    <w:p w14:paraId="4DE6C291" w14:textId="0CA43328" w:rsidR="00F35622" w:rsidRPr="004F572A" w:rsidRDefault="00F35622" w:rsidP="00F35622">
      <w:pPr>
        <w:tabs>
          <w:tab w:val="clear" w:pos="567"/>
        </w:tabs>
        <w:ind w:right="-2"/>
        <w:rPr>
          <w:sz w:val="22"/>
          <w:szCs w:val="22"/>
        </w:rPr>
      </w:pPr>
      <w:r w:rsidRPr="004F572A">
        <w:rPr>
          <w:sz w:val="22"/>
          <w:szCs w:val="22"/>
        </w:rPr>
        <w:t>Ką daryti pamiršus pavartoti vaisto dozę, priklauso nuo to, kiek laiko liko iki kitos dozės vartojimo.</w:t>
      </w:r>
    </w:p>
    <w:p w14:paraId="614F6A40" w14:textId="52B0BE71" w:rsidR="00F35622" w:rsidRPr="004F572A" w:rsidRDefault="00003D91" w:rsidP="00003D91">
      <w:pPr>
        <w:tabs>
          <w:tab w:val="clear" w:pos="567"/>
        </w:tabs>
        <w:ind w:left="360" w:right="-2" w:hanging="360"/>
        <w:rPr>
          <w:sz w:val="22"/>
          <w:szCs w:val="22"/>
        </w:rPr>
      </w:pPr>
      <w:r w:rsidRPr="004F572A">
        <w:rPr>
          <w:sz w:val="22"/>
          <w:szCs w:val="22"/>
        </w:rPr>
        <w:t>‒</w:t>
      </w:r>
      <w:r w:rsidRPr="004F572A">
        <w:rPr>
          <w:sz w:val="22"/>
          <w:szCs w:val="22"/>
        </w:rPr>
        <w:tab/>
      </w:r>
      <w:r w:rsidR="00F35622" w:rsidRPr="004F572A">
        <w:rPr>
          <w:sz w:val="22"/>
          <w:szCs w:val="22"/>
        </w:rPr>
        <w:t>Jeigu iki kitos dozės vartojimo liko 12</w:t>
      </w:r>
      <w:r w:rsidR="00B10CAA">
        <w:rPr>
          <w:sz w:val="22"/>
          <w:szCs w:val="22"/>
        </w:rPr>
        <w:t> </w:t>
      </w:r>
      <w:r w:rsidR="00F35622" w:rsidRPr="004F572A">
        <w:rPr>
          <w:sz w:val="22"/>
          <w:szCs w:val="22"/>
        </w:rPr>
        <w:t>valandų arba daugiau, vartokite praleistą dozę iš karto,</w:t>
      </w:r>
      <w:r w:rsidRPr="004F572A">
        <w:rPr>
          <w:sz w:val="22"/>
          <w:szCs w:val="22"/>
        </w:rPr>
        <w:t xml:space="preserve"> </w:t>
      </w:r>
      <w:r w:rsidR="00F35622" w:rsidRPr="004F572A">
        <w:rPr>
          <w:sz w:val="22"/>
          <w:szCs w:val="22"/>
        </w:rPr>
        <w:t>kai tik prisiminsite. Po to vartokite kitą dozę įprastu metu.</w:t>
      </w:r>
    </w:p>
    <w:p w14:paraId="65462EC7" w14:textId="6186DC9A" w:rsidR="00F35622" w:rsidRPr="004F572A" w:rsidRDefault="00003D91" w:rsidP="00003D91">
      <w:pPr>
        <w:tabs>
          <w:tab w:val="clear" w:pos="567"/>
        </w:tabs>
        <w:ind w:left="360" w:right="-2" w:hanging="360"/>
        <w:rPr>
          <w:sz w:val="22"/>
          <w:szCs w:val="22"/>
        </w:rPr>
      </w:pPr>
      <w:r w:rsidRPr="004F572A">
        <w:rPr>
          <w:sz w:val="22"/>
          <w:szCs w:val="22"/>
        </w:rPr>
        <w:t>‒</w:t>
      </w:r>
      <w:r w:rsidRPr="004F572A">
        <w:rPr>
          <w:sz w:val="22"/>
          <w:szCs w:val="22"/>
        </w:rPr>
        <w:tab/>
      </w:r>
      <w:r w:rsidR="00F35622" w:rsidRPr="004F572A">
        <w:rPr>
          <w:sz w:val="22"/>
          <w:szCs w:val="22"/>
        </w:rPr>
        <w:t>Jeigu iki kitos dozės vartojimo liko mažiau nei 12</w:t>
      </w:r>
      <w:r w:rsidR="00B10CAA">
        <w:rPr>
          <w:sz w:val="22"/>
          <w:szCs w:val="22"/>
        </w:rPr>
        <w:t> </w:t>
      </w:r>
      <w:r w:rsidR="00F35622" w:rsidRPr="004F572A">
        <w:rPr>
          <w:sz w:val="22"/>
          <w:szCs w:val="22"/>
        </w:rPr>
        <w:t>valandų, praleistos dozės nevartokite. Po to</w:t>
      </w:r>
      <w:r w:rsidRPr="004F572A">
        <w:rPr>
          <w:sz w:val="22"/>
          <w:szCs w:val="22"/>
        </w:rPr>
        <w:t xml:space="preserve"> </w:t>
      </w:r>
      <w:r w:rsidR="00F35622" w:rsidRPr="004F572A">
        <w:rPr>
          <w:sz w:val="22"/>
          <w:szCs w:val="22"/>
        </w:rPr>
        <w:t>vartokite kitą dozę įprastu metu.</w:t>
      </w:r>
    </w:p>
    <w:p w14:paraId="746697F7" w14:textId="77777777" w:rsidR="00003D91" w:rsidRPr="004F572A" w:rsidRDefault="00003D91" w:rsidP="00F35622">
      <w:pPr>
        <w:tabs>
          <w:tab w:val="clear" w:pos="567"/>
        </w:tabs>
        <w:ind w:right="-2"/>
        <w:rPr>
          <w:b/>
          <w:bCs/>
          <w:sz w:val="22"/>
          <w:szCs w:val="22"/>
        </w:rPr>
      </w:pPr>
    </w:p>
    <w:p w14:paraId="3134A6D6" w14:textId="77777777" w:rsidR="00003D91" w:rsidRPr="004F572A" w:rsidRDefault="00003D91" w:rsidP="00F35622">
      <w:pPr>
        <w:tabs>
          <w:tab w:val="clear" w:pos="567"/>
        </w:tabs>
        <w:ind w:right="-2"/>
        <w:rPr>
          <w:b/>
          <w:bCs/>
          <w:sz w:val="22"/>
          <w:szCs w:val="22"/>
        </w:rPr>
      </w:pPr>
    </w:p>
    <w:p w14:paraId="507D661A" w14:textId="7C3E68B5" w:rsidR="00F35622" w:rsidRPr="004F572A" w:rsidRDefault="00F35622" w:rsidP="00003D91">
      <w:pPr>
        <w:tabs>
          <w:tab w:val="clear" w:pos="567"/>
        </w:tabs>
        <w:ind w:left="540" w:right="-2" w:hanging="540"/>
        <w:rPr>
          <w:b/>
          <w:bCs/>
          <w:sz w:val="22"/>
          <w:szCs w:val="22"/>
        </w:rPr>
      </w:pPr>
      <w:r w:rsidRPr="004F572A">
        <w:rPr>
          <w:b/>
          <w:bCs/>
          <w:sz w:val="22"/>
          <w:szCs w:val="22"/>
        </w:rPr>
        <w:t>4.</w:t>
      </w:r>
      <w:r w:rsidR="00003D91" w:rsidRPr="004F572A">
        <w:rPr>
          <w:b/>
          <w:bCs/>
          <w:sz w:val="22"/>
          <w:szCs w:val="22"/>
        </w:rPr>
        <w:tab/>
      </w:r>
      <w:r w:rsidRPr="004F572A">
        <w:rPr>
          <w:b/>
          <w:bCs/>
          <w:sz w:val="22"/>
          <w:szCs w:val="22"/>
        </w:rPr>
        <w:t>Galimas šalutinis poveikis</w:t>
      </w:r>
    </w:p>
    <w:p w14:paraId="4BF9DA74" w14:textId="77777777" w:rsidR="00003D91" w:rsidRPr="004F572A" w:rsidRDefault="00003D91" w:rsidP="00F35622">
      <w:pPr>
        <w:tabs>
          <w:tab w:val="clear" w:pos="567"/>
        </w:tabs>
        <w:ind w:right="-2"/>
        <w:rPr>
          <w:sz w:val="22"/>
          <w:szCs w:val="22"/>
        </w:rPr>
      </w:pPr>
    </w:p>
    <w:p w14:paraId="330CEB4E" w14:textId="77777777" w:rsidR="00003D91" w:rsidRPr="004F572A" w:rsidRDefault="00F35622" w:rsidP="00F35622">
      <w:pPr>
        <w:tabs>
          <w:tab w:val="clear" w:pos="567"/>
        </w:tabs>
        <w:ind w:right="-2"/>
        <w:rPr>
          <w:sz w:val="22"/>
          <w:szCs w:val="22"/>
        </w:rPr>
      </w:pPr>
      <w:r w:rsidRPr="004F572A">
        <w:rPr>
          <w:sz w:val="22"/>
          <w:szCs w:val="22"/>
        </w:rPr>
        <w:t>Šis vaistas, kaip ir visi kiti, gali sukelti šalutinį poveikį, nors jis pasireiškia ne visiems žmonėms.</w:t>
      </w:r>
    </w:p>
    <w:p w14:paraId="75C2DD2B" w14:textId="11ABCDFB" w:rsidR="00F35622" w:rsidRPr="004F572A" w:rsidRDefault="00F35622" w:rsidP="00F35622">
      <w:pPr>
        <w:tabs>
          <w:tab w:val="clear" w:pos="567"/>
        </w:tabs>
        <w:ind w:right="-2"/>
        <w:rPr>
          <w:sz w:val="22"/>
          <w:szCs w:val="22"/>
        </w:rPr>
      </w:pPr>
    </w:p>
    <w:p w14:paraId="4FAB9FC6" w14:textId="5891085F" w:rsidR="00F35622" w:rsidRPr="004F572A" w:rsidRDefault="00F35622" w:rsidP="00F35622">
      <w:pPr>
        <w:tabs>
          <w:tab w:val="clear" w:pos="567"/>
        </w:tabs>
        <w:ind w:right="-2"/>
        <w:rPr>
          <w:b/>
          <w:bCs/>
          <w:sz w:val="22"/>
          <w:szCs w:val="22"/>
        </w:rPr>
      </w:pPr>
      <w:r w:rsidRPr="004F572A">
        <w:rPr>
          <w:b/>
          <w:bCs/>
          <w:sz w:val="22"/>
          <w:szCs w:val="22"/>
        </w:rPr>
        <w:t xml:space="preserve">Pastebėję bet kurį toliau nurodytą šalutinį poveikį, nedelsdami pasakykite </w:t>
      </w:r>
      <w:r w:rsidR="00003D91" w:rsidRPr="004F572A">
        <w:rPr>
          <w:b/>
          <w:bCs/>
          <w:sz w:val="22"/>
          <w:szCs w:val="22"/>
        </w:rPr>
        <w:t xml:space="preserve">savo </w:t>
      </w:r>
      <w:r w:rsidRPr="004F572A">
        <w:rPr>
          <w:b/>
          <w:bCs/>
          <w:sz w:val="22"/>
          <w:szCs w:val="22"/>
        </w:rPr>
        <w:t>gydytojui, Jums gali reikėti skubaus medicininio gydymo:</w:t>
      </w:r>
    </w:p>
    <w:p w14:paraId="2455744E" w14:textId="6EB4BCA0" w:rsidR="00F35622" w:rsidRPr="004F572A" w:rsidRDefault="00F35622">
      <w:pPr>
        <w:pStyle w:val="Sraopastraipa"/>
        <w:numPr>
          <w:ilvl w:val="0"/>
          <w:numId w:val="15"/>
        </w:numPr>
        <w:tabs>
          <w:tab w:val="clear" w:pos="567"/>
        </w:tabs>
        <w:ind w:left="360" w:right="-2"/>
        <w:rPr>
          <w:sz w:val="22"/>
          <w:szCs w:val="22"/>
        </w:rPr>
      </w:pPr>
      <w:r w:rsidRPr="004F572A">
        <w:rPr>
          <w:sz w:val="22"/>
          <w:szCs w:val="22"/>
        </w:rPr>
        <w:t xml:space="preserve">tirpimo ar silpnumo pojūtis vienoje kūno pusėje, stiprus galvos skausmas, </w:t>
      </w:r>
      <w:r w:rsidR="004F5F99">
        <w:rPr>
          <w:sz w:val="22"/>
          <w:szCs w:val="22"/>
        </w:rPr>
        <w:t>traukuliai</w:t>
      </w:r>
      <w:r w:rsidRPr="004F572A">
        <w:rPr>
          <w:sz w:val="22"/>
          <w:szCs w:val="22"/>
        </w:rPr>
        <w:t xml:space="preserve">, </w:t>
      </w:r>
      <w:r w:rsidR="00003D91" w:rsidRPr="004F572A">
        <w:rPr>
          <w:sz w:val="22"/>
          <w:szCs w:val="22"/>
        </w:rPr>
        <w:t>sumišimas</w:t>
      </w:r>
      <w:r w:rsidRPr="004F572A">
        <w:rPr>
          <w:sz w:val="22"/>
          <w:szCs w:val="22"/>
        </w:rPr>
        <w:t>,</w:t>
      </w:r>
      <w:r w:rsidR="00003D91" w:rsidRPr="004F572A">
        <w:rPr>
          <w:sz w:val="22"/>
          <w:szCs w:val="22"/>
        </w:rPr>
        <w:t xml:space="preserve"> </w:t>
      </w:r>
      <w:r w:rsidR="00821BED">
        <w:rPr>
          <w:sz w:val="22"/>
          <w:szCs w:val="22"/>
        </w:rPr>
        <w:t xml:space="preserve">pasunkėjęs </w:t>
      </w:r>
      <w:r w:rsidR="00003D91" w:rsidRPr="004F572A">
        <w:rPr>
          <w:sz w:val="22"/>
          <w:szCs w:val="22"/>
        </w:rPr>
        <w:t>kalbė</w:t>
      </w:r>
      <w:r w:rsidR="00821BED">
        <w:rPr>
          <w:sz w:val="22"/>
          <w:szCs w:val="22"/>
        </w:rPr>
        <w:t>jimas</w:t>
      </w:r>
      <w:r w:rsidRPr="004F572A">
        <w:rPr>
          <w:sz w:val="22"/>
          <w:szCs w:val="22"/>
        </w:rPr>
        <w:t xml:space="preserve">, regos </w:t>
      </w:r>
      <w:r w:rsidR="00821BED">
        <w:rPr>
          <w:sz w:val="22"/>
          <w:szCs w:val="22"/>
        </w:rPr>
        <w:t>pakitimai</w:t>
      </w:r>
      <w:r w:rsidRPr="004F572A">
        <w:rPr>
          <w:sz w:val="22"/>
          <w:szCs w:val="22"/>
        </w:rPr>
        <w:t xml:space="preserve"> arba svaigulys</w:t>
      </w:r>
      <w:r w:rsidR="00003D91" w:rsidRPr="004F572A">
        <w:rPr>
          <w:sz w:val="22"/>
          <w:szCs w:val="22"/>
        </w:rPr>
        <w:t xml:space="preserve"> –</w:t>
      </w:r>
      <w:r w:rsidRPr="004F572A">
        <w:rPr>
          <w:sz w:val="22"/>
          <w:szCs w:val="22"/>
        </w:rPr>
        <w:t xml:space="preserve"> tai gali </w:t>
      </w:r>
      <w:r w:rsidR="00003D91" w:rsidRPr="004F572A">
        <w:rPr>
          <w:sz w:val="22"/>
          <w:szCs w:val="22"/>
        </w:rPr>
        <w:t>būti</w:t>
      </w:r>
      <w:r w:rsidRPr="004F572A">
        <w:rPr>
          <w:sz w:val="22"/>
          <w:szCs w:val="22"/>
        </w:rPr>
        <w:t xml:space="preserve"> insult</w:t>
      </w:r>
      <w:r w:rsidR="00003D91" w:rsidRPr="004F572A">
        <w:rPr>
          <w:sz w:val="22"/>
          <w:szCs w:val="22"/>
        </w:rPr>
        <w:t>o</w:t>
      </w:r>
      <w:r w:rsidRPr="004F572A">
        <w:rPr>
          <w:sz w:val="22"/>
          <w:szCs w:val="22"/>
        </w:rPr>
        <w:t>, kraujo išsiliejim</w:t>
      </w:r>
      <w:r w:rsidR="00003D91" w:rsidRPr="004F572A">
        <w:rPr>
          <w:sz w:val="22"/>
          <w:szCs w:val="22"/>
        </w:rPr>
        <w:t>o</w:t>
      </w:r>
      <w:r w:rsidRPr="004F572A">
        <w:rPr>
          <w:sz w:val="22"/>
          <w:szCs w:val="22"/>
        </w:rPr>
        <w:t xml:space="preserve"> į</w:t>
      </w:r>
      <w:r w:rsidR="00003D91" w:rsidRPr="004F572A">
        <w:rPr>
          <w:sz w:val="22"/>
          <w:szCs w:val="22"/>
        </w:rPr>
        <w:t xml:space="preserve"> </w:t>
      </w:r>
      <w:r w:rsidRPr="004F572A">
        <w:rPr>
          <w:sz w:val="22"/>
          <w:szCs w:val="22"/>
        </w:rPr>
        <w:t xml:space="preserve">smegenis </w:t>
      </w:r>
      <w:r w:rsidR="00003D91" w:rsidRPr="004F572A">
        <w:rPr>
          <w:sz w:val="22"/>
          <w:szCs w:val="22"/>
        </w:rPr>
        <w:t xml:space="preserve">požymiai </w:t>
      </w:r>
      <w:r w:rsidRPr="004F572A">
        <w:rPr>
          <w:sz w:val="22"/>
          <w:szCs w:val="22"/>
        </w:rPr>
        <w:t xml:space="preserve">arba </w:t>
      </w:r>
      <w:r w:rsidR="00003D91" w:rsidRPr="004F572A">
        <w:rPr>
          <w:sz w:val="22"/>
          <w:szCs w:val="22"/>
        </w:rPr>
        <w:t>stipraus</w:t>
      </w:r>
      <w:r w:rsidRPr="004F572A">
        <w:rPr>
          <w:sz w:val="22"/>
          <w:szCs w:val="22"/>
        </w:rPr>
        <w:t xml:space="preserve"> kraujo</w:t>
      </w:r>
      <w:r w:rsidR="00821BED">
        <w:rPr>
          <w:sz w:val="22"/>
          <w:szCs w:val="22"/>
        </w:rPr>
        <w:t>spūdžio</w:t>
      </w:r>
      <w:r w:rsidRPr="004F572A">
        <w:rPr>
          <w:sz w:val="22"/>
          <w:szCs w:val="22"/>
        </w:rPr>
        <w:t xml:space="preserve"> padidėjimo poveik</w:t>
      </w:r>
      <w:r w:rsidR="00003D91" w:rsidRPr="004F572A">
        <w:rPr>
          <w:sz w:val="22"/>
          <w:szCs w:val="22"/>
        </w:rPr>
        <w:t>is</w:t>
      </w:r>
      <w:r w:rsidRPr="004F572A">
        <w:rPr>
          <w:sz w:val="22"/>
          <w:szCs w:val="22"/>
        </w:rPr>
        <w:t xml:space="preserve"> smegenims;</w:t>
      </w:r>
    </w:p>
    <w:p w14:paraId="333F24A8" w14:textId="3190FA16" w:rsidR="00F35622" w:rsidRPr="004F572A" w:rsidRDefault="00F35622">
      <w:pPr>
        <w:pStyle w:val="Sraopastraipa"/>
        <w:numPr>
          <w:ilvl w:val="0"/>
          <w:numId w:val="15"/>
        </w:numPr>
        <w:tabs>
          <w:tab w:val="clear" w:pos="567"/>
        </w:tabs>
        <w:ind w:left="360" w:right="-2"/>
        <w:rPr>
          <w:sz w:val="22"/>
          <w:szCs w:val="22"/>
        </w:rPr>
      </w:pPr>
      <w:r w:rsidRPr="004F572A">
        <w:rPr>
          <w:sz w:val="22"/>
          <w:szCs w:val="22"/>
        </w:rPr>
        <w:t>krūtinės skausmas arba spaudimas, skausmas rankose, nugaroje, kakle ar žandikaulyje, dusulys,</w:t>
      </w:r>
      <w:r w:rsidR="001000A6" w:rsidRPr="004F572A">
        <w:rPr>
          <w:sz w:val="22"/>
          <w:szCs w:val="22"/>
        </w:rPr>
        <w:t xml:space="preserve"> </w:t>
      </w:r>
      <w:r w:rsidRPr="004F572A">
        <w:rPr>
          <w:sz w:val="22"/>
          <w:szCs w:val="22"/>
        </w:rPr>
        <w:t>greitas ar nereguliarus širdies plakimas, kosulys, pamėlusios lūpos ar pirštai, didelio nuovargio</w:t>
      </w:r>
      <w:r w:rsidR="001000A6" w:rsidRPr="004F572A">
        <w:rPr>
          <w:sz w:val="22"/>
          <w:szCs w:val="22"/>
        </w:rPr>
        <w:t xml:space="preserve"> </w:t>
      </w:r>
      <w:r w:rsidRPr="004F572A">
        <w:rPr>
          <w:sz w:val="22"/>
          <w:szCs w:val="22"/>
        </w:rPr>
        <w:t>pojūtis</w:t>
      </w:r>
      <w:r w:rsidR="001000A6" w:rsidRPr="004F572A">
        <w:rPr>
          <w:sz w:val="22"/>
          <w:szCs w:val="22"/>
        </w:rPr>
        <w:t xml:space="preserve"> –</w:t>
      </w:r>
      <w:r w:rsidRPr="004F572A">
        <w:rPr>
          <w:sz w:val="22"/>
          <w:szCs w:val="22"/>
        </w:rPr>
        <w:t xml:space="preserve"> tai gali </w:t>
      </w:r>
      <w:r w:rsidR="001000A6" w:rsidRPr="004F572A">
        <w:rPr>
          <w:sz w:val="22"/>
          <w:szCs w:val="22"/>
        </w:rPr>
        <w:t>būti</w:t>
      </w:r>
      <w:r w:rsidRPr="004F572A">
        <w:rPr>
          <w:sz w:val="22"/>
          <w:szCs w:val="22"/>
        </w:rPr>
        <w:t xml:space="preserve"> širdies sutrikim</w:t>
      </w:r>
      <w:r w:rsidR="001000A6" w:rsidRPr="004F572A">
        <w:rPr>
          <w:sz w:val="22"/>
          <w:szCs w:val="22"/>
        </w:rPr>
        <w:t>o</w:t>
      </w:r>
      <w:r w:rsidRPr="004F572A">
        <w:rPr>
          <w:sz w:val="22"/>
          <w:szCs w:val="22"/>
        </w:rPr>
        <w:t>, kraujo krešul</w:t>
      </w:r>
      <w:r w:rsidR="001000A6" w:rsidRPr="004F572A">
        <w:rPr>
          <w:sz w:val="22"/>
          <w:szCs w:val="22"/>
        </w:rPr>
        <w:t>io</w:t>
      </w:r>
      <w:r w:rsidRPr="004F572A">
        <w:rPr>
          <w:sz w:val="22"/>
          <w:szCs w:val="22"/>
        </w:rPr>
        <w:t xml:space="preserve"> plaučiuose arba oro nuotėk</w:t>
      </w:r>
      <w:r w:rsidR="001000A6" w:rsidRPr="004F572A">
        <w:rPr>
          <w:sz w:val="22"/>
          <w:szCs w:val="22"/>
        </w:rPr>
        <w:t>io</w:t>
      </w:r>
      <w:r w:rsidRPr="004F572A">
        <w:rPr>
          <w:sz w:val="22"/>
          <w:szCs w:val="22"/>
        </w:rPr>
        <w:t xml:space="preserve"> iš plaučių į</w:t>
      </w:r>
      <w:r w:rsidR="001000A6" w:rsidRPr="004F572A">
        <w:rPr>
          <w:sz w:val="22"/>
          <w:szCs w:val="22"/>
        </w:rPr>
        <w:t xml:space="preserve"> </w:t>
      </w:r>
      <w:r w:rsidRPr="004F572A">
        <w:rPr>
          <w:sz w:val="22"/>
          <w:szCs w:val="22"/>
        </w:rPr>
        <w:t>krūtinę, dėl kurio plaučiai negali išsipūsti</w:t>
      </w:r>
      <w:r w:rsidR="001000A6" w:rsidRPr="004F572A">
        <w:rPr>
          <w:sz w:val="22"/>
          <w:szCs w:val="22"/>
        </w:rPr>
        <w:t>, požymiai</w:t>
      </w:r>
      <w:r w:rsidRPr="004F572A">
        <w:rPr>
          <w:sz w:val="22"/>
          <w:szCs w:val="22"/>
        </w:rPr>
        <w:t>;</w:t>
      </w:r>
    </w:p>
    <w:p w14:paraId="4F4999E1" w14:textId="2655B66F" w:rsidR="00F35622" w:rsidRPr="004F572A" w:rsidRDefault="00F35622">
      <w:pPr>
        <w:pStyle w:val="Sraopastraipa"/>
        <w:numPr>
          <w:ilvl w:val="0"/>
          <w:numId w:val="15"/>
        </w:numPr>
        <w:tabs>
          <w:tab w:val="clear" w:pos="567"/>
        </w:tabs>
        <w:ind w:left="360" w:right="-2"/>
        <w:rPr>
          <w:sz w:val="22"/>
          <w:szCs w:val="22"/>
        </w:rPr>
      </w:pPr>
      <w:r w:rsidRPr="004F572A">
        <w:rPr>
          <w:sz w:val="22"/>
          <w:szCs w:val="22"/>
        </w:rPr>
        <w:t>stiprus skausmas pilve</w:t>
      </w:r>
      <w:r w:rsidR="001000A6" w:rsidRPr="004F572A">
        <w:rPr>
          <w:sz w:val="22"/>
          <w:szCs w:val="22"/>
        </w:rPr>
        <w:t xml:space="preserve"> – </w:t>
      </w:r>
      <w:r w:rsidRPr="004F572A">
        <w:rPr>
          <w:sz w:val="22"/>
          <w:szCs w:val="22"/>
        </w:rPr>
        <w:t xml:space="preserve"> tai gali sukelti žarnos sienos opa arba fistulė (ertmė žarnoje, kuri kaip</w:t>
      </w:r>
      <w:r w:rsidR="001000A6" w:rsidRPr="004F572A">
        <w:rPr>
          <w:sz w:val="22"/>
          <w:szCs w:val="22"/>
        </w:rPr>
        <w:t xml:space="preserve"> </w:t>
      </w:r>
      <w:r w:rsidRPr="004F572A">
        <w:rPr>
          <w:sz w:val="22"/>
          <w:szCs w:val="22"/>
        </w:rPr>
        <w:t>vamzdelis jungiasi su kita kūno dalimi ar oda);</w:t>
      </w:r>
    </w:p>
    <w:p w14:paraId="218E563C" w14:textId="26B52DAE" w:rsidR="00F35622" w:rsidRPr="004F572A" w:rsidRDefault="00F35622">
      <w:pPr>
        <w:pStyle w:val="Sraopastraipa"/>
        <w:numPr>
          <w:ilvl w:val="0"/>
          <w:numId w:val="15"/>
        </w:numPr>
        <w:tabs>
          <w:tab w:val="clear" w:pos="567"/>
        </w:tabs>
        <w:ind w:left="360" w:right="-2"/>
        <w:rPr>
          <w:sz w:val="22"/>
          <w:szCs w:val="22"/>
        </w:rPr>
      </w:pPr>
      <w:r w:rsidRPr="004F572A">
        <w:rPr>
          <w:sz w:val="22"/>
          <w:szCs w:val="22"/>
        </w:rPr>
        <w:t>juodos, deguto spalvos ar kraujingos išmatos arba kosėjimas krauju</w:t>
      </w:r>
      <w:r w:rsidR="001000A6" w:rsidRPr="004F572A">
        <w:rPr>
          <w:sz w:val="22"/>
          <w:szCs w:val="22"/>
        </w:rPr>
        <w:t xml:space="preserve"> </w:t>
      </w:r>
      <w:r w:rsidR="004F5F99">
        <w:rPr>
          <w:sz w:val="22"/>
          <w:szCs w:val="22"/>
        </w:rPr>
        <w:t>–</w:t>
      </w:r>
      <w:r w:rsidRPr="004F572A">
        <w:rPr>
          <w:sz w:val="22"/>
          <w:szCs w:val="22"/>
        </w:rPr>
        <w:t xml:space="preserve"> tai gali </w:t>
      </w:r>
      <w:r w:rsidR="001000A6" w:rsidRPr="004F572A">
        <w:rPr>
          <w:sz w:val="22"/>
          <w:szCs w:val="22"/>
        </w:rPr>
        <w:t>būti</w:t>
      </w:r>
      <w:r w:rsidRPr="004F572A">
        <w:rPr>
          <w:sz w:val="22"/>
          <w:szCs w:val="22"/>
        </w:rPr>
        <w:t xml:space="preserve"> vidin</w:t>
      </w:r>
      <w:r w:rsidR="001000A6" w:rsidRPr="004F572A">
        <w:rPr>
          <w:sz w:val="22"/>
          <w:szCs w:val="22"/>
        </w:rPr>
        <w:t xml:space="preserve">io </w:t>
      </w:r>
      <w:r w:rsidRPr="004F572A">
        <w:rPr>
          <w:sz w:val="22"/>
          <w:szCs w:val="22"/>
        </w:rPr>
        <w:t>kraujavim</w:t>
      </w:r>
      <w:r w:rsidR="001000A6" w:rsidRPr="004F572A">
        <w:rPr>
          <w:sz w:val="22"/>
          <w:szCs w:val="22"/>
        </w:rPr>
        <w:t>o požymiai</w:t>
      </w:r>
      <w:r w:rsidRPr="004F572A">
        <w:rPr>
          <w:sz w:val="22"/>
          <w:szCs w:val="22"/>
        </w:rPr>
        <w:t>;</w:t>
      </w:r>
    </w:p>
    <w:p w14:paraId="442D4EB4" w14:textId="45FF8739" w:rsidR="00F35622" w:rsidRPr="004F572A" w:rsidRDefault="00F35622">
      <w:pPr>
        <w:pStyle w:val="Sraopastraipa"/>
        <w:numPr>
          <w:ilvl w:val="0"/>
          <w:numId w:val="15"/>
        </w:numPr>
        <w:tabs>
          <w:tab w:val="clear" w:pos="567"/>
        </w:tabs>
        <w:ind w:left="360" w:right="-2"/>
        <w:rPr>
          <w:sz w:val="22"/>
          <w:szCs w:val="22"/>
        </w:rPr>
      </w:pPr>
      <w:r w:rsidRPr="004F572A">
        <w:rPr>
          <w:sz w:val="22"/>
          <w:szCs w:val="22"/>
        </w:rPr>
        <w:t>pageltusi oda ar akių baltymai (gelta) arba mieguistumas, sumišimas, negebėjimas sutelkti</w:t>
      </w:r>
      <w:r w:rsidR="001000A6" w:rsidRPr="004F572A">
        <w:rPr>
          <w:sz w:val="22"/>
          <w:szCs w:val="22"/>
        </w:rPr>
        <w:t xml:space="preserve"> </w:t>
      </w:r>
      <w:r w:rsidRPr="004F572A">
        <w:rPr>
          <w:sz w:val="22"/>
          <w:szCs w:val="22"/>
        </w:rPr>
        <w:t>dėmesį – tai gali būti kepenų sutrikimo požymiai</w:t>
      </w:r>
      <w:r w:rsidR="001000A6" w:rsidRPr="004F572A">
        <w:rPr>
          <w:sz w:val="22"/>
          <w:szCs w:val="22"/>
        </w:rPr>
        <w:t>;</w:t>
      </w:r>
    </w:p>
    <w:p w14:paraId="41490232" w14:textId="47D2BA64" w:rsidR="00F35622" w:rsidRPr="004F572A" w:rsidRDefault="00F35622">
      <w:pPr>
        <w:pStyle w:val="Sraopastraipa"/>
        <w:numPr>
          <w:ilvl w:val="0"/>
          <w:numId w:val="15"/>
        </w:numPr>
        <w:tabs>
          <w:tab w:val="clear" w:pos="567"/>
        </w:tabs>
        <w:ind w:left="360" w:right="-2"/>
        <w:rPr>
          <w:sz w:val="22"/>
          <w:szCs w:val="22"/>
        </w:rPr>
      </w:pPr>
      <w:r w:rsidRPr="004F572A">
        <w:rPr>
          <w:sz w:val="22"/>
          <w:szCs w:val="22"/>
        </w:rPr>
        <w:t>viduriavimas, pykinimas arba vėmimas; tai yra labai dažnas šalutinis poveikis, kuris gali tapti</w:t>
      </w:r>
      <w:r w:rsidR="001000A6" w:rsidRPr="004F572A">
        <w:rPr>
          <w:sz w:val="22"/>
          <w:szCs w:val="22"/>
        </w:rPr>
        <w:t xml:space="preserve"> </w:t>
      </w:r>
      <w:r w:rsidRPr="004F572A">
        <w:rPr>
          <w:sz w:val="22"/>
          <w:szCs w:val="22"/>
        </w:rPr>
        <w:t xml:space="preserve">sunkus, jei dėl jo neteksite daug vandens, tai gali sukelti inkstų nepakankamumą. </w:t>
      </w:r>
      <w:r w:rsidR="001000A6" w:rsidRPr="004F572A">
        <w:rPr>
          <w:sz w:val="22"/>
          <w:szCs w:val="22"/>
        </w:rPr>
        <w:t>Jūsų g</w:t>
      </w:r>
      <w:r w:rsidRPr="004F572A">
        <w:rPr>
          <w:sz w:val="22"/>
          <w:szCs w:val="22"/>
        </w:rPr>
        <w:t>ydytojas gali</w:t>
      </w:r>
      <w:r w:rsidR="001000A6" w:rsidRPr="004F572A">
        <w:rPr>
          <w:sz w:val="22"/>
          <w:szCs w:val="22"/>
        </w:rPr>
        <w:t xml:space="preserve"> </w:t>
      </w:r>
      <w:r w:rsidRPr="004F572A">
        <w:rPr>
          <w:sz w:val="22"/>
          <w:szCs w:val="22"/>
        </w:rPr>
        <w:t>Jums skirti vaistą šiam šalutiniam poveikiui sumažinti</w:t>
      </w:r>
      <w:r w:rsidR="00714BF5" w:rsidRPr="004F572A">
        <w:rPr>
          <w:sz w:val="22"/>
          <w:szCs w:val="22"/>
        </w:rPr>
        <w:t>;</w:t>
      </w:r>
    </w:p>
    <w:p w14:paraId="31AFBA9D" w14:textId="5B0DA128" w:rsidR="00F35622" w:rsidRDefault="00F35622">
      <w:pPr>
        <w:pStyle w:val="Sraopastraipa"/>
        <w:numPr>
          <w:ilvl w:val="0"/>
          <w:numId w:val="15"/>
        </w:numPr>
        <w:tabs>
          <w:tab w:val="clear" w:pos="567"/>
        </w:tabs>
        <w:ind w:left="360" w:right="-2"/>
        <w:rPr>
          <w:sz w:val="22"/>
          <w:szCs w:val="22"/>
        </w:rPr>
      </w:pPr>
      <w:r w:rsidRPr="004F572A">
        <w:rPr>
          <w:sz w:val="22"/>
          <w:szCs w:val="22"/>
        </w:rPr>
        <w:t xml:space="preserve">burnos, dantų ir (arba) žandikaulio skausmas, patinimai ar žaizdos burnoje, </w:t>
      </w:r>
      <w:r w:rsidR="00821BED">
        <w:rPr>
          <w:sz w:val="22"/>
          <w:szCs w:val="22"/>
        </w:rPr>
        <w:t xml:space="preserve">žandikaulis yra </w:t>
      </w:r>
      <w:r w:rsidR="001000A6" w:rsidRPr="004F572A">
        <w:rPr>
          <w:sz w:val="22"/>
          <w:szCs w:val="22"/>
        </w:rPr>
        <w:t>nutirp</w:t>
      </w:r>
      <w:r w:rsidR="00821BED">
        <w:rPr>
          <w:sz w:val="22"/>
          <w:szCs w:val="22"/>
        </w:rPr>
        <w:t>ęs arba jaučiate sunkumą ar</w:t>
      </w:r>
      <w:r w:rsidR="004F4F8F">
        <w:rPr>
          <w:sz w:val="22"/>
          <w:szCs w:val="22"/>
        </w:rPr>
        <w:t xml:space="preserve"> yra</w:t>
      </w:r>
      <w:r w:rsidR="00821BED">
        <w:rPr>
          <w:sz w:val="22"/>
          <w:szCs w:val="22"/>
        </w:rPr>
        <w:t xml:space="preserve"> atsilaisvinęs dantis</w:t>
      </w:r>
      <w:r w:rsidR="001000A6" w:rsidRPr="004F572A">
        <w:rPr>
          <w:sz w:val="22"/>
          <w:szCs w:val="22"/>
        </w:rPr>
        <w:t xml:space="preserve"> – tai</w:t>
      </w:r>
      <w:r w:rsidRPr="004F572A">
        <w:rPr>
          <w:sz w:val="22"/>
          <w:szCs w:val="22"/>
        </w:rPr>
        <w:t xml:space="preserve"> gali būti </w:t>
      </w:r>
      <w:r w:rsidR="00821BED">
        <w:rPr>
          <w:sz w:val="22"/>
          <w:szCs w:val="22"/>
        </w:rPr>
        <w:t xml:space="preserve">žandikaulio </w:t>
      </w:r>
      <w:r w:rsidRPr="004F572A">
        <w:rPr>
          <w:sz w:val="22"/>
          <w:szCs w:val="22"/>
        </w:rPr>
        <w:t>kaulo pažeidimo</w:t>
      </w:r>
      <w:r w:rsidR="001000A6" w:rsidRPr="004F572A">
        <w:rPr>
          <w:sz w:val="22"/>
          <w:szCs w:val="22"/>
        </w:rPr>
        <w:t xml:space="preserve"> </w:t>
      </w:r>
      <w:r w:rsidRPr="004F572A">
        <w:rPr>
          <w:sz w:val="22"/>
          <w:szCs w:val="22"/>
        </w:rPr>
        <w:t>(</w:t>
      </w:r>
      <w:proofErr w:type="spellStart"/>
      <w:r w:rsidRPr="004F572A">
        <w:rPr>
          <w:sz w:val="22"/>
          <w:szCs w:val="22"/>
        </w:rPr>
        <w:t>osteonekrozės</w:t>
      </w:r>
      <w:proofErr w:type="spellEnd"/>
      <w:r w:rsidRPr="004F572A">
        <w:rPr>
          <w:sz w:val="22"/>
          <w:szCs w:val="22"/>
        </w:rPr>
        <w:t>) požymiai</w:t>
      </w:r>
      <w:r w:rsidR="00714BF5" w:rsidRPr="004F572A">
        <w:rPr>
          <w:sz w:val="22"/>
          <w:szCs w:val="22"/>
        </w:rPr>
        <w:t>;</w:t>
      </w:r>
    </w:p>
    <w:p w14:paraId="453B53E1" w14:textId="000F9B7A" w:rsidR="00821BED" w:rsidRPr="004F572A" w:rsidRDefault="00821BED">
      <w:pPr>
        <w:pStyle w:val="Sraopastraipa"/>
        <w:numPr>
          <w:ilvl w:val="0"/>
          <w:numId w:val="15"/>
        </w:numPr>
        <w:tabs>
          <w:tab w:val="clear" w:pos="567"/>
        </w:tabs>
        <w:ind w:left="360" w:right="-2"/>
        <w:rPr>
          <w:sz w:val="22"/>
          <w:szCs w:val="22"/>
        </w:rPr>
      </w:pPr>
      <w:r w:rsidRPr="00821BED">
        <w:rPr>
          <w:sz w:val="22"/>
          <w:szCs w:val="22"/>
        </w:rPr>
        <w:t xml:space="preserve">pykinimas, dusulys, nereguliarus širdies plakimas, raumenų mėšlungis, traukuliai, šlapimo </w:t>
      </w:r>
      <w:proofErr w:type="spellStart"/>
      <w:r w:rsidRPr="00821BED">
        <w:rPr>
          <w:sz w:val="22"/>
          <w:szCs w:val="22"/>
        </w:rPr>
        <w:t>drumstumas</w:t>
      </w:r>
      <w:proofErr w:type="spellEnd"/>
      <w:r w:rsidRPr="00821BED">
        <w:rPr>
          <w:sz w:val="22"/>
          <w:szCs w:val="22"/>
        </w:rPr>
        <w:t xml:space="preserve"> ir nuovargis. Šie simptomai gali būti komplikacijos dėl mirštančių vėžinių ląstelių skilimo produktų ir vadinami naviko </w:t>
      </w:r>
      <w:proofErr w:type="spellStart"/>
      <w:r w:rsidRPr="00821BED">
        <w:rPr>
          <w:sz w:val="22"/>
          <w:szCs w:val="22"/>
        </w:rPr>
        <w:t>lizės</w:t>
      </w:r>
      <w:proofErr w:type="spellEnd"/>
      <w:r w:rsidRPr="00821BED">
        <w:rPr>
          <w:sz w:val="22"/>
          <w:szCs w:val="22"/>
        </w:rPr>
        <w:t xml:space="preserve"> sindromu (TLS).</w:t>
      </w:r>
    </w:p>
    <w:p w14:paraId="602F3507" w14:textId="77777777" w:rsidR="00714BF5" w:rsidRPr="004F572A" w:rsidRDefault="00714BF5" w:rsidP="00714BF5">
      <w:pPr>
        <w:tabs>
          <w:tab w:val="clear" w:pos="567"/>
        </w:tabs>
        <w:ind w:right="-2"/>
        <w:rPr>
          <w:sz w:val="22"/>
          <w:szCs w:val="22"/>
        </w:rPr>
      </w:pPr>
    </w:p>
    <w:p w14:paraId="3D96F51F" w14:textId="4CB3E501" w:rsidR="00F35622" w:rsidRPr="004F572A" w:rsidRDefault="00821BED" w:rsidP="00714BF5">
      <w:pPr>
        <w:tabs>
          <w:tab w:val="clear" w:pos="567"/>
        </w:tabs>
        <w:ind w:right="-2"/>
        <w:rPr>
          <w:sz w:val="22"/>
          <w:szCs w:val="22"/>
        </w:rPr>
      </w:pPr>
      <w:r>
        <w:rPr>
          <w:sz w:val="22"/>
          <w:szCs w:val="22"/>
        </w:rPr>
        <w:t>Atsiradus</w:t>
      </w:r>
      <w:r w:rsidR="00F35622" w:rsidRPr="004F572A">
        <w:rPr>
          <w:sz w:val="22"/>
          <w:szCs w:val="22"/>
        </w:rPr>
        <w:t xml:space="preserve"> bet kuriam </w:t>
      </w:r>
      <w:r>
        <w:rPr>
          <w:sz w:val="22"/>
          <w:szCs w:val="22"/>
        </w:rPr>
        <w:t>pirmiau nurodytam</w:t>
      </w:r>
      <w:r w:rsidR="00F35622" w:rsidRPr="004F572A">
        <w:rPr>
          <w:sz w:val="22"/>
          <w:szCs w:val="22"/>
        </w:rPr>
        <w:t xml:space="preserve"> šalutiniam poveikiui, nedelsdami pasakykite </w:t>
      </w:r>
      <w:r w:rsidR="00714BF5" w:rsidRPr="004F572A">
        <w:rPr>
          <w:sz w:val="22"/>
          <w:szCs w:val="22"/>
        </w:rPr>
        <w:t xml:space="preserve">savo </w:t>
      </w:r>
      <w:r w:rsidR="00F35622" w:rsidRPr="004F572A">
        <w:rPr>
          <w:sz w:val="22"/>
          <w:szCs w:val="22"/>
        </w:rPr>
        <w:t>gydytojui.</w:t>
      </w:r>
    </w:p>
    <w:p w14:paraId="6CD085FE" w14:textId="77777777" w:rsidR="00714BF5" w:rsidRPr="004F572A" w:rsidRDefault="00714BF5" w:rsidP="00F35622">
      <w:pPr>
        <w:tabs>
          <w:tab w:val="clear" w:pos="567"/>
        </w:tabs>
        <w:ind w:right="-2"/>
        <w:rPr>
          <w:b/>
          <w:bCs/>
          <w:sz w:val="22"/>
          <w:szCs w:val="22"/>
        </w:rPr>
      </w:pPr>
    </w:p>
    <w:p w14:paraId="5309D46C" w14:textId="5F819263" w:rsidR="00CC4425" w:rsidRPr="004F572A" w:rsidRDefault="00F35622" w:rsidP="00F35622">
      <w:pPr>
        <w:tabs>
          <w:tab w:val="clear" w:pos="567"/>
        </w:tabs>
        <w:ind w:right="-2"/>
        <w:rPr>
          <w:sz w:val="22"/>
          <w:szCs w:val="22"/>
        </w:rPr>
      </w:pPr>
      <w:r w:rsidRPr="004F572A">
        <w:rPr>
          <w:b/>
          <w:bCs/>
          <w:sz w:val="22"/>
          <w:szCs w:val="22"/>
        </w:rPr>
        <w:t xml:space="preserve">Vartojant </w:t>
      </w:r>
      <w:r w:rsidR="00714BF5" w:rsidRPr="004F572A">
        <w:rPr>
          <w:b/>
          <w:bCs/>
          <w:sz w:val="22"/>
          <w:szCs w:val="22"/>
        </w:rPr>
        <w:t>šio vaisto vieno</w:t>
      </w:r>
      <w:r w:rsidRPr="004F572A">
        <w:rPr>
          <w:b/>
          <w:bCs/>
          <w:sz w:val="22"/>
          <w:szCs w:val="22"/>
        </w:rPr>
        <w:t>, gali pasireikšti toks šalutinis poveikis:</w:t>
      </w:r>
    </w:p>
    <w:p w14:paraId="332F15E1" w14:textId="77777777" w:rsidR="009863E9" w:rsidRPr="004F572A" w:rsidRDefault="009863E9" w:rsidP="000928CA">
      <w:pPr>
        <w:tabs>
          <w:tab w:val="clear" w:pos="567"/>
        </w:tabs>
        <w:ind w:right="-2"/>
        <w:rPr>
          <w:sz w:val="22"/>
          <w:szCs w:val="22"/>
        </w:rPr>
      </w:pPr>
    </w:p>
    <w:p w14:paraId="3B67928A" w14:textId="31CE355E" w:rsidR="005E4FAA" w:rsidRPr="004F572A" w:rsidRDefault="00CD525F" w:rsidP="000D4DE9">
      <w:pPr>
        <w:tabs>
          <w:tab w:val="clear" w:pos="567"/>
        </w:tabs>
        <w:suppressAutoHyphens w:val="0"/>
        <w:spacing w:line="240" w:lineRule="auto"/>
        <w:rPr>
          <w:rFonts w:ascii="TimesNewRomanPSMT" w:eastAsia="Times New Roman" w:hAnsi="TimesNewRomanPSMT"/>
          <w:sz w:val="22"/>
          <w:szCs w:val="22"/>
          <w:lang w:eastAsia="en-US"/>
        </w:rPr>
      </w:pPr>
      <w:r w:rsidRPr="004F572A">
        <w:rPr>
          <w:rFonts w:eastAsia="Times New Roman"/>
          <w:b/>
          <w:bCs/>
          <w:color w:val="auto"/>
          <w:sz w:val="22"/>
          <w:szCs w:val="22"/>
          <w:lang w:eastAsia="lt-LT"/>
        </w:rPr>
        <w:t>Labai dažni šalutinio poveikio reiškiniai</w:t>
      </w:r>
      <w:r w:rsidRPr="004F572A">
        <w:rPr>
          <w:rFonts w:ascii="TimesNewRomanPS-BoldMT" w:eastAsia="Times New Roman" w:hAnsi="TimesNewRomanPS-BoldMT"/>
          <w:b/>
          <w:bCs/>
          <w:sz w:val="22"/>
          <w:szCs w:val="22"/>
          <w:lang w:eastAsia="en-US"/>
        </w:rPr>
        <w:t xml:space="preserve"> </w:t>
      </w:r>
      <w:r w:rsidR="005E4FAA" w:rsidRPr="004F572A">
        <w:rPr>
          <w:rFonts w:ascii="TimesNewRomanPSMT" w:eastAsia="Times New Roman" w:hAnsi="TimesNewRomanPSMT"/>
          <w:sz w:val="22"/>
          <w:szCs w:val="22"/>
          <w:lang w:eastAsia="en-US"/>
        </w:rPr>
        <w:t>(gali pasireikšti ne rečiau kaip 1 iš 10 asmenų)</w:t>
      </w:r>
      <w:r w:rsidRPr="004F572A">
        <w:rPr>
          <w:rFonts w:ascii="TimesNewRomanPSMT" w:eastAsia="Times New Roman" w:hAnsi="TimesNewRomanPSMT"/>
          <w:sz w:val="22"/>
          <w:szCs w:val="22"/>
          <w:lang w:eastAsia="en-US"/>
        </w:rPr>
        <w:t>:</w:t>
      </w:r>
    </w:p>
    <w:p w14:paraId="0F6D9426" w14:textId="2D8C8ACB" w:rsidR="005E4FAA" w:rsidRPr="004F572A" w:rsidRDefault="00FB1CB2">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Pr>
          <w:rFonts w:ascii="TimesNewRomanPSMT" w:eastAsia="Times New Roman" w:hAnsi="TimesNewRomanPSMT"/>
          <w:sz w:val="22"/>
          <w:szCs w:val="22"/>
          <w:lang w:eastAsia="en-US"/>
        </w:rPr>
        <w:t>didelis</w:t>
      </w:r>
      <w:r w:rsidR="000D4DE9" w:rsidRPr="004F572A">
        <w:rPr>
          <w:rFonts w:ascii="TimesNewRomanPSMT" w:eastAsia="Times New Roman" w:hAnsi="TimesNewRomanPSMT"/>
          <w:sz w:val="22"/>
          <w:szCs w:val="22"/>
          <w:lang w:eastAsia="en-US"/>
        </w:rPr>
        <w:t xml:space="preserve"> arba </w:t>
      </w:r>
      <w:r w:rsidRPr="000D1CAE">
        <w:rPr>
          <w:rFonts w:eastAsia="Times New Roman"/>
          <w:sz w:val="22"/>
          <w:szCs w:val="22"/>
          <w:lang w:eastAsia="en-US"/>
        </w:rPr>
        <w:t>mažas</w:t>
      </w:r>
      <w:r w:rsidR="005E4FAA" w:rsidRPr="000D1CAE">
        <w:rPr>
          <w:rFonts w:eastAsia="Times New Roman"/>
          <w:sz w:val="22"/>
          <w:szCs w:val="22"/>
          <w:lang w:eastAsia="en-US"/>
        </w:rPr>
        <w:t xml:space="preserve"> </w:t>
      </w:r>
      <w:r w:rsidR="005E4FAA" w:rsidRPr="004F572A">
        <w:rPr>
          <w:rFonts w:ascii="TimesNewRomanPSMT" w:eastAsia="Times New Roman" w:hAnsi="TimesNewRomanPSMT"/>
          <w:sz w:val="22"/>
          <w:szCs w:val="22"/>
          <w:lang w:eastAsia="en-US"/>
        </w:rPr>
        <w:t>kraujo</w:t>
      </w:r>
      <w:r>
        <w:rPr>
          <w:rFonts w:ascii="TimesNewRomanPSMT" w:eastAsia="Times New Roman" w:hAnsi="TimesNewRomanPSMT"/>
          <w:sz w:val="22"/>
          <w:szCs w:val="22"/>
          <w:lang w:eastAsia="en-US"/>
        </w:rPr>
        <w:t>spūdis</w:t>
      </w:r>
      <w:r w:rsidR="005E4FAA" w:rsidRPr="004F572A">
        <w:rPr>
          <w:rFonts w:ascii="TimesNewRomanPSMT" w:eastAsia="Times New Roman" w:hAnsi="TimesNewRomanPSMT"/>
          <w:sz w:val="22"/>
          <w:szCs w:val="22"/>
          <w:lang w:eastAsia="en-US"/>
        </w:rPr>
        <w:t>;</w:t>
      </w:r>
    </w:p>
    <w:p w14:paraId="79D92B60" w14:textId="612B78F9" w:rsidR="005E4FAA" w:rsidRPr="004F572A" w:rsidRDefault="005E4FAA">
      <w:pPr>
        <w:pStyle w:val="Sraopastraipa"/>
        <w:numPr>
          <w:ilvl w:val="0"/>
          <w:numId w:val="16"/>
        </w:numPr>
        <w:tabs>
          <w:tab w:val="clear" w:pos="567"/>
        </w:tabs>
        <w:suppressAutoHyphens w:val="0"/>
        <w:spacing w:line="240" w:lineRule="auto"/>
        <w:ind w:left="360"/>
        <w:rPr>
          <w:rFonts w:eastAsia="Times New Roman"/>
          <w:color w:val="auto"/>
          <w:lang w:eastAsia="en-US"/>
        </w:rPr>
      </w:pPr>
      <w:r w:rsidRPr="004F572A">
        <w:rPr>
          <w:rFonts w:ascii="TimesNewRomanPSMT" w:eastAsia="Times New Roman" w:hAnsi="TimesNewRomanPSMT"/>
          <w:sz w:val="22"/>
          <w:szCs w:val="22"/>
          <w:lang w:eastAsia="en-US"/>
        </w:rPr>
        <w:t xml:space="preserve">apetito </w:t>
      </w:r>
      <w:r w:rsidR="00FB1CB2">
        <w:rPr>
          <w:rFonts w:ascii="TimesNewRomanPSMT" w:eastAsia="Times New Roman" w:hAnsi="TimesNewRomanPSMT"/>
          <w:sz w:val="22"/>
          <w:szCs w:val="22"/>
          <w:lang w:eastAsia="en-US"/>
        </w:rPr>
        <w:t>praradimas</w:t>
      </w:r>
      <w:r w:rsidR="00FB1CB2" w:rsidRPr="004F572A">
        <w:rPr>
          <w:rFonts w:ascii="TimesNewRomanPSMT" w:eastAsia="Times New Roman" w:hAnsi="TimesNewRomanPSMT"/>
          <w:sz w:val="22"/>
          <w:szCs w:val="22"/>
          <w:lang w:eastAsia="en-US"/>
        </w:rPr>
        <w:t xml:space="preserve"> </w:t>
      </w:r>
      <w:r w:rsidRPr="004F572A">
        <w:rPr>
          <w:rFonts w:ascii="TimesNewRomanPSMT" w:eastAsia="Times New Roman" w:hAnsi="TimesNewRomanPSMT"/>
          <w:sz w:val="22"/>
          <w:szCs w:val="22"/>
          <w:lang w:eastAsia="en-US"/>
        </w:rPr>
        <w:t>arba svorio kritimas;</w:t>
      </w:r>
    </w:p>
    <w:p w14:paraId="193BB37F" w14:textId="2271F7A3"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 xml:space="preserve">pykinimas ir vėmimas, vidurių užkietėjimas, viduriavimas, pilvo skausmas, </w:t>
      </w:r>
      <w:proofErr w:type="spellStart"/>
      <w:r w:rsidRPr="004F572A">
        <w:rPr>
          <w:rFonts w:ascii="TimesNewRomanPSMT" w:eastAsia="Times New Roman" w:hAnsi="TimesNewRomanPSMT"/>
          <w:sz w:val="22"/>
          <w:szCs w:val="22"/>
          <w:lang w:eastAsia="en-US"/>
        </w:rPr>
        <w:t>nevirškinimas</w:t>
      </w:r>
      <w:proofErr w:type="spellEnd"/>
      <w:r w:rsidRPr="004F572A">
        <w:rPr>
          <w:rFonts w:ascii="TimesNewRomanPSMT" w:eastAsia="Times New Roman" w:hAnsi="TimesNewRomanPSMT"/>
          <w:sz w:val="22"/>
          <w:szCs w:val="22"/>
          <w:lang w:eastAsia="en-US"/>
        </w:rPr>
        <w:t>;</w:t>
      </w:r>
    </w:p>
    <w:p w14:paraId="2261CF6D" w14:textId="3683AF90"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didelio nuovargio ar silpnumo pojūtis;</w:t>
      </w:r>
    </w:p>
    <w:p w14:paraId="1D5F5C98" w14:textId="7DD559D9"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užkimęs balsas;</w:t>
      </w:r>
    </w:p>
    <w:p w14:paraId="6E6FFE72" w14:textId="78BC9D62"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kojų patinimas;</w:t>
      </w:r>
    </w:p>
    <w:p w14:paraId="59814357" w14:textId="38B2768B"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išbėrimas;</w:t>
      </w:r>
    </w:p>
    <w:p w14:paraId="4F01380C" w14:textId="5BCCD52D"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sausa, peršinti ar uždegimo paveikta burna, keist</w:t>
      </w:r>
      <w:r w:rsidR="001F42C6" w:rsidRPr="004F572A">
        <w:rPr>
          <w:rFonts w:ascii="TimesNewRomanPSMT" w:eastAsia="Times New Roman" w:hAnsi="TimesNewRomanPSMT"/>
          <w:sz w:val="22"/>
          <w:szCs w:val="22"/>
          <w:lang w:eastAsia="en-US"/>
        </w:rPr>
        <w:t>o</w:t>
      </w:r>
      <w:r w:rsidRPr="004F572A">
        <w:rPr>
          <w:rFonts w:ascii="TimesNewRomanPSMT" w:eastAsia="Times New Roman" w:hAnsi="TimesNewRomanPSMT"/>
          <w:sz w:val="22"/>
          <w:szCs w:val="22"/>
          <w:lang w:eastAsia="en-US"/>
        </w:rPr>
        <w:t xml:space="preserve"> skonio </w:t>
      </w:r>
      <w:r w:rsidR="00FB1CB2">
        <w:rPr>
          <w:rFonts w:ascii="TimesNewRomanPSMT" w:eastAsia="Times New Roman" w:hAnsi="TimesNewRomanPSMT"/>
          <w:sz w:val="22"/>
          <w:szCs w:val="22"/>
          <w:lang w:eastAsia="en-US"/>
        </w:rPr>
        <w:t>jutimas</w:t>
      </w:r>
      <w:r w:rsidRPr="004F572A">
        <w:rPr>
          <w:rFonts w:ascii="TimesNewRomanPSMT" w:eastAsia="Times New Roman" w:hAnsi="TimesNewRomanPSMT"/>
          <w:sz w:val="22"/>
          <w:szCs w:val="22"/>
          <w:lang w:eastAsia="en-US"/>
        </w:rPr>
        <w:t>;</w:t>
      </w:r>
    </w:p>
    <w:p w14:paraId="7CCFFD39" w14:textId="539903CB"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sąnarių arba raumenų skausmas;</w:t>
      </w:r>
    </w:p>
    <w:p w14:paraId="52325DE1" w14:textId="6F667961"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svaigulio pojūtis;</w:t>
      </w:r>
    </w:p>
    <w:p w14:paraId="71486969" w14:textId="16C476AD"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plaukų slinkimas;</w:t>
      </w:r>
    </w:p>
    <w:p w14:paraId="7564D56D" w14:textId="17499C96"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lastRenderedPageBreak/>
        <w:t>kraujavimas (daugiausia iš nosies, tačiau taip pat kitų tipų kraujavimas, pvz., kraujas šlapime,</w:t>
      </w:r>
      <w:r w:rsidR="000D4DE9" w:rsidRPr="004F572A">
        <w:rPr>
          <w:rFonts w:ascii="TimesNewRomanPSMT" w:eastAsia="Times New Roman" w:hAnsi="TimesNewRomanPSMT"/>
          <w:sz w:val="22"/>
          <w:szCs w:val="22"/>
          <w:lang w:eastAsia="en-US"/>
        </w:rPr>
        <w:t xml:space="preserve"> </w:t>
      </w:r>
      <w:r w:rsidRPr="004F572A">
        <w:rPr>
          <w:rFonts w:ascii="TimesNewRomanPSMT" w:eastAsia="Times New Roman" w:hAnsi="TimesNewRomanPSMT"/>
          <w:sz w:val="22"/>
          <w:szCs w:val="22"/>
          <w:lang w:eastAsia="en-US"/>
        </w:rPr>
        <w:t>kraujosruvos, kraujavimas iš dantenų ar žarnos sienelės);</w:t>
      </w:r>
    </w:p>
    <w:p w14:paraId="385CA8A4" w14:textId="5C77D552"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sutrikęs miegas;</w:t>
      </w:r>
    </w:p>
    <w:p w14:paraId="070197AB" w14:textId="14B07438"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tyrimais nustatytas pakitęs (padidėjęs) baltymo kiekis šlapime ir šlapimo infekcijos (padažnėjęs</w:t>
      </w:r>
      <w:r w:rsidR="008F61D8" w:rsidRPr="004F572A">
        <w:rPr>
          <w:rFonts w:ascii="TimesNewRomanPSMT" w:eastAsia="Times New Roman" w:hAnsi="TimesNewRomanPSMT"/>
          <w:sz w:val="22"/>
          <w:szCs w:val="22"/>
          <w:lang w:eastAsia="en-US"/>
        </w:rPr>
        <w:t xml:space="preserve"> </w:t>
      </w:r>
      <w:r w:rsidRPr="004F572A">
        <w:rPr>
          <w:rFonts w:ascii="TimesNewRomanPSMT" w:eastAsia="Times New Roman" w:hAnsi="TimesNewRomanPSMT"/>
          <w:sz w:val="22"/>
          <w:szCs w:val="22"/>
          <w:lang w:eastAsia="en-US"/>
        </w:rPr>
        <w:t>ir skausmingas šlapinimasis);</w:t>
      </w:r>
    </w:p>
    <w:p w14:paraId="271E60AC" w14:textId="02055BF4" w:rsidR="000D4DE9"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galvos</w:t>
      </w:r>
      <w:r w:rsidR="000D4DE9" w:rsidRPr="004F572A">
        <w:rPr>
          <w:rFonts w:ascii="TimesNewRomanPSMT" w:eastAsia="Times New Roman" w:hAnsi="TimesNewRomanPSMT"/>
          <w:sz w:val="22"/>
          <w:szCs w:val="22"/>
          <w:lang w:eastAsia="en-US"/>
        </w:rPr>
        <w:t xml:space="preserve"> skausmas;</w:t>
      </w:r>
    </w:p>
    <w:p w14:paraId="6324259B" w14:textId="7F91BA7E"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nugaros skausmas;</w:t>
      </w:r>
    </w:p>
    <w:p w14:paraId="7CC384C5" w14:textId="39D97FB8"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 xml:space="preserve">plaštakų ir pėdų odos paraudimas, skaudėjimas ir patinimas (delnų ir padų </w:t>
      </w:r>
      <w:proofErr w:type="spellStart"/>
      <w:r w:rsidRPr="004F572A">
        <w:rPr>
          <w:rFonts w:ascii="TimesNewRomanPSMT" w:eastAsia="Times New Roman" w:hAnsi="TimesNewRomanPSMT"/>
          <w:sz w:val="22"/>
          <w:szCs w:val="22"/>
          <w:lang w:eastAsia="en-US"/>
        </w:rPr>
        <w:t>eritrodizestezija</w:t>
      </w:r>
      <w:proofErr w:type="spellEnd"/>
      <w:r w:rsidRPr="004F572A">
        <w:rPr>
          <w:rFonts w:ascii="TimesNewRomanPSMT" w:eastAsia="Times New Roman" w:hAnsi="TimesNewRomanPSMT"/>
          <w:sz w:val="22"/>
          <w:szCs w:val="22"/>
          <w:lang w:eastAsia="en-US"/>
        </w:rPr>
        <w:t>);</w:t>
      </w:r>
    </w:p>
    <w:p w14:paraId="129F1456" w14:textId="7C4278B2"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sumažėjęs skydliaukės aktyvumas (nuovargis, svorio didėj</w:t>
      </w:r>
      <w:r w:rsidR="00E267B9" w:rsidRPr="004F572A">
        <w:rPr>
          <w:rFonts w:ascii="TimesNewRomanPSMT" w:eastAsia="Times New Roman" w:hAnsi="TimesNewRomanPSMT"/>
          <w:sz w:val="22"/>
          <w:szCs w:val="22"/>
          <w:lang w:eastAsia="en-US"/>
        </w:rPr>
        <w:t>i</w:t>
      </w:r>
      <w:r w:rsidRPr="004F572A">
        <w:rPr>
          <w:rFonts w:ascii="TimesNewRomanPSMT" w:eastAsia="Times New Roman" w:hAnsi="TimesNewRomanPSMT"/>
          <w:sz w:val="22"/>
          <w:szCs w:val="22"/>
          <w:lang w:eastAsia="en-US"/>
        </w:rPr>
        <w:t>mas, vidurių užkietėjimas, šalčio</w:t>
      </w:r>
      <w:r w:rsidR="000D4DE9" w:rsidRPr="004F572A">
        <w:rPr>
          <w:rFonts w:ascii="TimesNewRomanPSMT" w:eastAsia="Times New Roman" w:hAnsi="TimesNewRomanPSMT"/>
          <w:sz w:val="22"/>
          <w:szCs w:val="22"/>
          <w:lang w:eastAsia="en-US"/>
        </w:rPr>
        <w:t xml:space="preserve"> </w:t>
      </w:r>
      <w:r w:rsidRPr="004F572A">
        <w:rPr>
          <w:rFonts w:ascii="TimesNewRomanPSMT" w:eastAsia="Times New Roman" w:hAnsi="TimesNewRomanPSMT"/>
          <w:sz w:val="22"/>
          <w:szCs w:val="22"/>
          <w:lang w:eastAsia="en-US"/>
        </w:rPr>
        <w:t xml:space="preserve">pojūtis, </w:t>
      </w:r>
      <w:r w:rsidR="000D4DE9" w:rsidRPr="004F572A">
        <w:rPr>
          <w:rFonts w:ascii="TimesNewRomanPSMT" w:eastAsia="Times New Roman" w:hAnsi="TimesNewRomanPSMT"/>
          <w:sz w:val="22"/>
          <w:szCs w:val="22"/>
          <w:lang w:eastAsia="en-US"/>
        </w:rPr>
        <w:t>odos sausumas</w:t>
      </w:r>
      <w:r w:rsidRPr="004F572A">
        <w:rPr>
          <w:rFonts w:ascii="TimesNewRomanPSMT" w:eastAsia="Times New Roman" w:hAnsi="TimesNewRomanPSMT"/>
          <w:sz w:val="22"/>
          <w:szCs w:val="22"/>
          <w:lang w:eastAsia="en-US"/>
        </w:rPr>
        <w:t>);</w:t>
      </w:r>
    </w:p>
    <w:p w14:paraId="7BDBD445" w14:textId="6F5DB48C"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pakitę kraujo tyrimų rezultatai: (sumažėjęs) kalio kiekis ir (sumažėjęs) kalcio kiekis;</w:t>
      </w:r>
    </w:p>
    <w:p w14:paraId="3B6B61A3" w14:textId="5C1B0EB1"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 xml:space="preserve">sumažėjęs baltųjų kraujo ląstelių </w:t>
      </w:r>
      <w:r w:rsidR="00FB1CB2">
        <w:rPr>
          <w:rFonts w:ascii="TimesNewRomanPSMT" w:eastAsia="Times New Roman" w:hAnsi="TimesNewRomanPSMT"/>
          <w:sz w:val="22"/>
          <w:szCs w:val="22"/>
          <w:lang w:eastAsia="en-US"/>
        </w:rPr>
        <w:t>kiekis</w:t>
      </w:r>
      <w:r w:rsidRPr="004F572A">
        <w:rPr>
          <w:rFonts w:ascii="TimesNewRomanPSMT" w:eastAsia="Times New Roman" w:hAnsi="TimesNewRomanPSMT"/>
          <w:sz w:val="22"/>
          <w:szCs w:val="22"/>
          <w:lang w:eastAsia="en-US"/>
        </w:rPr>
        <w:t>;</w:t>
      </w:r>
    </w:p>
    <w:p w14:paraId="218D8CBF" w14:textId="0CBB5A2F" w:rsidR="005E4FAA" w:rsidRPr="004F572A" w:rsidRDefault="00FB1CB2">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Pr>
          <w:rFonts w:ascii="TimesNewRomanPSMT" w:eastAsia="Times New Roman" w:hAnsi="TimesNewRomanPSMT"/>
          <w:sz w:val="22"/>
          <w:szCs w:val="22"/>
          <w:lang w:eastAsia="en-US"/>
        </w:rPr>
        <w:t xml:space="preserve">pakitę </w:t>
      </w:r>
      <w:r w:rsidR="005E4FAA" w:rsidRPr="004F572A">
        <w:rPr>
          <w:rFonts w:ascii="TimesNewRomanPSMT" w:eastAsia="Times New Roman" w:hAnsi="TimesNewRomanPSMT"/>
          <w:sz w:val="22"/>
          <w:szCs w:val="22"/>
          <w:lang w:eastAsia="en-US"/>
        </w:rPr>
        <w:t>kepenų funkciją rodan</w:t>
      </w:r>
      <w:r>
        <w:rPr>
          <w:rFonts w:ascii="TimesNewRomanPSMT" w:eastAsia="Times New Roman" w:hAnsi="TimesNewRomanPSMT"/>
          <w:sz w:val="22"/>
          <w:szCs w:val="22"/>
          <w:lang w:eastAsia="en-US"/>
        </w:rPr>
        <w:t>tys</w:t>
      </w:r>
      <w:r w:rsidR="005E4FAA" w:rsidRPr="004F572A">
        <w:rPr>
          <w:rFonts w:ascii="TimesNewRomanPSMT" w:eastAsia="Times New Roman" w:hAnsi="TimesNewRomanPSMT"/>
          <w:sz w:val="22"/>
          <w:szCs w:val="22"/>
          <w:lang w:eastAsia="en-US"/>
        </w:rPr>
        <w:t xml:space="preserve"> kraujo tyrimų rezultat</w:t>
      </w:r>
      <w:r>
        <w:rPr>
          <w:rFonts w:ascii="TimesNewRomanPSMT" w:eastAsia="Times New Roman" w:hAnsi="TimesNewRomanPSMT"/>
          <w:sz w:val="22"/>
          <w:szCs w:val="22"/>
          <w:lang w:eastAsia="en-US"/>
        </w:rPr>
        <w:t>ai</w:t>
      </w:r>
      <w:r w:rsidR="005E4FAA" w:rsidRPr="004F572A">
        <w:rPr>
          <w:rFonts w:ascii="TimesNewRomanPSMT" w:eastAsia="Times New Roman" w:hAnsi="TimesNewRomanPSMT"/>
          <w:sz w:val="22"/>
          <w:szCs w:val="22"/>
          <w:lang w:eastAsia="en-US"/>
        </w:rPr>
        <w:t>;</w:t>
      </w:r>
    </w:p>
    <w:p w14:paraId="4E5D4FC1" w14:textId="0A7F83BC"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mažas trombocitų kiekis kraujyje, dėl ko gali atsirasti kraujosruv</w:t>
      </w:r>
      <w:r w:rsidR="00FB1CB2">
        <w:rPr>
          <w:rFonts w:ascii="TimesNewRomanPSMT" w:eastAsia="Times New Roman" w:hAnsi="TimesNewRomanPSMT"/>
          <w:sz w:val="22"/>
          <w:szCs w:val="22"/>
          <w:lang w:eastAsia="en-US"/>
        </w:rPr>
        <w:t>os</w:t>
      </w:r>
      <w:r w:rsidRPr="004F572A">
        <w:rPr>
          <w:rFonts w:ascii="TimesNewRomanPSMT" w:eastAsia="Times New Roman" w:hAnsi="TimesNewRomanPSMT"/>
          <w:sz w:val="22"/>
          <w:szCs w:val="22"/>
          <w:lang w:eastAsia="en-US"/>
        </w:rPr>
        <w:t xml:space="preserve"> ir pasunkėti žaizdų gijimas.</w:t>
      </w:r>
    </w:p>
    <w:p w14:paraId="0B3A1766" w14:textId="0FA620E4" w:rsidR="005E4FAA" w:rsidRPr="004F572A" w:rsidRDefault="004F5F99">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Pr>
          <w:rFonts w:ascii="TimesNewRomanPSMT" w:eastAsia="Times New Roman" w:hAnsi="TimesNewRomanPSMT"/>
          <w:sz w:val="22"/>
          <w:szCs w:val="22"/>
          <w:lang w:eastAsia="en-US"/>
        </w:rPr>
        <w:t>p</w:t>
      </w:r>
      <w:r w:rsidR="00FB1CB2">
        <w:rPr>
          <w:rFonts w:ascii="TimesNewRomanPSMT" w:eastAsia="Times New Roman" w:hAnsi="TimesNewRomanPSMT"/>
          <w:sz w:val="22"/>
          <w:szCs w:val="22"/>
          <w:lang w:eastAsia="en-US"/>
        </w:rPr>
        <w:t xml:space="preserve">akitę </w:t>
      </w:r>
      <w:r w:rsidR="005E4FAA" w:rsidRPr="004F572A">
        <w:rPr>
          <w:rFonts w:ascii="TimesNewRomanPSMT" w:eastAsia="Times New Roman" w:hAnsi="TimesNewRomanPSMT"/>
          <w:sz w:val="22"/>
          <w:szCs w:val="22"/>
          <w:lang w:eastAsia="en-US"/>
        </w:rPr>
        <w:t>kraujo tyrimų rezultat</w:t>
      </w:r>
      <w:r w:rsidR="00FB1CB2">
        <w:rPr>
          <w:rFonts w:ascii="TimesNewRomanPSMT" w:eastAsia="Times New Roman" w:hAnsi="TimesNewRomanPSMT"/>
          <w:sz w:val="22"/>
          <w:szCs w:val="22"/>
          <w:lang w:eastAsia="en-US"/>
        </w:rPr>
        <w:t>ai</w:t>
      </w:r>
      <w:r w:rsidR="005E4FAA" w:rsidRPr="004F572A">
        <w:rPr>
          <w:rFonts w:ascii="TimesNewRomanPSMT" w:eastAsia="Times New Roman" w:hAnsi="TimesNewRomanPSMT"/>
          <w:sz w:val="22"/>
          <w:szCs w:val="22"/>
          <w:lang w:eastAsia="en-US"/>
        </w:rPr>
        <w:t>: magnio kiekio kraujyje (sumažėjęs), cholesterolio kiekio</w:t>
      </w:r>
      <w:r w:rsidR="000D4DE9" w:rsidRPr="004F572A">
        <w:rPr>
          <w:rFonts w:ascii="TimesNewRomanPSMT" w:eastAsia="Times New Roman" w:hAnsi="TimesNewRomanPSMT"/>
          <w:sz w:val="22"/>
          <w:szCs w:val="22"/>
          <w:lang w:eastAsia="en-US"/>
        </w:rPr>
        <w:t xml:space="preserve"> </w:t>
      </w:r>
      <w:r w:rsidR="005E4FAA" w:rsidRPr="004F572A">
        <w:rPr>
          <w:rFonts w:ascii="TimesNewRomanPSMT" w:eastAsia="Times New Roman" w:hAnsi="TimesNewRomanPSMT"/>
          <w:sz w:val="22"/>
          <w:szCs w:val="22"/>
          <w:lang w:eastAsia="en-US"/>
        </w:rPr>
        <w:t>(padidėjęs) ir skydliaukę stimuliuojančio hormono kiekio (padidėjęs);</w:t>
      </w:r>
    </w:p>
    <w:p w14:paraId="4EA056EE" w14:textId="7348728A" w:rsidR="005E4FAA" w:rsidRPr="004F572A" w:rsidRDefault="004F5F99">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Pr>
          <w:rFonts w:ascii="TimesNewRomanPSMT" w:eastAsia="Times New Roman" w:hAnsi="TimesNewRomanPSMT"/>
          <w:sz w:val="22"/>
          <w:szCs w:val="22"/>
          <w:lang w:eastAsia="en-US"/>
        </w:rPr>
        <w:t>p</w:t>
      </w:r>
      <w:r w:rsidR="00FB1CB2">
        <w:rPr>
          <w:rFonts w:ascii="TimesNewRomanPSMT" w:eastAsia="Times New Roman" w:hAnsi="TimesNewRomanPSMT"/>
          <w:sz w:val="22"/>
          <w:szCs w:val="22"/>
          <w:lang w:eastAsia="en-US"/>
        </w:rPr>
        <w:t xml:space="preserve">akitę </w:t>
      </w:r>
      <w:r w:rsidR="005E4FAA" w:rsidRPr="004F572A">
        <w:rPr>
          <w:rFonts w:ascii="TimesNewRomanPSMT" w:eastAsia="Times New Roman" w:hAnsi="TimesNewRomanPSMT"/>
          <w:sz w:val="22"/>
          <w:szCs w:val="22"/>
          <w:lang w:eastAsia="en-US"/>
        </w:rPr>
        <w:t>inkstų funkcijos kraujo tyrimų rezultat</w:t>
      </w:r>
      <w:r w:rsidR="00FB1CB2">
        <w:rPr>
          <w:rFonts w:ascii="TimesNewRomanPSMT" w:eastAsia="Times New Roman" w:hAnsi="TimesNewRomanPSMT"/>
          <w:sz w:val="22"/>
          <w:szCs w:val="22"/>
          <w:lang w:eastAsia="en-US"/>
        </w:rPr>
        <w:t>ai</w:t>
      </w:r>
      <w:r w:rsidR="005E4FAA" w:rsidRPr="004F572A">
        <w:rPr>
          <w:rFonts w:ascii="TimesNewRomanPSMT" w:eastAsia="Times New Roman" w:hAnsi="TimesNewRomanPSMT"/>
          <w:sz w:val="22"/>
          <w:szCs w:val="22"/>
          <w:lang w:eastAsia="en-US"/>
        </w:rPr>
        <w:t xml:space="preserve"> ir inkstų nepakankamumas;</w:t>
      </w:r>
    </w:p>
    <w:p w14:paraId="7833CF1C" w14:textId="6D5B2C81"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 xml:space="preserve">padidėjęs lipazės ir </w:t>
      </w:r>
      <w:proofErr w:type="spellStart"/>
      <w:r w:rsidRPr="004F572A">
        <w:rPr>
          <w:rFonts w:ascii="TimesNewRomanPSMT" w:eastAsia="Times New Roman" w:hAnsi="TimesNewRomanPSMT"/>
          <w:sz w:val="22"/>
          <w:szCs w:val="22"/>
          <w:lang w:eastAsia="en-US"/>
        </w:rPr>
        <w:t>amilazės</w:t>
      </w:r>
      <w:proofErr w:type="spellEnd"/>
      <w:r w:rsidRPr="004F572A">
        <w:rPr>
          <w:rFonts w:ascii="TimesNewRomanPSMT" w:eastAsia="Times New Roman" w:hAnsi="TimesNewRomanPSMT"/>
          <w:sz w:val="22"/>
          <w:szCs w:val="22"/>
          <w:lang w:eastAsia="en-US"/>
        </w:rPr>
        <w:t xml:space="preserve"> (virškinime dalyvaujančių fermentų) aktyvumas.</w:t>
      </w:r>
    </w:p>
    <w:p w14:paraId="46B4CBC8" w14:textId="77777777" w:rsidR="000D4DE9" w:rsidRPr="004F572A" w:rsidRDefault="000D4DE9" w:rsidP="000D4DE9">
      <w:pPr>
        <w:tabs>
          <w:tab w:val="clear" w:pos="567"/>
        </w:tabs>
        <w:suppressAutoHyphens w:val="0"/>
        <w:spacing w:line="240" w:lineRule="auto"/>
        <w:rPr>
          <w:rFonts w:ascii="TimesNewRomanPSMT" w:eastAsia="Times New Roman" w:hAnsi="TimesNewRomanPSMT"/>
          <w:sz w:val="22"/>
          <w:szCs w:val="22"/>
          <w:lang w:eastAsia="en-US"/>
        </w:rPr>
      </w:pPr>
    </w:p>
    <w:p w14:paraId="769D5F87" w14:textId="36F985EA" w:rsidR="005E4FAA" w:rsidRPr="004F572A" w:rsidRDefault="00CD525F" w:rsidP="000D4DE9">
      <w:pPr>
        <w:tabs>
          <w:tab w:val="clear" w:pos="567"/>
        </w:tabs>
        <w:suppressAutoHyphens w:val="0"/>
        <w:spacing w:line="240" w:lineRule="auto"/>
        <w:rPr>
          <w:rFonts w:ascii="TimesNewRomanPSMT" w:eastAsia="Times New Roman" w:hAnsi="TimesNewRomanPSMT"/>
          <w:sz w:val="22"/>
          <w:szCs w:val="22"/>
          <w:lang w:eastAsia="en-US"/>
        </w:rPr>
      </w:pPr>
      <w:r w:rsidRPr="004F572A">
        <w:rPr>
          <w:rFonts w:ascii="TimesNewRomanPS-BoldMT" w:eastAsia="Times New Roman" w:hAnsi="TimesNewRomanPS-BoldMT"/>
          <w:b/>
          <w:bCs/>
          <w:sz w:val="22"/>
          <w:szCs w:val="22"/>
          <w:lang w:eastAsia="en-US"/>
        </w:rPr>
        <w:t>Dažni šalutinio poveikio reiškiniai</w:t>
      </w:r>
      <w:r w:rsidR="005E4FAA" w:rsidRPr="004F572A">
        <w:rPr>
          <w:rFonts w:ascii="TimesNewRomanPS-BoldMT" w:eastAsia="Times New Roman" w:hAnsi="TimesNewRomanPS-BoldMT"/>
          <w:b/>
          <w:bCs/>
          <w:sz w:val="22"/>
          <w:szCs w:val="22"/>
          <w:lang w:eastAsia="en-US"/>
        </w:rPr>
        <w:t xml:space="preserve"> </w:t>
      </w:r>
      <w:r w:rsidR="005E4FAA" w:rsidRPr="004F572A">
        <w:rPr>
          <w:rFonts w:ascii="TimesNewRomanPSMT" w:eastAsia="Times New Roman" w:hAnsi="TimesNewRomanPSMT"/>
          <w:sz w:val="22"/>
          <w:szCs w:val="22"/>
          <w:lang w:eastAsia="en-US"/>
        </w:rPr>
        <w:t>(gali pasireikšti rečiau kaip 1 iš 10 asmenų):</w:t>
      </w:r>
    </w:p>
    <w:p w14:paraId="0E66AFB6" w14:textId="06886948"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kūno skysčių netekimas (dehidratacija);</w:t>
      </w:r>
    </w:p>
    <w:p w14:paraId="146FA1BA" w14:textId="18AE6DDA"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 xml:space="preserve">širdies </w:t>
      </w:r>
      <w:proofErr w:type="spellStart"/>
      <w:r w:rsidR="000D4DE9" w:rsidRPr="004F572A">
        <w:rPr>
          <w:rFonts w:ascii="TimesNewRomanPSMT" w:eastAsia="Times New Roman" w:hAnsi="TimesNewRomanPSMT"/>
          <w:sz w:val="22"/>
          <w:szCs w:val="22"/>
          <w:lang w:eastAsia="en-US"/>
        </w:rPr>
        <w:t>palpitacijos</w:t>
      </w:r>
      <w:proofErr w:type="spellEnd"/>
      <w:r w:rsidRPr="004F572A">
        <w:rPr>
          <w:rFonts w:ascii="TimesNewRomanPSMT" w:eastAsia="Times New Roman" w:hAnsi="TimesNewRomanPSMT"/>
          <w:sz w:val="22"/>
          <w:szCs w:val="22"/>
          <w:lang w:eastAsia="en-US"/>
        </w:rPr>
        <w:t>;</w:t>
      </w:r>
    </w:p>
    <w:p w14:paraId="199C106C" w14:textId="18E78B75" w:rsidR="005E4FAA" w:rsidRPr="004F572A" w:rsidRDefault="000D4DE9">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odos sausmė</w:t>
      </w:r>
      <w:r w:rsidR="005E4FAA" w:rsidRPr="004F572A">
        <w:rPr>
          <w:rFonts w:ascii="TimesNewRomanPSMT" w:eastAsia="Times New Roman" w:hAnsi="TimesNewRomanPSMT"/>
          <w:sz w:val="22"/>
          <w:szCs w:val="22"/>
          <w:lang w:eastAsia="en-US"/>
        </w:rPr>
        <w:t>, odos sustorėjimas ir niežėjimas;</w:t>
      </w:r>
    </w:p>
    <w:p w14:paraId="132ECD63" w14:textId="70C7D52F"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 xml:space="preserve">pilvo pūtimo pojūtis arba </w:t>
      </w:r>
      <w:r w:rsidR="002632BC" w:rsidRPr="004F572A">
        <w:rPr>
          <w:rFonts w:ascii="TimesNewRomanPSMT" w:eastAsia="Times New Roman" w:hAnsi="TimesNewRomanPSMT"/>
          <w:sz w:val="22"/>
          <w:szCs w:val="22"/>
          <w:lang w:eastAsia="en-US"/>
        </w:rPr>
        <w:t>gausus</w:t>
      </w:r>
      <w:r w:rsidRPr="004F572A">
        <w:rPr>
          <w:rFonts w:ascii="TimesNewRomanPSMT" w:eastAsia="Times New Roman" w:hAnsi="TimesNewRomanPSMT"/>
          <w:sz w:val="22"/>
          <w:szCs w:val="22"/>
          <w:lang w:eastAsia="en-US"/>
        </w:rPr>
        <w:t xml:space="preserve"> dujų </w:t>
      </w:r>
      <w:r w:rsidR="002632BC" w:rsidRPr="004F572A">
        <w:rPr>
          <w:rFonts w:ascii="TimesNewRomanPSMT" w:eastAsia="Times New Roman" w:hAnsi="TimesNewRomanPSMT"/>
          <w:sz w:val="22"/>
          <w:szCs w:val="22"/>
          <w:lang w:eastAsia="en-US"/>
        </w:rPr>
        <w:t>išėjimas iš vidurių</w:t>
      </w:r>
      <w:r w:rsidRPr="004F572A">
        <w:rPr>
          <w:rFonts w:ascii="TimesNewRomanPSMT" w:eastAsia="Times New Roman" w:hAnsi="TimesNewRomanPSMT"/>
          <w:sz w:val="22"/>
          <w:szCs w:val="22"/>
          <w:lang w:eastAsia="en-US"/>
        </w:rPr>
        <w:t>;</w:t>
      </w:r>
    </w:p>
    <w:p w14:paraId="1D247CDA" w14:textId="3EF9B994"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širdies sutrikimai arba kraujo krešuliai plaučiuose (pasunkėjęs kvėpavimas, krūtinės skausmas)</w:t>
      </w:r>
      <w:r w:rsidR="002632BC" w:rsidRPr="004F572A">
        <w:rPr>
          <w:rFonts w:ascii="TimesNewRomanPSMT" w:eastAsia="Times New Roman" w:hAnsi="TimesNewRomanPSMT"/>
          <w:sz w:val="22"/>
          <w:szCs w:val="22"/>
          <w:lang w:eastAsia="en-US"/>
        </w:rPr>
        <w:t xml:space="preserve"> </w:t>
      </w:r>
      <w:r w:rsidRPr="004F572A">
        <w:rPr>
          <w:rFonts w:ascii="TimesNewRomanPSMT" w:eastAsia="Times New Roman" w:hAnsi="TimesNewRomanPSMT"/>
          <w:sz w:val="22"/>
          <w:szCs w:val="22"/>
          <w:lang w:eastAsia="en-US"/>
        </w:rPr>
        <w:t>arba kituose organuose;</w:t>
      </w:r>
    </w:p>
    <w:p w14:paraId="1BD67158" w14:textId="06E2DBE0"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kepenų nepakankamumas;</w:t>
      </w:r>
    </w:p>
    <w:p w14:paraId="46BE1A31" w14:textId="70339131"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mieguistumas, sumišimas, negebėjimas sukaupti dėmesį, sąmonės netekimas – tai gali būti</w:t>
      </w:r>
      <w:r w:rsidR="002632BC" w:rsidRPr="004F572A">
        <w:rPr>
          <w:rFonts w:ascii="TimesNewRomanPSMT" w:eastAsia="Times New Roman" w:hAnsi="TimesNewRomanPSMT"/>
          <w:sz w:val="22"/>
          <w:szCs w:val="22"/>
          <w:lang w:eastAsia="en-US"/>
        </w:rPr>
        <w:t xml:space="preserve"> </w:t>
      </w:r>
      <w:r w:rsidRPr="004F572A">
        <w:rPr>
          <w:rFonts w:ascii="TimesNewRomanPSMT" w:eastAsia="Times New Roman" w:hAnsi="TimesNewRomanPSMT"/>
          <w:sz w:val="22"/>
          <w:szCs w:val="22"/>
          <w:lang w:eastAsia="en-US"/>
        </w:rPr>
        <w:t>kepenų nepakankamumo požymiai;</w:t>
      </w:r>
    </w:p>
    <w:p w14:paraId="05FF9302" w14:textId="1DB1F8C0"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bloga savijauta;</w:t>
      </w:r>
    </w:p>
    <w:p w14:paraId="38B778F6" w14:textId="321D7A21"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tulžies pūslės uždegimas;</w:t>
      </w:r>
    </w:p>
    <w:p w14:paraId="71A848E9" w14:textId="0EB6B3B5"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insultas;</w:t>
      </w:r>
    </w:p>
    <w:p w14:paraId="600200CA" w14:textId="71CBDCEA"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išangės fistulė (kanalėlis, susi</w:t>
      </w:r>
      <w:r w:rsidR="002632BC" w:rsidRPr="004F572A">
        <w:rPr>
          <w:rFonts w:ascii="TimesNewRomanPSMT" w:eastAsia="Times New Roman" w:hAnsi="TimesNewRomanPSMT"/>
          <w:sz w:val="22"/>
          <w:szCs w:val="22"/>
          <w:lang w:eastAsia="en-US"/>
        </w:rPr>
        <w:t>formavęs</w:t>
      </w:r>
      <w:r w:rsidRPr="004F572A">
        <w:rPr>
          <w:rFonts w:ascii="TimesNewRomanPSMT" w:eastAsia="Times New Roman" w:hAnsi="TimesNewRomanPSMT"/>
          <w:sz w:val="22"/>
          <w:szCs w:val="22"/>
          <w:lang w:eastAsia="en-US"/>
        </w:rPr>
        <w:t xml:space="preserve"> tarp išangės ir aplink esančios odos);</w:t>
      </w:r>
    </w:p>
    <w:p w14:paraId="47E51FD2" w14:textId="07EC80A6"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skylė (perforacija) skrandyje ar žarnyne.</w:t>
      </w:r>
    </w:p>
    <w:p w14:paraId="1D44CA17" w14:textId="77777777" w:rsidR="002632BC" w:rsidRPr="004F572A" w:rsidRDefault="002632BC" w:rsidP="002632BC">
      <w:pPr>
        <w:tabs>
          <w:tab w:val="clear" w:pos="567"/>
        </w:tabs>
        <w:suppressAutoHyphens w:val="0"/>
        <w:spacing w:line="240" w:lineRule="auto"/>
        <w:rPr>
          <w:rFonts w:ascii="TimesNewRomanPSMT" w:eastAsia="Times New Roman" w:hAnsi="TimesNewRomanPSMT"/>
          <w:sz w:val="22"/>
          <w:szCs w:val="22"/>
          <w:lang w:eastAsia="en-US"/>
        </w:rPr>
      </w:pPr>
    </w:p>
    <w:p w14:paraId="3C029E58" w14:textId="45ABFD08" w:rsidR="005E4FAA" w:rsidRPr="004F572A" w:rsidRDefault="005E4FAA" w:rsidP="002632BC">
      <w:pPr>
        <w:tabs>
          <w:tab w:val="clear" w:pos="567"/>
        </w:tabs>
        <w:suppressAutoHyphens w:val="0"/>
        <w:spacing w:line="240" w:lineRule="auto"/>
        <w:rPr>
          <w:rFonts w:ascii="TimesNewRomanPSMT" w:eastAsia="Times New Roman" w:hAnsi="TimesNewRomanPSMT"/>
          <w:sz w:val="22"/>
          <w:szCs w:val="22"/>
          <w:lang w:eastAsia="en-US"/>
        </w:rPr>
      </w:pPr>
      <w:r w:rsidRPr="004F572A">
        <w:rPr>
          <w:rFonts w:ascii="TimesNewRomanPS-BoldMT" w:eastAsia="Times New Roman" w:hAnsi="TimesNewRomanPS-BoldMT"/>
          <w:b/>
          <w:bCs/>
          <w:sz w:val="22"/>
          <w:szCs w:val="22"/>
          <w:lang w:eastAsia="en-US"/>
        </w:rPr>
        <w:t>Ne</w:t>
      </w:r>
      <w:r w:rsidR="00CD525F" w:rsidRPr="004F572A">
        <w:rPr>
          <w:rFonts w:ascii="TimesNewRomanPS-BoldMT" w:eastAsia="Times New Roman" w:hAnsi="TimesNewRomanPS-BoldMT"/>
          <w:b/>
          <w:bCs/>
          <w:sz w:val="22"/>
          <w:szCs w:val="22"/>
          <w:lang w:eastAsia="en-US"/>
        </w:rPr>
        <w:t>dažni šalutinio poveikio reiškiniai</w:t>
      </w:r>
      <w:r w:rsidRPr="004F572A">
        <w:rPr>
          <w:rFonts w:ascii="TimesNewRomanPS-BoldMT" w:eastAsia="Times New Roman" w:hAnsi="TimesNewRomanPS-BoldMT"/>
          <w:b/>
          <w:bCs/>
          <w:sz w:val="22"/>
          <w:szCs w:val="22"/>
          <w:lang w:eastAsia="en-US"/>
        </w:rPr>
        <w:t xml:space="preserve"> </w:t>
      </w:r>
      <w:r w:rsidRPr="004F572A">
        <w:rPr>
          <w:rFonts w:ascii="TimesNewRomanPSMT" w:eastAsia="Times New Roman" w:hAnsi="TimesNewRomanPSMT"/>
          <w:sz w:val="22"/>
          <w:szCs w:val="22"/>
          <w:lang w:eastAsia="en-US"/>
        </w:rPr>
        <w:t>(gali pasireikšti rečiau kaip 1 iš 100 asmenų):</w:t>
      </w:r>
    </w:p>
    <w:p w14:paraId="4B8174C1" w14:textId="4592FB09"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 xml:space="preserve">skausminga infekcija arba dirginimas </w:t>
      </w:r>
      <w:r w:rsidR="002632BC" w:rsidRPr="004F572A">
        <w:rPr>
          <w:rFonts w:ascii="TimesNewRomanPSMT" w:eastAsia="Times New Roman" w:hAnsi="TimesNewRomanPSMT"/>
          <w:sz w:val="22"/>
          <w:szCs w:val="22"/>
          <w:lang w:eastAsia="en-US"/>
        </w:rPr>
        <w:t>šalia</w:t>
      </w:r>
      <w:r w:rsidRPr="004F572A">
        <w:rPr>
          <w:rFonts w:ascii="TimesNewRomanPSMT" w:eastAsia="Times New Roman" w:hAnsi="TimesNewRomanPSMT"/>
          <w:sz w:val="22"/>
          <w:szCs w:val="22"/>
          <w:lang w:eastAsia="en-US"/>
        </w:rPr>
        <w:t xml:space="preserve"> išangės;</w:t>
      </w:r>
    </w:p>
    <w:p w14:paraId="4068E156" w14:textId="4D0518BF"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proofErr w:type="spellStart"/>
      <w:r w:rsidRPr="004F572A">
        <w:rPr>
          <w:rFonts w:ascii="TimesNewRomanPSMT" w:eastAsia="Times New Roman" w:hAnsi="TimesNewRomanPSMT"/>
          <w:sz w:val="22"/>
          <w:szCs w:val="22"/>
          <w:lang w:eastAsia="en-US"/>
        </w:rPr>
        <w:t>mikroinsultas</w:t>
      </w:r>
      <w:proofErr w:type="spellEnd"/>
      <w:r w:rsidRPr="004F572A">
        <w:rPr>
          <w:rFonts w:ascii="TimesNewRomanPSMT" w:eastAsia="Times New Roman" w:hAnsi="TimesNewRomanPSMT"/>
          <w:sz w:val="22"/>
          <w:szCs w:val="22"/>
          <w:lang w:eastAsia="en-US"/>
        </w:rPr>
        <w:t>;</w:t>
      </w:r>
    </w:p>
    <w:p w14:paraId="12997630" w14:textId="299F4B47"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kepenų paž</w:t>
      </w:r>
      <w:r w:rsidR="00FB1CB2">
        <w:rPr>
          <w:rFonts w:ascii="TimesNewRomanPSMT" w:eastAsia="Times New Roman" w:hAnsi="TimesNewRomanPSMT"/>
          <w:sz w:val="22"/>
          <w:szCs w:val="22"/>
          <w:lang w:eastAsia="en-US"/>
        </w:rPr>
        <w:t>eidimas</w:t>
      </w:r>
      <w:r w:rsidRPr="004F572A">
        <w:rPr>
          <w:rFonts w:ascii="TimesNewRomanPSMT" w:eastAsia="Times New Roman" w:hAnsi="TimesNewRomanPSMT"/>
          <w:sz w:val="22"/>
          <w:szCs w:val="22"/>
          <w:lang w:eastAsia="en-US"/>
        </w:rPr>
        <w:t>;</w:t>
      </w:r>
    </w:p>
    <w:p w14:paraId="57D4660C" w14:textId="34C514FA"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stiprus skausmas viršutinėje kairiojoje pilvo dalyje, kuris gali būti susijęs su karščiavimu,</w:t>
      </w:r>
      <w:r w:rsidR="002632BC" w:rsidRPr="004F572A">
        <w:rPr>
          <w:rFonts w:ascii="TimesNewRomanPSMT" w:eastAsia="Times New Roman" w:hAnsi="TimesNewRomanPSMT"/>
          <w:sz w:val="22"/>
          <w:szCs w:val="22"/>
          <w:lang w:eastAsia="en-US"/>
        </w:rPr>
        <w:t xml:space="preserve"> </w:t>
      </w:r>
      <w:proofErr w:type="spellStart"/>
      <w:r w:rsidRPr="004F572A">
        <w:rPr>
          <w:rFonts w:ascii="TimesNewRomanPSMT" w:eastAsia="Times New Roman" w:hAnsi="TimesNewRomanPSMT"/>
          <w:sz w:val="22"/>
          <w:szCs w:val="22"/>
          <w:lang w:eastAsia="en-US"/>
        </w:rPr>
        <w:t>šaltkrėčiu</w:t>
      </w:r>
      <w:proofErr w:type="spellEnd"/>
      <w:r w:rsidRPr="004F572A">
        <w:rPr>
          <w:rFonts w:ascii="TimesNewRomanPSMT" w:eastAsia="Times New Roman" w:hAnsi="TimesNewRomanPSMT"/>
          <w:sz w:val="22"/>
          <w:szCs w:val="22"/>
          <w:lang w:eastAsia="en-US"/>
        </w:rPr>
        <w:t>, pykinimu ir vėmimu (blužnies infarktas);</w:t>
      </w:r>
    </w:p>
    <w:p w14:paraId="0A5BBB78" w14:textId="2647A11B"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kasos uždegimas;</w:t>
      </w:r>
    </w:p>
    <w:p w14:paraId="7C33ADA7" w14:textId="7E71ADD9"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žaizdų gijimo problemos;</w:t>
      </w:r>
    </w:p>
    <w:p w14:paraId="6599CF4F" w14:textId="5F179B96" w:rsidR="005E4FAA" w:rsidRPr="004F572A" w:rsidRDefault="00FB1CB2">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Pr>
          <w:rFonts w:ascii="TimesNewRomanPSMT" w:eastAsia="Times New Roman" w:hAnsi="TimesNewRomanPSMT"/>
          <w:sz w:val="22"/>
          <w:szCs w:val="22"/>
          <w:lang w:eastAsia="en-US"/>
        </w:rPr>
        <w:t xml:space="preserve">žandikaulio </w:t>
      </w:r>
      <w:r w:rsidR="005E4FAA" w:rsidRPr="004F572A">
        <w:rPr>
          <w:rFonts w:ascii="TimesNewRomanPSMT" w:eastAsia="Times New Roman" w:hAnsi="TimesNewRomanPSMT"/>
          <w:sz w:val="22"/>
          <w:szCs w:val="22"/>
          <w:lang w:eastAsia="en-US"/>
        </w:rPr>
        <w:t>kaulo pažeidimas (</w:t>
      </w:r>
      <w:proofErr w:type="spellStart"/>
      <w:r w:rsidR="005E4FAA" w:rsidRPr="004F572A">
        <w:rPr>
          <w:rFonts w:ascii="TimesNewRomanPSMT" w:eastAsia="Times New Roman" w:hAnsi="TimesNewRomanPSMT"/>
          <w:sz w:val="22"/>
          <w:szCs w:val="22"/>
          <w:lang w:eastAsia="en-US"/>
        </w:rPr>
        <w:t>osteonekrozė</w:t>
      </w:r>
      <w:proofErr w:type="spellEnd"/>
      <w:r w:rsidR="005E4FAA" w:rsidRPr="004F572A">
        <w:rPr>
          <w:rFonts w:ascii="TimesNewRomanPSMT" w:eastAsia="Times New Roman" w:hAnsi="TimesNewRomanPSMT"/>
          <w:sz w:val="22"/>
          <w:szCs w:val="22"/>
          <w:lang w:eastAsia="en-US"/>
        </w:rPr>
        <w:t>);</w:t>
      </w:r>
    </w:p>
    <w:p w14:paraId="58B2FC6A" w14:textId="2CCC3D87"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gaubtinės žarnos uždegimas (kolitas);</w:t>
      </w:r>
    </w:p>
    <w:p w14:paraId="658A4BDE" w14:textId="25C00CB4" w:rsidR="005E4FAA" w:rsidRPr="004F572A" w:rsidRDefault="005E4FAA">
      <w:pPr>
        <w:pStyle w:val="Sraopastraipa"/>
        <w:numPr>
          <w:ilvl w:val="0"/>
          <w:numId w:val="16"/>
        </w:numPr>
        <w:tabs>
          <w:tab w:val="clear" w:pos="567"/>
        </w:tabs>
        <w:suppressAutoHyphens w:val="0"/>
        <w:spacing w:line="240" w:lineRule="auto"/>
        <w:ind w:left="360"/>
        <w:rPr>
          <w:rFonts w:eastAsia="Times New Roman"/>
          <w:color w:val="auto"/>
          <w:lang w:eastAsia="en-US"/>
        </w:rPr>
      </w:pPr>
      <w:r w:rsidRPr="004F572A">
        <w:rPr>
          <w:rFonts w:ascii="TimesNewRomanPSMT" w:eastAsia="Times New Roman" w:hAnsi="TimesNewRomanPSMT"/>
          <w:sz w:val="22"/>
          <w:szCs w:val="22"/>
          <w:lang w:eastAsia="en-US"/>
        </w:rPr>
        <w:t>sumažėjusi antinksčių liaukų gaminamų hormonų sekrecija.</w:t>
      </w:r>
    </w:p>
    <w:p w14:paraId="197AF18B" w14:textId="77777777" w:rsidR="002632BC" w:rsidRDefault="002632BC" w:rsidP="002632BC">
      <w:pPr>
        <w:tabs>
          <w:tab w:val="clear" w:pos="567"/>
        </w:tabs>
        <w:suppressAutoHyphens w:val="0"/>
        <w:spacing w:line="240" w:lineRule="auto"/>
        <w:rPr>
          <w:rFonts w:ascii="TimesNewRomanPSMT" w:eastAsia="Times New Roman" w:hAnsi="TimesNewRomanPSMT"/>
          <w:sz w:val="22"/>
          <w:szCs w:val="22"/>
          <w:lang w:eastAsia="en-US"/>
        </w:rPr>
      </w:pPr>
    </w:p>
    <w:p w14:paraId="3E6DB444" w14:textId="525C095C" w:rsidR="00FB1CB2" w:rsidRDefault="00224200" w:rsidP="002632BC">
      <w:pPr>
        <w:tabs>
          <w:tab w:val="clear" w:pos="567"/>
        </w:tabs>
        <w:suppressAutoHyphens w:val="0"/>
        <w:spacing w:line="240" w:lineRule="auto"/>
        <w:rPr>
          <w:rFonts w:ascii="TimesNewRomanPSMT" w:eastAsia="Times New Roman" w:hAnsi="TimesNewRomanPSMT"/>
          <w:sz w:val="22"/>
          <w:szCs w:val="22"/>
          <w:lang w:eastAsia="en-US"/>
        </w:rPr>
      </w:pPr>
      <w:r w:rsidRPr="00E27691">
        <w:rPr>
          <w:rFonts w:ascii="TimesNewRomanPSMT" w:eastAsia="Times New Roman" w:hAnsi="TimesNewRomanPSMT"/>
          <w:b/>
          <w:bCs/>
          <w:sz w:val="22"/>
          <w:szCs w:val="22"/>
          <w:lang w:eastAsia="en-US"/>
        </w:rPr>
        <w:t>Reti šalutinio poveikio reiškiniai</w:t>
      </w:r>
      <w:r w:rsidRPr="00224200">
        <w:rPr>
          <w:rFonts w:ascii="TimesNewRomanPSMT" w:eastAsia="Times New Roman" w:hAnsi="TimesNewRomanPSMT"/>
          <w:sz w:val="22"/>
          <w:szCs w:val="22"/>
          <w:lang w:eastAsia="en-US"/>
        </w:rPr>
        <w:t xml:space="preserve"> (gali pasireikšti rečiau kaip 1 iš 1</w:t>
      </w:r>
      <w:r w:rsidR="00B10CAA">
        <w:rPr>
          <w:rFonts w:ascii="TimesNewRomanPSMT" w:eastAsia="Times New Roman" w:hAnsi="TimesNewRomanPSMT"/>
          <w:sz w:val="22"/>
          <w:szCs w:val="22"/>
          <w:lang w:eastAsia="en-US"/>
        </w:rPr>
        <w:t> </w:t>
      </w:r>
      <w:r w:rsidRPr="00224200">
        <w:rPr>
          <w:rFonts w:ascii="TimesNewRomanPSMT" w:eastAsia="Times New Roman" w:hAnsi="TimesNewRomanPSMT"/>
          <w:sz w:val="22"/>
          <w:szCs w:val="22"/>
          <w:lang w:eastAsia="en-US"/>
        </w:rPr>
        <w:t>000 asmenų):</w:t>
      </w:r>
    </w:p>
    <w:p w14:paraId="4DEFF21B" w14:textId="193BDF62" w:rsidR="00FB1CB2" w:rsidRDefault="00FB1CB2" w:rsidP="00E27691">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Pr>
          <w:rFonts w:ascii="TimesNewRomanPSMT" w:eastAsia="Times New Roman" w:hAnsi="TimesNewRomanPSMT"/>
          <w:sz w:val="22"/>
          <w:szCs w:val="22"/>
          <w:lang w:eastAsia="en-US"/>
        </w:rPr>
        <w:t>navik</w:t>
      </w:r>
      <w:r w:rsidR="00F24FA6">
        <w:rPr>
          <w:rFonts w:ascii="TimesNewRomanPSMT" w:eastAsia="Times New Roman" w:hAnsi="TimesNewRomanPSMT"/>
          <w:sz w:val="22"/>
          <w:szCs w:val="22"/>
          <w:lang w:eastAsia="en-US"/>
        </w:rPr>
        <w:t>ų</w:t>
      </w:r>
      <w:r>
        <w:rPr>
          <w:rFonts w:ascii="TimesNewRomanPSMT" w:eastAsia="Times New Roman" w:hAnsi="TimesNewRomanPSMT"/>
          <w:sz w:val="22"/>
          <w:szCs w:val="22"/>
          <w:lang w:eastAsia="en-US"/>
        </w:rPr>
        <w:t xml:space="preserve"> </w:t>
      </w:r>
      <w:proofErr w:type="spellStart"/>
      <w:r>
        <w:rPr>
          <w:rFonts w:ascii="TimesNewRomanPSMT" w:eastAsia="Times New Roman" w:hAnsi="TimesNewRomanPSMT"/>
          <w:sz w:val="22"/>
          <w:szCs w:val="22"/>
          <w:lang w:eastAsia="en-US"/>
        </w:rPr>
        <w:t>lizės</w:t>
      </w:r>
      <w:proofErr w:type="spellEnd"/>
      <w:r>
        <w:rPr>
          <w:rFonts w:ascii="TimesNewRomanPSMT" w:eastAsia="Times New Roman" w:hAnsi="TimesNewRomanPSMT"/>
          <w:sz w:val="22"/>
          <w:szCs w:val="22"/>
          <w:lang w:eastAsia="en-US"/>
        </w:rPr>
        <w:t xml:space="preserve"> sindromas (NLS).</w:t>
      </w:r>
    </w:p>
    <w:p w14:paraId="0BE71B87" w14:textId="77777777" w:rsidR="00FB1CB2" w:rsidRPr="004F572A" w:rsidRDefault="00FB1CB2" w:rsidP="002632BC">
      <w:pPr>
        <w:tabs>
          <w:tab w:val="clear" w:pos="567"/>
        </w:tabs>
        <w:suppressAutoHyphens w:val="0"/>
        <w:spacing w:line="240" w:lineRule="auto"/>
        <w:rPr>
          <w:rFonts w:ascii="TimesNewRomanPSMT" w:eastAsia="Times New Roman" w:hAnsi="TimesNewRomanPSMT"/>
          <w:sz w:val="22"/>
          <w:szCs w:val="22"/>
          <w:lang w:eastAsia="en-US"/>
        </w:rPr>
      </w:pPr>
    </w:p>
    <w:p w14:paraId="1D25809E" w14:textId="34628A54" w:rsidR="005E4FAA" w:rsidRPr="004F572A" w:rsidRDefault="00CD525F" w:rsidP="002632BC">
      <w:pPr>
        <w:tabs>
          <w:tab w:val="clear" w:pos="567"/>
        </w:tabs>
        <w:suppressAutoHyphens w:val="0"/>
        <w:spacing w:line="240" w:lineRule="auto"/>
        <w:rPr>
          <w:rFonts w:ascii="TimesNewRomanPSMT" w:eastAsia="Times New Roman" w:hAnsi="TimesNewRomanPSMT"/>
          <w:sz w:val="22"/>
          <w:szCs w:val="22"/>
          <w:lang w:eastAsia="en-US"/>
        </w:rPr>
      </w:pPr>
      <w:r w:rsidRPr="004F572A">
        <w:rPr>
          <w:rFonts w:ascii="TimesNewRomanPS-BoldMT" w:eastAsia="Times New Roman" w:hAnsi="TimesNewRomanPS-BoldMT"/>
          <w:b/>
          <w:bCs/>
          <w:sz w:val="22"/>
          <w:szCs w:val="22"/>
          <w:lang w:eastAsia="en-US"/>
        </w:rPr>
        <w:t xml:space="preserve">Šalutinio poveikio reiškiniai, kurių dažnis nežinomas </w:t>
      </w:r>
      <w:r w:rsidRPr="004F572A">
        <w:rPr>
          <w:rFonts w:ascii="TimesNewRomanPS-BoldMT" w:eastAsia="Times New Roman" w:hAnsi="TimesNewRomanPS-BoldMT"/>
          <w:sz w:val="22"/>
          <w:szCs w:val="22"/>
          <w:lang w:eastAsia="en-US"/>
        </w:rPr>
        <w:t>(negali būti apskaičiuotas pagal turimus duomenis):</w:t>
      </w:r>
    </w:p>
    <w:p w14:paraId="0C28B046" w14:textId="75C45328"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kitų tipų fistulės (nenormalūs kanalai tarp skirtingų kūno organų arba tarp organo ir odos bei po</w:t>
      </w:r>
      <w:r w:rsidR="004276B4" w:rsidRPr="004F572A">
        <w:rPr>
          <w:rFonts w:ascii="TimesNewRomanPSMT" w:eastAsia="Times New Roman" w:hAnsi="TimesNewRomanPSMT"/>
          <w:sz w:val="22"/>
          <w:szCs w:val="22"/>
          <w:lang w:eastAsia="en-US"/>
        </w:rPr>
        <w:t xml:space="preserve"> </w:t>
      </w:r>
      <w:r w:rsidRPr="004F572A">
        <w:rPr>
          <w:rFonts w:ascii="TimesNewRomanPSMT" w:eastAsia="Times New Roman" w:hAnsi="TimesNewRomanPSMT"/>
          <w:sz w:val="22"/>
          <w:szCs w:val="22"/>
          <w:lang w:eastAsia="en-US"/>
        </w:rPr>
        <w:t>ja esančios struktūros, pvz., gerklės ir trachėjos). Simptomai</w:t>
      </w:r>
      <w:r w:rsidR="004276B4" w:rsidRPr="004F572A">
        <w:rPr>
          <w:rFonts w:ascii="TimesNewRomanPSMT" w:eastAsia="Times New Roman" w:hAnsi="TimesNewRomanPSMT"/>
          <w:sz w:val="22"/>
          <w:szCs w:val="22"/>
          <w:lang w:eastAsia="en-US"/>
        </w:rPr>
        <w:t xml:space="preserve"> </w:t>
      </w:r>
      <w:r w:rsidRPr="004F572A">
        <w:rPr>
          <w:rFonts w:ascii="TimesNewRomanPSMT" w:eastAsia="Times New Roman" w:hAnsi="TimesNewRomanPSMT"/>
          <w:sz w:val="22"/>
          <w:szCs w:val="22"/>
          <w:lang w:eastAsia="en-US"/>
        </w:rPr>
        <w:t>priklaus</w:t>
      </w:r>
      <w:r w:rsidR="00FB1CB2">
        <w:rPr>
          <w:rFonts w:ascii="TimesNewRomanPSMT" w:eastAsia="Times New Roman" w:hAnsi="TimesNewRomanPSMT"/>
          <w:sz w:val="22"/>
          <w:szCs w:val="22"/>
          <w:lang w:eastAsia="en-US"/>
        </w:rPr>
        <w:t>ytų</w:t>
      </w:r>
      <w:r w:rsidRPr="004F572A">
        <w:rPr>
          <w:rFonts w:ascii="TimesNewRomanPSMT" w:eastAsia="Times New Roman" w:hAnsi="TimesNewRomanPSMT"/>
          <w:sz w:val="22"/>
          <w:szCs w:val="22"/>
          <w:lang w:eastAsia="en-US"/>
        </w:rPr>
        <w:t xml:space="preserve"> nuo fistulės vietos. Jeigu Jums pasireiškė naujų ar neįprastų simptomų, pvz., kosulys</w:t>
      </w:r>
      <w:r w:rsidR="004276B4" w:rsidRPr="004F572A">
        <w:rPr>
          <w:rFonts w:ascii="TimesNewRomanPSMT" w:eastAsia="Times New Roman" w:hAnsi="TimesNewRomanPSMT"/>
          <w:sz w:val="22"/>
          <w:szCs w:val="22"/>
          <w:lang w:eastAsia="en-US"/>
        </w:rPr>
        <w:t xml:space="preserve"> </w:t>
      </w:r>
      <w:r w:rsidRPr="004F572A">
        <w:rPr>
          <w:rFonts w:ascii="TimesNewRomanPSMT" w:eastAsia="Times New Roman" w:hAnsi="TimesNewRomanPSMT"/>
          <w:sz w:val="22"/>
          <w:szCs w:val="22"/>
          <w:lang w:eastAsia="en-US"/>
        </w:rPr>
        <w:t xml:space="preserve">ryjant, kreipkitės į </w:t>
      </w:r>
      <w:r w:rsidR="004276B4" w:rsidRPr="004F572A">
        <w:rPr>
          <w:rFonts w:ascii="TimesNewRomanPSMT" w:eastAsia="Times New Roman" w:hAnsi="TimesNewRomanPSMT"/>
          <w:sz w:val="22"/>
          <w:szCs w:val="22"/>
          <w:lang w:eastAsia="en-US"/>
        </w:rPr>
        <w:t xml:space="preserve">savo </w:t>
      </w:r>
      <w:r w:rsidRPr="004F572A">
        <w:rPr>
          <w:rFonts w:ascii="TimesNewRomanPSMT" w:eastAsia="Times New Roman" w:hAnsi="TimesNewRomanPSMT"/>
          <w:sz w:val="22"/>
          <w:szCs w:val="22"/>
          <w:lang w:eastAsia="en-US"/>
        </w:rPr>
        <w:t>gydytoją;</w:t>
      </w:r>
    </w:p>
    <w:p w14:paraId="4C55D6A8" w14:textId="07BC80D4"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kraujagyslės sienelės išsipūtimas ir susilpnėjimas arba kraujagyslės sienelės įplyšimas</w:t>
      </w:r>
      <w:r w:rsidR="00E267B9" w:rsidRPr="004F572A">
        <w:rPr>
          <w:rFonts w:ascii="TimesNewRomanPSMT" w:eastAsia="Times New Roman" w:hAnsi="TimesNewRomanPSMT"/>
          <w:sz w:val="22"/>
          <w:szCs w:val="22"/>
          <w:lang w:eastAsia="en-US"/>
        </w:rPr>
        <w:t xml:space="preserve"> </w:t>
      </w:r>
      <w:r w:rsidRPr="004F572A">
        <w:rPr>
          <w:rFonts w:ascii="TimesNewRomanPSMT" w:eastAsia="Times New Roman" w:hAnsi="TimesNewRomanPSMT"/>
          <w:sz w:val="22"/>
          <w:szCs w:val="22"/>
          <w:lang w:eastAsia="en-US"/>
        </w:rPr>
        <w:t xml:space="preserve">(aneurizmos ir arterijų </w:t>
      </w:r>
      <w:proofErr w:type="spellStart"/>
      <w:r w:rsidRPr="004F572A">
        <w:rPr>
          <w:rFonts w:ascii="TimesNewRomanPSMT" w:eastAsia="Times New Roman" w:hAnsi="TimesNewRomanPSMT"/>
          <w:sz w:val="22"/>
          <w:szCs w:val="22"/>
          <w:lang w:eastAsia="en-US"/>
        </w:rPr>
        <w:t>disekacijo</w:t>
      </w:r>
      <w:r w:rsidR="004276B4" w:rsidRPr="004F572A">
        <w:rPr>
          <w:rFonts w:ascii="TimesNewRomanPSMT" w:eastAsia="Times New Roman" w:hAnsi="TimesNewRomanPSMT"/>
          <w:sz w:val="22"/>
          <w:szCs w:val="22"/>
          <w:lang w:eastAsia="en-US"/>
        </w:rPr>
        <w:t>s</w:t>
      </w:r>
      <w:proofErr w:type="spellEnd"/>
      <w:r w:rsidRPr="004F572A">
        <w:rPr>
          <w:rFonts w:ascii="TimesNewRomanPSMT" w:eastAsia="Times New Roman" w:hAnsi="TimesNewRomanPSMT"/>
          <w:sz w:val="22"/>
          <w:szCs w:val="22"/>
          <w:lang w:eastAsia="en-US"/>
        </w:rPr>
        <w:t>).</w:t>
      </w:r>
    </w:p>
    <w:p w14:paraId="3F1CC6BA" w14:textId="77777777" w:rsidR="004276B4" w:rsidRPr="004F572A" w:rsidRDefault="004276B4" w:rsidP="004276B4">
      <w:pPr>
        <w:tabs>
          <w:tab w:val="clear" w:pos="567"/>
        </w:tabs>
        <w:suppressAutoHyphens w:val="0"/>
        <w:spacing w:line="240" w:lineRule="auto"/>
        <w:rPr>
          <w:rFonts w:ascii="TimesNewRomanPSMT" w:eastAsia="Times New Roman" w:hAnsi="TimesNewRomanPSMT"/>
          <w:b/>
          <w:bCs/>
          <w:sz w:val="22"/>
          <w:szCs w:val="22"/>
          <w:lang w:eastAsia="en-US"/>
        </w:rPr>
      </w:pPr>
    </w:p>
    <w:p w14:paraId="1418C493" w14:textId="24E52D9D" w:rsidR="005E4FAA" w:rsidRPr="004F572A" w:rsidRDefault="005E4FAA" w:rsidP="004276B4">
      <w:pPr>
        <w:tabs>
          <w:tab w:val="clear" w:pos="567"/>
        </w:tabs>
        <w:suppressAutoHyphens w:val="0"/>
        <w:spacing w:line="240" w:lineRule="auto"/>
        <w:rPr>
          <w:rFonts w:ascii="TimesNewRomanPSMT" w:eastAsia="Times New Roman" w:hAnsi="TimesNewRomanPSMT"/>
          <w:b/>
          <w:bCs/>
          <w:sz w:val="22"/>
          <w:szCs w:val="22"/>
          <w:lang w:eastAsia="en-US"/>
        </w:rPr>
      </w:pPr>
      <w:r w:rsidRPr="004F572A">
        <w:rPr>
          <w:rFonts w:ascii="TimesNewRomanPSMT" w:eastAsia="Times New Roman" w:hAnsi="TimesNewRomanPSMT"/>
          <w:b/>
          <w:bCs/>
          <w:sz w:val="22"/>
          <w:szCs w:val="22"/>
          <w:lang w:eastAsia="en-US"/>
        </w:rPr>
        <w:t>Vartojant š</w:t>
      </w:r>
      <w:r w:rsidR="004276B4" w:rsidRPr="004F572A">
        <w:rPr>
          <w:rFonts w:ascii="TimesNewRomanPSMT" w:eastAsia="Times New Roman" w:hAnsi="TimesNewRomanPSMT"/>
          <w:b/>
          <w:bCs/>
          <w:sz w:val="22"/>
          <w:szCs w:val="22"/>
          <w:lang w:eastAsia="en-US"/>
        </w:rPr>
        <w:t>io</w:t>
      </w:r>
      <w:r w:rsidRPr="004F572A">
        <w:rPr>
          <w:rFonts w:ascii="TimesNewRomanPSMT" w:eastAsia="Times New Roman" w:hAnsi="TimesNewRomanPSMT"/>
          <w:b/>
          <w:bCs/>
          <w:sz w:val="22"/>
          <w:szCs w:val="22"/>
          <w:lang w:eastAsia="en-US"/>
        </w:rPr>
        <w:t xml:space="preserve"> vaist</w:t>
      </w:r>
      <w:r w:rsidR="004276B4" w:rsidRPr="004F572A">
        <w:rPr>
          <w:rFonts w:ascii="TimesNewRomanPSMT" w:eastAsia="Times New Roman" w:hAnsi="TimesNewRomanPSMT"/>
          <w:b/>
          <w:bCs/>
          <w:sz w:val="22"/>
          <w:szCs w:val="22"/>
          <w:lang w:eastAsia="en-US"/>
        </w:rPr>
        <w:t>o</w:t>
      </w:r>
      <w:r w:rsidRPr="004F572A">
        <w:rPr>
          <w:rFonts w:ascii="TimesNewRomanPSMT" w:eastAsia="Times New Roman" w:hAnsi="TimesNewRomanPSMT"/>
          <w:b/>
          <w:bCs/>
          <w:sz w:val="22"/>
          <w:szCs w:val="22"/>
          <w:lang w:eastAsia="en-US"/>
        </w:rPr>
        <w:t xml:space="preserve"> kartu su </w:t>
      </w:r>
      <w:proofErr w:type="spellStart"/>
      <w:r w:rsidRPr="004F572A">
        <w:rPr>
          <w:rFonts w:ascii="TimesNewRomanPSMT" w:eastAsia="Times New Roman" w:hAnsi="TimesNewRomanPSMT"/>
          <w:b/>
          <w:bCs/>
          <w:sz w:val="22"/>
          <w:szCs w:val="22"/>
          <w:lang w:eastAsia="en-US"/>
        </w:rPr>
        <w:t>pembrolizumabu</w:t>
      </w:r>
      <w:proofErr w:type="spellEnd"/>
      <w:r w:rsidRPr="004F572A">
        <w:rPr>
          <w:rFonts w:ascii="TimesNewRomanPSMT" w:eastAsia="Times New Roman" w:hAnsi="TimesNewRomanPSMT"/>
          <w:b/>
          <w:bCs/>
          <w:sz w:val="22"/>
          <w:szCs w:val="22"/>
          <w:lang w:eastAsia="en-US"/>
        </w:rPr>
        <w:t>, gali pasireikšti toks šalutinis poveikis:</w:t>
      </w:r>
    </w:p>
    <w:p w14:paraId="6BD9FDA9" w14:textId="77777777" w:rsidR="004276B4" w:rsidRPr="004F572A" w:rsidRDefault="004276B4" w:rsidP="004276B4">
      <w:pPr>
        <w:tabs>
          <w:tab w:val="clear" w:pos="567"/>
        </w:tabs>
        <w:suppressAutoHyphens w:val="0"/>
        <w:spacing w:line="240" w:lineRule="auto"/>
        <w:rPr>
          <w:rFonts w:ascii="TimesNewRomanPS-BoldMT" w:eastAsia="Times New Roman" w:hAnsi="TimesNewRomanPS-BoldMT"/>
          <w:b/>
          <w:bCs/>
          <w:sz w:val="22"/>
          <w:szCs w:val="22"/>
          <w:lang w:eastAsia="en-US"/>
        </w:rPr>
      </w:pPr>
    </w:p>
    <w:p w14:paraId="1539F134" w14:textId="1F88CFCA" w:rsidR="005E4FAA" w:rsidRPr="004F572A" w:rsidRDefault="001F42C6" w:rsidP="004276B4">
      <w:pPr>
        <w:tabs>
          <w:tab w:val="clear" w:pos="567"/>
        </w:tabs>
        <w:suppressAutoHyphens w:val="0"/>
        <w:spacing w:line="240" w:lineRule="auto"/>
        <w:rPr>
          <w:rFonts w:ascii="TimesNewRomanPSMT" w:eastAsia="Times New Roman" w:hAnsi="TimesNewRomanPSMT"/>
          <w:sz w:val="22"/>
          <w:szCs w:val="22"/>
          <w:lang w:eastAsia="en-US"/>
        </w:rPr>
      </w:pPr>
      <w:r w:rsidRPr="004F572A">
        <w:rPr>
          <w:rFonts w:eastAsia="Times New Roman"/>
          <w:b/>
          <w:bCs/>
          <w:color w:val="auto"/>
          <w:sz w:val="22"/>
          <w:szCs w:val="22"/>
          <w:lang w:eastAsia="lt-LT"/>
        </w:rPr>
        <w:t>Labai dažni šalutinio poveikio reiškiniai</w:t>
      </w:r>
      <w:r w:rsidRPr="004F572A">
        <w:rPr>
          <w:rFonts w:ascii="TimesNewRomanPS-BoldMT" w:eastAsia="Times New Roman" w:hAnsi="TimesNewRomanPS-BoldMT"/>
          <w:b/>
          <w:bCs/>
          <w:sz w:val="22"/>
          <w:szCs w:val="22"/>
          <w:lang w:eastAsia="en-US"/>
        </w:rPr>
        <w:t xml:space="preserve"> </w:t>
      </w:r>
      <w:r w:rsidR="005E4FAA" w:rsidRPr="004F572A">
        <w:rPr>
          <w:rFonts w:ascii="TimesNewRomanPSMT" w:eastAsia="Times New Roman" w:hAnsi="TimesNewRomanPSMT"/>
          <w:sz w:val="22"/>
          <w:szCs w:val="22"/>
          <w:lang w:eastAsia="en-US"/>
        </w:rPr>
        <w:t>(gali pasireikšti ne rečiau kaip 1 iš 10 asmenų)</w:t>
      </w:r>
      <w:r w:rsidR="008F61D8" w:rsidRPr="004F572A">
        <w:rPr>
          <w:rFonts w:ascii="TimesNewRomanPSMT" w:eastAsia="Times New Roman" w:hAnsi="TimesNewRomanPSMT"/>
          <w:sz w:val="22"/>
          <w:szCs w:val="22"/>
          <w:lang w:eastAsia="en-US"/>
        </w:rPr>
        <w:t>:</w:t>
      </w:r>
    </w:p>
    <w:p w14:paraId="3F130B25" w14:textId="110C0E97"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tyrimais nustatytas pakitęs (padidėjęs) baltymo kiekis šlapime ir šlapimo infekcijos (padažnėjęs</w:t>
      </w:r>
      <w:r w:rsidR="001F42C6" w:rsidRPr="004F572A">
        <w:rPr>
          <w:rFonts w:ascii="TimesNewRomanPSMT" w:eastAsia="Times New Roman" w:hAnsi="TimesNewRomanPSMT"/>
          <w:sz w:val="22"/>
          <w:szCs w:val="22"/>
          <w:lang w:eastAsia="en-US"/>
        </w:rPr>
        <w:t xml:space="preserve"> i</w:t>
      </w:r>
      <w:r w:rsidRPr="004F572A">
        <w:rPr>
          <w:rFonts w:ascii="TimesNewRomanPSMT" w:eastAsia="Times New Roman" w:hAnsi="TimesNewRomanPSMT"/>
          <w:sz w:val="22"/>
          <w:szCs w:val="22"/>
          <w:lang w:eastAsia="en-US"/>
        </w:rPr>
        <w:t>r skausmingas šlapinimasis);</w:t>
      </w:r>
    </w:p>
    <w:p w14:paraId="589F6447" w14:textId="1CF94880"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mažas trombocitų kiekis kraujyje, dėl ko gali atsirasti kraujosruv</w:t>
      </w:r>
      <w:r w:rsidR="001F42C6" w:rsidRPr="004F572A">
        <w:rPr>
          <w:rFonts w:ascii="TimesNewRomanPSMT" w:eastAsia="Times New Roman" w:hAnsi="TimesNewRomanPSMT"/>
          <w:sz w:val="22"/>
          <w:szCs w:val="22"/>
          <w:lang w:eastAsia="en-US"/>
        </w:rPr>
        <w:t>ų</w:t>
      </w:r>
      <w:r w:rsidRPr="004F572A">
        <w:rPr>
          <w:rFonts w:ascii="TimesNewRomanPSMT" w:eastAsia="Times New Roman" w:hAnsi="TimesNewRomanPSMT"/>
          <w:sz w:val="22"/>
          <w:szCs w:val="22"/>
          <w:lang w:eastAsia="en-US"/>
        </w:rPr>
        <w:t xml:space="preserve"> ir pasunkėti žaizdų gijimas;</w:t>
      </w:r>
    </w:p>
    <w:p w14:paraId="75D6EFD3" w14:textId="79C77B4D"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 xml:space="preserve">sumažėjęs baltųjų kraujo ląstelių </w:t>
      </w:r>
      <w:r w:rsidR="00FB1CB2">
        <w:rPr>
          <w:rFonts w:ascii="TimesNewRomanPSMT" w:eastAsia="Times New Roman" w:hAnsi="TimesNewRomanPSMT"/>
          <w:sz w:val="22"/>
          <w:szCs w:val="22"/>
          <w:lang w:eastAsia="en-US"/>
        </w:rPr>
        <w:t>kiekis</w:t>
      </w:r>
      <w:r w:rsidRPr="004F572A">
        <w:rPr>
          <w:rFonts w:ascii="TimesNewRomanPSMT" w:eastAsia="Times New Roman" w:hAnsi="TimesNewRomanPSMT"/>
          <w:sz w:val="22"/>
          <w:szCs w:val="22"/>
          <w:lang w:eastAsia="en-US"/>
        </w:rPr>
        <w:t>;</w:t>
      </w:r>
    </w:p>
    <w:p w14:paraId="51BB7168" w14:textId="74D22D1C"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 xml:space="preserve">sumažėjęs raudonųjų kraujo ląstelių </w:t>
      </w:r>
      <w:r w:rsidR="00FB1CB2">
        <w:rPr>
          <w:rFonts w:ascii="TimesNewRomanPSMT" w:eastAsia="Times New Roman" w:hAnsi="TimesNewRomanPSMT"/>
          <w:sz w:val="22"/>
          <w:szCs w:val="22"/>
          <w:lang w:eastAsia="en-US"/>
        </w:rPr>
        <w:t>kiekis</w:t>
      </w:r>
      <w:r w:rsidRPr="004F572A">
        <w:rPr>
          <w:rFonts w:ascii="TimesNewRomanPSMT" w:eastAsia="Times New Roman" w:hAnsi="TimesNewRomanPSMT"/>
          <w:sz w:val="22"/>
          <w:szCs w:val="22"/>
          <w:lang w:eastAsia="en-US"/>
        </w:rPr>
        <w:t>;</w:t>
      </w:r>
    </w:p>
    <w:p w14:paraId="55C7158D" w14:textId="65A700F5"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sumažėjęs skydliaukės aktyvumas (nuovargis, svorio didėj</w:t>
      </w:r>
      <w:r w:rsidR="00E267B9" w:rsidRPr="004F572A">
        <w:rPr>
          <w:rFonts w:ascii="TimesNewRomanPSMT" w:eastAsia="Times New Roman" w:hAnsi="TimesNewRomanPSMT"/>
          <w:sz w:val="22"/>
          <w:szCs w:val="22"/>
          <w:lang w:eastAsia="en-US"/>
        </w:rPr>
        <w:t>i</w:t>
      </w:r>
      <w:r w:rsidRPr="004F572A">
        <w:rPr>
          <w:rFonts w:ascii="TimesNewRomanPSMT" w:eastAsia="Times New Roman" w:hAnsi="TimesNewRomanPSMT"/>
          <w:sz w:val="22"/>
          <w:szCs w:val="22"/>
          <w:lang w:eastAsia="en-US"/>
        </w:rPr>
        <w:t>mas, vidurių užkietėjimas, šalčio</w:t>
      </w:r>
      <w:r w:rsidR="001F42C6" w:rsidRPr="004F572A">
        <w:rPr>
          <w:rFonts w:ascii="TimesNewRomanPSMT" w:eastAsia="Times New Roman" w:hAnsi="TimesNewRomanPSMT"/>
          <w:sz w:val="22"/>
          <w:szCs w:val="22"/>
          <w:lang w:eastAsia="en-US"/>
        </w:rPr>
        <w:t xml:space="preserve"> </w:t>
      </w:r>
      <w:r w:rsidRPr="004F572A">
        <w:rPr>
          <w:rFonts w:ascii="TimesNewRomanPSMT" w:eastAsia="Times New Roman" w:hAnsi="TimesNewRomanPSMT"/>
          <w:sz w:val="22"/>
          <w:szCs w:val="22"/>
          <w:lang w:eastAsia="en-US"/>
        </w:rPr>
        <w:t xml:space="preserve">pojūtis, </w:t>
      </w:r>
      <w:r w:rsidR="001F42C6" w:rsidRPr="004F572A">
        <w:rPr>
          <w:rFonts w:ascii="TimesNewRomanPSMT" w:eastAsia="Times New Roman" w:hAnsi="TimesNewRomanPSMT"/>
          <w:sz w:val="22"/>
          <w:szCs w:val="22"/>
          <w:lang w:eastAsia="en-US"/>
        </w:rPr>
        <w:t>odos sausmė</w:t>
      </w:r>
      <w:r w:rsidRPr="004F572A">
        <w:rPr>
          <w:rFonts w:ascii="TimesNewRomanPSMT" w:eastAsia="Times New Roman" w:hAnsi="TimesNewRomanPSMT"/>
          <w:sz w:val="22"/>
          <w:szCs w:val="22"/>
          <w:lang w:eastAsia="en-US"/>
        </w:rPr>
        <w:t>) ir skydliaukę stimuliuojančio hormono kraujo tyrimų rezultatų pokyčiai</w:t>
      </w:r>
      <w:r w:rsidR="001F42C6" w:rsidRPr="004F572A">
        <w:rPr>
          <w:rFonts w:ascii="TimesNewRomanPSMT" w:eastAsia="Times New Roman" w:hAnsi="TimesNewRomanPSMT"/>
          <w:sz w:val="22"/>
          <w:szCs w:val="22"/>
          <w:lang w:eastAsia="en-US"/>
        </w:rPr>
        <w:t xml:space="preserve"> </w:t>
      </w:r>
      <w:r w:rsidRPr="004F572A">
        <w:rPr>
          <w:rFonts w:ascii="TimesNewRomanPSMT" w:eastAsia="Times New Roman" w:hAnsi="TimesNewRomanPSMT"/>
          <w:sz w:val="22"/>
          <w:szCs w:val="22"/>
          <w:lang w:eastAsia="en-US"/>
        </w:rPr>
        <w:t>(padidėjimas);</w:t>
      </w:r>
    </w:p>
    <w:p w14:paraId="019676AF" w14:textId="17D380F9" w:rsidR="005E4FAA" w:rsidRPr="004F572A" w:rsidRDefault="004F4F8F">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Pr>
          <w:rFonts w:ascii="TimesNewRomanPSMT" w:eastAsia="Times New Roman" w:hAnsi="TimesNewRomanPSMT"/>
          <w:sz w:val="22"/>
          <w:szCs w:val="22"/>
          <w:lang w:eastAsia="en-US"/>
        </w:rPr>
        <w:t>padidėjęs</w:t>
      </w:r>
      <w:r w:rsidR="005E4FAA" w:rsidRPr="004F572A">
        <w:rPr>
          <w:rFonts w:ascii="TimesNewRomanPSMT" w:eastAsia="Times New Roman" w:hAnsi="TimesNewRomanPSMT"/>
          <w:sz w:val="22"/>
          <w:szCs w:val="22"/>
          <w:lang w:eastAsia="en-US"/>
        </w:rPr>
        <w:t xml:space="preserve"> skydliaukė</w:t>
      </w:r>
      <w:r>
        <w:rPr>
          <w:rFonts w:ascii="TimesNewRomanPSMT" w:eastAsia="Times New Roman" w:hAnsi="TimesNewRomanPSMT"/>
          <w:sz w:val="22"/>
          <w:szCs w:val="22"/>
          <w:lang w:eastAsia="en-US"/>
        </w:rPr>
        <w:t>s aktyvumas</w:t>
      </w:r>
      <w:r w:rsidR="005E4FAA" w:rsidRPr="004F572A">
        <w:rPr>
          <w:rFonts w:ascii="TimesNewRomanPSMT" w:eastAsia="Times New Roman" w:hAnsi="TimesNewRomanPSMT"/>
          <w:sz w:val="22"/>
          <w:szCs w:val="22"/>
          <w:lang w:eastAsia="en-US"/>
        </w:rPr>
        <w:t xml:space="preserve"> (simptomai gali būti dažnas širdies plakimas, prakaitavimas ir svorio</w:t>
      </w:r>
      <w:r w:rsidR="001F42C6" w:rsidRPr="004F572A">
        <w:rPr>
          <w:rFonts w:ascii="TimesNewRomanPSMT" w:eastAsia="Times New Roman" w:hAnsi="TimesNewRomanPSMT"/>
          <w:sz w:val="22"/>
          <w:szCs w:val="22"/>
          <w:lang w:eastAsia="en-US"/>
        </w:rPr>
        <w:t xml:space="preserve"> </w:t>
      </w:r>
      <w:r w:rsidR="005E4FAA" w:rsidRPr="004F572A">
        <w:rPr>
          <w:rFonts w:ascii="TimesNewRomanPSMT" w:eastAsia="Times New Roman" w:hAnsi="TimesNewRomanPSMT"/>
          <w:sz w:val="22"/>
          <w:szCs w:val="22"/>
          <w:lang w:eastAsia="en-US"/>
        </w:rPr>
        <w:t>kritimas);</w:t>
      </w:r>
    </w:p>
    <w:p w14:paraId="0453D89E" w14:textId="3E5F56C6"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pakitęs kalcio kiekis kraujyje (sumažėjęs);</w:t>
      </w:r>
    </w:p>
    <w:p w14:paraId="1FA9CBFD" w14:textId="7EB0EE76"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pakitęs kalio kiekis kraujyje (sumažėjęs);</w:t>
      </w:r>
    </w:p>
    <w:p w14:paraId="50037CC9" w14:textId="3F198A87"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pakitęs cholesterolio kiekis kraujyje (padidėjęs);</w:t>
      </w:r>
    </w:p>
    <w:p w14:paraId="30D71DB3" w14:textId="3D56469D"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pakitęs magnio kiekis kraujyje (sumažėjęs);</w:t>
      </w:r>
    </w:p>
    <w:p w14:paraId="479B22C2" w14:textId="7269D19F"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 xml:space="preserve">apetito </w:t>
      </w:r>
      <w:r w:rsidR="00FB1CB2">
        <w:rPr>
          <w:rFonts w:ascii="TimesNewRomanPSMT" w:eastAsia="Times New Roman" w:hAnsi="TimesNewRomanPSMT"/>
          <w:sz w:val="22"/>
          <w:szCs w:val="22"/>
          <w:lang w:eastAsia="en-US"/>
        </w:rPr>
        <w:t>praradimas</w:t>
      </w:r>
      <w:r w:rsidR="00FB1CB2" w:rsidRPr="004F572A">
        <w:rPr>
          <w:rFonts w:ascii="TimesNewRomanPSMT" w:eastAsia="Times New Roman" w:hAnsi="TimesNewRomanPSMT"/>
          <w:sz w:val="22"/>
          <w:szCs w:val="22"/>
          <w:lang w:eastAsia="en-US"/>
        </w:rPr>
        <w:t xml:space="preserve"> </w:t>
      </w:r>
      <w:r w:rsidRPr="004F572A">
        <w:rPr>
          <w:rFonts w:ascii="TimesNewRomanPSMT" w:eastAsia="Times New Roman" w:hAnsi="TimesNewRomanPSMT"/>
          <w:sz w:val="22"/>
          <w:szCs w:val="22"/>
          <w:lang w:eastAsia="en-US"/>
        </w:rPr>
        <w:t>arba svorio kritimas;</w:t>
      </w:r>
    </w:p>
    <w:p w14:paraId="2591584D" w14:textId="4388578E" w:rsidR="005E4FAA" w:rsidRPr="004F572A" w:rsidRDefault="00FB1CB2">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Pr>
          <w:rFonts w:ascii="TimesNewRomanPSMT" w:eastAsia="Times New Roman" w:hAnsi="TimesNewRomanPSMT"/>
          <w:sz w:val="22"/>
          <w:szCs w:val="22"/>
          <w:lang w:eastAsia="en-US"/>
        </w:rPr>
        <w:t>svaig</w:t>
      </w:r>
      <w:r w:rsidR="004F4F8F">
        <w:rPr>
          <w:rFonts w:ascii="TimesNewRomanPSMT" w:eastAsia="Times New Roman" w:hAnsi="TimesNewRomanPSMT"/>
          <w:sz w:val="22"/>
          <w:szCs w:val="22"/>
          <w:lang w:eastAsia="en-US"/>
        </w:rPr>
        <w:t>uly</w:t>
      </w:r>
      <w:r>
        <w:rPr>
          <w:rFonts w:ascii="TimesNewRomanPSMT" w:eastAsia="Times New Roman" w:hAnsi="TimesNewRomanPSMT"/>
          <w:sz w:val="22"/>
          <w:szCs w:val="22"/>
          <w:lang w:eastAsia="en-US"/>
        </w:rPr>
        <w:t>s</w:t>
      </w:r>
      <w:r w:rsidR="005E4FAA" w:rsidRPr="004F572A">
        <w:rPr>
          <w:rFonts w:ascii="TimesNewRomanPSMT" w:eastAsia="Times New Roman" w:hAnsi="TimesNewRomanPSMT"/>
          <w:sz w:val="22"/>
          <w:szCs w:val="22"/>
          <w:lang w:eastAsia="en-US"/>
        </w:rPr>
        <w:t>;</w:t>
      </w:r>
    </w:p>
    <w:p w14:paraId="53F5440F" w14:textId="31E9B03A"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galvos skausmas;</w:t>
      </w:r>
    </w:p>
    <w:p w14:paraId="0340D53C" w14:textId="2DE0E4EE"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nugaros skausmas;</w:t>
      </w:r>
    </w:p>
    <w:p w14:paraId="694113D8" w14:textId="6BD45E07"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 xml:space="preserve">sausa, skaudanti ar </w:t>
      </w:r>
      <w:r w:rsidR="001F42C6" w:rsidRPr="004F572A">
        <w:rPr>
          <w:rFonts w:ascii="TimesNewRomanPSMT" w:eastAsia="Times New Roman" w:hAnsi="TimesNewRomanPSMT"/>
          <w:sz w:val="22"/>
          <w:szCs w:val="22"/>
          <w:lang w:eastAsia="en-US"/>
        </w:rPr>
        <w:t>apimta uždegimo</w:t>
      </w:r>
      <w:r w:rsidRPr="004F572A">
        <w:rPr>
          <w:rFonts w:ascii="TimesNewRomanPSMT" w:eastAsia="Times New Roman" w:hAnsi="TimesNewRomanPSMT"/>
          <w:sz w:val="22"/>
          <w:szCs w:val="22"/>
          <w:lang w:eastAsia="en-US"/>
        </w:rPr>
        <w:t xml:space="preserve"> burna, keist</w:t>
      </w:r>
      <w:r w:rsidR="001F42C6" w:rsidRPr="004F572A">
        <w:rPr>
          <w:rFonts w:ascii="TimesNewRomanPSMT" w:eastAsia="Times New Roman" w:hAnsi="TimesNewRomanPSMT"/>
          <w:sz w:val="22"/>
          <w:szCs w:val="22"/>
          <w:lang w:eastAsia="en-US"/>
        </w:rPr>
        <w:t>o</w:t>
      </w:r>
      <w:r w:rsidRPr="004F572A">
        <w:rPr>
          <w:rFonts w:ascii="TimesNewRomanPSMT" w:eastAsia="Times New Roman" w:hAnsi="TimesNewRomanPSMT"/>
          <w:sz w:val="22"/>
          <w:szCs w:val="22"/>
          <w:lang w:eastAsia="en-US"/>
        </w:rPr>
        <w:t xml:space="preserve"> skonio pojūtis;</w:t>
      </w:r>
    </w:p>
    <w:p w14:paraId="106A5A8B" w14:textId="464CB90B"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kraujavimas (daugiausia iš nosies, tačiau taip pat kitų tipų kraujavimas, pvz., kraujas šlapime,</w:t>
      </w:r>
      <w:r w:rsidR="001F42C6" w:rsidRPr="004F572A">
        <w:rPr>
          <w:rFonts w:ascii="TimesNewRomanPSMT" w:eastAsia="Times New Roman" w:hAnsi="TimesNewRomanPSMT"/>
          <w:sz w:val="22"/>
          <w:szCs w:val="22"/>
          <w:lang w:eastAsia="en-US"/>
        </w:rPr>
        <w:t xml:space="preserve"> </w:t>
      </w:r>
      <w:r w:rsidRPr="004F572A">
        <w:rPr>
          <w:rFonts w:ascii="TimesNewRomanPSMT" w:eastAsia="Times New Roman" w:hAnsi="TimesNewRomanPSMT"/>
          <w:sz w:val="22"/>
          <w:szCs w:val="22"/>
          <w:lang w:eastAsia="en-US"/>
        </w:rPr>
        <w:t>kraujosruvos, kraujavimas iš dantenų ar žarnos sienelės);</w:t>
      </w:r>
    </w:p>
    <w:p w14:paraId="5B205386" w14:textId="2AA0641A" w:rsidR="005E4FAA" w:rsidRPr="004F572A" w:rsidRDefault="00FB1CB2">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Pr>
          <w:rFonts w:ascii="TimesNewRomanPSMT" w:eastAsia="Times New Roman" w:hAnsi="TimesNewRomanPSMT"/>
          <w:sz w:val="22"/>
          <w:szCs w:val="22"/>
          <w:lang w:eastAsia="en-US"/>
        </w:rPr>
        <w:t>didelis</w:t>
      </w:r>
      <w:r w:rsidR="005E4FAA" w:rsidRPr="004F572A">
        <w:rPr>
          <w:rFonts w:ascii="TimesNewRomanPSMT" w:eastAsia="Times New Roman" w:hAnsi="TimesNewRomanPSMT"/>
          <w:sz w:val="22"/>
          <w:szCs w:val="22"/>
          <w:lang w:eastAsia="en-US"/>
        </w:rPr>
        <w:t xml:space="preserve"> kraujo</w:t>
      </w:r>
      <w:r>
        <w:rPr>
          <w:rFonts w:ascii="TimesNewRomanPSMT" w:eastAsia="Times New Roman" w:hAnsi="TimesNewRomanPSMT"/>
          <w:sz w:val="22"/>
          <w:szCs w:val="22"/>
          <w:lang w:eastAsia="en-US"/>
        </w:rPr>
        <w:t>spūdis</w:t>
      </w:r>
      <w:r w:rsidR="005E4FAA" w:rsidRPr="004F572A">
        <w:rPr>
          <w:rFonts w:ascii="TimesNewRomanPSMT" w:eastAsia="Times New Roman" w:hAnsi="TimesNewRomanPSMT"/>
          <w:sz w:val="22"/>
          <w:szCs w:val="22"/>
          <w:lang w:eastAsia="en-US"/>
        </w:rPr>
        <w:t>;</w:t>
      </w:r>
    </w:p>
    <w:p w14:paraId="02311689" w14:textId="2F2D916D"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užkimęs balsas;</w:t>
      </w:r>
    </w:p>
    <w:p w14:paraId="303A2F48" w14:textId="0F62576F"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pykinimas ir vėmimas, vidurių užkietėjimas, viduriavimas, pilvo skausmas;</w:t>
      </w:r>
    </w:p>
    <w:p w14:paraId="4334A8C3" w14:textId="7B76BF2E"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proofErr w:type="spellStart"/>
      <w:r w:rsidRPr="004F572A">
        <w:rPr>
          <w:rFonts w:ascii="TimesNewRomanPSMT" w:eastAsia="Times New Roman" w:hAnsi="TimesNewRomanPSMT"/>
          <w:sz w:val="22"/>
          <w:szCs w:val="22"/>
          <w:lang w:eastAsia="en-US"/>
        </w:rPr>
        <w:t>amilazės</w:t>
      </w:r>
      <w:proofErr w:type="spellEnd"/>
      <w:r w:rsidRPr="004F572A">
        <w:rPr>
          <w:rFonts w:ascii="TimesNewRomanPSMT" w:eastAsia="Times New Roman" w:hAnsi="TimesNewRomanPSMT"/>
          <w:sz w:val="22"/>
          <w:szCs w:val="22"/>
          <w:lang w:eastAsia="en-US"/>
        </w:rPr>
        <w:t xml:space="preserve"> (virškinimo fermento) </w:t>
      </w:r>
      <w:r w:rsidR="001F42C6" w:rsidRPr="004F572A">
        <w:rPr>
          <w:rFonts w:ascii="TimesNewRomanPSMT" w:eastAsia="Times New Roman" w:hAnsi="TimesNewRomanPSMT"/>
          <w:sz w:val="22"/>
          <w:szCs w:val="22"/>
          <w:lang w:eastAsia="en-US"/>
        </w:rPr>
        <w:t xml:space="preserve">aktyvumo </w:t>
      </w:r>
      <w:r w:rsidRPr="004F572A">
        <w:rPr>
          <w:rFonts w:ascii="TimesNewRomanPSMT" w:eastAsia="Times New Roman" w:hAnsi="TimesNewRomanPSMT"/>
          <w:sz w:val="22"/>
          <w:szCs w:val="22"/>
          <w:lang w:eastAsia="en-US"/>
        </w:rPr>
        <w:t>padidėjimas;</w:t>
      </w:r>
    </w:p>
    <w:p w14:paraId="563B15E2" w14:textId="64DE7BF4"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lipazės</w:t>
      </w:r>
      <w:r w:rsidR="00871C2C">
        <w:rPr>
          <w:rFonts w:ascii="TimesNewRomanPSMT" w:eastAsia="Times New Roman" w:hAnsi="TimesNewRomanPSMT"/>
          <w:sz w:val="22"/>
          <w:szCs w:val="22"/>
          <w:lang w:eastAsia="en-US"/>
        </w:rPr>
        <w:t xml:space="preserve"> (virškinimo fermento) aktyvumo padidėjimas</w:t>
      </w:r>
      <w:r w:rsidRPr="004F572A">
        <w:rPr>
          <w:rFonts w:ascii="TimesNewRomanPSMT" w:eastAsia="Times New Roman" w:hAnsi="TimesNewRomanPSMT"/>
          <w:sz w:val="22"/>
          <w:szCs w:val="22"/>
          <w:lang w:eastAsia="en-US"/>
        </w:rPr>
        <w:t>;</w:t>
      </w:r>
    </w:p>
    <w:p w14:paraId="33C35F29" w14:textId="1DAF8B39" w:rsidR="005E4FAA" w:rsidRPr="004F572A" w:rsidRDefault="00FB1CB2">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Pr>
          <w:rFonts w:ascii="TimesNewRomanPSMT" w:eastAsia="Times New Roman" w:hAnsi="TimesNewRomanPSMT"/>
          <w:sz w:val="22"/>
          <w:szCs w:val="22"/>
          <w:lang w:eastAsia="en-US"/>
        </w:rPr>
        <w:t xml:space="preserve">pakitę </w:t>
      </w:r>
      <w:r w:rsidR="005E4FAA" w:rsidRPr="004F572A">
        <w:rPr>
          <w:rFonts w:ascii="TimesNewRomanPSMT" w:eastAsia="Times New Roman" w:hAnsi="TimesNewRomanPSMT"/>
          <w:sz w:val="22"/>
          <w:szCs w:val="22"/>
          <w:lang w:eastAsia="en-US"/>
        </w:rPr>
        <w:t>kepenų funkcijos kraujo tyrimų rezultat</w:t>
      </w:r>
      <w:r>
        <w:rPr>
          <w:rFonts w:ascii="TimesNewRomanPSMT" w:eastAsia="Times New Roman" w:hAnsi="TimesNewRomanPSMT"/>
          <w:sz w:val="22"/>
          <w:szCs w:val="22"/>
          <w:lang w:eastAsia="en-US"/>
        </w:rPr>
        <w:t>ai</w:t>
      </w:r>
      <w:r w:rsidR="005E4FAA" w:rsidRPr="004F572A">
        <w:rPr>
          <w:rFonts w:ascii="TimesNewRomanPSMT" w:eastAsia="Times New Roman" w:hAnsi="TimesNewRomanPSMT"/>
          <w:sz w:val="22"/>
          <w:szCs w:val="22"/>
          <w:lang w:eastAsia="en-US"/>
        </w:rPr>
        <w:t>;</w:t>
      </w:r>
    </w:p>
    <w:p w14:paraId="69267C7D" w14:textId="727CD562" w:rsidR="005E4FAA" w:rsidRPr="004F572A" w:rsidRDefault="00FB1CB2">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Pr>
          <w:rFonts w:ascii="TimesNewRomanPSMT" w:eastAsia="Times New Roman" w:hAnsi="TimesNewRomanPSMT"/>
          <w:sz w:val="22"/>
          <w:szCs w:val="22"/>
          <w:lang w:eastAsia="en-US"/>
        </w:rPr>
        <w:t xml:space="preserve">pakitę </w:t>
      </w:r>
      <w:r w:rsidR="005E4FAA" w:rsidRPr="004F572A">
        <w:rPr>
          <w:rFonts w:ascii="TimesNewRomanPSMT" w:eastAsia="Times New Roman" w:hAnsi="TimesNewRomanPSMT"/>
          <w:sz w:val="22"/>
          <w:szCs w:val="22"/>
          <w:lang w:eastAsia="en-US"/>
        </w:rPr>
        <w:t>inkstų funkcijos kraujo tyrimų rezultat</w:t>
      </w:r>
      <w:r>
        <w:rPr>
          <w:rFonts w:ascii="TimesNewRomanPSMT" w:eastAsia="Times New Roman" w:hAnsi="TimesNewRomanPSMT"/>
          <w:sz w:val="22"/>
          <w:szCs w:val="22"/>
          <w:lang w:eastAsia="en-US"/>
        </w:rPr>
        <w:t>ai</w:t>
      </w:r>
      <w:r w:rsidR="005E4FAA" w:rsidRPr="004F572A">
        <w:rPr>
          <w:rFonts w:ascii="TimesNewRomanPSMT" w:eastAsia="Times New Roman" w:hAnsi="TimesNewRomanPSMT"/>
          <w:sz w:val="22"/>
          <w:szCs w:val="22"/>
          <w:lang w:eastAsia="en-US"/>
        </w:rPr>
        <w:t>;</w:t>
      </w:r>
    </w:p>
    <w:p w14:paraId="0482A407" w14:textId="67162D86"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 xml:space="preserve">plaštakų ir pėdų odos paraudimas, skaudėjimas ir patinimas (delnų ir padų </w:t>
      </w:r>
      <w:proofErr w:type="spellStart"/>
      <w:r w:rsidRPr="004F572A">
        <w:rPr>
          <w:rFonts w:ascii="TimesNewRomanPSMT" w:eastAsia="Times New Roman" w:hAnsi="TimesNewRomanPSMT"/>
          <w:sz w:val="22"/>
          <w:szCs w:val="22"/>
          <w:lang w:eastAsia="en-US"/>
        </w:rPr>
        <w:t>eritrodizestezija</w:t>
      </w:r>
      <w:proofErr w:type="spellEnd"/>
      <w:r w:rsidRPr="004F572A">
        <w:rPr>
          <w:rFonts w:ascii="TimesNewRomanPSMT" w:eastAsia="Times New Roman" w:hAnsi="TimesNewRomanPSMT"/>
          <w:sz w:val="22"/>
          <w:szCs w:val="22"/>
          <w:lang w:eastAsia="en-US"/>
        </w:rPr>
        <w:t>);</w:t>
      </w:r>
    </w:p>
    <w:p w14:paraId="22DB4124" w14:textId="71717D8B" w:rsidR="005E4FAA" w:rsidRPr="004F572A" w:rsidRDefault="008F61D8">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iš</w:t>
      </w:r>
      <w:r w:rsidR="005E4FAA" w:rsidRPr="004F572A">
        <w:rPr>
          <w:rFonts w:ascii="TimesNewRomanPSMT" w:eastAsia="Times New Roman" w:hAnsi="TimesNewRomanPSMT"/>
          <w:sz w:val="22"/>
          <w:szCs w:val="22"/>
          <w:lang w:eastAsia="en-US"/>
        </w:rPr>
        <w:t>bėrimas;</w:t>
      </w:r>
    </w:p>
    <w:p w14:paraId="505EB614" w14:textId="3ED1E424"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sąnarių ar raumenų skausmas;</w:t>
      </w:r>
    </w:p>
    <w:p w14:paraId="5C7BF95A" w14:textId="7996AD5C"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didelio nuovargio ar silpnumo pojūtis;</w:t>
      </w:r>
    </w:p>
    <w:p w14:paraId="1B19D49A" w14:textId="3DFA7621"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kojų patinimas.</w:t>
      </w:r>
    </w:p>
    <w:p w14:paraId="1A732C05" w14:textId="77777777" w:rsidR="008F61D8" w:rsidRPr="004F572A" w:rsidRDefault="008F61D8" w:rsidP="008F61D8">
      <w:pPr>
        <w:tabs>
          <w:tab w:val="clear" w:pos="567"/>
        </w:tabs>
        <w:suppressAutoHyphens w:val="0"/>
        <w:spacing w:line="240" w:lineRule="auto"/>
        <w:rPr>
          <w:rFonts w:ascii="TimesNewRomanPSMT" w:eastAsia="Times New Roman" w:hAnsi="TimesNewRomanPSMT"/>
          <w:sz w:val="22"/>
          <w:szCs w:val="22"/>
          <w:lang w:eastAsia="en-US"/>
        </w:rPr>
      </w:pPr>
    </w:p>
    <w:p w14:paraId="48FDE8CB" w14:textId="0559648A" w:rsidR="005E4FAA" w:rsidRPr="004F572A" w:rsidRDefault="005E4FAA" w:rsidP="008F61D8">
      <w:pPr>
        <w:tabs>
          <w:tab w:val="clear" w:pos="567"/>
        </w:tabs>
        <w:suppressAutoHyphens w:val="0"/>
        <w:spacing w:line="240" w:lineRule="auto"/>
        <w:rPr>
          <w:rFonts w:ascii="TimesNewRomanPSMT" w:eastAsia="Times New Roman" w:hAnsi="TimesNewRomanPSMT"/>
          <w:sz w:val="22"/>
          <w:szCs w:val="22"/>
          <w:lang w:eastAsia="en-US"/>
        </w:rPr>
      </w:pPr>
      <w:r w:rsidRPr="004F572A">
        <w:rPr>
          <w:rFonts w:ascii="TimesNewRomanPS-BoldMT" w:eastAsia="Times New Roman" w:hAnsi="TimesNewRomanPS-BoldMT"/>
          <w:b/>
          <w:bCs/>
          <w:sz w:val="22"/>
          <w:szCs w:val="22"/>
          <w:lang w:eastAsia="en-US"/>
        </w:rPr>
        <w:t>Dažn</w:t>
      </w:r>
      <w:r w:rsidR="008F61D8" w:rsidRPr="004F572A">
        <w:rPr>
          <w:rFonts w:ascii="TimesNewRomanPS-BoldMT" w:eastAsia="Times New Roman" w:hAnsi="TimesNewRomanPS-BoldMT"/>
          <w:b/>
          <w:bCs/>
          <w:sz w:val="22"/>
          <w:szCs w:val="22"/>
          <w:lang w:eastAsia="en-US"/>
        </w:rPr>
        <w:t>i</w:t>
      </w:r>
      <w:r w:rsidR="008F61D8" w:rsidRPr="004F572A">
        <w:t xml:space="preserve"> </w:t>
      </w:r>
      <w:r w:rsidR="008F61D8" w:rsidRPr="004F572A">
        <w:rPr>
          <w:rFonts w:ascii="TimesNewRomanPS-BoldMT" w:eastAsia="Times New Roman" w:hAnsi="TimesNewRomanPS-BoldMT"/>
          <w:b/>
          <w:bCs/>
          <w:sz w:val="22"/>
          <w:szCs w:val="22"/>
          <w:lang w:eastAsia="en-US"/>
        </w:rPr>
        <w:t>šalutinio poveikio reiškiniai</w:t>
      </w:r>
      <w:r w:rsidRPr="004F572A">
        <w:rPr>
          <w:rFonts w:ascii="TimesNewRomanPS-BoldMT" w:eastAsia="Times New Roman" w:hAnsi="TimesNewRomanPS-BoldMT"/>
          <w:b/>
          <w:bCs/>
          <w:sz w:val="22"/>
          <w:szCs w:val="22"/>
          <w:lang w:eastAsia="en-US"/>
        </w:rPr>
        <w:t xml:space="preserve"> </w:t>
      </w:r>
      <w:r w:rsidRPr="004F572A">
        <w:rPr>
          <w:rFonts w:ascii="TimesNewRomanPSMT" w:eastAsia="Times New Roman" w:hAnsi="TimesNewRomanPSMT"/>
          <w:sz w:val="22"/>
          <w:szCs w:val="22"/>
          <w:lang w:eastAsia="en-US"/>
        </w:rPr>
        <w:t>(gali pasireikšti rečiau kaip 1 iš 10 asmenų)</w:t>
      </w:r>
      <w:r w:rsidR="008F61D8" w:rsidRPr="004F572A">
        <w:rPr>
          <w:rFonts w:ascii="TimesNewRomanPSMT" w:eastAsia="Times New Roman" w:hAnsi="TimesNewRomanPSMT"/>
          <w:sz w:val="22"/>
          <w:szCs w:val="22"/>
          <w:lang w:eastAsia="en-US"/>
        </w:rPr>
        <w:t>:</w:t>
      </w:r>
    </w:p>
    <w:p w14:paraId="4FD88D36" w14:textId="6065B63D"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kūno skysčių netekimas (dehidratacija);</w:t>
      </w:r>
    </w:p>
    <w:p w14:paraId="41AE25D0" w14:textId="23C39158"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miego sutrikimas;</w:t>
      </w:r>
    </w:p>
    <w:p w14:paraId="50ED6431" w14:textId="5172B6E2" w:rsidR="005E4FAA" w:rsidRPr="004F572A" w:rsidRDefault="00FB1CB2">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Pr>
          <w:rFonts w:ascii="TimesNewRomanPSMT" w:eastAsia="Times New Roman" w:hAnsi="TimesNewRomanPSMT"/>
          <w:sz w:val="22"/>
          <w:szCs w:val="22"/>
          <w:lang w:eastAsia="en-US"/>
        </w:rPr>
        <w:t xml:space="preserve">smarkus </w:t>
      </w:r>
      <w:r w:rsidR="005E4FAA" w:rsidRPr="004F572A">
        <w:rPr>
          <w:rFonts w:ascii="TimesNewRomanPSMT" w:eastAsia="Times New Roman" w:hAnsi="TimesNewRomanPSMT"/>
          <w:sz w:val="22"/>
          <w:szCs w:val="22"/>
          <w:lang w:eastAsia="en-US"/>
        </w:rPr>
        <w:t xml:space="preserve">širdies </w:t>
      </w:r>
      <w:r>
        <w:rPr>
          <w:rFonts w:ascii="TimesNewRomanPSMT" w:eastAsia="Times New Roman" w:hAnsi="TimesNewRomanPSMT"/>
          <w:sz w:val="22"/>
          <w:szCs w:val="22"/>
          <w:lang w:eastAsia="en-US"/>
        </w:rPr>
        <w:t>plakimas</w:t>
      </w:r>
      <w:r w:rsidR="005E4FAA" w:rsidRPr="004F572A">
        <w:rPr>
          <w:rFonts w:ascii="TimesNewRomanPSMT" w:eastAsia="Times New Roman" w:hAnsi="TimesNewRomanPSMT"/>
          <w:sz w:val="22"/>
          <w:szCs w:val="22"/>
          <w:lang w:eastAsia="en-US"/>
        </w:rPr>
        <w:t>;</w:t>
      </w:r>
    </w:p>
    <w:p w14:paraId="3E299E84" w14:textId="5CBF17D6" w:rsidR="005E4FAA" w:rsidRPr="004F572A" w:rsidRDefault="00FB1CB2">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Pr>
          <w:rFonts w:ascii="TimesNewRomanPSMT" w:eastAsia="Times New Roman" w:hAnsi="TimesNewRomanPSMT"/>
          <w:sz w:val="22"/>
          <w:szCs w:val="22"/>
          <w:lang w:eastAsia="en-US"/>
        </w:rPr>
        <w:t>mažas</w:t>
      </w:r>
      <w:r w:rsidRPr="004F572A">
        <w:rPr>
          <w:rFonts w:ascii="TimesNewRomanPSMT" w:eastAsia="Times New Roman" w:hAnsi="TimesNewRomanPSMT"/>
          <w:sz w:val="22"/>
          <w:szCs w:val="22"/>
          <w:lang w:eastAsia="en-US"/>
        </w:rPr>
        <w:t xml:space="preserve"> </w:t>
      </w:r>
      <w:r w:rsidR="005E4FAA" w:rsidRPr="004F572A">
        <w:rPr>
          <w:rFonts w:ascii="TimesNewRomanPSMT" w:eastAsia="Times New Roman" w:hAnsi="TimesNewRomanPSMT"/>
          <w:sz w:val="22"/>
          <w:szCs w:val="22"/>
          <w:lang w:eastAsia="en-US"/>
        </w:rPr>
        <w:t>kraujo</w:t>
      </w:r>
      <w:r>
        <w:rPr>
          <w:rFonts w:ascii="TimesNewRomanPSMT" w:eastAsia="Times New Roman" w:hAnsi="TimesNewRomanPSMT"/>
          <w:sz w:val="22"/>
          <w:szCs w:val="22"/>
          <w:lang w:eastAsia="en-US"/>
        </w:rPr>
        <w:t>spūdis</w:t>
      </w:r>
      <w:r w:rsidR="005E4FAA" w:rsidRPr="004F572A">
        <w:rPr>
          <w:rFonts w:ascii="TimesNewRomanPSMT" w:eastAsia="Times New Roman" w:hAnsi="TimesNewRomanPSMT"/>
          <w:sz w:val="22"/>
          <w:szCs w:val="22"/>
          <w:lang w:eastAsia="en-US"/>
        </w:rPr>
        <w:t>;</w:t>
      </w:r>
    </w:p>
    <w:p w14:paraId="5DB30B50" w14:textId="50C2FAB8" w:rsidR="005E4FAA" w:rsidRPr="004F572A" w:rsidRDefault="005E4FAA">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kraujo krešuliai plaučiuose (pasunkėjęs kvėpavimas, krūtinės skausmas);</w:t>
      </w:r>
    </w:p>
    <w:p w14:paraId="44FC98D8" w14:textId="77777777" w:rsidR="008F61D8" w:rsidRPr="004F572A" w:rsidRDefault="005E4FAA">
      <w:pPr>
        <w:pStyle w:val="Sraopastraipa"/>
        <w:numPr>
          <w:ilvl w:val="0"/>
          <w:numId w:val="16"/>
        </w:numPr>
        <w:ind w:left="360" w:right="-2"/>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kasos uždeg</w:t>
      </w:r>
      <w:r w:rsidR="008F61D8" w:rsidRPr="004F572A">
        <w:rPr>
          <w:rFonts w:ascii="TimesNewRomanPSMT" w:eastAsia="Times New Roman" w:hAnsi="TimesNewRomanPSMT"/>
          <w:sz w:val="22"/>
          <w:szCs w:val="22"/>
          <w:lang w:eastAsia="en-US"/>
        </w:rPr>
        <w:t xml:space="preserve">imas; </w:t>
      </w:r>
    </w:p>
    <w:p w14:paraId="0A110F14" w14:textId="346EB2E6" w:rsidR="008F61D8" w:rsidRPr="004F572A" w:rsidRDefault="008F61D8">
      <w:pPr>
        <w:pStyle w:val="Sraopastraipa"/>
        <w:numPr>
          <w:ilvl w:val="0"/>
          <w:numId w:val="16"/>
        </w:numPr>
        <w:ind w:left="360" w:right="-2"/>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 xml:space="preserve">pilvo pūtimo pojūtis arba </w:t>
      </w:r>
      <w:r w:rsidR="00917C51">
        <w:rPr>
          <w:rFonts w:ascii="TimesNewRomanPSMT" w:eastAsia="Times New Roman" w:hAnsi="TimesNewRomanPSMT"/>
          <w:sz w:val="22"/>
          <w:szCs w:val="22"/>
          <w:lang w:eastAsia="en-US"/>
        </w:rPr>
        <w:t>didelio</w:t>
      </w:r>
      <w:r w:rsidRPr="004F572A">
        <w:rPr>
          <w:rFonts w:ascii="TimesNewRomanPSMT" w:eastAsia="Times New Roman" w:hAnsi="TimesNewRomanPSMT"/>
          <w:sz w:val="22"/>
          <w:szCs w:val="22"/>
          <w:lang w:eastAsia="en-US"/>
        </w:rPr>
        <w:t xml:space="preserve"> dujų </w:t>
      </w:r>
      <w:r w:rsidR="00917C51">
        <w:rPr>
          <w:rFonts w:ascii="TimesNewRomanPSMT" w:eastAsia="Times New Roman" w:hAnsi="TimesNewRomanPSMT"/>
          <w:sz w:val="22"/>
          <w:szCs w:val="22"/>
          <w:lang w:eastAsia="en-US"/>
        </w:rPr>
        <w:t>kiekio kaupimasis žarnyne</w:t>
      </w:r>
      <w:r w:rsidRPr="004F572A">
        <w:rPr>
          <w:rFonts w:ascii="TimesNewRomanPSMT" w:eastAsia="Times New Roman" w:hAnsi="TimesNewRomanPSMT"/>
          <w:sz w:val="22"/>
          <w:szCs w:val="22"/>
          <w:lang w:eastAsia="en-US"/>
        </w:rPr>
        <w:t>;</w:t>
      </w:r>
    </w:p>
    <w:p w14:paraId="761C8C0B" w14:textId="247A0CF0" w:rsidR="008F61D8" w:rsidRPr="004F572A" w:rsidRDefault="008F61D8">
      <w:pPr>
        <w:pStyle w:val="Sraopastraipa"/>
        <w:numPr>
          <w:ilvl w:val="0"/>
          <w:numId w:val="16"/>
        </w:numPr>
        <w:ind w:left="360" w:right="-2"/>
        <w:rPr>
          <w:rFonts w:ascii="TimesNewRomanPSMT" w:eastAsia="Times New Roman" w:hAnsi="TimesNewRomanPSMT"/>
          <w:sz w:val="22"/>
          <w:szCs w:val="22"/>
          <w:lang w:eastAsia="en-US"/>
        </w:rPr>
      </w:pPr>
      <w:proofErr w:type="spellStart"/>
      <w:r w:rsidRPr="004F572A">
        <w:rPr>
          <w:rFonts w:ascii="TimesNewRomanPSMT" w:eastAsia="Times New Roman" w:hAnsi="TimesNewRomanPSMT"/>
          <w:sz w:val="22"/>
          <w:szCs w:val="22"/>
          <w:lang w:eastAsia="en-US"/>
        </w:rPr>
        <w:t>nevirškinimas</w:t>
      </w:r>
      <w:proofErr w:type="spellEnd"/>
      <w:r w:rsidRPr="004F572A">
        <w:rPr>
          <w:rFonts w:ascii="TimesNewRomanPSMT" w:eastAsia="Times New Roman" w:hAnsi="TimesNewRomanPSMT"/>
          <w:sz w:val="22"/>
          <w:szCs w:val="22"/>
          <w:lang w:eastAsia="en-US"/>
        </w:rPr>
        <w:t>;</w:t>
      </w:r>
    </w:p>
    <w:p w14:paraId="403581D3" w14:textId="794F0696" w:rsidR="008F61D8" w:rsidRPr="004F572A" w:rsidRDefault="008F61D8">
      <w:pPr>
        <w:pStyle w:val="Sraopastraipa"/>
        <w:numPr>
          <w:ilvl w:val="0"/>
          <w:numId w:val="16"/>
        </w:numPr>
        <w:ind w:left="360" w:right="-2"/>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tulžies pūslės uždegimas;</w:t>
      </w:r>
    </w:p>
    <w:p w14:paraId="5FC250FE" w14:textId="67BC998F" w:rsidR="008F61D8" w:rsidRPr="004F572A" w:rsidRDefault="008F61D8">
      <w:pPr>
        <w:pStyle w:val="Sraopastraipa"/>
        <w:numPr>
          <w:ilvl w:val="0"/>
          <w:numId w:val="16"/>
        </w:numPr>
        <w:ind w:left="360" w:right="-2"/>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plaukų slinkimas;</w:t>
      </w:r>
    </w:p>
    <w:p w14:paraId="3CAA1C35" w14:textId="495BE089" w:rsidR="008F61D8" w:rsidRPr="004F572A" w:rsidRDefault="008F61D8">
      <w:pPr>
        <w:pStyle w:val="Sraopastraipa"/>
        <w:numPr>
          <w:ilvl w:val="0"/>
          <w:numId w:val="16"/>
        </w:numPr>
        <w:ind w:left="360" w:right="-2"/>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inkstų nepakankamumas;</w:t>
      </w:r>
    </w:p>
    <w:p w14:paraId="6508E15D" w14:textId="74A2B3F3" w:rsidR="008F61D8" w:rsidRPr="004F572A" w:rsidRDefault="008F61D8">
      <w:pPr>
        <w:pStyle w:val="Sraopastraipa"/>
        <w:numPr>
          <w:ilvl w:val="0"/>
          <w:numId w:val="16"/>
        </w:numPr>
        <w:ind w:left="360" w:right="-2"/>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bloga savijauta;</w:t>
      </w:r>
    </w:p>
    <w:p w14:paraId="20BA8AE6" w14:textId="52DC9CD5" w:rsidR="008F61D8" w:rsidRPr="004F572A" w:rsidRDefault="008F61D8">
      <w:pPr>
        <w:pStyle w:val="Sraopastraipa"/>
        <w:numPr>
          <w:ilvl w:val="0"/>
          <w:numId w:val="16"/>
        </w:numPr>
        <w:ind w:left="360" w:right="-2"/>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storosios žarnos uždegimas (kolitas);</w:t>
      </w:r>
    </w:p>
    <w:p w14:paraId="2F6F526D" w14:textId="0ED338C9" w:rsidR="008F61D8" w:rsidRPr="004F572A" w:rsidRDefault="008F61D8">
      <w:pPr>
        <w:pStyle w:val="Sraopastraipa"/>
        <w:numPr>
          <w:ilvl w:val="0"/>
          <w:numId w:val="16"/>
        </w:numPr>
        <w:ind w:left="360" w:right="-2"/>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sumažėjusi antinksčių liaukų gaminamų hormonų sekrecija;</w:t>
      </w:r>
    </w:p>
    <w:p w14:paraId="5CB9F444" w14:textId="58362566" w:rsidR="008F61D8" w:rsidRPr="004F572A" w:rsidRDefault="008F61D8">
      <w:pPr>
        <w:pStyle w:val="Sraopastraipa"/>
        <w:numPr>
          <w:ilvl w:val="0"/>
          <w:numId w:val="16"/>
        </w:numPr>
        <w:ind w:left="360" w:right="-2"/>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skylė (perforacija) skrandyje ar žarnyne.</w:t>
      </w:r>
    </w:p>
    <w:p w14:paraId="7AC88D05" w14:textId="77777777" w:rsidR="008F61D8" w:rsidRPr="004F572A" w:rsidRDefault="008F61D8" w:rsidP="000C442C">
      <w:pPr>
        <w:ind w:right="-2"/>
        <w:rPr>
          <w:rFonts w:ascii="TimesNewRomanPSMT" w:eastAsia="Times New Roman" w:hAnsi="TimesNewRomanPSMT"/>
          <w:sz w:val="22"/>
          <w:szCs w:val="22"/>
          <w:lang w:eastAsia="en-US"/>
        </w:rPr>
      </w:pPr>
    </w:p>
    <w:p w14:paraId="64DCB848" w14:textId="3EBEF40C" w:rsidR="008F61D8" w:rsidRPr="004F572A" w:rsidRDefault="008F61D8" w:rsidP="000C442C">
      <w:pPr>
        <w:ind w:right="-2"/>
        <w:rPr>
          <w:rFonts w:ascii="TimesNewRomanPSMT" w:eastAsia="Times New Roman" w:hAnsi="TimesNewRomanPSMT"/>
          <w:sz w:val="22"/>
          <w:szCs w:val="22"/>
          <w:lang w:eastAsia="en-US"/>
        </w:rPr>
      </w:pPr>
      <w:r w:rsidRPr="004F572A">
        <w:rPr>
          <w:rFonts w:ascii="TimesNewRomanPSMT" w:eastAsia="Times New Roman" w:hAnsi="TimesNewRomanPSMT"/>
          <w:b/>
          <w:bCs/>
          <w:sz w:val="22"/>
          <w:szCs w:val="22"/>
          <w:lang w:eastAsia="en-US"/>
        </w:rPr>
        <w:t xml:space="preserve">Nedažni šalutinio poveikio reiškiniai </w:t>
      </w:r>
      <w:r w:rsidRPr="004F572A">
        <w:rPr>
          <w:rFonts w:ascii="TimesNewRomanPSMT" w:eastAsia="Times New Roman" w:hAnsi="TimesNewRomanPSMT"/>
          <w:sz w:val="22"/>
          <w:szCs w:val="22"/>
          <w:lang w:eastAsia="en-US"/>
        </w:rPr>
        <w:t>(gali pasireikšti rečiau kaip 1 iš 100 asmenų):</w:t>
      </w:r>
    </w:p>
    <w:p w14:paraId="02968B5C" w14:textId="4FC3FB05" w:rsidR="008F61D8" w:rsidRPr="004F572A" w:rsidRDefault="008F61D8">
      <w:pPr>
        <w:pStyle w:val="Sraopastraipa"/>
        <w:numPr>
          <w:ilvl w:val="0"/>
          <w:numId w:val="16"/>
        </w:numPr>
        <w:ind w:left="360" w:right="-2"/>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galvos skausmas, sumišimas, traukuliai ir regos pokyčiai;</w:t>
      </w:r>
    </w:p>
    <w:p w14:paraId="442AF6AD" w14:textId="0E8524BB" w:rsidR="008F61D8" w:rsidRPr="004F572A" w:rsidRDefault="008F61D8">
      <w:pPr>
        <w:pStyle w:val="Sraopastraipa"/>
        <w:numPr>
          <w:ilvl w:val="0"/>
          <w:numId w:val="16"/>
        </w:numPr>
        <w:ind w:left="360" w:right="-2"/>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lastRenderedPageBreak/>
        <w:t xml:space="preserve">insulto požymiai, įskaitant </w:t>
      </w:r>
      <w:r w:rsidR="00917C51" w:rsidRPr="00917C51">
        <w:rPr>
          <w:rFonts w:ascii="TimesNewRomanPSMT" w:eastAsia="Times New Roman" w:hAnsi="TimesNewRomanPSMT"/>
          <w:sz w:val="22"/>
          <w:szCs w:val="22"/>
          <w:lang w:eastAsia="en-US"/>
        </w:rPr>
        <w:t>tirpimą ar silpnumą vienoje kūno pusėje</w:t>
      </w:r>
      <w:r w:rsidRPr="004F572A">
        <w:rPr>
          <w:rFonts w:ascii="TimesNewRomanPSMT" w:eastAsia="Times New Roman" w:hAnsi="TimesNewRomanPSMT"/>
          <w:sz w:val="22"/>
          <w:szCs w:val="22"/>
          <w:lang w:eastAsia="en-US"/>
        </w:rPr>
        <w:t>, stiprus galvos skausmas,</w:t>
      </w:r>
      <w:r w:rsidR="00E65257" w:rsidRPr="004F572A">
        <w:rPr>
          <w:rFonts w:ascii="TimesNewRomanPSMT" w:eastAsia="Times New Roman" w:hAnsi="TimesNewRomanPSMT"/>
          <w:sz w:val="22"/>
          <w:szCs w:val="22"/>
          <w:lang w:eastAsia="en-US"/>
        </w:rPr>
        <w:t xml:space="preserve"> </w:t>
      </w:r>
      <w:r w:rsidRPr="004F572A">
        <w:rPr>
          <w:rFonts w:ascii="TimesNewRomanPSMT" w:eastAsia="Times New Roman" w:hAnsi="TimesNewRomanPSMT"/>
          <w:sz w:val="22"/>
          <w:szCs w:val="22"/>
          <w:lang w:eastAsia="en-US"/>
        </w:rPr>
        <w:t xml:space="preserve">traukuliai, sumišimas, </w:t>
      </w:r>
      <w:r w:rsidR="00917C51">
        <w:rPr>
          <w:rFonts w:ascii="TimesNewRomanPSMT" w:eastAsia="Times New Roman" w:hAnsi="TimesNewRomanPSMT"/>
          <w:sz w:val="22"/>
          <w:szCs w:val="22"/>
          <w:lang w:eastAsia="en-US"/>
        </w:rPr>
        <w:t>sunkumas kalbėti</w:t>
      </w:r>
      <w:r w:rsidRPr="004F572A">
        <w:rPr>
          <w:rFonts w:ascii="TimesNewRomanPSMT" w:eastAsia="Times New Roman" w:hAnsi="TimesNewRomanPSMT"/>
          <w:sz w:val="22"/>
          <w:szCs w:val="22"/>
          <w:lang w:eastAsia="en-US"/>
        </w:rPr>
        <w:t xml:space="preserve">, regos pokyčiai ar </w:t>
      </w:r>
      <w:r w:rsidR="00917C51">
        <w:rPr>
          <w:rFonts w:ascii="TimesNewRomanPSMT" w:eastAsia="Times New Roman" w:hAnsi="TimesNewRomanPSMT"/>
          <w:sz w:val="22"/>
          <w:szCs w:val="22"/>
          <w:lang w:eastAsia="en-US"/>
        </w:rPr>
        <w:t>svaig</w:t>
      </w:r>
      <w:r w:rsidR="00CD7E08">
        <w:rPr>
          <w:rFonts w:ascii="TimesNewRomanPSMT" w:eastAsia="Times New Roman" w:hAnsi="TimesNewRomanPSMT"/>
          <w:sz w:val="22"/>
          <w:szCs w:val="22"/>
          <w:lang w:eastAsia="en-US"/>
        </w:rPr>
        <w:t>uly</w:t>
      </w:r>
      <w:r w:rsidR="00917C51">
        <w:rPr>
          <w:rFonts w:ascii="TimesNewRomanPSMT" w:eastAsia="Times New Roman" w:hAnsi="TimesNewRomanPSMT"/>
          <w:sz w:val="22"/>
          <w:szCs w:val="22"/>
          <w:lang w:eastAsia="en-US"/>
        </w:rPr>
        <w:t>s</w:t>
      </w:r>
      <w:r w:rsidRPr="004F572A">
        <w:rPr>
          <w:rFonts w:ascii="TimesNewRomanPSMT" w:eastAsia="Times New Roman" w:hAnsi="TimesNewRomanPSMT"/>
          <w:sz w:val="22"/>
          <w:szCs w:val="22"/>
          <w:lang w:eastAsia="en-US"/>
        </w:rPr>
        <w:t>;</w:t>
      </w:r>
    </w:p>
    <w:p w14:paraId="3F463027" w14:textId="566C33A7" w:rsidR="008F61D8" w:rsidRPr="004F572A" w:rsidRDefault="008F61D8">
      <w:pPr>
        <w:pStyle w:val="Sraopastraipa"/>
        <w:numPr>
          <w:ilvl w:val="0"/>
          <w:numId w:val="16"/>
        </w:numPr>
        <w:ind w:left="360" w:right="-2"/>
        <w:rPr>
          <w:rFonts w:ascii="TimesNewRomanPSMT" w:eastAsia="Times New Roman" w:hAnsi="TimesNewRomanPSMT"/>
          <w:sz w:val="22"/>
          <w:szCs w:val="22"/>
          <w:lang w:eastAsia="en-US"/>
        </w:rPr>
      </w:pPr>
      <w:proofErr w:type="spellStart"/>
      <w:r w:rsidRPr="004F572A">
        <w:rPr>
          <w:rFonts w:ascii="TimesNewRomanPSMT" w:eastAsia="Times New Roman" w:hAnsi="TimesNewRomanPSMT"/>
          <w:sz w:val="22"/>
          <w:szCs w:val="22"/>
          <w:lang w:eastAsia="en-US"/>
        </w:rPr>
        <w:t>mikroinsultas</w:t>
      </w:r>
      <w:proofErr w:type="spellEnd"/>
      <w:r w:rsidRPr="004F572A">
        <w:rPr>
          <w:rFonts w:ascii="TimesNewRomanPSMT" w:eastAsia="Times New Roman" w:hAnsi="TimesNewRomanPSMT"/>
          <w:sz w:val="22"/>
          <w:szCs w:val="22"/>
          <w:lang w:eastAsia="en-US"/>
        </w:rPr>
        <w:t>;</w:t>
      </w:r>
    </w:p>
    <w:p w14:paraId="54E16210" w14:textId="4558D5AB" w:rsidR="008F61D8" w:rsidRPr="004F572A" w:rsidRDefault="008F61D8">
      <w:pPr>
        <w:pStyle w:val="Sraopastraipa"/>
        <w:numPr>
          <w:ilvl w:val="0"/>
          <w:numId w:val="16"/>
        </w:numPr>
        <w:ind w:left="360" w:right="-2"/>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širdies veiklos sutrikimo požymiai, įskaitant skausmą ar spaudimą krūtinėje, rankų, nugaros,</w:t>
      </w:r>
      <w:r w:rsidR="00E65257" w:rsidRPr="004F572A">
        <w:rPr>
          <w:rFonts w:ascii="TimesNewRomanPSMT" w:eastAsia="Times New Roman" w:hAnsi="TimesNewRomanPSMT"/>
          <w:sz w:val="22"/>
          <w:szCs w:val="22"/>
          <w:lang w:eastAsia="en-US"/>
        </w:rPr>
        <w:t xml:space="preserve"> </w:t>
      </w:r>
      <w:r w:rsidRPr="004F572A">
        <w:rPr>
          <w:rFonts w:ascii="TimesNewRomanPSMT" w:eastAsia="Times New Roman" w:hAnsi="TimesNewRomanPSMT"/>
          <w:sz w:val="22"/>
          <w:szCs w:val="22"/>
          <w:lang w:eastAsia="en-US"/>
        </w:rPr>
        <w:t>kaklo ar žandikaulio skausmą, dusulį, greitą ar nereguliarų širdies plakimą, kosulį, melsvą lūpų</w:t>
      </w:r>
      <w:r w:rsidR="00E65257" w:rsidRPr="004F572A">
        <w:rPr>
          <w:rFonts w:ascii="TimesNewRomanPSMT" w:eastAsia="Times New Roman" w:hAnsi="TimesNewRomanPSMT"/>
          <w:sz w:val="22"/>
          <w:szCs w:val="22"/>
          <w:lang w:eastAsia="en-US"/>
        </w:rPr>
        <w:t xml:space="preserve"> </w:t>
      </w:r>
      <w:r w:rsidRPr="004F572A">
        <w:rPr>
          <w:rFonts w:ascii="TimesNewRomanPSMT" w:eastAsia="Times New Roman" w:hAnsi="TimesNewRomanPSMT"/>
          <w:sz w:val="22"/>
          <w:szCs w:val="22"/>
          <w:lang w:eastAsia="en-US"/>
        </w:rPr>
        <w:t>ar pirštų spalvą ir nuovargį;</w:t>
      </w:r>
    </w:p>
    <w:p w14:paraId="5C6D44E9" w14:textId="34D5AD17" w:rsidR="008F61D8" w:rsidRPr="004F572A" w:rsidRDefault="00917C51">
      <w:pPr>
        <w:pStyle w:val="Sraopastraipa"/>
        <w:numPr>
          <w:ilvl w:val="0"/>
          <w:numId w:val="16"/>
        </w:numPr>
        <w:ind w:left="360" w:right="-2"/>
        <w:rPr>
          <w:rFonts w:ascii="TimesNewRomanPSMT" w:eastAsia="Times New Roman" w:hAnsi="TimesNewRomanPSMT"/>
          <w:sz w:val="22"/>
          <w:szCs w:val="22"/>
          <w:lang w:eastAsia="en-US"/>
        </w:rPr>
      </w:pPr>
      <w:r>
        <w:rPr>
          <w:rFonts w:ascii="TimesNewRomanPSMT" w:eastAsia="Times New Roman" w:hAnsi="TimesNewRomanPSMT"/>
          <w:sz w:val="22"/>
          <w:szCs w:val="22"/>
          <w:lang w:eastAsia="en-US"/>
        </w:rPr>
        <w:t xml:space="preserve">sunkus </w:t>
      </w:r>
      <w:r w:rsidR="008F61D8" w:rsidRPr="004F572A">
        <w:rPr>
          <w:rFonts w:ascii="TimesNewRomanPSMT" w:eastAsia="Times New Roman" w:hAnsi="TimesNewRomanPSMT"/>
          <w:sz w:val="22"/>
          <w:szCs w:val="22"/>
          <w:lang w:eastAsia="en-US"/>
        </w:rPr>
        <w:t>kvėpavim</w:t>
      </w:r>
      <w:r>
        <w:rPr>
          <w:rFonts w:ascii="TimesNewRomanPSMT" w:eastAsia="Times New Roman" w:hAnsi="TimesNewRomanPSMT"/>
          <w:sz w:val="22"/>
          <w:szCs w:val="22"/>
          <w:lang w:eastAsia="en-US"/>
        </w:rPr>
        <w:t>as</w:t>
      </w:r>
      <w:r w:rsidR="008F61D8" w:rsidRPr="004F572A">
        <w:rPr>
          <w:rFonts w:ascii="TimesNewRomanPSMT" w:eastAsia="Times New Roman" w:hAnsi="TimesNewRomanPSMT"/>
          <w:sz w:val="22"/>
          <w:szCs w:val="22"/>
          <w:lang w:eastAsia="en-US"/>
        </w:rPr>
        <w:t xml:space="preserve"> ir krūtinės skausmas, atsirandantis dėl oro nutekėjimo iš plaučių į krūtinę,</w:t>
      </w:r>
      <w:r w:rsidR="00E65257" w:rsidRPr="004F572A">
        <w:rPr>
          <w:rFonts w:ascii="TimesNewRomanPSMT" w:eastAsia="Times New Roman" w:hAnsi="TimesNewRomanPSMT"/>
          <w:sz w:val="22"/>
          <w:szCs w:val="22"/>
          <w:lang w:eastAsia="en-US"/>
        </w:rPr>
        <w:t xml:space="preserve"> </w:t>
      </w:r>
      <w:r w:rsidR="008F61D8" w:rsidRPr="004F572A">
        <w:rPr>
          <w:rFonts w:ascii="TimesNewRomanPSMT" w:eastAsia="Times New Roman" w:hAnsi="TimesNewRomanPSMT"/>
          <w:sz w:val="22"/>
          <w:szCs w:val="22"/>
          <w:lang w:eastAsia="en-US"/>
        </w:rPr>
        <w:t>todėl plaučiai negali išsipūsti;</w:t>
      </w:r>
    </w:p>
    <w:p w14:paraId="66F9904F" w14:textId="10F70C84" w:rsidR="008F61D8" w:rsidRPr="004F572A" w:rsidRDefault="008F61D8">
      <w:pPr>
        <w:pStyle w:val="Sraopastraipa"/>
        <w:numPr>
          <w:ilvl w:val="0"/>
          <w:numId w:val="16"/>
        </w:numPr>
        <w:ind w:left="360" w:right="-2"/>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skausminga infekcija ar dirginimas šalia išangės;</w:t>
      </w:r>
    </w:p>
    <w:p w14:paraId="0F221599" w14:textId="2D721713" w:rsidR="008F61D8" w:rsidRPr="004F572A" w:rsidRDefault="008F61D8">
      <w:pPr>
        <w:pStyle w:val="Sraopastraipa"/>
        <w:numPr>
          <w:ilvl w:val="0"/>
          <w:numId w:val="16"/>
        </w:numPr>
        <w:ind w:left="360" w:right="-2"/>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 xml:space="preserve">išangės fistulė (kanalėlis, </w:t>
      </w:r>
      <w:r w:rsidR="00E65257" w:rsidRPr="004F572A">
        <w:rPr>
          <w:rFonts w:ascii="TimesNewRomanPSMT" w:eastAsia="Times New Roman" w:hAnsi="TimesNewRomanPSMT"/>
          <w:sz w:val="22"/>
          <w:szCs w:val="22"/>
          <w:lang w:eastAsia="en-US"/>
        </w:rPr>
        <w:t xml:space="preserve">susiformavęs </w:t>
      </w:r>
      <w:r w:rsidRPr="004F572A">
        <w:rPr>
          <w:rFonts w:ascii="TimesNewRomanPSMT" w:eastAsia="Times New Roman" w:hAnsi="TimesNewRomanPSMT"/>
          <w:sz w:val="22"/>
          <w:szCs w:val="22"/>
          <w:lang w:eastAsia="en-US"/>
        </w:rPr>
        <w:t>tarp išangės ir aplink esančios odos);</w:t>
      </w:r>
    </w:p>
    <w:p w14:paraId="762D1680" w14:textId="144BBF1C" w:rsidR="008F61D8" w:rsidRPr="004F572A" w:rsidRDefault="008F61D8">
      <w:pPr>
        <w:pStyle w:val="Sraopastraipa"/>
        <w:numPr>
          <w:ilvl w:val="0"/>
          <w:numId w:val="16"/>
        </w:numPr>
        <w:ind w:left="360" w:right="-2"/>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 xml:space="preserve">kepenų nepakankamumas arba kepenų </w:t>
      </w:r>
      <w:r w:rsidR="00917C51">
        <w:rPr>
          <w:rFonts w:ascii="TimesNewRomanPSMT" w:eastAsia="Times New Roman" w:hAnsi="TimesNewRomanPSMT"/>
          <w:sz w:val="22"/>
          <w:szCs w:val="22"/>
          <w:lang w:eastAsia="en-US"/>
        </w:rPr>
        <w:t>pažeidimo</w:t>
      </w:r>
      <w:r w:rsidR="00917C51" w:rsidRPr="004F572A">
        <w:rPr>
          <w:rFonts w:ascii="TimesNewRomanPSMT" w:eastAsia="Times New Roman" w:hAnsi="TimesNewRomanPSMT"/>
          <w:sz w:val="22"/>
          <w:szCs w:val="22"/>
          <w:lang w:eastAsia="en-US"/>
        </w:rPr>
        <w:t xml:space="preserve"> </w:t>
      </w:r>
      <w:r w:rsidRPr="004F572A">
        <w:rPr>
          <w:rFonts w:ascii="TimesNewRomanPSMT" w:eastAsia="Times New Roman" w:hAnsi="TimesNewRomanPSMT"/>
          <w:sz w:val="22"/>
          <w:szCs w:val="22"/>
          <w:lang w:eastAsia="en-US"/>
        </w:rPr>
        <w:t>požymiai, įskaitant pageltusią odą</w:t>
      </w:r>
      <w:r w:rsidR="00917C51">
        <w:rPr>
          <w:rFonts w:ascii="TimesNewRomanPSMT" w:eastAsia="Times New Roman" w:hAnsi="TimesNewRomanPSMT"/>
          <w:sz w:val="22"/>
          <w:szCs w:val="22"/>
          <w:lang w:eastAsia="en-US"/>
        </w:rPr>
        <w:t xml:space="preserve"> arba</w:t>
      </w:r>
      <w:r w:rsidR="00E65257" w:rsidRPr="004F572A">
        <w:rPr>
          <w:rFonts w:ascii="TimesNewRomanPSMT" w:eastAsia="Times New Roman" w:hAnsi="TimesNewRomanPSMT"/>
          <w:sz w:val="22"/>
          <w:szCs w:val="22"/>
          <w:lang w:eastAsia="en-US"/>
        </w:rPr>
        <w:t xml:space="preserve"> </w:t>
      </w:r>
      <w:r w:rsidRPr="004F572A">
        <w:rPr>
          <w:rFonts w:ascii="TimesNewRomanPSMT" w:eastAsia="Times New Roman" w:hAnsi="TimesNewRomanPSMT"/>
          <w:sz w:val="22"/>
          <w:szCs w:val="22"/>
          <w:lang w:eastAsia="en-US"/>
        </w:rPr>
        <w:t>akių</w:t>
      </w:r>
      <w:r w:rsidR="00E65257" w:rsidRPr="004F572A">
        <w:rPr>
          <w:rFonts w:ascii="TimesNewRomanPSMT" w:eastAsia="Times New Roman" w:hAnsi="TimesNewRomanPSMT"/>
          <w:sz w:val="22"/>
          <w:szCs w:val="22"/>
          <w:lang w:eastAsia="en-US"/>
        </w:rPr>
        <w:t xml:space="preserve"> </w:t>
      </w:r>
      <w:r w:rsidRPr="004F572A">
        <w:rPr>
          <w:rFonts w:ascii="TimesNewRomanPSMT" w:eastAsia="Times New Roman" w:hAnsi="TimesNewRomanPSMT"/>
          <w:sz w:val="22"/>
          <w:szCs w:val="22"/>
          <w:lang w:eastAsia="en-US"/>
        </w:rPr>
        <w:t>baltymų pageltimą (gelta) arba mieguistumą, sumišimą, prastą koncentraciją;</w:t>
      </w:r>
    </w:p>
    <w:p w14:paraId="3AC51746" w14:textId="38EF54DD" w:rsidR="008F61D8" w:rsidRPr="004F572A" w:rsidRDefault="00917C51">
      <w:pPr>
        <w:pStyle w:val="Sraopastraipa"/>
        <w:numPr>
          <w:ilvl w:val="0"/>
          <w:numId w:val="16"/>
        </w:numPr>
        <w:ind w:left="360" w:right="-2"/>
        <w:rPr>
          <w:rFonts w:ascii="TimesNewRomanPSMT" w:eastAsia="Times New Roman" w:hAnsi="TimesNewRomanPSMT"/>
          <w:sz w:val="22"/>
          <w:szCs w:val="22"/>
          <w:lang w:eastAsia="en-US"/>
        </w:rPr>
      </w:pPr>
      <w:r>
        <w:rPr>
          <w:rFonts w:ascii="TimesNewRomanPSMT" w:eastAsia="Times New Roman" w:hAnsi="TimesNewRomanPSMT"/>
          <w:sz w:val="22"/>
          <w:szCs w:val="22"/>
          <w:lang w:eastAsia="en-US"/>
        </w:rPr>
        <w:t xml:space="preserve">sausa </w:t>
      </w:r>
      <w:r w:rsidR="00E65257" w:rsidRPr="004F572A">
        <w:rPr>
          <w:rFonts w:ascii="TimesNewRomanPSMT" w:eastAsia="Times New Roman" w:hAnsi="TimesNewRomanPSMT"/>
          <w:sz w:val="22"/>
          <w:szCs w:val="22"/>
          <w:lang w:eastAsia="en-US"/>
        </w:rPr>
        <w:t>od</w:t>
      </w:r>
      <w:r>
        <w:rPr>
          <w:rFonts w:ascii="TimesNewRomanPSMT" w:eastAsia="Times New Roman" w:hAnsi="TimesNewRomanPSMT"/>
          <w:sz w:val="22"/>
          <w:szCs w:val="22"/>
          <w:lang w:eastAsia="en-US"/>
        </w:rPr>
        <w:t>a</w:t>
      </w:r>
      <w:r w:rsidR="008F61D8" w:rsidRPr="004F572A">
        <w:rPr>
          <w:rFonts w:ascii="TimesNewRomanPSMT" w:eastAsia="Times New Roman" w:hAnsi="TimesNewRomanPSMT"/>
          <w:sz w:val="22"/>
          <w:szCs w:val="22"/>
          <w:lang w:eastAsia="en-US"/>
        </w:rPr>
        <w:t>, odos sustorėjimas ir niežėjimas;</w:t>
      </w:r>
    </w:p>
    <w:p w14:paraId="361AAC20" w14:textId="032279FD" w:rsidR="008F61D8" w:rsidRPr="004F572A" w:rsidRDefault="008F61D8">
      <w:pPr>
        <w:pStyle w:val="Sraopastraipa"/>
        <w:numPr>
          <w:ilvl w:val="0"/>
          <w:numId w:val="16"/>
        </w:numPr>
        <w:ind w:left="360" w:right="-2"/>
        <w:rPr>
          <w:rFonts w:ascii="TimesNewRomanPSMT" w:eastAsia="Times New Roman" w:hAnsi="TimesNewRomanPSMT"/>
          <w:sz w:val="22"/>
          <w:szCs w:val="22"/>
          <w:lang w:eastAsia="en-US"/>
        </w:rPr>
      </w:pPr>
      <w:r w:rsidRPr="004F572A">
        <w:rPr>
          <w:rFonts w:ascii="TimesNewRomanPSMT" w:eastAsia="Times New Roman" w:hAnsi="TimesNewRomanPSMT"/>
          <w:sz w:val="22"/>
          <w:szCs w:val="22"/>
          <w:lang w:eastAsia="en-US"/>
        </w:rPr>
        <w:t>žaizdų gijimo problemos.</w:t>
      </w:r>
    </w:p>
    <w:p w14:paraId="0CF917B3" w14:textId="77777777" w:rsidR="00917C51" w:rsidRDefault="00917C51" w:rsidP="00917C51">
      <w:pPr>
        <w:tabs>
          <w:tab w:val="clear" w:pos="567"/>
        </w:tabs>
        <w:suppressAutoHyphens w:val="0"/>
        <w:spacing w:line="240" w:lineRule="auto"/>
        <w:rPr>
          <w:rFonts w:ascii="TimesNewRomanPSMT" w:eastAsia="Times New Roman" w:hAnsi="TimesNewRomanPSMT"/>
          <w:sz w:val="22"/>
          <w:szCs w:val="22"/>
          <w:lang w:eastAsia="en-US"/>
        </w:rPr>
      </w:pPr>
    </w:p>
    <w:p w14:paraId="4B0EE3D3" w14:textId="4EF70864" w:rsidR="00917C51" w:rsidRDefault="00224200" w:rsidP="00917C51">
      <w:pPr>
        <w:tabs>
          <w:tab w:val="clear" w:pos="567"/>
        </w:tabs>
        <w:suppressAutoHyphens w:val="0"/>
        <w:spacing w:line="240" w:lineRule="auto"/>
        <w:rPr>
          <w:rFonts w:ascii="TimesNewRomanPSMT" w:eastAsia="Times New Roman" w:hAnsi="TimesNewRomanPSMT"/>
          <w:sz w:val="22"/>
          <w:szCs w:val="22"/>
          <w:lang w:eastAsia="en-US"/>
        </w:rPr>
      </w:pPr>
      <w:r w:rsidRPr="00E27691">
        <w:rPr>
          <w:rFonts w:ascii="TimesNewRomanPSMT" w:eastAsia="Times New Roman" w:hAnsi="TimesNewRomanPSMT"/>
          <w:b/>
          <w:bCs/>
          <w:sz w:val="22"/>
          <w:szCs w:val="22"/>
          <w:lang w:eastAsia="en-US"/>
        </w:rPr>
        <w:t>Reti šalutinio poveikio reiškiniai</w:t>
      </w:r>
      <w:r w:rsidRPr="00224200">
        <w:rPr>
          <w:rFonts w:ascii="TimesNewRomanPSMT" w:eastAsia="Times New Roman" w:hAnsi="TimesNewRomanPSMT"/>
          <w:sz w:val="22"/>
          <w:szCs w:val="22"/>
          <w:lang w:eastAsia="en-US"/>
        </w:rPr>
        <w:t xml:space="preserve"> (gali pasireikšti rečiau kaip 1 iš 1</w:t>
      </w:r>
      <w:r w:rsidR="00B10CAA">
        <w:rPr>
          <w:rFonts w:ascii="TimesNewRomanPSMT" w:eastAsia="Times New Roman" w:hAnsi="TimesNewRomanPSMT"/>
          <w:sz w:val="22"/>
          <w:szCs w:val="22"/>
          <w:lang w:eastAsia="en-US"/>
        </w:rPr>
        <w:t> </w:t>
      </w:r>
      <w:r w:rsidRPr="00224200">
        <w:rPr>
          <w:rFonts w:ascii="TimesNewRomanPSMT" w:eastAsia="Times New Roman" w:hAnsi="TimesNewRomanPSMT"/>
          <w:sz w:val="22"/>
          <w:szCs w:val="22"/>
          <w:lang w:eastAsia="en-US"/>
        </w:rPr>
        <w:t>000 asmenų):</w:t>
      </w:r>
    </w:p>
    <w:p w14:paraId="1546FF87" w14:textId="5ECB1943" w:rsidR="00917C51" w:rsidRDefault="00917C51" w:rsidP="00917C51">
      <w:pPr>
        <w:pStyle w:val="Sraopastraipa"/>
        <w:numPr>
          <w:ilvl w:val="0"/>
          <w:numId w:val="16"/>
        </w:numPr>
        <w:tabs>
          <w:tab w:val="clear" w:pos="567"/>
        </w:tabs>
        <w:suppressAutoHyphens w:val="0"/>
        <w:spacing w:line="240" w:lineRule="auto"/>
        <w:ind w:left="360"/>
        <w:rPr>
          <w:rFonts w:ascii="TimesNewRomanPSMT" w:eastAsia="Times New Roman" w:hAnsi="TimesNewRomanPSMT"/>
          <w:sz w:val="22"/>
          <w:szCs w:val="22"/>
          <w:lang w:eastAsia="en-US"/>
        </w:rPr>
      </w:pPr>
      <w:r>
        <w:rPr>
          <w:rFonts w:ascii="TimesNewRomanPSMT" w:eastAsia="Times New Roman" w:hAnsi="TimesNewRomanPSMT"/>
          <w:sz w:val="22"/>
          <w:szCs w:val="22"/>
          <w:lang w:eastAsia="en-US"/>
        </w:rPr>
        <w:t>navik</w:t>
      </w:r>
      <w:r w:rsidR="00F24FA6">
        <w:rPr>
          <w:rFonts w:ascii="TimesNewRomanPSMT" w:eastAsia="Times New Roman" w:hAnsi="TimesNewRomanPSMT"/>
          <w:sz w:val="22"/>
          <w:szCs w:val="22"/>
          <w:lang w:eastAsia="en-US"/>
        </w:rPr>
        <w:t>ų</w:t>
      </w:r>
      <w:r>
        <w:rPr>
          <w:rFonts w:ascii="TimesNewRomanPSMT" w:eastAsia="Times New Roman" w:hAnsi="TimesNewRomanPSMT"/>
          <w:sz w:val="22"/>
          <w:szCs w:val="22"/>
          <w:lang w:eastAsia="en-US"/>
        </w:rPr>
        <w:t xml:space="preserve"> </w:t>
      </w:r>
      <w:proofErr w:type="spellStart"/>
      <w:r>
        <w:rPr>
          <w:rFonts w:ascii="TimesNewRomanPSMT" w:eastAsia="Times New Roman" w:hAnsi="TimesNewRomanPSMT"/>
          <w:sz w:val="22"/>
          <w:szCs w:val="22"/>
          <w:lang w:eastAsia="en-US"/>
        </w:rPr>
        <w:t>lizės</w:t>
      </w:r>
      <w:proofErr w:type="spellEnd"/>
      <w:r>
        <w:rPr>
          <w:rFonts w:ascii="TimesNewRomanPSMT" w:eastAsia="Times New Roman" w:hAnsi="TimesNewRomanPSMT"/>
          <w:sz w:val="22"/>
          <w:szCs w:val="22"/>
          <w:lang w:eastAsia="en-US"/>
        </w:rPr>
        <w:t xml:space="preserve"> sindromas (NLS).</w:t>
      </w:r>
    </w:p>
    <w:p w14:paraId="2F1CA8D5" w14:textId="77777777" w:rsidR="000928CA" w:rsidRPr="004F572A" w:rsidRDefault="000928CA" w:rsidP="000928CA">
      <w:pPr>
        <w:ind w:left="575" w:right="-2" w:hanging="586"/>
        <w:rPr>
          <w:sz w:val="22"/>
          <w:szCs w:val="22"/>
        </w:rPr>
      </w:pPr>
    </w:p>
    <w:p w14:paraId="7985B0BE" w14:textId="77777777" w:rsidR="000928CA" w:rsidRPr="004F572A" w:rsidRDefault="000928CA" w:rsidP="000928CA">
      <w:pPr>
        <w:rPr>
          <w:sz w:val="22"/>
          <w:szCs w:val="22"/>
        </w:rPr>
      </w:pPr>
      <w:r w:rsidRPr="004F572A">
        <w:rPr>
          <w:b/>
          <w:sz w:val="22"/>
          <w:szCs w:val="22"/>
        </w:rPr>
        <w:t>Pranešimas apie šalutinį poveikį</w:t>
      </w:r>
    </w:p>
    <w:p w14:paraId="18DA602A" w14:textId="509764E5" w:rsidR="000928CA" w:rsidRPr="004F572A" w:rsidRDefault="000928CA" w:rsidP="00693BF2">
      <w:pPr>
        <w:spacing w:line="260" w:lineRule="exact"/>
        <w:ind w:right="-1"/>
        <w:rPr>
          <w:sz w:val="22"/>
          <w:szCs w:val="22"/>
        </w:rPr>
      </w:pPr>
      <w:r w:rsidRPr="004F572A">
        <w:rPr>
          <w:sz w:val="22"/>
          <w:szCs w:val="22"/>
        </w:rPr>
        <w:t xml:space="preserve">Jeigu pasireiškė šalutinis poveikis, įskaitant šiame lapelyje nenurodytą, pasakykite gydytojui arba vaistininkui. </w:t>
      </w:r>
      <w:r w:rsidR="005A21EB" w:rsidRPr="004F572A">
        <w:rPr>
          <w:rFonts w:eastAsia="Times New Roman"/>
          <w:snapToGrid w:val="0"/>
          <w:color w:val="auto"/>
          <w:sz w:val="22"/>
          <w:szCs w:val="20"/>
          <w:lang w:eastAsia="en-US"/>
        </w:rPr>
        <w:t xml:space="preserve">Pranešimą apie šalutinį poveikį galite užpildyti ir pateikti Valstybinės vaistų kontrolės tarnybos prie Lietuvos Respublikos sveikatos apsaugos ministerijos tinklalapyje </w:t>
      </w:r>
      <w:r w:rsidR="00E65257" w:rsidRPr="004F572A">
        <w:rPr>
          <w:rFonts w:eastAsia="Times New Roman"/>
          <w:color w:val="0000EE"/>
          <w:sz w:val="22"/>
          <w:szCs w:val="22"/>
          <w:u w:val="single"/>
          <w:lang w:eastAsia="lt-LT"/>
        </w:rPr>
        <w:t>https://vvkt.lrv.lt/lt/</w:t>
      </w:r>
      <w:r w:rsidR="00E65257" w:rsidRPr="004F572A">
        <w:rPr>
          <w:rFonts w:eastAsia="Times New Roman"/>
          <w:color w:val="auto"/>
          <w:sz w:val="22"/>
          <w:szCs w:val="22"/>
          <w:lang w:eastAsia="lt-LT"/>
        </w:rPr>
        <w:t xml:space="preserve"> </w:t>
      </w:r>
      <w:r w:rsidR="005A21EB" w:rsidRPr="004F572A">
        <w:rPr>
          <w:rFonts w:eastAsia="Times New Roman"/>
          <w:snapToGrid w:val="0"/>
          <w:color w:val="auto"/>
          <w:sz w:val="22"/>
          <w:szCs w:val="20"/>
          <w:lang w:eastAsia="en-US"/>
        </w:rPr>
        <w:t xml:space="preserve">nurodytais būdais arba paskambinti nemokamu telefonu </w:t>
      </w:r>
      <w:r w:rsidR="00B10CAA">
        <w:rPr>
          <w:rFonts w:eastAsia="Times New Roman"/>
          <w:snapToGrid w:val="0"/>
          <w:color w:val="auto"/>
          <w:sz w:val="22"/>
          <w:szCs w:val="20"/>
          <w:lang w:eastAsia="en-US"/>
        </w:rPr>
        <w:t>+370</w:t>
      </w:r>
      <w:r w:rsidR="005A21EB" w:rsidRPr="004F572A">
        <w:rPr>
          <w:rFonts w:eastAsia="Times New Roman"/>
          <w:snapToGrid w:val="0"/>
          <w:color w:val="auto"/>
          <w:sz w:val="22"/>
          <w:szCs w:val="20"/>
          <w:lang w:eastAsia="en-US"/>
        </w:rPr>
        <w:t xml:space="preserve"> 800 73 568.</w:t>
      </w:r>
      <w:r w:rsidRPr="004F572A">
        <w:rPr>
          <w:sz w:val="22"/>
          <w:szCs w:val="22"/>
        </w:rPr>
        <w:t xml:space="preserve"> Pranešdami apie šalutinį poveikį galite mums padėti gauti daugiau informacijos apie šio vaisto saugumą.</w:t>
      </w:r>
    </w:p>
    <w:p w14:paraId="0CA7D78B" w14:textId="77777777" w:rsidR="000928CA" w:rsidRPr="004F572A" w:rsidRDefault="000928CA" w:rsidP="000928CA">
      <w:pPr>
        <w:ind w:right="-449"/>
        <w:rPr>
          <w:sz w:val="22"/>
          <w:szCs w:val="22"/>
        </w:rPr>
      </w:pPr>
    </w:p>
    <w:p w14:paraId="1E04B063" w14:textId="77777777" w:rsidR="000928CA" w:rsidRPr="004F572A" w:rsidRDefault="000928CA" w:rsidP="000928CA">
      <w:pPr>
        <w:ind w:right="-449"/>
        <w:rPr>
          <w:sz w:val="22"/>
          <w:szCs w:val="22"/>
        </w:rPr>
      </w:pPr>
    </w:p>
    <w:p w14:paraId="34EF84FB" w14:textId="1524EB3E" w:rsidR="000928CA" w:rsidRPr="004F572A" w:rsidRDefault="000928CA" w:rsidP="000928CA">
      <w:pPr>
        <w:pStyle w:val="Antrat3"/>
        <w:spacing w:before="0" w:after="0"/>
        <w:rPr>
          <w:rFonts w:ascii="Times New Roman" w:hAnsi="Times New Roman" w:cs="Times New Roman"/>
          <w:sz w:val="22"/>
          <w:szCs w:val="22"/>
          <w:lang w:val="lt-LT"/>
        </w:rPr>
      </w:pPr>
      <w:r w:rsidRPr="004F572A">
        <w:rPr>
          <w:rFonts w:ascii="Times New Roman" w:hAnsi="Times New Roman" w:cs="Times New Roman"/>
          <w:sz w:val="22"/>
          <w:szCs w:val="22"/>
          <w:lang w:val="lt-LT"/>
        </w:rPr>
        <w:t>5.</w:t>
      </w:r>
      <w:r w:rsidRPr="004F572A">
        <w:rPr>
          <w:rFonts w:ascii="Times New Roman" w:hAnsi="Times New Roman" w:cs="Times New Roman"/>
          <w:sz w:val="22"/>
          <w:szCs w:val="22"/>
          <w:lang w:val="lt-LT"/>
        </w:rPr>
        <w:tab/>
        <w:t xml:space="preserve">Kaip laikyti </w:t>
      </w:r>
      <w:proofErr w:type="spellStart"/>
      <w:r w:rsidR="00E65257" w:rsidRPr="004F572A">
        <w:rPr>
          <w:rFonts w:ascii="Times New Roman" w:hAnsi="Times New Roman" w:cs="Times New Roman"/>
          <w:sz w:val="22"/>
          <w:szCs w:val="22"/>
          <w:lang w:val="lt-LT"/>
        </w:rPr>
        <w:t>Lenvatinib</w:t>
      </w:r>
      <w:proofErr w:type="spellEnd"/>
      <w:r w:rsidR="00E65257" w:rsidRPr="004F572A">
        <w:rPr>
          <w:rFonts w:ascii="Times New Roman" w:hAnsi="Times New Roman" w:cs="Times New Roman"/>
          <w:sz w:val="22"/>
          <w:szCs w:val="22"/>
          <w:lang w:val="lt-LT"/>
        </w:rPr>
        <w:t xml:space="preserve"> </w:t>
      </w:r>
      <w:proofErr w:type="spellStart"/>
      <w:r w:rsidR="00E65257" w:rsidRPr="004F572A">
        <w:rPr>
          <w:rFonts w:ascii="Times New Roman" w:hAnsi="Times New Roman" w:cs="Times New Roman"/>
          <w:sz w:val="22"/>
          <w:szCs w:val="22"/>
          <w:lang w:val="lt-LT"/>
        </w:rPr>
        <w:t>Sandoz</w:t>
      </w:r>
      <w:proofErr w:type="spellEnd"/>
    </w:p>
    <w:p w14:paraId="63CD61CE" w14:textId="77777777" w:rsidR="000928CA" w:rsidRPr="004F572A" w:rsidRDefault="000928CA" w:rsidP="000928CA">
      <w:pPr>
        <w:tabs>
          <w:tab w:val="clear" w:pos="567"/>
        </w:tabs>
        <w:ind w:right="-2"/>
        <w:rPr>
          <w:sz w:val="22"/>
          <w:szCs w:val="22"/>
        </w:rPr>
      </w:pPr>
    </w:p>
    <w:p w14:paraId="592E06C2" w14:textId="77777777" w:rsidR="000928CA" w:rsidRPr="004F572A" w:rsidRDefault="000928CA" w:rsidP="000928CA">
      <w:pPr>
        <w:tabs>
          <w:tab w:val="clear" w:pos="567"/>
        </w:tabs>
        <w:ind w:right="-2"/>
        <w:rPr>
          <w:sz w:val="22"/>
          <w:szCs w:val="22"/>
        </w:rPr>
      </w:pPr>
      <w:r w:rsidRPr="004F572A">
        <w:rPr>
          <w:sz w:val="22"/>
          <w:szCs w:val="22"/>
        </w:rPr>
        <w:t>Šį vaistą laikykite vaikams nepastebimoje ir nepasiekiamoje vietoje.</w:t>
      </w:r>
    </w:p>
    <w:p w14:paraId="55C62208" w14:textId="77777777" w:rsidR="000928CA" w:rsidRPr="004F572A" w:rsidRDefault="000928CA" w:rsidP="000928CA">
      <w:pPr>
        <w:tabs>
          <w:tab w:val="clear" w:pos="567"/>
        </w:tabs>
        <w:ind w:right="-2"/>
        <w:rPr>
          <w:sz w:val="22"/>
          <w:szCs w:val="22"/>
        </w:rPr>
      </w:pPr>
    </w:p>
    <w:p w14:paraId="2D1479C7" w14:textId="5B069163" w:rsidR="000928CA" w:rsidRPr="004F572A" w:rsidRDefault="000928CA" w:rsidP="000928CA">
      <w:pPr>
        <w:tabs>
          <w:tab w:val="clear" w:pos="567"/>
        </w:tabs>
        <w:ind w:right="-2"/>
        <w:rPr>
          <w:sz w:val="22"/>
          <w:szCs w:val="22"/>
        </w:rPr>
      </w:pPr>
      <w:r w:rsidRPr="004F572A">
        <w:rPr>
          <w:sz w:val="22"/>
          <w:szCs w:val="22"/>
        </w:rPr>
        <w:t xml:space="preserve">Ant </w:t>
      </w:r>
      <w:r w:rsidR="00E65257" w:rsidRPr="004F572A">
        <w:rPr>
          <w:sz w:val="22"/>
          <w:szCs w:val="22"/>
        </w:rPr>
        <w:t xml:space="preserve">kartono dėžutės ir </w:t>
      </w:r>
      <w:r w:rsidRPr="004F572A">
        <w:rPr>
          <w:sz w:val="22"/>
          <w:szCs w:val="22"/>
        </w:rPr>
        <w:t xml:space="preserve">lizdinės plokštelės po „EXP“ nurodytam tinkamumo laikui pasibaigus, šio vaisto vartoti negalima. Vaistas tinkamas vartoti iki paskutinės nurodyto mėnesio dienos. </w:t>
      </w:r>
    </w:p>
    <w:p w14:paraId="05909E37" w14:textId="77777777" w:rsidR="000928CA" w:rsidRPr="004F572A" w:rsidRDefault="000928CA" w:rsidP="000928CA">
      <w:pPr>
        <w:tabs>
          <w:tab w:val="clear" w:pos="567"/>
        </w:tabs>
        <w:ind w:right="-2"/>
        <w:rPr>
          <w:sz w:val="22"/>
          <w:szCs w:val="22"/>
        </w:rPr>
      </w:pPr>
    </w:p>
    <w:p w14:paraId="18124C12" w14:textId="750077E0" w:rsidR="000928CA" w:rsidRPr="004F572A" w:rsidRDefault="000928CA" w:rsidP="000928CA">
      <w:pPr>
        <w:tabs>
          <w:tab w:val="clear" w:pos="567"/>
        </w:tabs>
        <w:ind w:right="-2"/>
        <w:rPr>
          <w:sz w:val="22"/>
          <w:szCs w:val="22"/>
        </w:rPr>
      </w:pPr>
      <w:r w:rsidRPr="004F572A">
        <w:rPr>
          <w:sz w:val="22"/>
          <w:szCs w:val="22"/>
        </w:rPr>
        <w:t xml:space="preserve">Laikyti gamintojo pakuotėje, kad vaistas būtų apsaugotas nuo drėgmės. </w:t>
      </w:r>
    </w:p>
    <w:p w14:paraId="3EFBBA11" w14:textId="77777777" w:rsidR="000928CA" w:rsidRPr="004F572A" w:rsidRDefault="000928CA" w:rsidP="000928CA">
      <w:pPr>
        <w:rPr>
          <w:sz w:val="22"/>
          <w:szCs w:val="22"/>
        </w:rPr>
      </w:pPr>
    </w:p>
    <w:p w14:paraId="5A1DE821" w14:textId="77777777" w:rsidR="000928CA" w:rsidRPr="004F572A" w:rsidRDefault="000928CA" w:rsidP="000928CA">
      <w:pPr>
        <w:rPr>
          <w:sz w:val="22"/>
          <w:szCs w:val="22"/>
        </w:rPr>
      </w:pPr>
      <w:r w:rsidRPr="004F572A">
        <w:rPr>
          <w:sz w:val="22"/>
          <w:szCs w:val="22"/>
        </w:rPr>
        <w:t xml:space="preserve">Vaistų negalima išmesti į kanalizaciją arba su buitinėmis atliekomis. Kaip išmesti nereikalingus vaistus, klauskite vaistininko. Šios priemonės padės apsaugoti aplinką. </w:t>
      </w:r>
    </w:p>
    <w:p w14:paraId="485F1E8B" w14:textId="77777777" w:rsidR="000928CA" w:rsidRPr="004F572A" w:rsidRDefault="000928CA" w:rsidP="000928CA">
      <w:pPr>
        <w:tabs>
          <w:tab w:val="clear" w:pos="567"/>
        </w:tabs>
        <w:ind w:right="-2"/>
        <w:rPr>
          <w:sz w:val="22"/>
          <w:szCs w:val="22"/>
        </w:rPr>
      </w:pPr>
    </w:p>
    <w:p w14:paraId="04238B33" w14:textId="77777777" w:rsidR="000928CA" w:rsidRPr="004F572A" w:rsidRDefault="000928CA" w:rsidP="000928CA">
      <w:pPr>
        <w:tabs>
          <w:tab w:val="clear" w:pos="567"/>
        </w:tabs>
        <w:ind w:right="-2"/>
        <w:rPr>
          <w:sz w:val="22"/>
          <w:szCs w:val="22"/>
        </w:rPr>
      </w:pPr>
    </w:p>
    <w:p w14:paraId="629FC8B1" w14:textId="77777777" w:rsidR="000928CA" w:rsidRPr="004F572A" w:rsidRDefault="000928CA" w:rsidP="000928CA">
      <w:pPr>
        <w:pStyle w:val="Antrat3"/>
        <w:spacing w:before="0" w:after="0"/>
        <w:rPr>
          <w:rFonts w:ascii="Times New Roman" w:hAnsi="Times New Roman"/>
          <w:sz w:val="22"/>
          <w:szCs w:val="22"/>
          <w:lang w:val="lt-LT"/>
        </w:rPr>
      </w:pPr>
      <w:r w:rsidRPr="004F572A">
        <w:rPr>
          <w:rFonts w:ascii="Times New Roman" w:hAnsi="Times New Roman" w:cs="Times New Roman"/>
          <w:sz w:val="22"/>
          <w:szCs w:val="22"/>
          <w:lang w:val="lt-LT"/>
        </w:rPr>
        <w:t>6.</w:t>
      </w:r>
      <w:r w:rsidRPr="004F572A">
        <w:rPr>
          <w:rFonts w:ascii="Times New Roman" w:hAnsi="Times New Roman" w:cs="Times New Roman"/>
          <w:b w:val="0"/>
          <w:sz w:val="22"/>
          <w:szCs w:val="22"/>
          <w:lang w:val="lt-LT"/>
        </w:rPr>
        <w:tab/>
      </w:r>
      <w:r w:rsidRPr="004F572A">
        <w:rPr>
          <w:rFonts w:ascii="Times New Roman" w:hAnsi="Times New Roman" w:cs="Times New Roman"/>
          <w:sz w:val="22"/>
          <w:szCs w:val="22"/>
          <w:lang w:val="lt-LT"/>
        </w:rPr>
        <w:t>Pakuotės turinys ir kita informacija</w:t>
      </w:r>
    </w:p>
    <w:p w14:paraId="26E30BBD" w14:textId="77777777" w:rsidR="000928CA" w:rsidRPr="004F572A" w:rsidRDefault="000928CA" w:rsidP="000928CA">
      <w:pPr>
        <w:tabs>
          <w:tab w:val="clear" w:pos="567"/>
        </w:tabs>
        <w:rPr>
          <w:sz w:val="22"/>
          <w:szCs w:val="22"/>
        </w:rPr>
      </w:pPr>
    </w:p>
    <w:p w14:paraId="6F46188A" w14:textId="0450C998" w:rsidR="000928CA" w:rsidRPr="004F572A" w:rsidRDefault="00E65257" w:rsidP="000928CA">
      <w:pPr>
        <w:pStyle w:val="Antrat4"/>
        <w:numPr>
          <w:ilvl w:val="0"/>
          <w:numId w:val="1"/>
        </w:numPr>
        <w:rPr>
          <w:rFonts w:ascii="Times New Roman" w:hAnsi="Times New Roman"/>
          <w:sz w:val="22"/>
          <w:szCs w:val="22"/>
          <w:lang w:val="lt-LT"/>
        </w:rPr>
      </w:pPr>
      <w:proofErr w:type="spellStart"/>
      <w:r w:rsidRPr="004F572A">
        <w:rPr>
          <w:rFonts w:ascii="Times New Roman" w:hAnsi="Times New Roman" w:cs="Times New Roman"/>
          <w:sz w:val="22"/>
          <w:szCs w:val="22"/>
          <w:lang w:val="lt-LT"/>
        </w:rPr>
        <w:t>Lenvatinib</w:t>
      </w:r>
      <w:proofErr w:type="spellEnd"/>
      <w:r w:rsidRPr="004F572A">
        <w:rPr>
          <w:rFonts w:ascii="Times New Roman" w:hAnsi="Times New Roman" w:cs="Times New Roman"/>
          <w:sz w:val="22"/>
          <w:szCs w:val="22"/>
          <w:lang w:val="lt-LT"/>
        </w:rPr>
        <w:t xml:space="preserve"> </w:t>
      </w:r>
      <w:proofErr w:type="spellStart"/>
      <w:r w:rsidRPr="004F572A">
        <w:rPr>
          <w:rFonts w:ascii="Times New Roman" w:hAnsi="Times New Roman" w:cs="Times New Roman"/>
          <w:sz w:val="22"/>
          <w:szCs w:val="22"/>
          <w:lang w:val="lt-LT"/>
        </w:rPr>
        <w:t>Sandoz</w:t>
      </w:r>
      <w:proofErr w:type="spellEnd"/>
      <w:r w:rsidR="000928CA" w:rsidRPr="004F572A">
        <w:rPr>
          <w:rFonts w:ascii="Times New Roman" w:hAnsi="Times New Roman" w:cs="Times New Roman"/>
          <w:sz w:val="22"/>
          <w:szCs w:val="22"/>
          <w:lang w:val="lt-LT"/>
        </w:rPr>
        <w:t xml:space="preserve"> sudėtis </w:t>
      </w:r>
    </w:p>
    <w:p w14:paraId="31F047C2" w14:textId="77777777" w:rsidR="000C442C" w:rsidRPr="004F572A" w:rsidRDefault="000928CA">
      <w:pPr>
        <w:pStyle w:val="Sraopastraipa"/>
        <w:numPr>
          <w:ilvl w:val="0"/>
          <w:numId w:val="17"/>
        </w:numPr>
        <w:tabs>
          <w:tab w:val="clear" w:pos="567"/>
          <w:tab w:val="left" w:pos="360"/>
        </w:tabs>
        <w:ind w:left="360"/>
        <w:rPr>
          <w:sz w:val="22"/>
          <w:szCs w:val="22"/>
        </w:rPr>
      </w:pPr>
      <w:r w:rsidRPr="004F572A">
        <w:rPr>
          <w:sz w:val="22"/>
          <w:szCs w:val="22"/>
        </w:rPr>
        <w:t xml:space="preserve">Veiklioji medžiaga yra </w:t>
      </w:r>
      <w:proofErr w:type="spellStart"/>
      <w:r w:rsidR="000C442C" w:rsidRPr="004F572A">
        <w:rPr>
          <w:sz w:val="22"/>
          <w:szCs w:val="22"/>
        </w:rPr>
        <w:t>lenvatinibas</w:t>
      </w:r>
      <w:proofErr w:type="spellEnd"/>
      <w:r w:rsidRPr="004F572A">
        <w:rPr>
          <w:sz w:val="22"/>
          <w:szCs w:val="22"/>
        </w:rPr>
        <w:t xml:space="preserve">. </w:t>
      </w:r>
    </w:p>
    <w:p w14:paraId="6F285FE4" w14:textId="6C2CB86F" w:rsidR="000928CA" w:rsidRPr="004F572A" w:rsidRDefault="000C442C">
      <w:pPr>
        <w:pStyle w:val="Sraopastraipa"/>
        <w:numPr>
          <w:ilvl w:val="0"/>
          <w:numId w:val="17"/>
        </w:numPr>
        <w:ind w:left="540" w:hanging="270"/>
        <w:rPr>
          <w:sz w:val="22"/>
          <w:szCs w:val="22"/>
        </w:rPr>
      </w:pPr>
      <w:proofErr w:type="spellStart"/>
      <w:r w:rsidRPr="004F572A">
        <w:rPr>
          <w:sz w:val="22"/>
          <w:szCs w:val="22"/>
        </w:rPr>
        <w:t>Lenvatinib</w:t>
      </w:r>
      <w:proofErr w:type="spellEnd"/>
      <w:r w:rsidRPr="004F572A">
        <w:rPr>
          <w:sz w:val="22"/>
          <w:szCs w:val="22"/>
        </w:rPr>
        <w:t xml:space="preserve"> </w:t>
      </w:r>
      <w:proofErr w:type="spellStart"/>
      <w:r w:rsidRPr="004F572A">
        <w:rPr>
          <w:sz w:val="22"/>
          <w:szCs w:val="22"/>
        </w:rPr>
        <w:t>Sandoz</w:t>
      </w:r>
      <w:proofErr w:type="spellEnd"/>
      <w:r w:rsidR="000928CA" w:rsidRPr="004F572A">
        <w:rPr>
          <w:sz w:val="22"/>
          <w:szCs w:val="22"/>
        </w:rPr>
        <w:t xml:space="preserve"> </w:t>
      </w:r>
      <w:r w:rsidRPr="004F572A">
        <w:rPr>
          <w:sz w:val="22"/>
          <w:szCs w:val="22"/>
        </w:rPr>
        <w:t xml:space="preserve">4 mg kietosios kapsulės: kiekvienoje kapsulėje yra </w:t>
      </w:r>
      <w:proofErr w:type="spellStart"/>
      <w:r w:rsidR="00917C51" w:rsidRPr="004F572A">
        <w:rPr>
          <w:sz w:val="22"/>
          <w:szCs w:val="22"/>
        </w:rPr>
        <w:t>lenvatinibo</w:t>
      </w:r>
      <w:proofErr w:type="spellEnd"/>
      <w:r w:rsidR="00917C51" w:rsidRPr="004F572A">
        <w:rPr>
          <w:sz w:val="22"/>
          <w:szCs w:val="22"/>
        </w:rPr>
        <w:t xml:space="preserve"> </w:t>
      </w:r>
      <w:proofErr w:type="spellStart"/>
      <w:r w:rsidR="00917C51" w:rsidRPr="004F572A">
        <w:rPr>
          <w:sz w:val="22"/>
          <w:szCs w:val="22"/>
        </w:rPr>
        <w:t>besilato</w:t>
      </w:r>
      <w:proofErr w:type="spellEnd"/>
      <w:r w:rsidR="00917C51">
        <w:rPr>
          <w:sz w:val="22"/>
          <w:szCs w:val="22"/>
        </w:rPr>
        <w:t>, atitinkančio</w:t>
      </w:r>
      <w:r w:rsidR="00917C51" w:rsidRPr="004F572A">
        <w:rPr>
          <w:sz w:val="22"/>
          <w:szCs w:val="22"/>
        </w:rPr>
        <w:t xml:space="preserve"> </w:t>
      </w:r>
      <w:r w:rsidRPr="004F572A">
        <w:rPr>
          <w:sz w:val="22"/>
          <w:szCs w:val="22"/>
        </w:rPr>
        <w:t xml:space="preserve">4 mg </w:t>
      </w:r>
      <w:proofErr w:type="spellStart"/>
      <w:r w:rsidRPr="004F572A">
        <w:rPr>
          <w:sz w:val="22"/>
          <w:szCs w:val="22"/>
        </w:rPr>
        <w:t>lenvatinibo</w:t>
      </w:r>
      <w:proofErr w:type="spellEnd"/>
      <w:r w:rsidR="000928CA" w:rsidRPr="004F572A">
        <w:rPr>
          <w:sz w:val="22"/>
          <w:szCs w:val="22"/>
        </w:rPr>
        <w:t>.</w:t>
      </w:r>
    </w:p>
    <w:p w14:paraId="7C692C1A" w14:textId="0AAC59A3" w:rsidR="000C442C" w:rsidRPr="004F572A" w:rsidRDefault="000C442C">
      <w:pPr>
        <w:pStyle w:val="Sraopastraipa"/>
        <w:numPr>
          <w:ilvl w:val="0"/>
          <w:numId w:val="17"/>
        </w:numPr>
        <w:ind w:left="540" w:hanging="270"/>
        <w:rPr>
          <w:sz w:val="22"/>
          <w:szCs w:val="22"/>
        </w:rPr>
      </w:pPr>
      <w:proofErr w:type="spellStart"/>
      <w:r w:rsidRPr="004F572A">
        <w:rPr>
          <w:sz w:val="22"/>
          <w:szCs w:val="22"/>
        </w:rPr>
        <w:t>Lenvatinib</w:t>
      </w:r>
      <w:proofErr w:type="spellEnd"/>
      <w:r w:rsidRPr="004F572A">
        <w:rPr>
          <w:sz w:val="22"/>
          <w:szCs w:val="22"/>
        </w:rPr>
        <w:t xml:space="preserve"> </w:t>
      </w:r>
      <w:proofErr w:type="spellStart"/>
      <w:r w:rsidRPr="004F572A">
        <w:rPr>
          <w:sz w:val="22"/>
          <w:szCs w:val="22"/>
        </w:rPr>
        <w:t>Sandoz</w:t>
      </w:r>
      <w:proofErr w:type="spellEnd"/>
      <w:r w:rsidRPr="004F572A">
        <w:rPr>
          <w:sz w:val="22"/>
          <w:szCs w:val="22"/>
        </w:rPr>
        <w:t xml:space="preserve"> 10 mg kietosios kapsulės: kiekvienoje kapsulėje yra </w:t>
      </w:r>
      <w:proofErr w:type="spellStart"/>
      <w:r w:rsidR="00917C51" w:rsidRPr="00917C51">
        <w:rPr>
          <w:sz w:val="22"/>
          <w:szCs w:val="22"/>
        </w:rPr>
        <w:t>lenvatinibo</w:t>
      </w:r>
      <w:proofErr w:type="spellEnd"/>
      <w:r w:rsidR="00917C51" w:rsidRPr="00917C51">
        <w:rPr>
          <w:sz w:val="22"/>
          <w:szCs w:val="22"/>
        </w:rPr>
        <w:t xml:space="preserve"> </w:t>
      </w:r>
      <w:proofErr w:type="spellStart"/>
      <w:r w:rsidR="00917C51" w:rsidRPr="00917C51">
        <w:rPr>
          <w:sz w:val="22"/>
          <w:szCs w:val="22"/>
        </w:rPr>
        <w:t>besilato</w:t>
      </w:r>
      <w:proofErr w:type="spellEnd"/>
      <w:r w:rsidR="00917C51" w:rsidRPr="00917C51">
        <w:rPr>
          <w:sz w:val="22"/>
          <w:szCs w:val="22"/>
        </w:rPr>
        <w:t xml:space="preserve">, atitinkančio </w:t>
      </w:r>
      <w:r w:rsidRPr="004F572A">
        <w:rPr>
          <w:sz w:val="22"/>
          <w:szCs w:val="22"/>
        </w:rPr>
        <w:t xml:space="preserve">10 mg </w:t>
      </w:r>
      <w:proofErr w:type="spellStart"/>
      <w:r w:rsidRPr="004F572A">
        <w:rPr>
          <w:sz w:val="22"/>
          <w:szCs w:val="22"/>
        </w:rPr>
        <w:t>lenvatinibo</w:t>
      </w:r>
      <w:proofErr w:type="spellEnd"/>
      <w:r w:rsidRPr="004F572A">
        <w:rPr>
          <w:sz w:val="22"/>
          <w:szCs w:val="22"/>
        </w:rPr>
        <w:t>.</w:t>
      </w:r>
    </w:p>
    <w:p w14:paraId="2B4E5ABC" w14:textId="77777777" w:rsidR="00917C51" w:rsidRDefault="000928CA">
      <w:pPr>
        <w:pStyle w:val="Sraopastraipa"/>
        <w:numPr>
          <w:ilvl w:val="0"/>
          <w:numId w:val="17"/>
        </w:numPr>
        <w:tabs>
          <w:tab w:val="clear" w:pos="567"/>
        </w:tabs>
        <w:ind w:left="360"/>
        <w:rPr>
          <w:sz w:val="22"/>
          <w:szCs w:val="22"/>
        </w:rPr>
      </w:pPr>
      <w:r w:rsidRPr="004F572A">
        <w:rPr>
          <w:sz w:val="22"/>
          <w:szCs w:val="22"/>
        </w:rPr>
        <w:t xml:space="preserve">Pagalbinės medžiagos yra: </w:t>
      </w:r>
      <w:r w:rsidR="000C442C" w:rsidRPr="004F572A">
        <w:rPr>
          <w:sz w:val="22"/>
          <w:szCs w:val="22"/>
        </w:rPr>
        <w:t xml:space="preserve">natrio vandenilio karbonatas, </w:t>
      </w:r>
      <w:proofErr w:type="spellStart"/>
      <w:r w:rsidR="000C442C" w:rsidRPr="004F572A">
        <w:rPr>
          <w:sz w:val="22"/>
          <w:szCs w:val="22"/>
        </w:rPr>
        <w:t>manitolis</w:t>
      </w:r>
      <w:proofErr w:type="spellEnd"/>
      <w:r w:rsidR="000C442C" w:rsidRPr="004F572A">
        <w:rPr>
          <w:sz w:val="22"/>
          <w:szCs w:val="22"/>
        </w:rPr>
        <w:t xml:space="preserve">, </w:t>
      </w:r>
      <w:proofErr w:type="spellStart"/>
      <w:r w:rsidR="000C442C" w:rsidRPr="004F572A">
        <w:rPr>
          <w:sz w:val="22"/>
          <w:szCs w:val="22"/>
        </w:rPr>
        <w:t>mikrokristalinė</w:t>
      </w:r>
      <w:proofErr w:type="spellEnd"/>
      <w:r w:rsidR="000C442C" w:rsidRPr="004F572A">
        <w:rPr>
          <w:sz w:val="22"/>
          <w:szCs w:val="22"/>
        </w:rPr>
        <w:t xml:space="preserve"> celiuliozė, </w:t>
      </w:r>
      <w:proofErr w:type="spellStart"/>
      <w:r w:rsidR="000C442C" w:rsidRPr="004F572A">
        <w:rPr>
          <w:sz w:val="22"/>
          <w:szCs w:val="22"/>
        </w:rPr>
        <w:t>hidroksipropilceliuliozė</w:t>
      </w:r>
      <w:proofErr w:type="spellEnd"/>
      <w:r w:rsidR="000C442C" w:rsidRPr="004F572A">
        <w:rPr>
          <w:sz w:val="22"/>
          <w:szCs w:val="22"/>
        </w:rPr>
        <w:t xml:space="preserve">, mažai pakeista </w:t>
      </w:r>
      <w:proofErr w:type="spellStart"/>
      <w:r w:rsidR="000C442C" w:rsidRPr="004F572A">
        <w:rPr>
          <w:sz w:val="22"/>
          <w:szCs w:val="22"/>
        </w:rPr>
        <w:t>hidroksipropilceliuliozė</w:t>
      </w:r>
      <w:proofErr w:type="spellEnd"/>
      <w:r w:rsidR="000C442C" w:rsidRPr="004F572A">
        <w:rPr>
          <w:sz w:val="22"/>
          <w:szCs w:val="22"/>
        </w:rPr>
        <w:t xml:space="preserve">, talkas. </w:t>
      </w:r>
    </w:p>
    <w:p w14:paraId="11A2A796" w14:textId="10F7777E" w:rsidR="00917C51" w:rsidRDefault="00917C51">
      <w:pPr>
        <w:pStyle w:val="Sraopastraipa"/>
        <w:numPr>
          <w:ilvl w:val="0"/>
          <w:numId w:val="17"/>
        </w:numPr>
        <w:tabs>
          <w:tab w:val="clear" w:pos="567"/>
        </w:tabs>
        <w:ind w:left="360"/>
        <w:rPr>
          <w:sz w:val="22"/>
          <w:szCs w:val="22"/>
        </w:rPr>
      </w:pPr>
      <w:r>
        <w:rPr>
          <w:sz w:val="22"/>
          <w:szCs w:val="22"/>
        </w:rPr>
        <w:t>4 mg kapsulės</w:t>
      </w:r>
      <w:r w:rsidR="000C442C" w:rsidRPr="004F572A">
        <w:rPr>
          <w:sz w:val="22"/>
          <w:szCs w:val="22"/>
        </w:rPr>
        <w:t xml:space="preserve"> apvalkal</w:t>
      </w:r>
      <w:r w:rsidR="005E6056" w:rsidRPr="004F572A">
        <w:rPr>
          <w:sz w:val="22"/>
          <w:szCs w:val="22"/>
        </w:rPr>
        <w:t>o sudėtyje</w:t>
      </w:r>
      <w:r w:rsidR="000C442C" w:rsidRPr="004F572A">
        <w:rPr>
          <w:sz w:val="22"/>
          <w:szCs w:val="22"/>
        </w:rPr>
        <w:t xml:space="preserve"> yra </w:t>
      </w:r>
      <w:proofErr w:type="spellStart"/>
      <w:r w:rsidR="000C442C" w:rsidRPr="004F572A">
        <w:rPr>
          <w:sz w:val="22"/>
          <w:szCs w:val="22"/>
        </w:rPr>
        <w:t>hipromeliozės</w:t>
      </w:r>
      <w:proofErr w:type="spellEnd"/>
      <w:r w:rsidR="000C442C" w:rsidRPr="004F572A">
        <w:rPr>
          <w:sz w:val="22"/>
          <w:szCs w:val="22"/>
        </w:rPr>
        <w:t>, titano dioksido,</w:t>
      </w:r>
      <w:r w:rsidR="005E6056" w:rsidRPr="004F572A">
        <w:rPr>
          <w:sz w:val="22"/>
          <w:szCs w:val="22"/>
        </w:rPr>
        <w:t xml:space="preserve"> geltonojo</w:t>
      </w:r>
      <w:r w:rsidR="000C442C" w:rsidRPr="004F572A">
        <w:rPr>
          <w:sz w:val="22"/>
          <w:szCs w:val="22"/>
        </w:rPr>
        <w:t xml:space="preserve"> geležies oksid</w:t>
      </w:r>
      <w:r w:rsidR="005E6056" w:rsidRPr="004F572A">
        <w:rPr>
          <w:sz w:val="22"/>
          <w:szCs w:val="22"/>
        </w:rPr>
        <w:t>o</w:t>
      </w:r>
      <w:r w:rsidR="000C442C" w:rsidRPr="004F572A">
        <w:rPr>
          <w:sz w:val="22"/>
          <w:szCs w:val="22"/>
        </w:rPr>
        <w:t xml:space="preserve"> (E172)</w:t>
      </w:r>
      <w:r w:rsidR="005E6056" w:rsidRPr="004F572A">
        <w:rPr>
          <w:sz w:val="22"/>
          <w:szCs w:val="22"/>
        </w:rPr>
        <w:t>, raudonojo</w:t>
      </w:r>
      <w:r w:rsidR="000C442C" w:rsidRPr="004F572A">
        <w:rPr>
          <w:sz w:val="22"/>
          <w:szCs w:val="22"/>
        </w:rPr>
        <w:t xml:space="preserve"> geležies oksid</w:t>
      </w:r>
      <w:r w:rsidR="005E6056" w:rsidRPr="004F572A">
        <w:rPr>
          <w:sz w:val="22"/>
          <w:szCs w:val="22"/>
        </w:rPr>
        <w:t>o</w:t>
      </w:r>
      <w:r w:rsidR="000C442C" w:rsidRPr="004F572A">
        <w:rPr>
          <w:sz w:val="22"/>
          <w:szCs w:val="22"/>
        </w:rPr>
        <w:t xml:space="preserve"> (E172)</w:t>
      </w:r>
      <w:r w:rsidR="005E6056" w:rsidRPr="004F572A">
        <w:rPr>
          <w:sz w:val="22"/>
          <w:szCs w:val="22"/>
        </w:rPr>
        <w:t>,</w:t>
      </w:r>
      <w:r w:rsidR="000C442C" w:rsidRPr="004F572A">
        <w:rPr>
          <w:sz w:val="22"/>
          <w:szCs w:val="22"/>
        </w:rPr>
        <w:t xml:space="preserve"> </w:t>
      </w:r>
      <w:r w:rsidR="005E6056" w:rsidRPr="004F572A">
        <w:rPr>
          <w:sz w:val="22"/>
          <w:szCs w:val="22"/>
        </w:rPr>
        <w:t xml:space="preserve">juodojo geležies oksido (E172). </w:t>
      </w:r>
    </w:p>
    <w:p w14:paraId="786C0AAC" w14:textId="3BD78F27" w:rsidR="00917C51" w:rsidRDefault="00917C51">
      <w:pPr>
        <w:pStyle w:val="Sraopastraipa"/>
        <w:numPr>
          <w:ilvl w:val="0"/>
          <w:numId w:val="17"/>
        </w:numPr>
        <w:tabs>
          <w:tab w:val="clear" w:pos="567"/>
        </w:tabs>
        <w:ind w:left="360"/>
        <w:rPr>
          <w:sz w:val="22"/>
          <w:szCs w:val="22"/>
        </w:rPr>
      </w:pPr>
      <w:r w:rsidRPr="00917C51">
        <w:rPr>
          <w:sz w:val="22"/>
          <w:szCs w:val="22"/>
        </w:rPr>
        <w:t xml:space="preserve">10 mg kapsulės apvalkalo sudėtyje yra </w:t>
      </w:r>
      <w:proofErr w:type="spellStart"/>
      <w:r w:rsidRPr="00917C51">
        <w:rPr>
          <w:sz w:val="22"/>
          <w:szCs w:val="22"/>
        </w:rPr>
        <w:t>hipromeliozės</w:t>
      </w:r>
      <w:proofErr w:type="spellEnd"/>
      <w:r w:rsidRPr="00917C51">
        <w:rPr>
          <w:sz w:val="22"/>
          <w:szCs w:val="22"/>
        </w:rPr>
        <w:t>, titano dioksido</w:t>
      </w:r>
      <w:r>
        <w:rPr>
          <w:sz w:val="22"/>
          <w:szCs w:val="22"/>
        </w:rPr>
        <w:t xml:space="preserve">, </w:t>
      </w:r>
      <w:r w:rsidRPr="00917C51">
        <w:rPr>
          <w:sz w:val="22"/>
          <w:szCs w:val="22"/>
        </w:rPr>
        <w:t xml:space="preserve">geltonojo geležies oksido (E172). </w:t>
      </w:r>
    </w:p>
    <w:p w14:paraId="25145698" w14:textId="5DE536D4" w:rsidR="00917C51" w:rsidRDefault="00917C51">
      <w:pPr>
        <w:pStyle w:val="Sraopastraipa"/>
        <w:numPr>
          <w:ilvl w:val="0"/>
          <w:numId w:val="17"/>
        </w:numPr>
        <w:tabs>
          <w:tab w:val="clear" w:pos="567"/>
        </w:tabs>
        <w:ind w:left="360"/>
        <w:rPr>
          <w:sz w:val="22"/>
          <w:szCs w:val="22"/>
        </w:rPr>
      </w:pPr>
      <w:r w:rsidRPr="00917C51">
        <w:rPr>
          <w:sz w:val="22"/>
          <w:szCs w:val="22"/>
        </w:rPr>
        <w:t xml:space="preserve">Kapsulės dangtelio sudėtyje yra </w:t>
      </w:r>
      <w:proofErr w:type="spellStart"/>
      <w:r w:rsidRPr="00917C51">
        <w:rPr>
          <w:sz w:val="22"/>
          <w:szCs w:val="22"/>
        </w:rPr>
        <w:t>hipromeliozės</w:t>
      </w:r>
      <w:proofErr w:type="spellEnd"/>
      <w:r w:rsidRPr="00917C51">
        <w:rPr>
          <w:sz w:val="22"/>
          <w:szCs w:val="22"/>
        </w:rPr>
        <w:t>, titano dioksido</w:t>
      </w:r>
      <w:r>
        <w:rPr>
          <w:sz w:val="22"/>
          <w:szCs w:val="22"/>
        </w:rPr>
        <w:t>,</w:t>
      </w:r>
      <w:r w:rsidRPr="00917C51">
        <w:rPr>
          <w:sz w:val="22"/>
          <w:szCs w:val="22"/>
        </w:rPr>
        <w:t xml:space="preserve"> geltonojo geležies oksido (E172), raudonojo geležies oksido (E172), juodojo geležies oksido (E172).</w:t>
      </w:r>
    </w:p>
    <w:p w14:paraId="11AC5EF5" w14:textId="6089E49D" w:rsidR="000C442C" w:rsidRPr="004F572A" w:rsidRDefault="000C442C">
      <w:pPr>
        <w:pStyle w:val="Sraopastraipa"/>
        <w:numPr>
          <w:ilvl w:val="0"/>
          <w:numId w:val="17"/>
        </w:numPr>
        <w:tabs>
          <w:tab w:val="clear" w:pos="567"/>
        </w:tabs>
        <w:ind w:left="360"/>
        <w:rPr>
          <w:sz w:val="22"/>
          <w:szCs w:val="22"/>
        </w:rPr>
      </w:pPr>
      <w:r w:rsidRPr="004F572A">
        <w:rPr>
          <w:sz w:val="22"/>
          <w:szCs w:val="22"/>
        </w:rPr>
        <w:t>Užrašo rašal</w:t>
      </w:r>
      <w:r w:rsidR="005E6056" w:rsidRPr="004F572A">
        <w:rPr>
          <w:sz w:val="22"/>
          <w:szCs w:val="22"/>
        </w:rPr>
        <w:t xml:space="preserve">o sudėtyje yra </w:t>
      </w:r>
      <w:proofErr w:type="spellStart"/>
      <w:r w:rsidR="005E6056" w:rsidRPr="004F572A">
        <w:rPr>
          <w:sz w:val="22"/>
          <w:szCs w:val="22"/>
        </w:rPr>
        <w:t>š</w:t>
      </w:r>
      <w:r w:rsidRPr="004F572A">
        <w:rPr>
          <w:sz w:val="22"/>
          <w:szCs w:val="22"/>
        </w:rPr>
        <w:t>elak</w:t>
      </w:r>
      <w:r w:rsidR="005E6056" w:rsidRPr="004F572A">
        <w:rPr>
          <w:sz w:val="22"/>
          <w:szCs w:val="22"/>
        </w:rPr>
        <w:t>o</w:t>
      </w:r>
      <w:proofErr w:type="spellEnd"/>
      <w:r w:rsidR="005E6056" w:rsidRPr="004F572A">
        <w:rPr>
          <w:sz w:val="22"/>
          <w:szCs w:val="22"/>
        </w:rPr>
        <w:t>, juodojo geležies oksido (E172), k</w:t>
      </w:r>
      <w:r w:rsidRPr="004F572A">
        <w:rPr>
          <w:sz w:val="22"/>
          <w:szCs w:val="22"/>
        </w:rPr>
        <w:t>alio hidroksid</w:t>
      </w:r>
      <w:r w:rsidR="005E6056" w:rsidRPr="004F572A">
        <w:rPr>
          <w:sz w:val="22"/>
          <w:szCs w:val="22"/>
        </w:rPr>
        <w:t>o.</w:t>
      </w:r>
      <w:r w:rsidRPr="004F572A">
        <w:rPr>
          <w:sz w:val="22"/>
          <w:szCs w:val="22"/>
        </w:rPr>
        <w:t xml:space="preserve"> </w:t>
      </w:r>
    </w:p>
    <w:p w14:paraId="6F512B4B" w14:textId="09C4D2BC" w:rsidR="000928CA" w:rsidRPr="004F572A" w:rsidRDefault="000928CA" w:rsidP="00917C51">
      <w:pPr>
        <w:tabs>
          <w:tab w:val="clear" w:pos="567"/>
        </w:tabs>
        <w:ind w:right="-2"/>
        <w:rPr>
          <w:sz w:val="22"/>
          <w:szCs w:val="22"/>
        </w:rPr>
      </w:pPr>
    </w:p>
    <w:p w14:paraId="17F6D93B" w14:textId="362554F9" w:rsidR="000928CA" w:rsidRPr="004F572A" w:rsidRDefault="005E6056" w:rsidP="005E6056">
      <w:pPr>
        <w:rPr>
          <w:b/>
          <w:bCs/>
          <w:sz w:val="22"/>
          <w:szCs w:val="22"/>
        </w:rPr>
      </w:pPr>
      <w:proofErr w:type="spellStart"/>
      <w:r w:rsidRPr="004F572A">
        <w:rPr>
          <w:b/>
          <w:bCs/>
          <w:sz w:val="22"/>
          <w:szCs w:val="22"/>
        </w:rPr>
        <w:lastRenderedPageBreak/>
        <w:t>Lenvatinib</w:t>
      </w:r>
      <w:proofErr w:type="spellEnd"/>
      <w:r w:rsidRPr="004F572A">
        <w:rPr>
          <w:b/>
          <w:bCs/>
          <w:sz w:val="22"/>
          <w:szCs w:val="22"/>
        </w:rPr>
        <w:t xml:space="preserve"> </w:t>
      </w:r>
      <w:proofErr w:type="spellStart"/>
      <w:r w:rsidRPr="004F572A">
        <w:rPr>
          <w:b/>
          <w:bCs/>
          <w:sz w:val="22"/>
          <w:szCs w:val="22"/>
        </w:rPr>
        <w:t>Sandoz</w:t>
      </w:r>
      <w:proofErr w:type="spellEnd"/>
      <w:r w:rsidR="000928CA" w:rsidRPr="004F572A">
        <w:rPr>
          <w:b/>
          <w:bCs/>
          <w:sz w:val="22"/>
          <w:szCs w:val="22"/>
        </w:rPr>
        <w:t xml:space="preserve"> išvaizda ir kiekis pakuotėje</w:t>
      </w:r>
    </w:p>
    <w:p w14:paraId="692CEB11" w14:textId="77777777" w:rsidR="00903951" w:rsidRPr="004F572A" w:rsidRDefault="00903951" w:rsidP="00903951">
      <w:pPr>
        <w:widowControl w:val="0"/>
        <w:tabs>
          <w:tab w:val="clear" w:pos="567"/>
        </w:tabs>
        <w:ind w:right="151"/>
        <w:rPr>
          <w:spacing w:val="-1"/>
          <w:sz w:val="22"/>
          <w:szCs w:val="22"/>
        </w:rPr>
      </w:pPr>
    </w:p>
    <w:p w14:paraId="7B42D1D3" w14:textId="5D04E9FC" w:rsidR="00903951" w:rsidRPr="004F572A" w:rsidRDefault="00903951">
      <w:pPr>
        <w:pStyle w:val="Sraopastraipa"/>
        <w:widowControl w:val="0"/>
        <w:numPr>
          <w:ilvl w:val="0"/>
          <w:numId w:val="18"/>
        </w:numPr>
        <w:tabs>
          <w:tab w:val="clear" w:pos="567"/>
        </w:tabs>
        <w:ind w:left="360" w:right="151"/>
        <w:rPr>
          <w:spacing w:val="-1"/>
          <w:sz w:val="22"/>
          <w:szCs w:val="22"/>
        </w:rPr>
      </w:pPr>
      <w:r w:rsidRPr="004F572A">
        <w:rPr>
          <w:spacing w:val="-1"/>
          <w:sz w:val="22"/>
          <w:szCs w:val="22"/>
        </w:rPr>
        <w:t>4 mg kietoji kapsulė (kapsulė) (maždaug 14,3 mm ilgio)</w:t>
      </w:r>
      <w:r w:rsidR="00A37D81">
        <w:rPr>
          <w:spacing w:val="-1"/>
          <w:sz w:val="22"/>
          <w:szCs w:val="22"/>
        </w:rPr>
        <w:t xml:space="preserve"> su </w:t>
      </w:r>
      <w:r w:rsidRPr="004F572A">
        <w:rPr>
          <w:spacing w:val="-1"/>
          <w:sz w:val="22"/>
          <w:szCs w:val="22"/>
        </w:rPr>
        <w:t>karamel</w:t>
      </w:r>
      <w:r w:rsidR="00A37D81">
        <w:rPr>
          <w:spacing w:val="-1"/>
          <w:sz w:val="22"/>
          <w:szCs w:val="22"/>
        </w:rPr>
        <w:t>ės spalvos</w:t>
      </w:r>
      <w:r w:rsidRPr="004F572A">
        <w:rPr>
          <w:spacing w:val="-1"/>
          <w:sz w:val="22"/>
          <w:szCs w:val="22"/>
        </w:rPr>
        <w:t xml:space="preserve"> nepermatom</w:t>
      </w:r>
      <w:r w:rsidR="00A37D81">
        <w:rPr>
          <w:spacing w:val="-1"/>
          <w:sz w:val="22"/>
          <w:szCs w:val="22"/>
        </w:rPr>
        <w:t>u</w:t>
      </w:r>
      <w:r w:rsidRPr="004F572A">
        <w:rPr>
          <w:spacing w:val="-1"/>
          <w:sz w:val="22"/>
          <w:szCs w:val="22"/>
        </w:rPr>
        <w:t xml:space="preserve"> korpus</w:t>
      </w:r>
      <w:r w:rsidR="00A37D81">
        <w:rPr>
          <w:spacing w:val="-1"/>
          <w:sz w:val="22"/>
          <w:szCs w:val="22"/>
        </w:rPr>
        <w:t>u</w:t>
      </w:r>
      <w:r w:rsidRPr="004F572A">
        <w:rPr>
          <w:spacing w:val="-1"/>
          <w:sz w:val="22"/>
          <w:szCs w:val="22"/>
        </w:rPr>
        <w:t xml:space="preserve"> ir karamel</w:t>
      </w:r>
      <w:r w:rsidR="00A37D81">
        <w:rPr>
          <w:spacing w:val="-1"/>
          <w:sz w:val="22"/>
          <w:szCs w:val="22"/>
        </w:rPr>
        <w:t>ės spalvos</w:t>
      </w:r>
      <w:r w:rsidRPr="004F572A">
        <w:rPr>
          <w:spacing w:val="-1"/>
          <w:sz w:val="22"/>
          <w:szCs w:val="22"/>
        </w:rPr>
        <w:t xml:space="preserve"> nepermatom</w:t>
      </w:r>
      <w:r w:rsidR="00A37D81">
        <w:rPr>
          <w:spacing w:val="-1"/>
          <w:sz w:val="22"/>
          <w:szCs w:val="22"/>
        </w:rPr>
        <w:t>u</w:t>
      </w:r>
      <w:r w:rsidRPr="004F572A">
        <w:rPr>
          <w:spacing w:val="-1"/>
          <w:sz w:val="22"/>
          <w:szCs w:val="22"/>
        </w:rPr>
        <w:t xml:space="preserve"> dangteli</w:t>
      </w:r>
      <w:r w:rsidR="00A37D81">
        <w:rPr>
          <w:spacing w:val="-1"/>
          <w:sz w:val="22"/>
          <w:szCs w:val="22"/>
        </w:rPr>
        <w:t>u</w:t>
      </w:r>
      <w:r w:rsidRPr="004F572A">
        <w:rPr>
          <w:spacing w:val="-1"/>
          <w:sz w:val="22"/>
          <w:szCs w:val="22"/>
        </w:rPr>
        <w:t xml:space="preserve">, </w:t>
      </w:r>
      <w:r w:rsidR="00A37D81">
        <w:rPr>
          <w:spacing w:val="-1"/>
          <w:sz w:val="22"/>
          <w:szCs w:val="22"/>
        </w:rPr>
        <w:t xml:space="preserve">ant kurio </w:t>
      </w:r>
      <w:r w:rsidR="00A37D81" w:rsidRPr="004F572A">
        <w:rPr>
          <w:spacing w:val="-1"/>
          <w:sz w:val="22"/>
          <w:szCs w:val="22"/>
        </w:rPr>
        <w:t>virš „4“</w:t>
      </w:r>
      <w:r w:rsidR="00A37D81">
        <w:rPr>
          <w:spacing w:val="-1"/>
          <w:sz w:val="22"/>
          <w:szCs w:val="22"/>
        </w:rPr>
        <w:t xml:space="preserve"> </w:t>
      </w:r>
      <w:r w:rsidRPr="004F572A">
        <w:rPr>
          <w:spacing w:val="-1"/>
          <w:sz w:val="22"/>
          <w:szCs w:val="22"/>
        </w:rPr>
        <w:t xml:space="preserve"> įspaust</w:t>
      </w:r>
      <w:r w:rsidR="00A37D81">
        <w:rPr>
          <w:spacing w:val="-1"/>
          <w:sz w:val="22"/>
          <w:szCs w:val="22"/>
        </w:rPr>
        <w:t>as</w:t>
      </w:r>
      <w:r w:rsidRPr="004F572A">
        <w:rPr>
          <w:spacing w:val="-1"/>
          <w:sz w:val="22"/>
          <w:szCs w:val="22"/>
        </w:rPr>
        <w:t xml:space="preserve"> užraš</w:t>
      </w:r>
      <w:r w:rsidR="00A37D81">
        <w:rPr>
          <w:spacing w:val="-1"/>
          <w:sz w:val="22"/>
          <w:szCs w:val="22"/>
        </w:rPr>
        <w:t>as</w:t>
      </w:r>
      <w:r w:rsidRPr="004F572A">
        <w:rPr>
          <w:spacing w:val="-1"/>
          <w:sz w:val="22"/>
          <w:szCs w:val="22"/>
        </w:rPr>
        <w:t xml:space="preserve"> „L7VB“.</w:t>
      </w:r>
    </w:p>
    <w:p w14:paraId="2EAEA739" w14:textId="3600F9AC" w:rsidR="00903951" w:rsidRPr="004F572A" w:rsidRDefault="00903951">
      <w:pPr>
        <w:pStyle w:val="Sraopastraipa"/>
        <w:widowControl w:val="0"/>
        <w:numPr>
          <w:ilvl w:val="0"/>
          <w:numId w:val="18"/>
        </w:numPr>
        <w:tabs>
          <w:tab w:val="clear" w:pos="567"/>
        </w:tabs>
        <w:ind w:left="360" w:right="151"/>
        <w:rPr>
          <w:spacing w:val="-1"/>
          <w:sz w:val="22"/>
          <w:szCs w:val="22"/>
        </w:rPr>
      </w:pPr>
      <w:r w:rsidRPr="004F572A">
        <w:rPr>
          <w:spacing w:val="-1"/>
          <w:sz w:val="22"/>
          <w:szCs w:val="22"/>
        </w:rPr>
        <w:t>10 mg kietoji kapsulė (kapsulė) (maždaug 14,3 mm ilgio)</w:t>
      </w:r>
      <w:r w:rsidR="00A37D81">
        <w:rPr>
          <w:spacing w:val="-1"/>
          <w:sz w:val="22"/>
          <w:szCs w:val="22"/>
        </w:rPr>
        <w:t xml:space="preserve"> su</w:t>
      </w:r>
      <w:r w:rsidR="00531062" w:rsidRPr="004F572A">
        <w:rPr>
          <w:spacing w:val="-1"/>
          <w:sz w:val="22"/>
          <w:szCs w:val="22"/>
        </w:rPr>
        <w:t xml:space="preserve"> gelton</w:t>
      </w:r>
      <w:r w:rsidR="00A37D81">
        <w:rPr>
          <w:spacing w:val="-1"/>
          <w:sz w:val="22"/>
          <w:szCs w:val="22"/>
        </w:rPr>
        <w:t>u</w:t>
      </w:r>
      <w:r w:rsidR="00531062" w:rsidRPr="004F572A">
        <w:rPr>
          <w:spacing w:val="-1"/>
          <w:sz w:val="22"/>
          <w:szCs w:val="22"/>
        </w:rPr>
        <w:t xml:space="preserve"> nepermatom</w:t>
      </w:r>
      <w:r w:rsidR="00A37D81">
        <w:rPr>
          <w:spacing w:val="-1"/>
          <w:sz w:val="22"/>
          <w:szCs w:val="22"/>
        </w:rPr>
        <w:t>u</w:t>
      </w:r>
      <w:r w:rsidR="00531062" w:rsidRPr="004F572A">
        <w:rPr>
          <w:spacing w:val="-1"/>
          <w:sz w:val="22"/>
          <w:szCs w:val="22"/>
        </w:rPr>
        <w:t xml:space="preserve"> korpus</w:t>
      </w:r>
      <w:r w:rsidR="00A37D81">
        <w:rPr>
          <w:spacing w:val="-1"/>
          <w:sz w:val="22"/>
          <w:szCs w:val="22"/>
        </w:rPr>
        <w:t>u</w:t>
      </w:r>
      <w:r w:rsidR="00531062" w:rsidRPr="004F572A">
        <w:rPr>
          <w:spacing w:val="-1"/>
          <w:sz w:val="22"/>
          <w:szCs w:val="22"/>
        </w:rPr>
        <w:t xml:space="preserve"> </w:t>
      </w:r>
      <w:r w:rsidRPr="004F572A">
        <w:rPr>
          <w:spacing w:val="-1"/>
          <w:sz w:val="22"/>
          <w:szCs w:val="22"/>
        </w:rPr>
        <w:t>ir karamel</w:t>
      </w:r>
      <w:r w:rsidR="00A37D81">
        <w:rPr>
          <w:spacing w:val="-1"/>
          <w:sz w:val="22"/>
          <w:szCs w:val="22"/>
        </w:rPr>
        <w:t>ės spalvos</w:t>
      </w:r>
      <w:r w:rsidRPr="004F572A">
        <w:rPr>
          <w:spacing w:val="-1"/>
          <w:sz w:val="22"/>
          <w:szCs w:val="22"/>
        </w:rPr>
        <w:t xml:space="preserve"> nepermatom</w:t>
      </w:r>
      <w:r w:rsidR="00A37D81">
        <w:rPr>
          <w:spacing w:val="-1"/>
          <w:sz w:val="22"/>
          <w:szCs w:val="22"/>
        </w:rPr>
        <w:t>u</w:t>
      </w:r>
      <w:r w:rsidRPr="004F572A">
        <w:rPr>
          <w:spacing w:val="-1"/>
          <w:sz w:val="22"/>
          <w:szCs w:val="22"/>
        </w:rPr>
        <w:t xml:space="preserve"> dangteli</w:t>
      </w:r>
      <w:r w:rsidR="00A37D81">
        <w:rPr>
          <w:spacing w:val="-1"/>
          <w:sz w:val="22"/>
          <w:szCs w:val="22"/>
        </w:rPr>
        <w:t>u</w:t>
      </w:r>
      <w:r w:rsidRPr="004F572A">
        <w:rPr>
          <w:spacing w:val="-1"/>
          <w:sz w:val="22"/>
          <w:szCs w:val="22"/>
        </w:rPr>
        <w:t xml:space="preserve"> </w:t>
      </w:r>
      <w:r w:rsidR="00A37D81">
        <w:rPr>
          <w:spacing w:val="-1"/>
          <w:sz w:val="22"/>
          <w:szCs w:val="22"/>
        </w:rPr>
        <w:t xml:space="preserve">ant kurio </w:t>
      </w:r>
      <w:r w:rsidR="00A37D81" w:rsidRPr="004F572A">
        <w:rPr>
          <w:spacing w:val="-1"/>
          <w:sz w:val="22"/>
          <w:szCs w:val="22"/>
        </w:rPr>
        <w:t>virš „</w:t>
      </w:r>
      <w:r w:rsidR="00A37D81">
        <w:rPr>
          <w:spacing w:val="-1"/>
          <w:sz w:val="22"/>
          <w:szCs w:val="22"/>
        </w:rPr>
        <w:t>10</w:t>
      </w:r>
      <w:r w:rsidR="00A37D81" w:rsidRPr="004F572A">
        <w:rPr>
          <w:spacing w:val="-1"/>
          <w:sz w:val="22"/>
          <w:szCs w:val="22"/>
        </w:rPr>
        <w:t>“</w:t>
      </w:r>
      <w:r w:rsidRPr="004F572A">
        <w:rPr>
          <w:spacing w:val="-1"/>
          <w:sz w:val="22"/>
          <w:szCs w:val="22"/>
        </w:rPr>
        <w:t xml:space="preserve"> įspaust</w:t>
      </w:r>
      <w:r w:rsidR="00A37D81">
        <w:rPr>
          <w:spacing w:val="-1"/>
          <w:sz w:val="22"/>
          <w:szCs w:val="22"/>
        </w:rPr>
        <w:t>as</w:t>
      </w:r>
      <w:r w:rsidRPr="004F572A">
        <w:rPr>
          <w:spacing w:val="-1"/>
          <w:sz w:val="22"/>
          <w:szCs w:val="22"/>
        </w:rPr>
        <w:t xml:space="preserve"> užraš</w:t>
      </w:r>
      <w:r w:rsidR="00A37D81">
        <w:rPr>
          <w:spacing w:val="-1"/>
          <w:sz w:val="22"/>
          <w:szCs w:val="22"/>
        </w:rPr>
        <w:t>as</w:t>
      </w:r>
      <w:r w:rsidRPr="004F572A">
        <w:rPr>
          <w:spacing w:val="-1"/>
          <w:sz w:val="22"/>
          <w:szCs w:val="22"/>
        </w:rPr>
        <w:t xml:space="preserve"> „L7VB“.</w:t>
      </w:r>
    </w:p>
    <w:p w14:paraId="64705C10" w14:textId="77777777" w:rsidR="00531062" w:rsidRPr="004F572A" w:rsidRDefault="00531062">
      <w:pPr>
        <w:pStyle w:val="Sraopastraipa"/>
        <w:widowControl w:val="0"/>
        <w:numPr>
          <w:ilvl w:val="0"/>
          <w:numId w:val="18"/>
        </w:numPr>
        <w:tabs>
          <w:tab w:val="clear" w:pos="567"/>
        </w:tabs>
        <w:ind w:left="360"/>
        <w:rPr>
          <w:sz w:val="22"/>
          <w:szCs w:val="22"/>
        </w:rPr>
      </w:pPr>
      <w:r w:rsidRPr="004F572A">
        <w:rPr>
          <w:rFonts w:eastAsia="Calibri"/>
          <w:sz w:val="22"/>
          <w:szCs w:val="22"/>
        </w:rPr>
        <w:t xml:space="preserve">Kiekvienoje dėžutėje yra 30, 60 arba 90 kietųjų kapsulių </w:t>
      </w:r>
      <w:proofErr w:type="spellStart"/>
      <w:r w:rsidRPr="004F572A">
        <w:rPr>
          <w:rFonts w:eastAsia="Calibri"/>
          <w:sz w:val="22"/>
          <w:szCs w:val="22"/>
        </w:rPr>
        <w:t>oPA</w:t>
      </w:r>
      <w:proofErr w:type="spellEnd"/>
      <w:r w:rsidRPr="004F572A">
        <w:rPr>
          <w:rFonts w:eastAsia="Calibri"/>
          <w:sz w:val="22"/>
          <w:szCs w:val="22"/>
        </w:rPr>
        <w:t xml:space="preserve">/Al/PVC/Al lizdinėse plokštelėse arba </w:t>
      </w:r>
      <w:r w:rsidRPr="004F572A">
        <w:rPr>
          <w:sz w:val="22"/>
          <w:szCs w:val="22"/>
        </w:rPr>
        <w:t>30x1, 60x1 arba 90x1 kietųjų kapsulių</w:t>
      </w:r>
      <w:r w:rsidRPr="004F572A">
        <w:t xml:space="preserve"> </w:t>
      </w:r>
      <w:proofErr w:type="spellStart"/>
      <w:r w:rsidRPr="004F572A">
        <w:rPr>
          <w:sz w:val="22"/>
          <w:szCs w:val="22"/>
        </w:rPr>
        <w:t>oPA</w:t>
      </w:r>
      <w:proofErr w:type="spellEnd"/>
      <w:r w:rsidRPr="004F572A">
        <w:rPr>
          <w:sz w:val="22"/>
          <w:szCs w:val="22"/>
        </w:rPr>
        <w:t xml:space="preserve">/Al/PVC/Al </w:t>
      </w:r>
      <w:proofErr w:type="spellStart"/>
      <w:r w:rsidRPr="004F572A">
        <w:rPr>
          <w:sz w:val="22"/>
          <w:szCs w:val="22"/>
        </w:rPr>
        <w:t>dalomosiose</w:t>
      </w:r>
      <w:proofErr w:type="spellEnd"/>
      <w:r w:rsidRPr="004F572A">
        <w:rPr>
          <w:sz w:val="22"/>
          <w:szCs w:val="22"/>
        </w:rPr>
        <w:t xml:space="preserve"> lizdinėse plokštelėse</w:t>
      </w:r>
      <w:r w:rsidRPr="004F572A">
        <w:rPr>
          <w:rFonts w:eastAsia="Calibri"/>
          <w:sz w:val="22"/>
          <w:szCs w:val="22"/>
        </w:rPr>
        <w:t>.</w:t>
      </w:r>
    </w:p>
    <w:p w14:paraId="27B23165" w14:textId="2B61FAC4" w:rsidR="00531062" w:rsidRPr="004F572A" w:rsidRDefault="00531062">
      <w:pPr>
        <w:pStyle w:val="Sraopastraipa"/>
        <w:widowControl w:val="0"/>
        <w:numPr>
          <w:ilvl w:val="0"/>
          <w:numId w:val="18"/>
        </w:numPr>
        <w:tabs>
          <w:tab w:val="clear" w:pos="567"/>
        </w:tabs>
        <w:ind w:left="360"/>
        <w:rPr>
          <w:sz w:val="22"/>
          <w:szCs w:val="22"/>
        </w:rPr>
      </w:pPr>
      <w:r w:rsidRPr="004F572A">
        <w:rPr>
          <w:rFonts w:eastAsia="Calibri"/>
          <w:sz w:val="22"/>
          <w:szCs w:val="22"/>
        </w:rPr>
        <w:t xml:space="preserve">Kiekvienoje dėžutėje yra 30, 60 arba 90 kietųjų kapsulių </w:t>
      </w:r>
      <w:proofErr w:type="spellStart"/>
      <w:r w:rsidRPr="004F572A">
        <w:rPr>
          <w:rFonts w:eastAsia="Calibri"/>
          <w:sz w:val="22"/>
          <w:szCs w:val="22"/>
        </w:rPr>
        <w:t>oPA</w:t>
      </w:r>
      <w:proofErr w:type="spellEnd"/>
      <w:r w:rsidRPr="004F572A">
        <w:rPr>
          <w:rFonts w:eastAsia="Calibri"/>
          <w:sz w:val="22"/>
          <w:szCs w:val="22"/>
        </w:rPr>
        <w:t>/Al/PVC/</w:t>
      </w:r>
      <w:r w:rsidR="00224200">
        <w:rPr>
          <w:rFonts w:eastAsia="Calibri"/>
          <w:sz w:val="22"/>
          <w:szCs w:val="22"/>
        </w:rPr>
        <w:t>PE/</w:t>
      </w:r>
      <w:r w:rsidRPr="004F572A">
        <w:rPr>
          <w:rFonts w:eastAsia="Calibri"/>
          <w:sz w:val="22"/>
          <w:szCs w:val="22"/>
        </w:rPr>
        <w:t xml:space="preserve">Al lizdinėse plokštelėse su </w:t>
      </w:r>
      <w:proofErr w:type="spellStart"/>
      <w:r w:rsidRPr="004F572A">
        <w:rPr>
          <w:rFonts w:eastAsia="Calibri"/>
          <w:sz w:val="22"/>
          <w:szCs w:val="22"/>
        </w:rPr>
        <w:t>sausikliu</w:t>
      </w:r>
      <w:proofErr w:type="spellEnd"/>
      <w:r w:rsidRPr="004F572A">
        <w:rPr>
          <w:rFonts w:eastAsia="Calibri"/>
          <w:sz w:val="22"/>
          <w:szCs w:val="22"/>
        </w:rPr>
        <w:t xml:space="preserve"> arba </w:t>
      </w:r>
      <w:r w:rsidRPr="004F572A">
        <w:rPr>
          <w:sz w:val="22"/>
          <w:szCs w:val="22"/>
        </w:rPr>
        <w:t>30x1, 60x1 arba 90x1 kietųjų kapsulių</w:t>
      </w:r>
      <w:r w:rsidRPr="004F572A">
        <w:t xml:space="preserve"> </w:t>
      </w:r>
      <w:proofErr w:type="spellStart"/>
      <w:r w:rsidRPr="004F572A">
        <w:rPr>
          <w:sz w:val="22"/>
          <w:szCs w:val="22"/>
        </w:rPr>
        <w:t>oPA</w:t>
      </w:r>
      <w:proofErr w:type="spellEnd"/>
      <w:r w:rsidRPr="004F572A">
        <w:rPr>
          <w:sz w:val="22"/>
          <w:szCs w:val="22"/>
        </w:rPr>
        <w:t>/Al/PVC/</w:t>
      </w:r>
      <w:r w:rsidR="00224200">
        <w:rPr>
          <w:sz w:val="22"/>
          <w:szCs w:val="22"/>
        </w:rPr>
        <w:t>PE/</w:t>
      </w:r>
      <w:r w:rsidRPr="004F572A">
        <w:rPr>
          <w:sz w:val="22"/>
          <w:szCs w:val="22"/>
        </w:rPr>
        <w:t xml:space="preserve">Al </w:t>
      </w:r>
      <w:proofErr w:type="spellStart"/>
      <w:r w:rsidRPr="004F572A">
        <w:rPr>
          <w:sz w:val="22"/>
          <w:szCs w:val="22"/>
        </w:rPr>
        <w:t>dalomosiose</w:t>
      </w:r>
      <w:proofErr w:type="spellEnd"/>
      <w:r w:rsidRPr="004F572A">
        <w:rPr>
          <w:sz w:val="22"/>
          <w:szCs w:val="22"/>
        </w:rPr>
        <w:t xml:space="preserve"> lizdinėse plokštelėse su </w:t>
      </w:r>
      <w:proofErr w:type="spellStart"/>
      <w:r w:rsidRPr="004F572A">
        <w:rPr>
          <w:sz w:val="22"/>
          <w:szCs w:val="22"/>
        </w:rPr>
        <w:t>sausikliu</w:t>
      </w:r>
      <w:proofErr w:type="spellEnd"/>
      <w:r w:rsidRPr="004F572A">
        <w:rPr>
          <w:rFonts w:eastAsia="Calibri"/>
          <w:sz w:val="22"/>
          <w:szCs w:val="22"/>
        </w:rPr>
        <w:t>.</w:t>
      </w:r>
    </w:p>
    <w:p w14:paraId="672FEC12" w14:textId="77777777" w:rsidR="000928CA" w:rsidRPr="004F572A" w:rsidRDefault="000928CA" w:rsidP="000928CA">
      <w:pPr>
        <w:tabs>
          <w:tab w:val="clear" w:pos="567"/>
        </w:tabs>
        <w:rPr>
          <w:sz w:val="22"/>
          <w:szCs w:val="22"/>
        </w:rPr>
      </w:pPr>
    </w:p>
    <w:p w14:paraId="796F35B5" w14:textId="77777777" w:rsidR="000928CA" w:rsidRPr="004F572A" w:rsidRDefault="000928CA" w:rsidP="000928CA">
      <w:pPr>
        <w:tabs>
          <w:tab w:val="clear" w:pos="567"/>
        </w:tabs>
        <w:rPr>
          <w:sz w:val="22"/>
          <w:szCs w:val="22"/>
        </w:rPr>
      </w:pPr>
      <w:r w:rsidRPr="004F572A">
        <w:rPr>
          <w:sz w:val="22"/>
          <w:szCs w:val="22"/>
        </w:rPr>
        <w:t>Gali būti tiekiamos ne visų dydžių pakuotės.</w:t>
      </w:r>
    </w:p>
    <w:p w14:paraId="3A6C6288" w14:textId="77777777" w:rsidR="000928CA" w:rsidRPr="004F572A" w:rsidRDefault="000928CA" w:rsidP="000928CA">
      <w:pPr>
        <w:tabs>
          <w:tab w:val="clear" w:pos="567"/>
        </w:tabs>
        <w:ind w:right="-2"/>
        <w:rPr>
          <w:sz w:val="22"/>
          <w:szCs w:val="22"/>
        </w:rPr>
      </w:pPr>
    </w:p>
    <w:p w14:paraId="6B0CC5F5" w14:textId="77777777" w:rsidR="000928CA" w:rsidRPr="004F572A" w:rsidRDefault="000928CA" w:rsidP="000928CA">
      <w:pPr>
        <w:pStyle w:val="Antrat4"/>
        <w:rPr>
          <w:rFonts w:ascii="Times New Roman" w:hAnsi="Times New Roman"/>
          <w:i/>
          <w:sz w:val="22"/>
          <w:szCs w:val="22"/>
          <w:lang w:val="lt-LT"/>
        </w:rPr>
      </w:pPr>
      <w:r w:rsidRPr="004F572A">
        <w:rPr>
          <w:rFonts w:ascii="Times New Roman" w:hAnsi="Times New Roman" w:cs="Times New Roman"/>
          <w:sz w:val="22"/>
          <w:szCs w:val="22"/>
          <w:lang w:val="lt-LT"/>
        </w:rPr>
        <w:t>Registruotojas ir gamintojas</w:t>
      </w:r>
    </w:p>
    <w:p w14:paraId="64133DF0" w14:textId="77777777" w:rsidR="000928CA" w:rsidRPr="004F572A" w:rsidRDefault="000928CA" w:rsidP="000928CA">
      <w:pPr>
        <w:tabs>
          <w:tab w:val="clear" w:pos="567"/>
          <w:tab w:val="left" w:pos="1296"/>
        </w:tabs>
        <w:ind w:right="-2"/>
        <w:rPr>
          <w:sz w:val="22"/>
          <w:szCs w:val="22"/>
        </w:rPr>
      </w:pPr>
      <w:r w:rsidRPr="004F572A">
        <w:rPr>
          <w:i/>
          <w:sz w:val="22"/>
          <w:szCs w:val="22"/>
        </w:rPr>
        <w:t>Registruotojas</w:t>
      </w:r>
    </w:p>
    <w:p w14:paraId="513C1CCB" w14:textId="77777777" w:rsidR="000928CA" w:rsidRPr="004F572A" w:rsidRDefault="000928CA" w:rsidP="000928CA">
      <w:pPr>
        <w:tabs>
          <w:tab w:val="left" w:pos="425"/>
        </w:tabs>
        <w:rPr>
          <w:sz w:val="22"/>
          <w:szCs w:val="22"/>
        </w:rPr>
      </w:pPr>
      <w:proofErr w:type="spellStart"/>
      <w:r w:rsidRPr="004F572A">
        <w:rPr>
          <w:sz w:val="22"/>
          <w:szCs w:val="22"/>
        </w:rPr>
        <w:t>Sandoz</w:t>
      </w:r>
      <w:proofErr w:type="spellEnd"/>
      <w:r w:rsidRPr="004F572A">
        <w:rPr>
          <w:sz w:val="22"/>
          <w:szCs w:val="22"/>
        </w:rPr>
        <w:t xml:space="preserve"> </w:t>
      </w:r>
      <w:proofErr w:type="spellStart"/>
      <w:r w:rsidRPr="004F572A">
        <w:rPr>
          <w:sz w:val="22"/>
          <w:szCs w:val="22"/>
        </w:rPr>
        <w:t>d.d</w:t>
      </w:r>
      <w:proofErr w:type="spellEnd"/>
      <w:r w:rsidRPr="004F572A">
        <w:rPr>
          <w:sz w:val="22"/>
          <w:szCs w:val="22"/>
        </w:rPr>
        <w:t>.</w:t>
      </w:r>
    </w:p>
    <w:p w14:paraId="0A297436" w14:textId="77777777" w:rsidR="000928CA" w:rsidRPr="004F572A" w:rsidRDefault="000928CA" w:rsidP="000928CA">
      <w:pPr>
        <w:tabs>
          <w:tab w:val="left" w:pos="425"/>
        </w:tabs>
        <w:rPr>
          <w:sz w:val="22"/>
          <w:szCs w:val="22"/>
        </w:rPr>
      </w:pPr>
      <w:proofErr w:type="spellStart"/>
      <w:r w:rsidRPr="004F572A">
        <w:rPr>
          <w:sz w:val="22"/>
          <w:szCs w:val="22"/>
        </w:rPr>
        <w:t>Verovškova</w:t>
      </w:r>
      <w:proofErr w:type="spellEnd"/>
      <w:r w:rsidRPr="004F572A">
        <w:rPr>
          <w:sz w:val="22"/>
          <w:szCs w:val="22"/>
        </w:rPr>
        <w:t xml:space="preserve"> 57</w:t>
      </w:r>
    </w:p>
    <w:p w14:paraId="735BF4A3" w14:textId="77777777" w:rsidR="000928CA" w:rsidRPr="004F572A" w:rsidRDefault="000928CA" w:rsidP="000928CA">
      <w:pPr>
        <w:tabs>
          <w:tab w:val="left" w:pos="425"/>
        </w:tabs>
        <w:rPr>
          <w:sz w:val="22"/>
          <w:szCs w:val="22"/>
        </w:rPr>
      </w:pPr>
      <w:r w:rsidRPr="004F572A">
        <w:rPr>
          <w:sz w:val="22"/>
          <w:szCs w:val="22"/>
        </w:rPr>
        <w:t xml:space="preserve">SI-1000 </w:t>
      </w:r>
      <w:proofErr w:type="spellStart"/>
      <w:r w:rsidRPr="004F572A">
        <w:rPr>
          <w:sz w:val="22"/>
          <w:szCs w:val="22"/>
        </w:rPr>
        <w:t>Ljubljana</w:t>
      </w:r>
      <w:proofErr w:type="spellEnd"/>
    </w:p>
    <w:p w14:paraId="29C4F3D2" w14:textId="77777777" w:rsidR="000928CA" w:rsidRPr="004F572A" w:rsidRDefault="000928CA" w:rsidP="000928CA">
      <w:pPr>
        <w:tabs>
          <w:tab w:val="left" w:pos="425"/>
        </w:tabs>
        <w:rPr>
          <w:i/>
          <w:sz w:val="22"/>
          <w:szCs w:val="22"/>
        </w:rPr>
      </w:pPr>
      <w:r w:rsidRPr="004F572A">
        <w:rPr>
          <w:sz w:val="22"/>
          <w:szCs w:val="22"/>
        </w:rPr>
        <w:t>Slovėnija</w:t>
      </w:r>
    </w:p>
    <w:p w14:paraId="03CA9AA1" w14:textId="77777777" w:rsidR="000928CA" w:rsidRPr="004F572A" w:rsidRDefault="000928CA" w:rsidP="000928CA">
      <w:pPr>
        <w:pStyle w:val="Antrat4"/>
        <w:rPr>
          <w:rFonts w:ascii="Times New Roman" w:hAnsi="Times New Roman" w:cs="Times New Roman"/>
          <w:b w:val="0"/>
          <w:i/>
          <w:sz w:val="22"/>
          <w:szCs w:val="22"/>
          <w:lang w:val="lt-LT"/>
        </w:rPr>
      </w:pPr>
    </w:p>
    <w:p w14:paraId="0E9AD614" w14:textId="77777777" w:rsidR="000928CA" w:rsidRPr="00224200" w:rsidRDefault="000928CA" w:rsidP="000928CA">
      <w:pPr>
        <w:pStyle w:val="Antrat4"/>
        <w:rPr>
          <w:rFonts w:ascii="Times New Roman" w:hAnsi="Times New Roman"/>
          <w:sz w:val="22"/>
          <w:szCs w:val="22"/>
          <w:lang w:val="lt-LT"/>
        </w:rPr>
      </w:pPr>
      <w:r w:rsidRPr="00224200">
        <w:rPr>
          <w:rFonts w:ascii="Times New Roman" w:hAnsi="Times New Roman" w:cs="Times New Roman"/>
          <w:b w:val="0"/>
          <w:i/>
          <w:sz w:val="22"/>
          <w:szCs w:val="22"/>
          <w:lang w:val="lt-LT"/>
        </w:rPr>
        <w:t>Gamintojas</w:t>
      </w:r>
    </w:p>
    <w:p w14:paraId="01752E80" w14:textId="77777777" w:rsidR="00615B94" w:rsidRPr="004F572A" w:rsidRDefault="00615B94" w:rsidP="00615B94">
      <w:pPr>
        <w:tabs>
          <w:tab w:val="left" w:pos="425"/>
        </w:tabs>
        <w:rPr>
          <w:sz w:val="22"/>
          <w:szCs w:val="22"/>
        </w:rPr>
      </w:pPr>
      <w:proofErr w:type="spellStart"/>
      <w:r w:rsidRPr="004F572A">
        <w:rPr>
          <w:sz w:val="22"/>
          <w:szCs w:val="22"/>
        </w:rPr>
        <w:t>Synthon</w:t>
      </w:r>
      <w:proofErr w:type="spellEnd"/>
      <w:r w:rsidRPr="004F572A">
        <w:rPr>
          <w:sz w:val="22"/>
          <w:szCs w:val="22"/>
        </w:rPr>
        <w:t xml:space="preserve"> </w:t>
      </w:r>
      <w:proofErr w:type="spellStart"/>
      <w:r w:rsidRPr="004F572A">
        <w:rPr>
          <w:sz w:val="22"/>
          <w:szCs w:val="22"/>
        </w:rPr>
        <w:t>Hispania</w:t>
      </w:r>
      <w:proofErr w:type="spellEnd"/>
      <w:r w:rsidRPr="004F572A">
        <w:rPr>
          <w:sz w:val="22"/>
          <w:szCs w:val="22"/>
        </w:rPr>
        <w:t xml:space="preserve"> S.L. </w:t>
      </w:r>
    </w:p>
    <w:p w14:paraId="0785A2D8" w14:textId="77777777" w:rsidR="00615B94" w:rsidRPr="004F572A" w:rsidRDefault="00615B94" w:rsidP="00615B94">
      <w:pPr>
        <w:tabs>
          <w:tab w:val="left" w:pos="425"/>
        </w:tabs>
        <w:rPr>
          <w:sz w:val="22"/>
          <w:szCs w:val="22"/>
        </w:rPr>
      </w:pPr>
      <w:proofErr w:type="spellStart"/>
      <w:r w:rsidRPr="004F572A">
        <w:rPr>
          <w:sz w:val="22"/>
          <w:szCs w:val="22"/>
        </w:rPr>
        <w:t>Calle</w:t>
      </w:r>
      <w:proofErr w:type="spellEnd"/>
      <w:r w:rsidRPr="004F572A">
        <w:rPr>
          <w:sz w:val="22"/>
          <w:szCs w:val="22"/>
        </w:rPr>
        <w:t xml:space="preserve"> De </w:t>
      </w:r>
      <w:proofErr w:type="spellStart"/>
      <w:r w:rsidRPr="004F572A">
        <w:rPr>
          <w:sz w:val="22"/>
          <w:szCs w:val="22"/>
        </w:rPr>
        <w:t>Castello</w:t>
      </w:r>
      <w:proofErr w:type="spellEnd"/>
      <w:r w:rsidRPr="004F572A">
        <w:rPr>
          <w:sz w:val="22"/>
          <w:szCs w:val="22"/>
        </w:rPr>
        <w:t xml:space="preserve"> 1 </w:t>
      </w:r>
    </w:p>
    <w:p w14:paraId="2CC4F0BE" w14:textId="77777777" w:rsidR="00615B94" w:rsidRPr="004F572A" w:rsidRDefault="00615B94" w:rsidP="00615B94">
      <w:pPr>
        <w:tabs>
          <w:tab w:val="left" w:pos="425"/>
        </w:tabs>
        <w:rPr>
          <w:sz w:val="22"/>
          <w:szCs w:val="22"/>
        </w:rPr>
      </w:pPr>
      <w:proofErr w:type="spellStart"/>
      <w:r w:rsidRPr="004F572A">
        <w:rPr>
          <w:sz w:val="22"/>
          <w:szCs w:val="22"/>
        </w:rPr>
        <w:t>Sant</w:t>
      </w:r>
      <w:proofErr w:type="spellEnd"/>
      <w:r w:rsidRPr="004F572A">
        <w:rPr>
          <w:sz w:val="22"/>
          <w:szCs w:val="22"/>
        </w:rPr>
        <w:t xml:space="preserve"> </w:t>
      </w:r>
      <w:proofErr w:type="spellStart"/>
      <w:r w:rsidRPr="004F572A">
        <w:rPr>
          <w:sz w:val="22"/>
          <w:szCs w:val="22"/>
        </w:rPr>
        <w:t>Boi</w:t>
      </w:r>
      <w:proofErr w:type="spellEnd"/>
      <w:r w:rsidRPr="004F572A">
        <w:rPr>
          <w:sz w:val="22"/>
          <w:szCs w:val="22"/>
        </w:rPr>
        <w:t xml:space="preserve"> De </w:t>
      </w:r>
      <w:proofErr w:type="spellStart"/>
      <w:r w:rsidRPr="004F572A">
        <w:rPr>
          <w:sz w:val="22"/>
          <w:szCs w:val="22"/>
        </w:rPr>
        <w:t>Llobregat</w:t>
      </w:r>
      <w:proofErr w:type="spellEnd"/>
      <w:r w:rsidRPr="004F572A">
        <w:rPr>
          <w:sz w:val="22"/>
          <w:szCs w:val="22"/>
        </w:rPr>
        <w:t xml:space="preserve"> </w:t>
      </w:r>
    </w:p>
    <w:p w14:paraId="1A5477D0" w14:textId="77777777" w:rsidR="00615B94" w:rsidRPr="004F572A" w:rsidRDefault="00615B94" w:rsidP="00615B94">
      <w:pPr>
        <w:tabs>
          <w:tab w:val="left" w:pos="425"/>
        </w:tabs>
        <w:rPr>
          <w:sz w:val="22"/>
          <w:szCs w:val="22"/>
        </w:rPr>
      </w:pPr>
      <w:proofErr w:type="spellStart"/>
      <w:r w:rsidRPr="004F572A">
        <w:rPr>
          <w:sz w:val="22"/>
          <w:szCs w:val="22"/>
        </w:rPr>
        <w:t>Barcelona</w:t>
      </w:r>
      <w:proofErr w:type="spellEnd"/>
      <w:r w:rsidRPr="004F572A">
        <w:rPr>
          <w:sz w:val="22"/>
          <w:szCs w:val="22"/>
        </w:rPr>
        <w:t xml:space="preserve"> </w:t>
      </w:r>
    </w:p>
    <w:p w14:paraId="35852D09" w14:textId="77777777" w:rsidR="00615B94" w:rsidRPr="004F572A" w:rsidRDefault="00615B94" w:rsidP="00615B94">
      <w:pPr>
        <w:tabs>
          <w:tab w:val="left" w:pos="425"/>
        </w:tabs>
        <w:rPr>
          <w:sz w:val="22"/>
          <w:szCs w:val="22"/>
        </w:rPr>
      </w:pPr>
      <w:r w:rsidRPr="004F572A">
        <w:rPr>
          <w:sz w:val="22"/>
          <w:szCs w:val="22"/>
        </w:rPr>
        <w:t xml:space="preserve">08830, Ispanija </w:t>
      </w:r>
    </w:p>
    <w:p w14:paraId="511D7285" w14:textId="77777777" w:rsidR="00615B94" w:rsidRDefault="00615B94" w:rsidP="00615B94">
      <w:pPr>
        <w:tabs>
          <w:tab w:val="left" w:pos="425"/>
        </w:tabs>
        <w:rPr>
          <w:sz w:val="22"/>
          <w:szCs w:val="22"/>
        </w:rPr>
      </w:pPr>
    </w:p>
    <w:p w14:paraId="785697E1" w14:textId="52C4EF7C" w:rsidR="00A37D81" w:rsidRDefault="00A37D81" w:rsidP="00615B94">
      <w:pPr>
        <w:tabs>
          <w:tab w:val="left" w:pos="425"/>
        </w:tabs>
        <w:rPr>
          <w:sz w:val="22"/>
          <w:szCs w:val="22"/>
        </w:rPr>
      </w:pPr>
      <w:r>
        <w:rPr>
          <w:sz w:val="22"/>
          <w:szCs w:val="22"/>
        </w:rPr>
        <w:t>arba</w:t>
      </w:r>
    </w:p>
    <w:p w14:paraId="6A7753CB" w14:textId="77777777" w:rsidR="00A37D81" w:rsidRPr="004F572A" w:rsidRDefault="00A37D81" w:rsidP="00615B94">
      <w:pPr>
        <w:tabs>
          <w:tab w:val="left" w:pos="425"/>
        </w:tabs>
        <w:rPr>
          <w:sz w:val="22"/>
          <w:szCs w:val="22"/>
        </w:rPr>
      </w:pPr>
    </w:p>
    <w:p w14:paraId="71BF3BF8" w14:textId="77777777" w:rsidR="00615B94" w:rsidRPr="004F572A" w:rsidRDefault="00615B94" w:rsidP="00615B94">
      <w:pPr>
        <w:tabs>
          <w:tab w:val="left" w:pos="425"/>
        </w:tabs>
        <w:rPr>
          <w:sz w:val="22"/>
          <w:szCs w:val="22"/>
        </w:rPr>
      </w:pPr>
      <w:proofErr w:type="spellStart"/>
      <w:r w:rsidRPr="004F572A">
        <w:rPr>
          <w:sz w:val="22"/>
          <w:szCs w:val="22"/>
        </w:rPr>
        <w:t>Synthon</w:t>
      </w:r>
      <w:proofErr w:type="spellEnd"/>
      <w:r w:rsidRPr="004F572A">
        <w:rPr>
          <w:sz w:val="22"/>
          <w:szCs w:val="22"/>
        </w:rPr>
        <w:t xml:space="preserve"> B.V. </w:t>
      </w:r>
    </w:p>
    <w:p w14:paraId="506C8943" w14:textId="77777777" w:rsidR="00615B94" w:rsidRPr="004F572A" w:rsidRDefault="00615B94" w:rsidP="00615B94">
      <w:pPr>
        <w:tabs>
          <w:tab w:val="left" w:pos="425"/>
        </w:tabs>
        <w:rPr>
          <w:sz w:val="22"/>
          <w:szCs w:val="22"/>
        </w:rPr>
      </w:pPr>
      <w:proofErr w:type="spellStart"/>
      <w:r w:rsidRPr="004F572A">
        <w:rPr>
          <w:sz w:val="22"/>
          <w:szCs w:val="22"/>
        </w:rPr>
        <w:t>Microweg</w:t>
      </w:r>
      <w:proofErr w:type="spellEnd"/>
      <w:r w:rsidRPr="004F572A">
        <w:rPr>
          <w:sz w:val="22"/>
          <w:szCs w:val="22"/>
        </w:rPr>
        <w:t xml:space="preserve"> 22 </w:t>
      </w:r>
    </w:p>
    <w:p w14:paraId="6EDAA608" w14:textId="77777777" w:rsidR="00615B94" w:rsidRPr="004F572A" w:rsidRDefault="00615B94" w:rsidP="00615B94">
      <w:pPr>
        <w:tabs>
          <w:tab w:val="left" w:pos="425"/>
        </w:tabs>
        <w:rPr>
          <w:sz w:val="22"/>
          <w:szCs w:val="22"/>
        </w:rPr>
      </w:pPr>
      <w:proofErr w:type="spellStart"/>
      <w:r w:rsidRPr="004F572A">
        <w:rPr>
          <w:sz w:val="22"/>
          <w:szCs w:val="22"/>
        </w:rPr>
        <w:t>Nijmegen</w:t>
      </w:r>
      <w:proofErr w:type="spellEnd"/>
      <w:r w:rsidRPr="004F572A">
        <w:rPr>
          <w:sz w:val="22"/>
          <w:szCs w:val="22"/>
        </w:rPr>
        <w:t xml:space="preserve"> </w:t>
      </w:r>
    </w:p>
    <w:p w14:paraId="552060D0" w14:textId="77777777" w:rsidR="00615B94" w:rsidRPr="004F572A" w:rsidRDefault="00615B94" w:rsidP="00615B94">
      <w:pPr>
        <w:tabs>
          <w:tab w:val="left" w:pos="425"/>
        </w:tabs>
        <w:rPr>
          <w:sz w:val="22"/>
          <w:szCs w:val="22"/>
        </w:rPr>
      </w:pPr>
      <w:proofErr w:type="spellStart"/>
      <w:r w:rsidRPr="004F572A">
        <w:rPr>
          <w:sz w:val="22"/>
          <w:szCs w:val="22"/>
        </w:rPr>
        <w:t>Gelderland</w:t>
      </w:r>
      <w:proofErr w:type="spellEnd"/>
      <w:r w:rsidRPr="004F572A">
        <w:rPr>
          <w:sz w:val="22"/>
          <w:szCs w:val="22"/>
        </w:rPr>
        <w:t xml:space="preserve"> </w:t>
      </w:r>
    </w:p>
    <w:p w14:paraId="562EF895" w14:textId="77777777" w:rsidR="00615B94" w:rsidRPr="004F572A" w:rsidRDefault="00615B94" w:rsidP="00615B94">
      <w:pPr>
        <w:tabs>
          <w:tab w:val="left" w:pos="425"/>
        </w:tabs>
        <w:rPr>
          <w:sz w:val="22"/>
          <w:szCs w:val="22"/>
        </w:rPr>
      </w:pPr>
      <w:r w:rsidRPr="004F572A">
        <w:rPr>
          <w:sz w:val="22"/>
          <w:szCs w:val="22"/>
        </w:rPr>
        <w:t>6545 CM , Nyderlandai</w:t>
      </w:r>
    </w:p>
    <w:p w14:paraId="1ECACF8F" w14:textId="77777777" w:rsidR="000928CA" w:rsidRPr="004F572A" w:rsidRDefault="000928CA" w:rsidP="000928CA">
      <w:pPr>
        <w:rPr>
          <w:sz w:val="22"/>
          <w:szCs w:val="22"/>
        </w:rPr>
      </w:pPr>
    </w:p>
    <w:p w14:paraId="65896E93" w14:textId="77777777" w:rsidR="000928CA" w:rsidRPr="004F572A" w:rsidRDefault="000928CA" w:rsidP="000928CA">
      <w:pPr>
        <w:spacing w:line="260" w:lineRule="exact"/>
        <w:rPr>
          <w:b/>
          <w:bCs/>
          <w:sz w:val="22"/>
          <w:szCs w:val="22"/>
        </w:rPr>
      </w:pPr>
      <w:r w:rsidRPr="004F572A">
        <w:rPr>
          <w:bCs/>
          <w:sz w:val="22"/>
          <w:szCs w:val="22"/>
        </w:rPr>
        <w:t>Jeigu apie šį vaistą norite sužinoti daugiau, kreipkitės į vietinį registruotojo atstovą.</w:t>
      </w:r>
    </w:p>
    <w:p w14:paraId="6463DE22" w14:textId="77777777" w:rsidR="000928CA" w:rsidRPr="004F572A" w:rsidRDefault="000928CA" w:rsidP="000928CA">
      <w:pPr>
        <w:spacing w:line="260" w:lineRule="exact"/>
        <w:rPr>
          <w:b/>
          <w:bCs/>
          <w:sz w:val="22"/>
          <w:szCs w:val="22"/>
        </w:rPr>
      </w:pPr>
    </w:p>
    <w:p w14:paraId="664DAB4C" w14:textId="77777777" w:rsidR="000928CA" w:rsidRPr="004F572A" w:rsidRDefault="000928CA" w:rsidP="000928CA">
      <w:pPr>
        <w:spacing w:line="260" w:lineRule="exact"/>
        <w:rPr>
          <w:sz w:val="22"/>
          <w:szCs w:val="22"/>
        </w:rPr>
      </w:pPr>
      <w:proofErr w:type="spellStart"/>
      <w:r w:rsidRPr="004F572A">
        <w:rPr>
          <w:sz w:val="22"/>
          <w:szCs w:val="22"/>
        </w:rPr>
        <w:t>Sandoz</w:t>
      </w:r>
      <w:proofErr w:type="spellEnd"/>
      <w:r w:rsidRPr="004F572A">
        <w:rPr>
          <w:sz w:val="22"/>
          <w:szCs w:val="22"/>
        </w:rPr>
        <w:t xml:space="preserve"> </w:t>
      </w:r>
      <w:proofErr w:type="spellStart"/>
      <w:r w:rsidRPr="004F572A">
        <w:rPr>
          <w:sz w:val="22"/>
          <w:szCs w:val="22"/>
        </w:rPr>
        <w:t>Pharmaceuticals</w:t>
      </w:r>
      <w:proofErr w:type="spellEnd"/>
      <w:r w:rsidRPr="004F572A">
        <w:rPr>
          <w:sz w:val="22"/>
          <w:szCs w:val="22"/>
        </w:rPr>
        <w:t xml:space="preserve"> </w:t>
      </w:r>
      <w:proofErr w:type="spellStart"/>
      <w:r w:rsidRPr="004F572A">
        <w:rPr>
          <w:sz w:val="22"/>
          <w:szCs w:val="22"/>
        </w:rPr>
        <w:t>d.d</w:t>
      </w:r>
      <w:proofErr w:type="spellEnd"/>
      <w:r w:rsidRPr="004F572A">
        <w:rPr>
          <w:sz w:val="22"/>
          <w:szCs w:val="22"/>
        </w:rPr>
        <w:t>. filialas</w:t>
      </w:r>
    </w:p>
    <w:p w14:paraId="79FE6042" w14:textId="545A0025" w:rsidR="000928CA" w:rsidRPr="004F572A" w:rsidRDefault="000928CA" w:rsidP="000928CA">
      <w:pPr>
        <w:spacing w:line="260" w:lineRule="exact"/>
        <w:rPr>
          <w:sz w:val="22"/>
          <w:szCs w:val="22"/>
        </w:rPr>
      </w:pPr>
      <w:r w:rsidRPr="004F572A">
        <w:rPr>
          <w:sz w:val="22"/>
          <w:szCs w:val="22"/>
        </w:rPr>
        <w:t>Tel. +370 5 2636037</w:t>
      </w:r>
    </w:p>
    <w:p w14:paraId="58EF327F" w14:textId="77777777" w:rsidR="00E267B9" w:rsidRPr="004F572A" w:rsidRDefault="00E267B9" w:rsidP="00E267B9">
      <w:pPr>
        <w:numPr>
          <w:ilvl w:val="12"/>
          <w:numId w:val="0"/>
        </w:numPr>
        <w:suppressAutoHyphens w:val="0"/>
        <w:spacing w:line="260" w:lineRule="exact"/>
        <w:ind w:right="-2"/>
        <w:rPr>
          <w:rFonts w:eastAsia="Times New Roman"/>
          <w:snapToGrid w:val="0"/>
          <w:color w:val="auto"/>
          <w:sz w:val="22"/>
          <w:szCs w:val="20"/>
          <w:lang w:eastAsia="en-US"/>
        </w:rPr>
      </w:pPr>
    </w:p>
    <w:p w14:paraId="6B7122C0" w14:textId="77777777" w:rsidR="00E267B9" w:rsidRPr="004F572A" w:rsidRDefault="00E267B9" w:rsidP="00C031C0">
      <w:pPr>
        <w:numPr>
          <w:ilvl w:val="12"/>
          <w:numId w:val="0"/>
        </w:numPr>
        <w:suppressAutoHyphens w:val="0"/>
        <w:spacing w:line="240" w:lineRule="auto"/>
        <w:rPr>
          <w:rFonts w:eastAsia="Times New Roman"/>
          <w:b/>
          <w:snapToGrid w:val="0"/>
          <w:color w:val="auto"/>
          <w:sz w:val="22"/>
          <w:szCs w:val="20"/>
          <w:lang w:eastAsia="en-US"/>
        </w:rPr>
      </w:pPr>
      <w:r w:rsidRPr="004F572A">
        <w:rPr>
          <w:rFonts w:eastAsia="Times New Roman"/>
          <w:b/>
          <w:snapToGrid w:val="0"/>
          <w:color w:val="auto"/>
          <w:sz w:val="22"/>
          <w:szCs w:val="20"/>
          <w:lang w:eastAsia="en-US"/>
        </w:rPr>
        <w:t>Šis vaistas Europos ekonominės erdvės valstybėse narėse registruotas tokiais pavadinimais:</w:t>
      </w:r>
    </w:p>
    <w:p w14:paraId="5D792FD3" w14:textId="77777777" w:rsidR="00615B94" w:rsidRPr="004F572A" w:rsidRDefault="00615B94" w:rsidP="00C031C0">
      <w:pPr>
        <w:numPr>
          <w:ilvl w:val="12"/>
          <w:numId w:val="0"/>
        </w:numPr>
        <w:suppressAutoHyphens w:val="0"/>
        <w:spacing w:line="240" w:lineRule="auto"/>
        <w:rPr>
          <w:rFonts w:eastAsia="Times New Roman"/>
          <w:b/>
          <w:snapToGrid w:val="0"/>
          <w:color w:val="auto"/>
          <w:sz w:val="22"/>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3060"/>
      </w:tblGrid>
      <w:tr w:rsidR="001171E5" w:rsidRPr="004F572A" w14:paraId="6F1A1C45" w14:textId="77777777" w:rsidTr="00615B94">
        <w:tc>
          <w:tcPr>
            <w:tcW w:w="4045" w:type="dxa"/>
          </w:tcPr>
          <w:p w14:paraId="36EE4D30" w14:textId="0780D7B6" w:rsidR="001171E5" w:rsidRPr="004F572A" w:rsidRDefault="001171E5" w:rsidP="00A66660">
            <w:pPr>
              <w:numPr>
                <w:ilvl w:val="12"/>
                <w:numId w:val="0"/>
              </w:numPr>
              <w:suppressAutoHyphens w:val="0"/>
              <w:spacing w:after="80" w:line="240" w:lineRule="auto"/>
              <w:rPr>
                <w:rFonts w:eastAsia="Times New Roman"/>
                <w:snapToGrid w:val="0"/>
                <w:color w:val="auto"/>
                <w:sz w:val="22"/>
                <w:szCs w:val="20"/>
                <w:lang w:eastAsia="en-US"/>
              </w:rPr>
            </w:pPr>
            <w:r w:rsidRPr="004F572A">
              <w:rPr>
                <w:rFonts w:eastAsia="Times New Roman"/>
                <w:snapToGrid w:val="0"/>
                <w:color w:val="auto"/>
                <w:sz w:val="22"/>
                <w:szCs w:val="20"/>
                <w:lang w:eastAsia="en-US"/>
              </w:rPr>
              <w:t>Nyderlandai (RMS)</w:t>
            </w:r>
            <w:r w:rsidR="00615B94" w:rsidRPr="004F572A">
              <w:rPr>
                <w:rFonts w:eastAsia="Times New Roman"/>
                <w:snapToGrid w:val="0"/>
                <w:color w:val="auto"/>
                <w:sz w:val="22"/>
                <w:szCs w:val="20"/>
                <w:lang w:eastAsia="en-US"/>
              </w:rPr>
              <w:t xml:space="preserve">, Austrija, Čekija,  Danija, Estija, Ispanija, Italija, Latvija, Lietuva, Norvegija, Portugalija, Prancūzija, Slovėnija, Suomija, Švedija, </w:t>
            </w:r>
          </w:p>
        </w:tc>
        <w:tc>
          <w:tcPr>
            <w:tcW w:w="3060" w:type="dxa"/>
          </w:tcPr>
          <w:p w14:paraId="6F140BEB" w14:textId="3D82CEF6" w:rsidR="001171E5" w:rsidRPr="004F572A" w:rsidRDefault="001171E5" w:rsidP="00E267B9">
            <w:pPr>
              <w:numPr>
                <w:ilvl w:val="12"/>
                <w:numId w:val="0"/>
              </w:numPr>
              <w:suppressAutoHyphens w:val="0"/>
              <w:spacing w:line="240" w:lineRule="auto"/>
              <w:rPr>
                <w:rFonts w:eastAsia="Times New Roman"/>
                <w:snapToGrid w:val="0"/>
                <w:color w:val="auto"/>
                <w:sz w:val="22"/>
                <w:szCs w:val="20"/>
                <w:lang w:eastAsia="en-US"/>
              </w:rPr>
            </w:pPr>
            <w:proofErr w:type="spellStart"/>
            <w:r w:rsidRPr="004F572A">
              <w:rPr>
                <w:rFonts w:eastAsia="Times New Roman"/>
                <w:snapToGrid w:val="0"/>
                <w:color w:val="auto"/>
                <w:sz w:val="22"/>
                <w:szCs w:val="20"/>
                <w:lang w:eastAsia="en-US"/>
              </w:rPr>
              <w:t>Lenvatinib</w:t>
            </w:r>
            <w:proofErr w:type="spellEnd"/>
            <w:r w:rsidRPr="004F572A">
              <w:rPr>
                <w:rFonts w:eastAsia="Times New Roman"/>
                <w:snapToGrid w:val="0"/>
                <w:color w:val="auto"/>
                <w:sz w:val="22"/>
                <w:szCs w:val="20"/>
                <w:lang w:eastAsia="en-US"/>
              </w:rPr>
              <w:t xml:space="preserve"> </w:t>
            </w:r>
            <w:proofErr w:type="spellStart"/>
            <w:r w:rsidRPr="004F572A">
              <w:rPr>
                <w:rFonts w:eastAsia="Times New Roman"/>
                <w:snapToGrid w:val="0"/>
                <w:color w:val="auto"/>
                <w:sz w:val="22"/>
                <w:szCs w:val="20"/>
                <w:lang w:eastAsia="en-US"/>
              </w:rPr>
              <w:t>Sandoz</w:t>
            </w:r>
            <w:proofErr w:type="spellEnd"/>
          </w:p>
        </w:tc>
      </w:tr>
      <w:tr w:rsidR="00DE3C81" w:rsidRPr="004F572A" w14:paraId="6C094505" w14:textId="77777777" w:rsidTr="00615B94">
        <w:tc>
          <w:tcPr>
            <w:tcW w:w="4045" w:type="dxa"/>
          </w:tcPr>
          <w:p w14:paraId="3F7B5A17" w14:textId="25024876" w:rsidR="00DE3C81" w:rsidRPr="004F572A" w:rsidRDefault="00DE3C81" w:rsidP="00E267B9">
            <w:pPr>
              <w:numPr>
                <w:ilvl w:val="12"/>
                <w:numId w:val="0"/>
              </w:numPr>
              <w:suppressAutoHyphens w:val="0"/>
              <w:spacing w:line="240" w:lineRule="auto"/>
              <w:rPr>
                <w:rFonts w:eastAsia="Times New Roman"/>
                <w:snapToGrid w:val="0"/>
                <w:color w:val="auto"/>
                <w:sz w:val="22"/>
                <w:szCs w:val="20"/>
                <w:lang w:eastAsia="en-US"/>
              </w:rPr>
            </w:pPr>
            <w:r w:rsidRPr="004F572A">
              <w:rPr>
                <w:rFonts w:eastAsia="Times New Roman"/>
                <w:snapToGrid w:val="0"/>
                <w:color w:val="auto"/>
                <w:sz w:val="22"/>
                <w:szCs w:val="20"/>
                <w:lang w:eastAsia="en-US"/>
              </w:rPr>
              <w:t>Graikija</w:t>
            </w:r>
          </w:p>
        </w:tc>
        <w:tc>
          <w:tcPr>
            <w:tcW w:w="3060" w:type="dxa"/>
          </w:tcPr>
          <w:p w14:paraId="7A3C07EF" w14:textId="5428A40B" w:rsidR="00DE3C81" w:rsidRPr="004F572A" w:rsidRDefault="00DE3C81" w:rsidP="00E267B9">
            <w:pPr>
              <w:numPr>
                <w:ilvl w:val="12"/>
                <w:numId w:val="0"/>
              </w:numPr>
              <w:suppressAutoHyphens w:val="0"/>
              <w:spacing w:line="240" w:lineRule="auto"/>
              <w:rPr>
                <w:rFonts w:eastAsia="Times New Roman"/>
                <w:snapToGrid w:val="0"/>
                <w:color w:val="auto"/>
                <w:sz w:val="22"/>
                <w:szCs w:val="20"/>
                <w:lang w:eastAsia="en-US"/>
              </w:rPr>
            </w:pPr>
            <w:proofErr w:type="spellStart"/>
            <w:r w:rsidRPr="00DE3C81">
              <w:rPr>
                <w:rFonts w:eastAsia="Times New Roman"/>
                <w:snapToGrid w:val="0"/>
                <w:color w:val="auto"/>
                <w:sz w:val="22"/>
                <w:szCs w:val="20"/>
                <w:lang w:eastAsia="en-US"/>
              </w:rPr>
              <w:t>Lenvatinib</w:t>
            </w:r>
            <w:proofErr w:type="spellEnd"/>
            <w:r w:rsidRPr="00DE3C81">
              <w:rPr>
                <w:rFonts w:eastAsia="Times New Roman"/>
                <w:snapToGrid w:val="0"/>
                <w:color w:val="auto"/>
                <w:sz w:val="22"/>
                <w:szCs w:val="20"/>
                <w:lang w:eastAsia="en-US"/>
              </w:rPr>
              <w:t>/</w:t>
            </w:r>
            <w:proofErr w:type="spellStart"/>
            <w:r w:rsidRPr="00DE3C81">
              <w:rPr>
                <w:rFonts w:eastAsia="Times New Roman"/>
                <w:snapToGrid w:val="0"/>
                <w:color w:val="auto"/>
                <w:sz w:val="22"/>
                <w:szCs w:val="20"/>
                <w:lang w:eastAsia="en-US"/>
              </w:rPr>
              <w:t>Sandoz</w:t>
            </w:r>
            <w:proofErr w:type="spellEnd"/>
          </w:p>
        </w:tc>
      </w:tr>
      <w:tr w:rsidR="001171E5" w:rsidRPr="004F572A" w14:paraId="52E92D96" w14:textId="77777777" w:rsidTr="00A66660">
        <w:trPr>
          <w:trHeight w:val="151"/>
        </w:trPr>
        <w:tc>
          <w:tcPr>
            <w:tcW w:w="4045" w:type="dxa"/>
          </w:tcPr>
          <w:p w14:paraId="57D5360E" w14:textId="5D1BC7F7" w:rsidR="001171E5" w:rsidRPr="004F572A" w:rsidRDefault="00615B94" w:rsidP="00E267B9">
            <w:pPr>
              <w:numPr>
                <w:ilvl w:val="12"/>
                <w:numId w:val="0"/>
              </w:numPr>
              <w:suppressAutoHyphens w:val="0"/>
              <w:spacing w:line="240" w:lineRule="auto"/>
              <w:rPr>
                <w:rFonts w:eastAsia="Times New Roman"/>
                <w:snapToGrid w:val="0"/>
                <w:color w:val="auto"/>
                <w:sz w:val="22"/>
                <w:szCs w:val="20"/>
                <w:lang w:eastAsia="en-US"/>
              </w:rPr>
            </w:pPr>
            <w:r w:rsidRPr="004F572A">
              <w:rPr>
                <w:rFonts w:eastAsia="Times New Roman"/>
                <w:snapToGrid w:val="0"/>
                <w:color w:val="auto"/>
                <w:sz w:val="22"/>
                <w:szCs w:val="20"/>
                <w:lang w:eastAsia="en-US"/>
              </w:rPr>
              <w:t>Vokietija</w:t>
            </w:r>
          </w:p>
        </w:tc>
        <w:tc>
          <w:tcPr>
            <w:tcW w:w="3060" w:type="dxa"/>
          </w:tcPr>
          <w:p w14:paraId="29879EF0" w14:textId="19833A95" w:rsidR="001171E5" w:rsidRPr="004F572A" w:rsidRDefault="00615B94" w:rsidP="00A66660">
            <w:pPr>
              <w:numPr>
                <w:ilvl w:val="12"/>
                <w:numId w:val="0"/>
              </w:numPr>
              <w:suppressAutoHyphens w:val="0"/>
              <w:spacing w:after="120" w:line="240" w:lineRule="auto"/>
              <w:rPr>
                <w:rFonts w:eastAsia="Times New Roman"/>
                <w:snapToGrid w:val="0"/>
                <w:color w:val="auto"/>
                <w:sz w:val="22"/>
                <w:szCs w:val="20"/>
                <w:lang w:eastAsia="en-US"/>
              </w:rPr>
            </w:pPr>
            <w:proofErr w:type="spellStart"/>
            <w:r w:rsidRPr="004F572A">
              <w:rPr>
                <w:rFonts w:eastAsia="Times New Roman"/>
                <w:snapToGrid w:val="0"/>
                <w:color w:val="auto"/>
                <w:sz w:val="22"/>
                <w:szCs w:val="20"/>
                <w:lang w:eastAsia="en-US"/>
              </w:rPr>
              <w:t>Lenvatinib</w:t>
            </w:r>
            <w:proofErr w:type="spellEnd"/>
            <w:r w:rsidRPr="004F572A">
              <w:rPr>
                <w:rFonts w:eastAsia="Times New Roman"/>
                <w:snapToGrid w:val="0"/>
                <w:color w:val="auto"/>
                <w:sz w:val="22"/>
                <w:szCs w:val="20"/>
                <w:lang w:eastAsia="en-US"/>
              </w:rPr>
              <w:t>-HEXAL</w:t>
            </w:r>
          </w:p>
        </w:tc>
      </w:tr>
    </w:tbl>
    <w:p w14:paraId="6EE2DF13" w14:textId="77777777" w:rsidR="00E267B9" w:rsidRPr="004F572A" w:rsidRDefault="00E267B9" w:rsidP="000928CA">
      <w:pPr>
        <w:ind w:right="-2"/>
        <w:rPr>
          <w:sz w:val="22"/>
          <w:szCs w:val="22"/>
        </w:rPr>
      </w:pPr>
    </w:p>
    <w:p w14:paraId="4DDF9288" w14:textId="77777777" w:rsidR="00C031C0" w:rsidRPr="004F572A" w:rsidRDefault="00C031C0" w:rsidP="000928CA">
      <w:pPr>
        <w:ind w:right="-2"/>
        <w:rPr>
          <w:sz w:val="22"/>
          <w:szCs w:val="22"/>
        </w:rPr>
      </w:pPr>
    </w:p>
    <w:p w14:paraId="0D795E6C" w14:textId="634701E1" w:rsidR="000928CA" w:rsidRPr="004F572A" w:rsidRDefault="000928CA" w:rsidP="000928CA">
      <w:pPr>
        <w:tabs>
          <w:tab w:val="clear" w:pos="567"/>
        </w:tabs>
        <w:ind w:right="-2"/>
        <w:rPr>
          <w:i/>
          <w:sz w:val="22"/>
          <w:szCs w:val="22"/>
        </w:rPr>
      </w:pPr>
      <w:r w:rsidRPr="004F572A">
        <w:rPr>
          <w:b/>
          <w:sz w:val="22"/>
          <w:szCs w:val="22"/>
        </w:rPr>
        <w:t>Šis pakuotės lapelis paskutinį kartą peržiūrėtas</w:t>
      </w:r>
      <w:r w:rsidR="00D54ABF" w:rsidRPr="004F572A">
        <w:rPr>
          <w:b/>
          <w:sz w:val="22"/>
          <w:szCs w:val="22"/>
        </w:rPr>
        <w:t xml:space="preserve"> </w:t>
      </w:r>
      <w:r w:rsidR="007F5893">
        <w:rPr>
          <w:b/>
          <w:sz w:val="22"/>
          <w:szCs w:val="22"/>
        </w:rPr>
        <w:t>2025-10-01</w:t>
      </w:r>
      <w:r w:rsidR="00ED3FFD" w:rsidRPr="004F572A">
        <w:rPr>
          <w:b/>
          <w:sz w:val="22"/>
          <w:szCs w:val="22"/>
        </w:rPr>
        <w:t>.</w:t>
      </w:r>
    </w:p>
    <w:p w14:paraId="0428203E" w14:textId="77777777" w:rsidR="000928CA" w:rsidRPr="004F572A" w:rsidRDefault="000928CA" w:rsidP="000928CA">
      <w:pPr>
        <w:ind w:right="-2"/>
        <w:rPr>
          <w:i/>
          <w:sz w:val="22"/>
          <w:szCs w:val="22"/>
        </w:rPr>
      </w:pPr>
    </w:p>
    <w:p w14:paraId="438CCF4C" w14:textId="03F93ADE" w:rsidR="00A67E6F" w:rsidRPr="004F572A" w:rsidRDefault="000928CA" w:rsidP="00501E91">
      <w:pPr>
        <w:ind w:right="-2"/>
      </w:pPr>
      <w:r w:rsidRPr="004F572A">
        <w:rPr>
          <w:sz w:val="22"/>
          <w:szCs w:val="22"/>
        </w:rPr>
        <w:t>Išsami informacija apie šį vaistą pateikiama Valstybinės vaistų kontrolės tarnybos prie Lietuvos Respublikos sveikatos apsaugos ministerijos tinklalapyje</w:t>
      </w:r>
      <w:r w:rsidR="00224200" w:rsidRPr="00224200">
        <w:t xml:space="preserve"> </w:t>
      </w:r>
      <w:hyperlink r:id="rId16" w:history="1">
        <w:r w:rsidR="00FA0D48" w:rsidRPr="00D67B92">
          <w:rPr>
            <w:rStyle w:val="Hipersaitas"/>
            <w:sz w:val="22"/>
            <w:szCs w:val="22"/>
          </w:rPr>
          <w:t>https://vvkt.lrv.lt/lt/</w:t>
        </w:r>
      </w:hyperlink>
      <w:r w:rsidR="00224200" w:rsidRPr="00224200">
        <w:rPr>
          <w:sz w:val="22"/>
          <w:szCs w:val="22"/>
        </w:rPr>
        <w:t>.</w:t>
      </w:r>
      <w:r w:rsidR="00FA0D48">
        <w:rPr>
          <w:sz w:val="22"/>
          <w:szCs w:val="22"/>
        </w:rPr>
        <w:t xml:space="preserve"> </w:t>
      </w:r>
      <w:r w:rsidR="00501E91" w:rsidRPr="004F572A">
        <w:rPr>
          <w:sz w:val="22"/>
          <w:szCs w:val="22"/>
        </w:rPr>
        <w:t xml:space="preserve"> </w:t>
      </w:r>
    </w:p>
    <w:sectPr w:rsidR="00A67E6F" w:rsidRPr="004F572A" w:rsidSect="001F521B">
      <w:headerReference w:type="default" r:id="rId17"/>
      <w:footerReference w:type="default" r:id="rId18"/>
      <w:pgSz w:w="11906" w:h="16838"/>
      <w:pgMar w:top="1134" w:right="1418" w:bottom="1134" w:left="1418" w:header="737" w:footer="737" w:gutter="0"/>
      <w:cols w:space="1296"/>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0A998" w14:textId="77777777" w:rsidR="000458D7" w:rsidRPr="008F61D8" w:rsidRDefault="000458D7" w:rsidP="006A37BF">
      <w:pPr>
        <w:spacing w:line="240" w:lineRule="auto"/>
      </w:pPr>
      <w:r w:rsidRPr="008F61D8">
        <w:separator/>
      </w:r>
    </w:p>
  </w:endnote>
  <w:endnote w:type="continuationSeparator" w:id="0">
    <w:p w14:paraId="6EE5319D" w14:textId="77777777" w:rsidR="000458D7" w:rsidRPr="008F61D8" w:rsidRDefault="000458D7" w:rsidP="006A37BF">
      <w:pPr>
        <w:spacing w:line="240" w:lineRule="auto"/>
      </w:pPr>
      <w:r w:rsidRPr="008F61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80"/>
    <w:family w:val="auto"/>
    <w:pitch w:val="default"/>
  </w:font>
  <w:font w:name="Arial">
    <w:panose1 w:val="020B0604020202020204"/>
    <w:charset w:val="BA"/>
    <w:family w:val="swiss"/>
    <w:pitch w:val="variable"/>
    <w:sig w:usb0="E0002EFF" w:usb1="C000785B" w:usb2="00000009" w:usb3="00000000" w:csb0="000001FF" w:csb1="00000000"/>
  </w:font>
  <w:font w:name="SymbolMT">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0DBF9" w14:textId="77777777" w:rsidR="000D1CAE" w:rsidRDefault="000D1CA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03E9F" w14:textId="77777777" w:rsidR="000458D7" w:rsidRPr="008F61D8" w:rsidRDefault="000458D7" w:rsidP="006A37BF">
      <w:pPr>
        <w:spacing w:line="240" w:lineRule="auto"/>
      </w:pPr>
      <w:r w:rsidRPr="008F61D8">
        <w:separator/>
      </w:r>
    </w:p>
  </w:footnote>
  <w:footnote w:type="continuationSeparator" w:id="0">
    <w:p w14:paraId="3AFDD483" w14:textId="77777777" w:rsidR="000458D7" w:rsidRPr="008F61D8" w:rsidRDefault="000458D7" w:rsidP="006A37BF">
      <w:pPr>
        <w:spacing w:line="240" w:lineRule="auto"/>
      </w:pPr>
      <w:r w:rsidRPr="008F61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E7BF" w14:textId="77777777" w:rsidR="000D1CAE" w:rsidRDefault="000D1CA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0000002"/>
    <w:multiLevelType w:val="multilevel"/>
    <w:tmpl w:val="2402E644"/>
    <w:name w:val="WW8Num9"/>
    <w:lvl w:ilvl="0">
      <w:start w:val="1"/>
      <w:numFmt w:val="bullet"/>
      <w:lvlText w:val=""/>
      <w:lvlJc w:val="left"/>
      <w:pPr>
        <w:tabs>
          <w:tab w:val="num" w:pos="0"/>
        </w:tabs>
        <w:ind w:left="720" w:hanging="360"/>
      </w:pPr>
      <w:rPr>
        <w:rFonts w:ascii="Symbol" w:hAnsi="Symbol" w:hint="default"/>
        <w:sz w:val="22"/>
        <w:szCs w:val="22"/>
        <w:lang w:val="lt-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A7002F4E"/>
    <w:name w:val="WW8Num10"/>
    <w:lvl w:ilvl="0">
      <w:start w:val="4"/>
      <w:numFmt w:val="decimal"/>
      <w:lvlText w:val="%1."/>
      <w:lvlJc w:val="left"/>
      <w:pPr>
        <w:tabs>
          <w:tab w:val="num" w:pos="720"/>
        </w:tabs>
        <w:ind w:left="720" w:hanging="360"/>
      </w:pPr>
      <w:rPr>
        <w:rFonts w:ascii="Times New Roman" w:hAnsi="Times New Roman" w:cs="Times New Roman"/>
        <w:sz w:val="22"/>
        <w:szCs w:val="22"/>
      </w:rPr>
    </w:lvl>
    <w:lvl w:ilvl="1">
      <w:start w:val="6"/>
      <w:numFmt w:val="decimal"/>
      <w:lvlText w:val="%1.%2"/>
      <w:lvlJc w:val="left"/>
      <w:pPr>
        <w:tabs>
          <w:tab w:val="num" w:pos="1080"/>
        </w:tabs>
        <w:ind w:left="1080" w:hanging="360"/>
      </w:pPr>
      <w:rPr>
        <w:rFonts w:ascii="Times New Roman" w:hAnsi="Times New Roman" w:cs="Times New Roman"/>
        <w:b/>
        <w:sz w:val="22"/>
        <w:szCs w:val="22"/>
      </w:rPr>
    </w:lvl>
    <w:lvl w:ilvl="2">
      <w:start w:val="1"/>
      <w:numFmt w:val="decimal"/>
      <w:lvlText w:val="%1.%2.%3."/>
      <w:lvlJc w:val="left"/>
      <w:pPr>
        <w:tabs>
          <w:tab w:val="num" w:pos="1440"/>
        </w:tabs>
        <w:ind w:left="1440" w:hanging="360"/>
      </w:pPr>
      <w:rPr>
        <w:rFonts w:ascii="Wingdings" w:hAnsi="Wingdings" w:cs="Wingdings"/>
      </w:rPr>
    </w:lvl>
    <w:lvl w:ilvl="3">
      <w:start w:val="1"/>
      <w:numFmt w:val="decimal"/>
      <w:lvlText w:val="%1.%2.%3.%4."/>
      <w:lvlJc w:val="left"/>
      <w:pPr>
        <w:tabs>
          <w:tab w:val="num" w:pos="1800"/>
        </w:tabs>
        <w:ind w:left="1800" w:hanging="360"/>
      </w:pPr>
      <w:rPr>
        <w:rFonts w:ascii="Symbol" w:hAnsi="Symbol" w:cs="Symbol"/>
      </w:r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11"/>
    <w:lvl w:ilvl="0">
      <w:start w:val="4"/>
      <w:numFmt w:val="decimal"/>
      <w:lvlText w:val="%1."/>
      <w:lvlJc w:val="left"/>
      <w:pPr>
        <w:tabs>
          <w:tab w:val="num" w:pos="720"/>
        </w:tabs>
        <w:ind w:left="720" w:hanging="360"/>
      </w:pPr>
      <w:rPr>
        <w:rFonts w:ascii="OpenSymbol" w:hAnsi="OpenSymbol" w:cs="OpenSymbol"/>
        <w:lang w:val="lt-LT"/>
      </w:rPr>
    </w:lvl>
    <w:lvl w:ilvl="1">
      <w:start w:val="7"/>
      <w:numFmt w:val="decimal"/>
      <w:lvlText w:val="%1.%2"/>
      <w:lvlJc w:val="left"/>
      <w:pPr>
        <w:tabs>
          <w:tab w:val="num" w:pos="1080"/>
        </w:tabs>
        <w:ind w:left="1080" w:hanging="360"/>
      </w:pPr>
      <w:rPr>
        <w:rFonts w:ascii="OpenSymbol" w:hAnsi="OpenSymbol" w:cs="OpenSymbol"/>
        <w:lang w:val="lt-LT"/>
      </w:rPr>
    </w:lvl>
    <w:lvl w:ilvl="2">
      <w:start w:val="1"/>
      <w:numFmt w:val="decimal"/>
      <w:lvlText w:val="%1.%2.%3."/>
      <w:lvlJc w:val="left"/>
      <w:pPr>
        <w:tabs>
          <w:tab w:val="num" w:pos="1440"/>
        </w:tabs>
        <w:ind w:left="1440" w:hanging="360"/>
      </w:pPr>
      <w:rPr>
        <w:rFonts w:ascii="Wingdings" w:hAnsi="Wingdings" w:cs="Wingdings"/>
      </w:rPr>
    </w:lvl>
    <w:lvl w:ilvl="3">
      <w:start w:val="1"/>
      <w:numFmt w:val="decimal"/>
      <w:lvlText w:val="%1.%2.%3.%4."/>
      <w:lvlJc w:val="left"/>
      <w:pPr>
        <w:tabs>
          <w:tab w:val="num" w:pos="1800"/>
        </w:tabs>
        <w:ind w:left="1800" w:hanging="360"/>
      </w:pPr>
      <w:rPr>
        <w:rFonts w:ascii="Symbol" w:hAnsi="Symbol" w:cs="Symbol"/>
      </w:r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12"/>
    <w:lvl w:ilvl="0">
      <w:start w:val="4"/>
      <w:numFmt w:val="decimal"/>
      <w:lvlText w:val="%1."/>
      <w:lvlJc w:val="left"/>
      <w:pPr>
        <w:tabs>
          <w:tab w:val="num" w:pos="720"/>
        </w:tabs>
        <w:ind w:left="720" w:hanging="360"/>
      </w:pPr>
      <w:rPr>
        <w:b/>
        <w:bCs/>
      </w:rPr>
    </w:lvl>
    <w:lvl w:ilvl="1">
      <w:start w:val="8"/>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name w:val="WW8Num13"/>
    <w:lvl w:ilvl="0">
      <w:start w:val="5"/>
      <w:numFmt w:val="decimal"/>
      <w:lvlText w:val="%1."/>
      <w:lvlJc w:val="left"/>
      <w:pPr>
        <w:tabs>
          <w:tab w:val="num" w:pos="720"/>
        </w:tabs>
        <w:ind w:left="720" w:hanging="360"/>
      </w:pPr>
      <w:rPr>
        <w:b/>
        <w:bCs/>
      </w:rPr>
    </w:lvl>
    <w:lvl w:ilvl="1">
      <w:start w:val="3"/>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name w:val="WW8Num14"/>
    <w:lvl w:ilvl="0">
      <w:start w:val="1"/>
      <w:numFmt w:val="bullet"/>
      <w:lvlText w:val=""/>
      <w:lvlJc w:val="left"/>
      <w:pPr>
        <w:tabs>
          <w:tab w:val="num" w:pos="720"/>
        </w:tabs>
        <w:ind w:left="720" w:hanging="360"/>
      </w:pPr>
      <w:rPr>
        <w:rFonts w:ascii="Symbol" w:hAnsi="Symbol"/>
        <w:b/>
        <w:bCs/>
      </w:rPr>
    </w:lvl>
    <w:lvl w:ilvl="1">
      <w:start w:val="1"/>
      <w:numFmt w:val="bullet"/>
      <w:lvlText w:val=""/>
      <w:lvlJc w:val="left"/>
      <w:pPr>
        <w:tabs>
          <w:tab w:val="num" w:pos="1080"/>
        </w:tabs>
        <w:ind w:left="1080" w:hanging="360"/>
      </w:pPr>
      <w:rPr>
        <w:rFonts w:ascii="Symbol" w:hAnsi="Symbol"/>
        <w:b/>
        <w:bCs/>
      </w:rPr>
    </w:lvl>
    <w:lvl w:ilvl="2">
      <w:start w:val="1"/>
      <w:numFmt w:val="bullet"/>
      <w:lvlText w:val=""/>
      <w:lvlJc w:val="left"/>
      <w:pPr>
        <w:tabs>
          <w:tab w:val="num" w:pos="1440"/>
        </w:tabs>
        <w:ind w:left="1440" w:hanging="360"/>
      </w:pPr>
      <w:rPr>
        <w:rFonts w:ascii="Symbol" w:hAnsi="Symbol"/>
        <w:b/>
        <w:bCs/>
      </w:rPr>
    </w:lvl>
    <w:lvl w:ilvl="3">
      <w:start w:val="1"/>
      <w:numFmt w:val="bullet"/>
      <w:lvlText w:val=""/>
      <w:lvlJc w:val="left"/>
      <w:pPr>
        <w:tabs>
          <w:tab w:val="num" w:pos="1800"/>
        </w:tabs>
        <w:ind w:left="1800" w:hanging="360"/>
      </w:pPr>
      <w:rPr>
        <w:rFonts w:ascii="Symbol" w:hAnsi="Symbol"/>
        <w:b/>
        <w:bCs/>
      </w:rPr>
    </w:lvl>
    <w:lvl w:ilvl="4">
      <w:start w:val="1"/>
      <w:numFmt w:val="bullet"/>
      <w:lvlText w:val=""/>
      <w:lvlJc w:val="left"/>
      <w:pPr>
        <w:tabs>
          <w:tab w:val="num" w:pos="2160"/>
        </w:tabs>
        <w:ind w:left="2160" w:hanging="360"/>
      </w:pPr>
      <w:rPr>
        <w:rFonts w:ascii="Symbol" w:hAnsi="Symbol"/>
        <w:b/>
        <w:bCs/>
      </w:rPr>
    </w:lvl>
    <w:lvl w:ilvl="5">
      <w:start w:val="1"/>
      <w:numFmt w:val="bullet"/>
      <w:lvlText w:val=""/>
      <w:lvlJc w:val="left"/>
      <w:pPr>
        <w:tabs>
          <w:tab w:val="num" w:pos="2520"/>
        </w:tabs>
        <w:ind w:left="2520" w:hanging="360"/>
      </w:pPr>
      <w:rPr>
        <w:rFonts w:ascii="Symbol" w:hAnsi="Symbol"/>
        <w:b/>
        <w:bCs/>
      </w:rPr>
    </w:lvl>
    <w:lvl w:ilvl="6">
      <w:start w:val="1"/>
      <w:numFmt w:val="bullet"/>
      <w:lvlText w:val=""/>
      <w:lvlJc w:val="left"/>
      <w:pPr>
        <w:tabs>
          <w:tab w:val="num" w:pos="2880"/>
        </w:tabs>
        <w:ind w:left="2880" w:hanging="360"/>
      </w:pPr>
      <w:rPr>
        <w:rFonts w:ascii="Symbol" w:hAnsi="Symbol"/>
        <w:b/>
        <w:bCs/>
      </w:rPr>
    </w:lvl>
    <w:lvl w:ilvl="7">
      <w:start w:val="1"/>
      <w:numFmt w:val="bullet"/>
      <w:lvlText w:val=""/>
      <w:lvlJc w:val="left"/>
      <w:pPr>
        <w:tabs>
          <w:tab w:val="num" w:pos="3240"/>
        </w:tabs>
        <w:ind w:left="3240" w:hanging="360"/>
      </w:pPr>
      <w:rPr>
        <w:rFonts w:ascii="Symbol" w:hAnsi="Symbol"/>
        <w:b/>
        <w:bCs/>
      </w:rPr>
    </w:lvl>
    <w:lvl w:ilvl="8">
      <w:start w:val="1"/>
      <w:numFmt w:val="bullet"/>
      <w:lvlText w:val=""/>
      <w:lvlJc w:val="left"/>
      <w:pPr>
        <w:tabs>
          <w:tab w:val="num" w:pos="3600"/>
        </w:tabs>
        <w:ind w:left="3600" w:hanging="360"/>
      </w:pPr>
      <w:rPr>
        <w:rFonts w:ascii="Symbol" w:hAnsi="Symbol"/>
        <w:b/>
        <w:bCs/>
      </w:rPr>
    </w:lvl>
  </w:abstractNum>
  <w:abstractNum w:abstractNumId="7" w15:restartNumberingAfterBreak="0">
    <w:nsid w:val="00000008"/>
    <w:multiLevelType w:val="multilevel"/>
    <w:tmpl w:val="00000008"/>
    <w:name w:val="WW8Num15"/>
    <w:lvl w:ilvl="0">
      <w:start w:val="1"/>
      <w:numFmt w:val="bullet"/>
      <w:lvlText w:val=""/>
      <w:lvlJc w:val="left"/>
      <w:pPr>
        <w:tabs>
          <w:tab w:val="num" w:pos="720"/>
        </w:tabs>
        <w:ind w:left="720" w:hanging="360"/>
      </w:pPr>
      <w:rPr>
        <w:rFonts w:ascii="Symbol" w:hAnsi="Symbol" w:cs="OpenSymbol"/>
        <w:sz w:val="22"/>
        <w:szCs w:val="24"/>
      </w:rPr>
    </w:lvl>
    <w:lvl w:ilvl="1">
      <w:start w:val="1"/>
      <w:numFmt w:val="bullet"/>
      <w:lvlText w:val=""/>
      <w:lvlJc w:val="left"/>
      <w:pPr>
        <w:tabs>
          <w:tab w:val="num" w:pos="1080"/>
        </w:tabs>
        <w:ind w:left="1080" w:hanging="360"/>
      </w:pPr>
      <w:rPr>
        <w:rFonts w:ascii="Symbol" w:hAnsi="Symbol" w:cs="OpenSymbol"/>
        <w:sz w:val="22"/>
        <w:szCs w:val="24"/>
      </w:rPr>
    </w:lvl>
    <w:lvl w:ilvl="2">
      <w:start w:val="1"/>
      <w:numFmt w:val="bullet"/>
      <w:lvlText w:val=""/>
      <w:lvlJc w:val="left"/>
      <w:pPr>
        <w:tabs>
          <w:tab w:val="num" w:pos="1440"/>
        </w:tabs>
        <w:ind w:left="1440" w:hanging="360"/>
      </w:pPr>
      <w:rPr>
        <w:rFonts w:ascii="Symbol" w:hAnsi="Symbol" w:cs="OpenSymbol"/>
        <w:sz w:val="22"/>
        <w:szCs w:val="24"/>
      </w:rPr>
    </w:lvl>
    <w:lvl w:ilvl="3">
      <w:start w:val="1"/>
      <w:numFmt w:val="bullet"/>
      <w:lvlText w:val=""/>
      <w:lvlJc w:val="left"/>
      <w:pPr>
        <w:tabs>
          <w:tab w:val="num" w:pos="1800"/>
        </w:tabs>
        <w:ind w:left="1800" w:hanging="360"/>
      </w:pPr>
      <w:rPr>
        <w:rFonts w:ascii="Symbol" w:hAnsi="Symbol" w:cs="OpenSymbol"/>
        <w:sz w:val="22"/>
        <w:szCs w:val="24"/>
      </w:rPr>
    </w:lvl>
    <w:lvl w:ilvl="4">
      <w:start w:val="1"/>
      <w:numFmt w:val="bullet"/>
      <w:lvlText w:val=""/>
      <w:lvlJc w:val="left"/>
      <w:pPr>
        <w:tabs>
          <w:tab w:val="num" w:pos="2160"/>
        </w:tabs>
        <w:ind w:left="2160" w:hanging="360"/>
      </w:pPr>
      <w:rPr>
        <w:rFonts w:ascii="Symbol" w:hAnsi="Symbol" w:cs="OpenSymbol"/>
        <w:sz w:val="22"/>
        <w:szCs w:val="24"/>
      </w:rPr>
    </w:lvl>
    <w:lvl w:ilvl="5">
      <w:start w:val="1"/>
      <w:numFmt w:val="bullet"/>
      <w:lvlText w:val=""/>
      <w:lvlJc w:val="left"/>
      <w:pPr>
        <w:tabs>
          <w:tab w:val="num" w:pos="2520"/>
        </w:tabs>
        <w:ind w:left="2520" w:hanging="360"/>
      </w:pPr>
      <w:rPr>
        <w:rFonts w:ascii="Symbol" w:hAnsi="Symbol" w:cs="OpenSymbol"/>
        <w:sz w:val="22"/>
        <w:szCs w:val="24"/>
      </w:rPr>
    </w:lvl>
    <w:lvl w:ilvl="6">
      <w:start w:val="1"/>
      <w:numFmt w:val="bullet"/>
      <w:lvlText w:val=""/>
      <w:lvlJc w:val="left"/>
      <w:pPr>
        <w:tabs>
          <w:tab w:val="num" w:pos="2880"/>
        </w:tabs>
        <w:ind w:left="2880" w:hanging="360"/>
      </w:pPr>
      <w:rPr>
        <w:rFonts w:ascii="Symbol" w:hAnsi="Symbol" w:cs="OpenSymbol"/>
        <w:sz w:val="22"/>
        <w:szCs w:val="24"/>
      </w:rPr>
    </w:lvl>
    <w:lvl w:ilvl="7">
      <w:start w:val="1"/>
      <w:numFmt w:val="bullet"/>
      <w:lvlText w:val=""/>
      <w:lvlJc w:val="left"/>
      <w:pPr>
        <w:tabs>
          <w:tab w:val="num" w:pos="3240"/>
        </w:tabs>
        <w:ind w:left="3240" w:hanging="360"/>
      </w:pPr>
      <w:rPr>
        <w:rFonts w:ascii="Symbol" w:hAnsi="Symbol" w:cs="OpenSymbol"/>
        <w:sz w:val="22"/>
        <w:szCs w:val="24"/>
      </w:rPr>
    </w:lvl>
    <w:lvl w:ilvl="8">
      <w:start w:val="1"/>
      <w:numFmt w:val="bullet"/>
      <w:lvlText w:val=""/>
      <w:lvlJc w:val="left"/>
      <w:pPr>
        <w:tabs>
          <w:tab w:val="num" w:pos="3600"/>
        </w:tabs>
        <w:ind w:left="3600" w:hanging="360"/>
      </w:pPr>
      <w:rPr>
        <w:rFonts w:ascii="Symbol" w:hAnsi="Symbol" w:cs="OpenSymbol"/>
        <w:sz w:val="22"/>
        <w:szCs w:val="24"/>
      </w:rPr>
    </w:lvl>
  </w:abstractNum>
  <w:abstractNum w:abstractNumId="8" w15:restartNumberingAfterBreak="0">
    <w:nsid w:val="00000009"/>
    <w:multiLevelType w:val="multilevel"/>
    <w:tmpl w:val="00000009"/>
    <w:name w:val="WW8Num16"/>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Symbol" w:hAnsi="Symbol" w:cs="OpenSymbol"/>
        <w:sz w:val="22"/>
        <w:szCs w:val="22"/>
      </w:rPr>
    </w:lvl>
    <w:lvl w:ilvl="2">
      <w:start w:val="1"/>
      <w:numFmt w:val="bullet"/>
      <w:lvlText w:val=""/>
      <w:lvlJc w:val="left"/>
      <w:pPr>
        <w:tabs>
          <w:tab w:val="num" w:pos="1440"/>
        </w:tabs>
        <w:ind w:left="1440" w:hanging="360"/>
      </w:pPr>
      <w:rPr>
        <w:rFonts w:ascii="Symbol" w:hAnsi="Symbol" w:cs="OpenSymbol"/>
        <w:sz w:val="22"/>
        <w:szCs w:val="22"/>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Symbol" w:hAnsi="Symbol" w:cs="OpenSymbol"/>
        <w:sz w:val="22"/>
        <w:szCs w:val="22"/>
      </w:rPr>
    </w:lvl>
    <w:lvl w:ilvl="5">
      <w:start w:val="1"/>
      <w:numFmt w:val="bullet"/>
      <w:lvlText w:val=""/>
      <w:lvlJc w:val="left"/>
      <w:pPr>
        <w:tabs>
          <w:tab w:val="num" w:pos="2520"/>
        </w:tabs>
        <w:ind w:left="2520" w:hanging="360"/>
      </w:pPr>
      <w:rPr>
        <w:rFonts w:ascii="Symbol" w:hAnsi="Symbol" w:cs="OpenSymbol"/>
        <w:sz w:val="22"/>
        <w:szCs w:val="22"/>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Symbol" w:hAnsi="Symbol" w:cs="OpenSymbol"/>
        <w:sz w:val="22"/>
        <w:szCs w:val="22"/>
      </w:rPr>
    </w:lvl>
    <w:lvl w:ilvl="8">
      <w:start w:val="1"/>
      <w:numFmt w:val="bullet"/>
      <w:lvlText w:val=""/>
      <w:lvlJc w:val="left"/>
      <w:pPr>
        <w:tabs>
          <w:tab w:val="num" w:pos="3600"/>
        </w:tabs>
        <w:ind w:left="3600" w:hanging="360"/>
      </w:pPr>
      <w:rPr>
        <w:rFonts w:ascii="Symbol" w:hAnsi="Symbol" w:cs="OpenSymbol"/>
        <w:sz w:val="22"/>
        <w:szCs w:val="22"/>
      </w:rPr>
    </w:lvl>
  </w:abstractNum>
  <w:abstractNum w:abstractNumId="9" w15:restartNumberingAfterBreak="0">
    <w:nsid w:val="0000000A"/>
    <w:multiLevelType w:val="multilevel"/>
    <w:tmpl w:val="0000000A"/>
    <w:name w:val="WW8Num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15:restartNumberingAfterBreak="0">
    <w:nsid w:val="1D65563B"/>
    <w:multiLevelType w:val="hybridMultilevel"/>
    <w:tmpl w:val="98BAA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D218EB"/>
    <w:multiLevelType w:val="hybridMultilevel"/>
    <w:tmpl w:val="3BBE6472"/>
    <w:lvl w:ilvl="0" w:tplc="FEBC1DAA">
      <w:start w:val="1"/>
      <w:numFmt w:val="bullet"/>
      <w:lvlText w:val="‒"/>
      <w:lvlJc w:val="left"/>
      <w:pPr>
        <w:ind w:left="81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F6038B"/>
    <w:multiLevelType w:val="multilevel"/>
    <w:tmpl w:val="D96E0428"/>
    <w:lvl w:ilvl="0">
      <w:start w:val="12"/>
      <w:numFmt w:val="bullet"/>
      <w:lvlText w:val="-"/>
      <w:lvlJc w:val="left"/>
      <w:pPr>
        <w:tabs>
          <w:tab w:val="num" w:pos="720"/>
        </w:tabs>
        <w:ind w:left="720" w:hanging="360"/>
      </w:pPr>
      <w:rPr>
        <w:rFonts w:ascii="Arial" w:eastAsia="Times New Roman" w:hAnsi="Arial" w:cs="Arial" w:hint="default"/>
        <w:b/>
        <w:bCs/>
      </w:rPr>
    </w:lvl>
    <w:lvl w:ilvl="1">
      <w:start w:val="1"/>
      <w:numFmt w:val="bullet"/>
      <w:lvlText w:val=""/>
      <w:lvlJc w:val="left"/>
      <w:pPr>
        <w:tabs>
          <w:tab w:val="num" w:pos="1080"/>
        </w:tabs>
        <w:ind w:left="1080" w:hanging="360"/>
      </w:pPr>
      <w:rPr>
        <w:rFonts w:ascii="Symbol" w:hAnsi="Symbol"/>
        <w:b/>
        <w:bCs/>
      </w:rPr>
    </w:lvl>
    <w:lvl w:ilvl="2">
      <w:start w:val="1"/>
      <w:numFmt w:val="bullet"/>
      <w:lvlText w:val=""/>
      <w:lvlJc w:val="left"/>
      <w:pPr>
        <w:tabs>
          <w:tab w:val="num" w:pos="1440"/>
        </w:tabs>
        <w:ind w:left="1440" w:hanging="360"/>
      </w:pPr>
      <w:rPr>
        <w:rFonts w:ascii="Symbol" w:hAnsi="Symbol"/>
        <w:b/>
        <w:bCs/>
      </w:rPr>
    </w:lvl>
    <w:lvl w:ilvl="3">
      <w:start w:val="1"/>
      <w:numFmt w:val="bullet"/>
      <w:lvlText w:val=""/>
      <w:lvlJc w:val="left"/>
      <w:pPr>
        <w:tabs>
          <w:tab w:val="num" w:pos="1800"/>
        </w:tabs>
        <w:ind w:left="1800" w:hanging="360"/>
      </w:pPr>
      <w:rPr>
        <w:rFonts w:ascii="Symbol" w:hAnsi="Symbol"/>
        <w:b/>
        <w:bCs/>
      </w:rPr>
    </w:lvl>
    <w:lvl w:ilvl="4">
      <w:start w:val="1"/>
      <w:numFmt w:val="bullet"/>
      <w:lvlText w:val=""/>
      <w:lvlJc w:val="left"/>
      <w:pPr>
        <w:tabs>
          <w:tab w:val="num" w:pos="2160"/>
        </w:tabs>
        <w:ind w:left="2160" w:hanging="360"/>
      </w:pPr>
      <w:rPr>
        <w:rFonts w:ascii="Symbol" w:hAnsi="Symbol"/>
        <w:b/>
        <w:bCs/>
      </w:rPr>
    </w:lvl>
    <w:lvl w:ilvl="5">
      <w:start w:val="1"/>
      <w:numFmt w:val="bullet"/>
      <w:lvlText w:val=""/>
      <w:lvlJc w:val="left"/>
      <w:pPr>
        <w:tabs>
          <w:tab w:val="num" w:pos="2520"/>
        </w:tabs>
        <w:ind w:left="2520" w:hanging="360"/>
      </w:pPr>
      <w:rPr>
        <w:rFonts w:ascii="Symbol" w:hAnsi="Symbol"/>
        <w:b/>
        <w:bCs/>
      </w:rPr>
    </w:lvl>
    <w:lvl w:ilvl="6">
      <w:start w:val="1"/>
      <w:numFmt w:val="bullet"/>
      <w:lvlText w:val=""/>
      <w:lvlJc w:val="left"/>
      <w:pPr>
        <w:tabs>
          <w:tab w:val="num" w:pos="2880"/>
        </w:tabs>
        <w:ind w:left="2880" w:hanging="360"/>
      </w:pPr>
      <w:rPr>
        <w:rFonts w:ascii="Symbol" w:hAnsi="Symbol"/>
        <w:b/>
        <w:bCs/>
      </w:rPr>
    </w:lvl>
    <w:lvl w:ilvl="7">
      <w:start w:val="1"/>
      <w:numFmt w:val="bullet"/>
      <w:lvlText w:val=""/>
      <w:lvlJc w:val="left"/>
      <w:pPr>
        <w:tabs>
          <w:tab w:val="num" w:pos="3240"/>
        </w:tabs>
        <w:ind w:left="3240" w:hanging="360"/>
      </w:pPr>
      <w:rPr>
        <w:rFonts w:ascii="Symbol" w:hAnsi="Symbol"/>
        <w:b/>
        <w:bCs/>
      </w:rPr>
    </w:lvl>
    <w:lvl w:ilvl="8">
      <w:start w:val="1"/>
      <w:numFmt w:val="bullet"/>
      <w:lvlText w:val=""/>
      <w:lvlJc w:val="left"/>
      <w:pPr>
        <w:tabs>
          <w:tab w:val="num" w:pos="3600"/>
        </w:tabs>
        <w:ind w:left="3600" w:hanging="360"/>
      </w:pPr>
      <w:rPr>
        <w:rFonts w:ascii="Symbol" w:hAnsi="Symbol"/>
        <w:b/>
        <w:bCs/>
      </w:rPr>
    </w:lvl>
  </w:abstractNum>
  <w:abstractNum w:abstractNumId="13" w15:restartNumberingAfterBreak="0">
    <w:nsid w:val="318E41B3"/>
    <w:multiLevelType w:val="hybridMultilevel"/>
    <w:tmpl w:val="49DCFBB2"/>
    <w:lvl w:ilvl="0" w:tplc="FEBC1DA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84140E"/>
    <w:multiLevelType w:val="multilevel"/>
    <w:tmpl w:val="CE4601AC"/>
    <w:lvl w:ilvl="0">
      <w:start w:val="1"/>
      <w:numFmt w:val="bullet"/>
      <w:lvlText w:val="‒"/>
      <w:lvlJc w:val="left"/>
      <w:pPr>
        <w:tabs>
          <w:tab w:val="num" w:pos="720"/>
        </w:tabs>
        <w:ind w:left="720" w:hanging="360"/>
      </w:pPr>
      <w:rPr>
        <w:rFonts w:ascii="Times New Roman" w:hAnsi="Times New Roman" w:cs="Times New Roman" w:hint="default"/>
        <w:sz w:val="22"/>
        <w:szCs w:val="24"/>
      </w:rPr>
    </w:lvl>
    <w:lvl w:ilvl="1">
      <w:start w:val="1"/>
      <w:numFmt w:val="bullet"/>
      <w:lvlText w:val=""/>
      <w:lvlJc w:val="left"/>
      <w:pPr>
        <w:tabs>
          <w:tab w:val="num" w:pos="1080"/>
        </w:tabs>
        <w:ind w:left="1080" w:hanging="360"/>
      </w:pPr>
      <w:rPr>
        <w:rFonts w:ascii="Symbol" w:hAnsi="Symbol" w:cs="OpenSymbol"/>
        <w:sz w:val="22"/>
        <w:szCs w:val="24"/>
      </w:rPr>
    </w:lvl>
    <w:lvl w:ilvl="2">
      <w:start w:val="1"/>
      <w:numFmt w:val="bullet"/>
      <w:lvlText w:val=""/>
      <w:lvlJc w:val="left"/>
      <w:pPr>
        <w:tabs>
          <w:tab w:val="num" w:pos="1440"/>
        </w:tabs>
        <w:ind w:left="1440" w:hanging="360"/>
      </w:pPr>
      <w:rPr>
        <w:rFonts w:ascii="Symbol" w:hAnsi="Symbol" w:cs="OpenSymbol"/>
        <w:sz w:val="22"/>
        <w:szCs w:val="24"/>
      </w:rPr>
    </w:lvl>
    <w:lvl w:ilvl="3">
      <w:start w:val="1"/>
      <w:numFmt w:val="bullet"/>
      <w:lvlText w:val=""/>
      <w:lvlJc w:val="left"/>
      <w:pPr>
        <w:tabs>
          <w:tab w:val="num" w:pos="1800"/>
        </w:tabs>
        <w:ind w:left="1800" w:hanging="360"/>
      </w:pPr>
      <w:rPr>
        <w:rFonts w:ascii="Symbol" w:hAnsi="Symbol" w:cs="OpenSymbol"/>
        <w:sz w:val="22"/>
        <w:szCs w:val="24"/>
      </w:rPr>
    </w:lvl>
    <w:lvl w:ilvl="4">
      <w:start w:val="1"/>
      <w:numFmt w:val="bullet"/>
      <w:lvlText w:val=""/>
      <w:lvlJc w:val="left"/>
      <w:pPr>
        <w:tabs>
          <w:tab w:val="num" w:pos="2160"/>
        </w:tabs>
        <w:ind w:left="2160" w:hanging="360"/>
      </w:pPr>
      <w:rPr>
        <w:rFonts w:ascii="Symbol" w:hAnsi="Symbol" w:cs="OpenSymbol"/>
        <w:sz w:val="22"/>
        <w:szCs w:val="24"/>
      </w:rPr>
    </w:lvl>
    <w:lvl w:ilvl="5">
      <w:start w:val="1"/>
      <w:numFmt w:val="bullet"/>
      <w:lvlText w:val=""/>
      <w:lvlJc w:val="left"/>
      <w:pPr>
        <w:tabs>
          <w:tab w:val="num" w:pos="2520"/>
        </w:tabs>
        <w:ind w:left="2520" w:hanging="360"/>
      </w:pPr>
      <w:rPr>
        <w:rFonts w:ascii="Symbol" w:hAnsi="Symbol" w:cs="OpenSymbol"/>
        <w:sz w:val="22"/>
        <w:szCs w:val="24"/>
      </w:rPr>
    </w:lvl>
    <w:lvl w:ilvl="6">
      <w:start w:val="1"/>
      <w:numFmt w:val="bullet"/>
      <w:lvlText w:val=""/>
      <w:lvlJc w:val="left"/>
      <w:pPr>
        <w:tabs>
          <w:tab w:val="num" w:pos="2880"/>
        </w:tabs>
        <w:ind w:left="2880" w:hanging="360"/>
      </w:pPr>
      <w:rPr>
        <w:rFonts w:ascii="Symbol" w:hAnsi="Symbol" w:cs="OpenSymbol"/>
        <w:sz w:val="22"/>
        <w:szCs w:val="24"/>
      </w:rPr>
    </w:lvl>
    <w:lvl w:ilvl="7">
      <w:start w:val="1"/>
      <w:numFmt w:val="bullet"/>
      <w:lvlText w:val=""/>
      <w:lvlJc w:val="left"/>
      <w:pPr>
        <w:tabs>
          <w:tab w:val="num" w:pos="3240"/>
        </w:tabs>
        <w:ind w:left="3240" w:hanging="360"/>
      </w:pPr>
      <w:rPr>
        <w:rFonts w:ascii="Symbol" w:hAnsi="Symbol" w:cs="OpenSymbol"/>
        <w:sz w:val="22"/>
        <w:szCs w:val="24"/>
      </w:rPr>
    </w:lvl>
    <w:lvl w:ilvl="8">
      <w:start w:val="1"/>
      <w:numFmt w:val="bullet"/>
      <w:lvlText w:val=""/>
      <w:lvlJc w:val="left"/>
      <w:pPr>
        <w:tabs>
          <w:tab w:val="num" w:pos="3600"/>
        </w:tabs>
        <w:ind w:left="3600" w:hanging="360"/>
      </w:pPr>
      <w:rPr>
        <w:rFonts w:ascii="Symbol" w:hAnsi="Symbol" w:cs="OpenSymbol"/>
        <w:sz w:val="22"/>
        <w:szCs w:val="24"/>
      </w:rPr>
    </w:lvl>
  </w:abstractNum>
  <w:abstractNum w:abstractNumId="15" w15:restartNumberingAfterBreak="0">
    <w:nsid w:val="40C33F2A"/>
    <w:multiLevelType w:val="hybridMultilevel"/>
    <w:tmpl w:val="E2AA4572"/>
    <w:lvl w:ilvl="0" w:tplc="FEBC1DA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392641"/>
    <w:multiLevelType w:val="hybridMultilevel"/>
    <w:tmpl w:val="85940932"/>
    <w:lvl w:ilvl="0" w:tplc="FEBC1DA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9A30D1"/>
    <w:multiLevelType w:val="hybridMultilevel"/>
    <w:tmpl w:val="E988858A"/>
    <w:lvl w:ilvl="0" w:tplc="FEBC1DA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DA454C"/>
    <w:multiLevelType w:val="hybridMultilevel"/>
    <w:tmpl w:val="80C812B8"/>
    <w:lvl w:ilvl="0" w:tplc="D746501A">
      <w:start w:val="1"/>
      <w:numFmt w:val="bullet"/>
      <w:lvlText w:val=""/>
      <w:lvlJc w:val="left"/>
      <w:pPr>
        <w:ind w:left="720" w:hanging="360"/>
      </w:pPr>
      <w:rPr>
        <w:rFonts w:ascii="Symbol" w:hAnsi="Symbol" w:hint="default"/>
        <w:b w:val="0"/>
        <w:bCs w:val="0"/>
        <w:i w:val="0"/>
        <w:iCs w:val="0"/>
        <w:color w:val="231F20"/>
        <w:spacing w:val="0"/>
        <w:w w:val="79"/>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A96EB2"/>
    <w:multiLevelType w:val="hybridMultilevel"/>
    <w:tmpl w:val="FAAC4D92"/>
    <w:lvl w:ilvl="0" w:tplc="FEBC1DA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ED1066"/>
    <w:multiLevelType w:val="hybridMultilevel"/>
    <w:tmpl w:val="99BADEB6"/>
    <w:lvl w:ilvl="0" w:tplc="04090003">
      <w:start w:val="1"/>
      <w:numFmt w:val="bullet"/>
      <w:lvlText w:val="o"/>
      <w:lvlJc w:val="left"/>
      <w:pPr>
        <w:ind w:left="720" w:hanging="360"/>
      </w:pPr>
      <w:rPr>
        <w:rFonts w:ascii="Courier New" w:hAnsi="Courier New" w:cs="Courier New" w:hint="default"/>
        <w:b w:val="0"/>
        <w:bCs w:val="0"/>
        <w:i w:val="0"/>
        <w:iCs w:val="0"/>
        <w:color w:val="231F20"/>
        <w:spacing w:val="0"/>
        <w:w w:val="79"/>
        <w:sz w:val="22"/>
        <w:szCs w:val="24"/>
      </w:rPr>
    </w:lvl>
    <w:lvl w:ilvl="1" w:tplc="A634C50C">
      <w:start w:val="20"/>
      <w:numFmt w:val="bullet"/>
      <w:lvlText w:val="•"/>
      <w:lvlJc w:val="left"/>
      <w:pPr>
        <w:ind w:left="1440" w:hanging="360"/>
      </w:pPr>
      <w:rPr>
        <w:rFonts w:ascii="SymbolMT" w:eastAsia="Times New Roman" w:hAnsi="SymbolMT"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07776EF"/>
    <w:multiLevelType w:val="hybridMultilevel"/>
    <w:tmpl w:val="18E0B0EA"/>
    <w:lvl w:ilvl="0" w:tplc="FEBC1DA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217EF0"/>
    <w:multiLevelType w:val="hybridMultilevel"/>
    <w:tmpl w:val="4176DB58"/>
    <w:lvl w:ilvl="0" w:tplc="486A6786">
      <w:start w:val="1"/>
      <w:numFmt w:val="bullet"/>
      <w:lvlText w:val=""/>
      <w:lvlJc w:val="left"/>
      <w:pPr>
        <w:ind w:left="720" w:hanging="360"/>
      </w:pPr>
      <w:rPr>
        <w:rFonts w:ascii="Symbol" w:hAnsi="Symbol" w:hint="default"/>
        <w:b w:val="0"/>
        <w:bCs w:val="0"/>
        <w:i w:val="0"/>
        <w:iCs w:val="0"/>
        <w:color w:val="231F20"/>
        <w:spacing w:val="0"/>
        <w:w w:val="79"/>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75531"/>
    <w:multiLevelType w:val="hybridMultilevel"/>
    <w:tmpl w:val="21C875FC"/>
    <w:lvl w:ilvl="0" w:tplc="486A6786">
      <w:start w:val="1"/>
      <w:numFmt w:val="bullet"/>
      <w:lvlText w:val=""/>
      <w:lvlJc w:val="left"/>
      <w:pPr>
        <w:ind w:left="720" w:hanging="360"/>
      </w:pPr>
      <w:rPr>
        <w:rFonts w:ascii="Symbol" w:hAnsi="Symbol" w:hint="default"/>
        <w:b w:val="0"/>
        <w:bCs w:val="0"/>
        <w:i w:val="0"/>
        <w:iCs w:val="0"/>
        <w:color w:val="231F20"/>
        <w:spacing w:val="0"/>
        <w:w w:val="79"/>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83636A"/>
    <w:multiLevelType w:val="hybridMultilevel"/>
    <w:tmpl w:val="5D1091EE"/>
    <w:lvl w:ilvl="0" w:tplc="486A6786">
      <w:start w:val="1"/>
      <w:numFmt w:val="bullet"/>
      <w:lvlText w:val=""/>
      <w:lvlJc w:val="left"/>
      <w:pPr>
        <w:ind w:left="720" w:hanging="360"/>
      </w:pPr>
      <w:rPr>
        <w:rFonts w:ascii="Symbol" w:hAnsi="Symbol" w:hint="default"/>
        <w:b w:val="0"/>
        <w:bCs w:val="0"/>
        <w:i w:val="0"/>
        <w:iCs w:val="0"/>
        <w:color w:val="231F20"/>
        <w:spacing w:val="0"/>
        <w:w w:val="79"/>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7215958">
    <w:abstractNumId w:val="0"/>
  </w:num>
  <w:num w:numId="2" w16cid:durableId="202988038">
    <w:abstractNumId w:val="2"/>
  </w:num>
  <w:num w:numId="3" w16cid:durableId="1974479975">
    <w:abstractNumId w:val="4"/>
  </w:num>
  <w:num w:numId="4" w16cid:durableId="399838350">
    <w:abstractNumId w:val="5"/>
  </w:num>
  <w:num w:numId="5" w16cid:durableId="1512716338">
    <w:abstractNumId w:val="6"/>
  </w:num>
  <w:num w:numId="6" w16cid:durableId="85615316">
    <w:abstractNumId w:val="23"/>
  </w:num>
  <w:num w:numId="7" w16cid:durableId="175777534">
    <w:abstractNumId w:val="18"/>
  </w:num>
  <w:num w:numId="8" w16cid:durableId="142084463">
    <w:abstractNumId w:val="10"/>
  </w:num>
  <w:num w:numId="9" w16cid:durableId="2138647652">
    <w:abstractNumId w:val="24"/>
  </w:num>
  <w:num w:numId="10" w16cid:durableId="1369912296">
    <w:abstractNumId w:val="22"/>
  </w:num>
  <w:num w:numId="11" w16cid:durableId="2077361001">
    <w:abstractNumId w:val="20"/>
  </w:num>
  <w:num w:numId="12" w16cid:durableId="1958485436">
    <w:abstractNumId w:val="16"/>
  </w:num>
  <w:num w:numId="13" w16cid:durableId="127284563">
    <w:abstractNumId w:val="15"/>
  </w:num>
  <w:num w:numId="14" w16cid:durableId="670303509">
    <w:abstractNumId w:val="21"/>
  </w:num>
  <w:num w:numId="15" w16cid:durableId="1978795223">
    <w:abstractNumId w:val="13"/>
  </w:num>
  <w:num w:numId="16" w16cid:durableId="1122650433">
    <w:abstractNumId w:val="11"/>
  </w:num>
  <w:num w:numId="17" w16cid:durableId="1705600028">
    <w:abstractNumId w:val="17"/>
  </w:num>
  <w:num w:numId="18" w16cid:durableId="1065178552">
    <w:abstractNumId w:val="19"/>
  </w:num>
  <w:num w:numId="19" w16cid:durableId="2134205684">
    <w:abstractNumId w:val="14"/>
  </w:num>
  <w:num w:numId="20" w16cid:durableId="2123986943">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8CA"/>
    <w:rsid w:val="0000375B"/>
    <w:rsid w:val="00003D91"/>
    <w:rsid w:val="00004592"/>
    <w:rsid w:val="00006A8B"/>
    <w:rsid w:val="00010335"/>
    <w:rsid w:val="00010AC1"/>
    <w:rsid w:val="00010E0D"/>
    <w:rsid w:val="00016787"/>
    <w:rsid w:val="00020362"/>
    <w:rsid w:val="00021EB3"/>
    <w:rsid w:val="00025422"/>
    <w:rsid w:val="00025CD5"/>
    <w:rsid w:val="000260B8"/>
    <w:rsid w:val="00030538"/>
    <w:rsid w:val="00030D7D"/>
    <w:rsid w:val="0003106B"/>
    <w:rsid w:val="00034271"/>
    <w:rsid w:val="00034585"/>
    <w:rsid w:val="00035B57"/>
    <w:rsid w:val="0003614F"/>
    <w:rsid w:val="00036DEC"/>
    <w:rsid w:val="00041046"/>
    <w:rsid w:val="00044F71"/>
    <w:rsid w:val="000458D7"/>
    <w:rsid w:val="00050EBF"/>
    <w:rsid w:val="00051774"/>
    <w:rsid w:val="00053AF3"/>
    <w:rsid w:val="00053BBF"/>
    <w:rsid w:val="00054837"/>
    <w:rsid w:val="00056744"/>
    <w:rsid w:val="00061EBF"/>
    <w:rsid w:val="00064D8D"/>
    <w:rsid w:val="000750D9"/>
    <w:rsid w:val="00080C68"/>
    <w:rsid w:val="000820DE"/>
    <w:rsid w:val="00082433"/>
    <w:rsid w:val="00085758"/>
    <w:rsid w:val="000928CA"/>
    <w:rsid w:val="00095170"/>
    <w:rsid w:val="0009795A"/>
    <w:rsid w:val="000A26B7"/>
    <w:rsid w:val="000A3AA7"/>
    <w:rsid w:val="000A67BA"/>
    <w:rsid w:val="000B0F38"/>
    <w:rsid w:val="000B2102"/>
    <w:rsid w:val="000B2480"/>
    <w:rsid w:val="000B3653"/>
    <w:rsid w:val="000B38B5"/>
    <w:rsid w:val="000B6A80"/>
    <w:rsid w:val="000C0A63"/>
    <w:rsid w:val="000C1654"/>
    <w:rsid w:val="000C1C16"/>
    <w:rsid w:val="000C442C"/>
    <w:rsid w:val="000C548F"/>
    <w:rsid w:val="000D1CAE"/>
    <w:rsid w:val="000D276D"/>
    <w:rsid w:val="000D31D5"/>
    <w:rsid w:val="000D4D79"/>
    <w:rsid w:val="000D4DE9"/>
    <w:rsid w:val="000D69AF"/>
    <w:rsid w:val="000D73CC"/>
    <w:rsid w:val="000E28AA"/>
    <w:rsid w:val="000E6633"/>
    <w:rsid w:val="000F1F16"/>
    <w:rsid w:val="000F73C6"/>
    <w:rsid w:val="000F79B8"/>
    <w:rsid w:val="001000A6"/>
    <w:rsid w:val="00102B5C"/>
    <w:rsid w:val="0010302B"/>
    <w:rsid w:val="0010408A"/>
    <w:rsid w:val="00104C74"/>
    <w:rsid w:val="00104ED8"/>
    <w:rsid w:val="00107119"/>
    <w:rsid w:val="0011097C"/>
    <w:rsid w:val="00113CFF"/>
    <w:rsid w:val="00115D7F"/>
    <w:rsid w:val="00116AC2"/>
    <w:rsid w:val="001171E5"/>
    <w:rsid w:val="00123E32"/>
    <w:rsid w:val="00123F4E"/>
    <w:rsid w:val="0012587A"/>
    <w:rsid w:val="00127591"/>
    <w:rsid w:val="001279F6"/>
    <w:rsid w:val="001317B8"/>
    <w:rsid w:val="001320B3"/>
    <w:rsid w:val="00141A49"/>
    <w:rsid w:val="00142478"/>
    <w:rsid w:val="00146EA8"/>
    <w:rsid w:val="001473C7"/>
    <w:rsid w:val="00152713"/>
    <w:rsid w:val="00154685"/>
    <w:rsid w:val="00157866"/>
    <w:rsid w:val="00157F91"/>
    <w:rsid w:val="00162256"/>
    <w:rsid w:val="00162897"/>
    <w:rsid w:val="001632D5"/>
    <w:rsid w:val="00166C8C"/>
    <w:rsid w:val="00171E3E"/>
    <w:rsid w:val="00172CCE"/>
    <w:rsid w:val="00172F31"/>
    <w:rsid w:val="00174649"/>
    <w:rsid w:val="00177F98"/>
    <w:rsid w:val="00180041"/>
    <w:rsid w:val="001806A3"/>
    <w:rsid w:val="00183739"/>
    <w:rsid w:val="00184C3F"/>
    <w:rsid w:val="001869C6"/>
    <w:rsid w:val="00187EEC"/>
    <w:rsid w:val="001913D4"/>
    <w:rsid w:val="001967C6"/>
    <w:rsid w:val="001A7C2D"/>
    <w:rsid w:val="001B4E0E"/>
    <w:rsid w:val="001B6621"/>
    <w:rsid w:val="001C37D6"/>
    <w:rsid w:val="001C4DEF"/>
    <w:rsid w:val="001C5E87"/>
    <w:rsid w:val="001C6D4F"/>
    <w:rsid w:val="001D087C"/>
    <w:rsid w:val="001D1B52"/>
    <w:rsid w:val="001D219E"/>
    <w:rsid w:val="001D3DB7"/>
    <w:rsid w:val="001E0890"/>
    <w:rsid w:val="001E19D7"/>
    <w:rsid w:val="001E1DD7"/>
    <w:rsid w:val="001F0970"/>
    <w:rsid w:val="001F26F7"/>
    <w:rsid w:val="001F3CC7"/>
    <w:rsid w:val="001F4094"/>
    <w:rsid w:val="001F42C6"/>
    <w:rsid w:val="001F521B"/>
    <w:rsid w:val="0021102D"/>
    <w:rsid w:val="00217288"/>
    <w:rsid w:val="0021794D"/>
    <w:rsid w:val="00217A1D"/>
    <w:rsid w:val="00224200"/>
    <w:rsid w:val="00224C23"/>
    <w:rsid w:val="00224F8F"/>
    <w:rsid w:val="00232A53"/>
    <w:rsid w:val="00233592"/>
    <w:rsid w:val="002434C9"/>
    <w:rsid w:val="00243C47"/>
    <w:rsid w:val="002460DF"/>
    <w:rsid w:val="002474BC"/>
    <w:rsid w:val="002478EB"/>
    <w:rsid w:val="00247C86"/>
    <w:rsid w:val="00251343"/>
    <w:rsid w:val="002551CF"/>
    <w:rsid w:val="00255C71"/>
    <w:rsid w:val="00260062"/>
    <w:rsid w:val="002632BC"/>
    <w:rsid w:val="00264CC1"/>
    <w:rsid w:val="00267048"/>
    <w:rsid w:val="00271338"/>
    <w:rsid w:val="00272831"/>
    <w:rsid w:val="00272B11"/>
    <w:rsid w:val="0027666C"/>
    <w:rsid w:val="00280B40"/>
    <w:rsid w:val="00280DBF"/>
    <w:rsid w:val="00281EBA"/>
    <w:rsid w:val="00292BA3"/>
    <w:rsid w:val="00294628"/>
    <w:rsid w:val="00294AF6"/>
    <w:rsid w:val="00296080"/>
    <w:rsid w:val="00296E0E"/>
    <w:rsid w:val="002A236B"/>
    <w:rsid w:val="002A2890"/>
    <w:rsid w:val="002A318F"/>
    <w:rsid w:val="002A3FCC"/>
    <w:rsid w:val="002A7698"/>
    <w:rsid w:val="002B3456"/>
    <w:rsid w:val="002B3FED"/>
    <w:rsid w:val="002B62EB"/>
    <w:rsid w:val="002C70BE"/>
    <w:rsid w:val="002D0766"/>
    <w:rsid w:val="002D1559"/>
    <w:rsid w:val="002D745E"/>
    <w:rsid w:val="002E1364"/>
    <w:rsid w:val="002E3B83"/>
    <w:rsid w:val="002E3C74"/>
    <w:rsid w:val="002F577B"/>
    <w:rsid w:val="002F7AFF"/>
    <w:rsid w:val="00303859"/>
    <w:rsid w:val="003063E2"/>
    <w:rsid w:val="0030641A"/>
    <w:rsid w:val="003106DB"/>
    <w:rsid w:val="003115C2"/>
    <w:rsid w:val="00314973"/>
    <w:rsid w:val="00323DED"/>
    <w:rsid w:val="00325E7D"/>
    <w:rsid w:val="003269B8"/>
    <w:rsid w:val="00330A1B"/>
    <w:rsid w:val="0033113A"/>
    <w:rsid w:val="003350E6"/>
    <w:rsid w:val="00336A5C"/>
    <w:rsid w:val="00336FFE"/>
    <w:rsid w:val="00340684"/>
    <w:rsid w:val="003446A6"/>
    <w:rsid w:val="003503D3"/>
    <w:rsid w:val="00350BB7"/>
    <w:rsid w:val="00355302"/>
    <w:rsid w:val="00356322"/>
    <w:rsid w:val="00356E51"/>
    <w:rsid w:val="00360619"/>
    <w:rsid w:val="00364822"/>
    <w:rsid w:val="00365434"/>
    <w:rsid w:val="003672A4"/>
    <w:rsid w:val="0036796D"/>
    <w:rsid w:val="00373E06"/>
    <w:rsid w:val="00377172"/>
    <w:rsid w:val="0038103D"/>
    <w:rsid w:val="00381CA1"/>
    <w:rsid w:val="00392E35"/>
    <w:rsid w:val="00393B81"/>
    <w:rsid w:val="00394415"/>
    <w:rsid w:val="00394DD8"/>
    <w:rsid w:val="003963CE"/>
    <w:rsid w:val="003A0055"/>
    <w:rsid w:val="003A35AF"/>
    <w:rsid w:val="003A3A61"/>
    <w:rsid w:val="003A40FA"/>
    <w:rsid w:val="003A6188"/>
    <w:rsid w:val="003B15AD"/>
    <w:rsid w:val="003B18F3"/>
    <w:rsid w:val="003B58C5"/>
    <w:rsid w:val="003B6FAD"/>
    <w:rsid w:val="003C198D"/>
    <w:rsid w:val="003C2A5F"/>
    <w:rsid w:val="003C3A6B"/>
    <w:rsid w:val="003C4907"/>
    <w:rsid w:val="003C623A"/>
    <w:rsid w:val="003D0C47"/>
    <w:rsid w:val="003D14D3"/>
    <w:rsid w:val="003D402A"/>
    <w:rsid w:val="003D6EC0"/>
    <w:rsid w:val="003E08F8"/>
    <w:rsid w:val="003E2C98"/>
    <w:rsid w:val="003E3675"/>
    <w:rsid w:val="003E4417"/>
    <w:rsid w:val="003E65E5"/>
    <w:rsid w:val="003E69BD"/>
    <w:rsid w:val="003E7FA5"/>
    <w:rsid w:val="003F35DD"/>
    <w:rsid w:val="003F431D"/>
    <w:rsid w:val="003F471F"/>
    <w:rsid w:val="003F6539"/>
    <w:rsid w:val="00403F9A"/>
    <w:rsid w:val="00406A27"/>
    <w:rsid w:val="00412172"/>
    <w:rsid w:val="00412E4E"/>
    <w:rsid w:val="00413661"/>
    <w:rsid w:val="004202A1"/>
    <w:rsid w:val="00420362"/>
    <w:rsid w:val="00420F71"/>
    <w:rsid w:val="00423933"/>
    <w:rsid w:val="004276B4"/>
    <w:rsid w:val="00433448"/>
    <w:rsid w:val="0043439E"/>
    <w:rsid w:val="00436722"/>
    <w:rsid w:val="00444CD4"/>
    <w:rsid w:val="004464C5"/>
    <w:rsid w:val="00450B7D"/>
    <w:rsid w:val="00462DF7"/>
    <w:rsid w:val="00463722"/>
    <w:rsid w:val="004729C6"/>
    <w:rsid w:val="004735E8"/>
    <w:rsid w:val="00475749"/>
    <w:rsid w:val="0048088E"/>
    <w:rsid w:val="00480C98"/>
    <w:rsid w:val="00481DFD"/>
    <w:rsid w:val="00482000"/>
    <w:rsid w:val="00482E21"/>
    <w:rsid w:val="004908C5"/>
    <w:rsid w:val="00491A3E"/>
    <w:rsid w:val="00493743"/>
    <w:rsid w:val="004A033D"/>
    <w:rsid w:val="004A1EDC"/>
    <w:rsid w:val="004A245E"/>
    <w:rsid w:val="004A3A46"/>
    <w:rsid w:val="004A4C1C"/>
    <w:rsid w:val="004A6948"/>
    <w:rsid w:val="004A6E71"/>
    <w:rsid w:val="004B29AB"/>
    <w:rsid w:val="004B32F8"/>
    <w:rsid w:val="004C0282"/>
    <w:rsid w:val="004C549E"/>
    <w:rsid w:val="004C5CB2"/>
    <w:rsid w:val="004D1916"/>
    <w:rsid w:val="004D198E"/>
    <w:rsid w:val="004D6EA9"/>
    <w:rsid w:val="004E2D78"/>
    <w:rsid w:val="004F1C95"/>
    <w:rsid w:val="004F4F8F"/>
    <w:rsid w:val="004F572A"/>
    <w:rsid w:val="004F5C2E"/>
    <w:rsid w:val="004F5F99"/>
    <w:rsid w:val="005015FD"/>
    <w:rsid w:val="00501958"/>
    <w:rsid w:val="00501E91"/>
    <w:rsid w:val="00503CAA"/>
    <w:rsid w:val="005055BC"/>
    <w:rsid w:val="0050769C"/>
    <w:rsid w:val="00510134"/>
    <w:rsid w:val="005105E8"/>
    <w:rsid w:val="005135EA"/>
    <w:rsid w:val="005173F2"/>
    <w:rsid w:val="00523FA8"/>
    <w:rsid w:val="00525A01"/>
    <w:rsid w:val="00530AFD"/>
    <w:rsid w:val="00531062"/>
    <w:rsid w:val="005361CC"/>
    <w:rsid w:val="0054094E"/>
    <w:rsid w:val="005418FB"/>
    <w:rsid w:val="005456B1"/>
    <w:rsid w:val="005471A0"/>
    <w:rsid w:val="00551A11"/>
    <w:rsid w:val="00556578"/>
    <w:rsid w:val="0056733F"/>
    <w:rsid w:val="005746C8"/>
    <w:rsid w:val="00577A71"/>
    <w:rsid w:val="00580C0B"/>
    <w:rsid w:val="00580E1E"/>
    <w:rsid w:val="00581153"/>
    <w:rsid w:val="00581C10"/>
    <w:rsid w:val="005822FB"/>
    <w:rsid w:val="005835E9"/>
    <w:rsid w:val="00585C9C"/>
    <w:rsid w:val="00586BE1"/>
    <w:rsid w:val="005906D5"/>
    <w:rsid w:val="00592D09"/>
    <w:rsid w:val="005934BB"/>
    <w:rsid w:val="00596D4A"/>
    <w:rsid w:val="0059730A"/>
    <w:rsid w:val="00597643"/>
    <w:rsid w:val="005A153E"/>
    <w:rsid w:val="005A21EB"/>
    <w:rsid w:val="005A35CE"/>
    <w:rsid w:val="005B2C1C"/>
    <w:rsid w:val="005C2979"/>
    <w:rsid w:val="005C5FC7"/>
    <w:rsid w:val="005C6934"/>
    <w:rsid w:val="005D3140"/>
    <w:rsid w:val="005D377E"/>
    <w:rsid w:val="005D53AA"/>
    <w:rsid w:val="005D5F88"/>
    <w:rsid w:val="005E3C57"/>
    <w:rsid w:val="005E3E19"/>
    <w:rsid w:val="005E4FAA"/>
    <w:rsid w:val="005E532C"/>
    <w:rsid w:val="005E5FCB"/>
    <w:rsid w:val="005E6056"/>
    <w:rsid w:val="005E6178"/>
    <w:rsid w:val="005E777D"/>
    <w:rsid w:val="005E77F1"/>
    <w:rsid w:val="005E7E04"/>
    <w:rsid w:val="005F119C"/>
    <w:rsid w:val="005F14AD"/>
    <w:rsid w:val="005F2D68"/>
    <w:rsid w:val="005F71B7"/>
    <w:rsid w:val="005F78FF"/>
    <w:rsid w:val="006008A0"/>
    <w:rsid w:val="00607CEE"/>
    <w:rsid w:val="00615B94"/>
    <w:rsid w:val="0061655C"/>
    <w:rsid w:val="006175E4"/>
    <w:rsid w:val="006207A7"/>
    <w:rsid w:val="006216B6"/>
    <w:rsid w:val="00623DA4"/>
    <w:rsid w:val="00623FA7"/>
    <w:rsid w:val="006247AD"/>
    <w:rsid w:val="00631D48"/>
    <w:rsid w:val="00632629"/>
    <w:rsid w:val="0064493A"/>
    <w:rsid w:val="00646BB1"/>
    <w:rsid w:val="00650D81"/>
    <w:rsid w:val="00651A0E"/>
    <w:rsid w:val="0065439F"/>
    <w:rsid w:val="006546DE"/>
    <w:rsid w:val="00655357"/>
    <w:rsid w:val="006607AA"/>
    <w:rsid w:val="00662B04"/>
    <w:rsid w:val="00666AA5"/>
    <w:rsid w:val="006704C9"/>
    <w:rsid w:val="00671E2F"/>
    <w:rsid w:val="00676FBA"/>
    <w:rsid w:val="00682F7E"/>
    <w:rsid w:val="0068448D"/>
    <w:rsid w:val="00691D70"/>
    <w:rsid w:val="00693BF2"/>
    <w:rsid w:val="00694CA3"/>
    <w:rsid w:val="006A0CCA"/>
    <w:rsid w:val="006A1BED"/>
    <w:rsid w:val="006A37BF"/>
    <w:rsid w:val="006A4622"/>
    <w:rsid w:val="006A4795"/>
    <w:rsid w:val="006A7332"/>
    <w:rsid w:val="006B2299"/>
    <w:rsid w:val="006B32FF"/>
    <w:rsid w:val="006B3C33"/>
    <w:rsid w:val="006B4C8D"/>
    <w:rsid w:val="006C00C8"/>
    <w:rsid w:val="006C20C3"/>
    <w:rsid w:val="006D6C21"/>
    <w:rsid w:val="006D70E3"/>
    <w:rsid w:val="006E0A67"/>
    <w:rsid w:val="006E5C03"/>
    <w:rsid w:val="006E5DBD"/>
    <w:rsid w:val="006F0B8C"/>
    <w:rsid w:val="006F6DDD"/>
    <w:rsid w:val="00704AAB"/>
    <w:rsid w:val="00706166"/>
    <w:rsid w:val="00713C99"/>
    <w:rsid w:val="0071492A"/>
    <w:rsid w:val="00714BF5"/>
    <w:rsid w:val="00725ADA"/>
    <w:rsid w:val="00731681"/>
    <w:rsid w:val="00733FA0"/>
    <w:rsid w:val="00734D53"/>
    <w:rsid w:val="00746A2D"/>
    <w:rsid w:val="0074743C"/>
    <w:rsid w:val="00751C65"/>
    <w:rsid w:val="00753D8E"/>
    <w:rsid w:val="00754340"/>
    <w:rsid w:val="0075593F"/>
    <w:rsid w:val="00757ABC"/>
    <w:rsid w:val="00761851"/>
    <w:rsid w:val="00762349"/>
    <w:rsid w:val="0076380B"/>
    <w:rsid w:val="007641F3"/>
    <w:rsid w:val="0076512F"/>
    <w:rsid w:val="00773078"/>
    <w:rsid w:val="00773219"/>
    <w:rsid w:val="00774A96"/>
    <w:rsid w:val="00774B47"/>
    <w:rsid w:val="00780774"/>
    <w:rsid w:val="007815E4"/>
    <w:rsid w:val="00785CDD"/>
    <w:rsid w:val="00787967"/>
    <w:rsid w:val="007904C5"/>
    <w:rsid w:val="00794CEC"/>
    <w:rsid w:val="007A0DCC"/>
    <w:rsid w:val="007A2960"/>
    <w:rsid w:val="007A563E"/>
    <w:rsid w:val="007B005E"/>
    <w:rsid w:val="007B098B"/>
    <w:rsid w:val="007B1CD9"/>
    <w:rsid w:val="007B6494"/>
    <w:rsid w:val="007C23E4"/>
    <w:rsid w:val="007C2571"/>
    <w:rsid w:val="007C4E08"/>
    <w:rsid w:val="007C76B8"/>
    <w:rsid w:val="007C7A55"/>
    <w:rsid w:val="007D0315"/>
    <w:rsid w:val="007D4EB5"/>
    <w:rsid w:val="007D6B6B"/>
    <w:rsid w:val="007D7153"/>
    <w:rsid w:val="007D755C"/>
    <w:rsid w:val="007D7675"/>
    <w:rsid w:val="007E063C"/>
    <w:rsid w:val="007E323C"/>
    <w:rsid w:val="007E470F"/>
    <w:rsid w:val="007E577A"/>
    <w:rsid w:val="007F17AE"/>
    <w:rsid w:val="007F38CD"/>
    <w:rsid w:val="007F51FA"/>
    <w:rsid w:val="007F5893"/>
    <w:rsid w:val="007F7B2E"/>
    <w:rsid w:val="007F7C31"/>
    <w:rsid w:val="00801C54"/>
    <w:rsid w:val="00803891"/>
    <w:rsid w:val="0081091D"/>
    <w:rsid w:val="0081258F"/>
    <w:rsid w:val="00821BED"/>
    <w:rsid w:val="008226D7"/>
    <w:rsid w:val="00822B07"/>
    <w:rsid w:val="00823693"/>
    <w:rsid w:val="0083436F"/>
    <w:rsid w:val="008344AE"/>
    <w:rsid w:val="0083605C"/>
    <w:rsid w:val="008415E5"/>
    <w:rsid w:val="00842F76"/>
    <w:rsid w:val="00844276"/>
    <w:rsid w:val="00845B69"/>
    <w:rsid w:val="00846B45"/>
    <w:rsid w:val="00856328"/>
    <w:rsid w:val="00857486"/>
    <w:rsid w:val="0085768A"/>
    <w:rsid w:val="00864587"/>
    <w:rsid w:val="00867380"/>
    <w:rsid w:val="00870690"/>
    <w:rsid w:val="00871C2C"/>
    <w:rsid w:val="0087237B"/>
    <w:rsid w:val="00874CDF"/>
    <w:rsid w:val="00875B87"/>
    <w:rsid w:val="00877E30"/>
    <w:rsid w:val="008811A6"/>
    <w:rsid w:val="00883021"/>
    <w:rsid w:val="0089544B"/>
    <w:rsid w:val="00896616"/>
    <w:rsid w:val="00897CDD"/>
    <w:rsid w:val="008A0460"/>
    <w:rsid w:val="008A7B1F"/>
    <w:rsid w:val="008B0A7C"/>
    <w:rsid w:val="008B464B"/>
    <w:rsid w:val="008B7761"/>
    <w:rsid w:val="008C45C7"/>
    <w:rsid w:val="008C53D4"/>
    <w:rsid w:val="008C5549"/>
    <w:rsid w:val="008C5741"/>
    <w:rsid w:val="008C640E"/>
    <w:rsid w:val="008C677B"/>
    <w:rsid w:val="008C6F14"/>
    <w:rsid w:val="008D347D"/>
    <w:rsid w:val="008D5F9F"/>
    <w:rsid w:val="008E035E"/>
    <w:rsid w:val="008E42DD"/>
    <w:rsid w:val="008E4600"/>
    <w:rsid w:val="008F315C"/>
    <w:rsid w:val="008F34C3"/>
    <w:rsid w:val="008F61D8"/>
    <w:rsid w:val="008F6A26"/>
    <w:rsid w:val="008F7990"/>
    <w:rsid w:val="008F7D44"/>
    <w:rsid w:val="0090011B"/>
    <w:rsid w:val="009001AB"/>
    <w:rsid w:val="00900CF8"/>
    <w:rsid w:val="00901771"/>
    <w:rsid w:val="00903951"/>
    <w:rsid w:val="009039D6"/>
    <w:rsid w:val="009054D3"/>
    <w:rsid w:val="00905C9A"/>
    <w:rsid w:val="00911E88"/>
    <w:rsid w:val="00914220"/>
    <w:rsid w:val="00914642"/>
    <w:rsid w:val="00914A64"/>
    <w:rsid w:val="009161D0"/>
    <w:rsid w:val="00917C51"/>
    <w:rsid w:val="009254F4"/>
    <w:rsid w:val="0093306D"/>
    <w:rsid w:val="009376E0"/>
    <w:rsid w:val="009403A1"/>
    <w:rsid w:val="0094547A"/>
    <w:rsid w:val="00947758"/>
    <w:rsid w:val="00947946"/>
    <w:rsid w:val="00952018"/>
    <w:rsid w:val="009522F2"/>
    <w:rsid w:val="00956CA5"/>
    <w:rsid w:val="0096542B"/>
    <w:rsid w:val="0097014C"/>
    <w:rsid w:val="009702A3"/>
    <w:rsid w:val="009715A4"/>
    <w:rsid w:val="009721AC"/>
    <w:rsid w:val="009725DC"/>
    <w:rsid w:val="009738D9"/>
    <w:rsid w:val="00973F8C"/>
    <w:rsid w:val="00980C07"/>
    <w:rsid w:val="009821AA"/>
    <w:rsid w:val="00984C49"/>
    <w:rsid w:val="009853FA"/>
    <w:rsid w:val="009863E9"/>
    <w:rsid w:val="00987525"/>
    <w:rsid w:val="00993AB8"/>
    <w:rsid w:val="0099489F"/>
    <w:rsid w:val="00996704"/>
    <w:rsid w:val="009A0663"/>
    <w:rsid w:val="009A1A77"/>
    <w:rsid w:val="009A4CEC"/>
    <w:rsid w:val="009A7626"/>
    <w:rsid w:val="009B55A1"/>
    <w:rsid w:val="009C0460"/>
    <w:rsid w:val="009C4136"/>
    <w:rsid w:val="009C62F8"/>
    <w:rsid w:val="009C694C"/>
    <w:rsid w:val="009C7349"/>
    <w:rsid w:val="009C7A8A"/>
    <w:rsid w:val="009D20C2"/>
    <w:rsid w:val="009D2145"/>
    <w:rsid w:val="009D285B"/>
    <w:rsid w:val="009D6C17"/>
    <w:rsid w:val="009E0206"/>
    <w:rsid w:val="009E1526"/>
    <w:rsid w:val="009E4545"/>
    <w:rsid w:val="009E647E"/>
    <w:rsid w:val="009E6956"/>
    <w:rsid w:val="009E6A56"/>
    <w:rsid w:val="009F4C96"/>
    <w:rsid w:val="009F4F1C"/>
    <w:rsid w:val="009F7DA4"/>
    <w:rsid w:val="00A00FA2"/>
    <w:rsid w:val="00A02010"/>
    <w:rsid w:val="00A07C53"/>
    <w:rsid w:val="00A10DA6"/>
    <w:rsid w:val="00A1380D"/>
    <w:rsid w:val="00A15DC1"/>
    <w:rsid w:val="00A167AF"/>
    <w:rsid w:val="00A22FB3"/>
    <w:rsid w:val="00A2343A"/>
    <w:rsid w:val="00A23F9A"/>
    <w:rsid w:val="00A259C0"/>
    <w:rsid w:val="00A303DB"/>
    <w:rsid w:val="00A30C0D"/>
    <w:rsid w:val="00A35402"/>
    <w:rsid w:val="00A37AB7"/>
    <w:rsid w:val="00A37D81"/>
    <w:rsid w:val="00A400BE"/>
    <w:rsid w:val="00A403FA"/>
    <w:rsid w:val="00A414F6"/>
    <w:rsid w:val="00A45743"/>
    <w:rsid w:val="00A65488"/>
    <w:rsid w:val="00A66660"/>
    <w:rsid w:val="00A67E6F"/>
    <w:rsid w:val="00A729C3"/>
    <w:rsid w:val="00A72D4F"/>
    <w:rsid w:val="00A72EE3"/>
    <w:rsid w:val="00A73142"/>
    <w:rsid w:val="00A830AB"/>
    <w:rsid w:val="00A87F00"/>
    <w:rsid w:val="00A94807"/>
    <w:rsid w:val="00A96E2C"/>
    <w:rsid w:val="00A97A9E"/>
    <w:rsid w:val="00AA0537"/>
    <w:rsid w:val="00AA05E7"/>
    <w:rsid w:val="00AA117B"/>
    <w:rsid w:val="00AA1BCF"/>
    <w:rsid w:val="00AA3DE4"/>
    <w:rsid w:val="00AA4AD5"/>
    <w:rsid w:val="00AA54EA"/>
    <w:rsid w:val="00AA5563"/>
    <w:rsid w:val="00AA7769"/>
    <w:rsid w:val="00AB0086"/>
    <w:rsid w:val="00AB5E77"/>
    <w:rsid w:val="00AB6065"/>
    <w:rsid w:val="00AB6330"/>
    <w:rsid w:val="00AB72AD"/>
    <w:rsid w:val="00AC5005"/>
    <w:rsid w:val="00AC5AB9"/>
    <w:rsid w:val="00AC6F66"/>
    <w:rsid w:val="00AD54F5"/>
    <w:rsid w:val="00AD5897"/>
    <w:rsid w:val="00AD5B64"/>
    <w:rsid w:val="00AE03E2"/>
    <w:rsid w:val="00AE1410"/>
    <w:rsid w:val="00AE1DC3"/>
    <w:rsid w:val="00AE30F8"/>
    <w:rsid w:val="00AE7C23"/>
    <w:rsid w:val="00AF3E62"/>
    <w:rsid w:val="00B006B1"/>
    <w:rsid w:val="00B04B63"/>
    <w:rsid w:val="00B04E0A"/>
    <w:rsid w:val="00B10CAA"/>
    <w:rsid w:val="00B11467"/>
    <w:rsid w:val="00B17652"/>
    <w:rsid w:val="00B205C9"/>
    <w:rsid w:val="00B218F5"/>
    <w:rsid w:val="00B21902"/>
    <w:rsid w:val="00B23419"/>
    <w:rsid w:val="00B27D6E"/>
    <w:rsid w:val="00B30162"/>
    <w:rsid w:val="00B31920"/>
    <w:rsid w:val="00B31AD6"/>
    <w:rsid w:val="00B32200"/>
    <w:rsid w:val="00B336E6"/>
    <w:rsid w:val="00B367FA"/>
    <w:rsid w:val="00B43F87"/>
    <w:rsid w:val="00B52383"/>
    <w:rsid w:val="00B55826"/>
    <w:rsid w:val="00B57967"/>
    <w:rsid w:val="00B60332"/>
    <w:rsid w:val="00B63C5D"/>
    <w:rsid w:val="00B669FE"/>
    <w:rsid w:val="00B71F79"/>
    <w:rsid w:val="00B73519"/>
    <w:rsid w:val="00B8291A"/>
    <w:rsid w:val="00B82997"/>
    <w:rsid w:val="00B82F3F"/>
    <w:rsid w:val="00B836F1"/>
    <w:rsid w:val="00B8389C"/>
    <w:rsid w:val="00B83E27"/>
    <w:rsid w:val="00B83E94"/>
    <w:rsid w:val="00B90361"/>
    <w:rsid w:val="00B90585"/>
    <w:rsid w:val="00B92DF4"/>
    <w:rsid w:val="00B93AD4"/>
    <w:rsid w:val="00B975C4"/>
    <w:rsid w:val="00BA0120"/>
    <w:rsid w:val="00BA4002"/>
    <w:rsid w:val="00BA7029"/>
    <w:rsid w:val="00BB0DAB"/>
    <w:rsid w:val="00BB12FE"/>
    <w:rsid w:val="00BB7D1D"/>
    <w:rsid w:val="00BC3939"/>
    <w:rsid w:val="00BC56DF"/>
    <w:rsid w:val="00BC576A"/>
    <w:rsid w:val="00BC6D3D"/>
    <w:rsid w:val="00BD27E6"/>
    <w:rsid w:val="00BD4CA3"/>
    <w:rsid w:val="00BD5493"/>
    <w:rsid w:val="00BD5AA5"/>
    <w:rsid w:val="00BE0656"/>
    <w:rsid w:val="00BE6579"/>
    <w:rsid w:val="00BF1298"/>
    <w:rsid w:val="00BF44B9"/>
    <w:rsid w:val="00BF6CBC"/>
    <w:rsid w:val="00BF716A"/>
    <w:rsid w:val="00C0108C"/>
    <w:rsid w:val="00C01D62"/>
    <w:rsid w:val="00C0202A"/>
    <w:rsid w:val="00C031C0"/>
    <w:rsid w:val="00C036E3"/>
    <w:rsid w:val="00C04FDC"/>
    <w:rsid w:val="00C05395"/>
    <w:rsid w:val="00C079F1"/>
    <w:rsid w:val="00C10995"/>
    <w:rsid w:val="00C11F88"/>
    <w:rsid w:val="00C21F48"/>
    <w:rsid w:val="00C23718"/>
    <w:rsid w:val="00C336AC"/>
    <w:rsid w:val="00C3557C"/>
    <w:rsid w:val="00C35E76"/>
    <w:rsid w:val="00C414F0"/>
    <w:rsid w:val="00C41D58"/>
    <w:rsid w:val="00C47534"/>
    <w:rsid w:val="00C538B4"/>
    <w:rsid w:val="00C53F07"/>
    <w:rsid w:val="00C5556A"/>
    <w:rsid w:val="00C62581"/>
    <w:rsid w:val="00C625F4"/>
    <w:rsid w:val="00C64038"/>
    <w:rsid w:val="00C71790"/>
    <w:rsid w:val="00C738FF"/>
    <w:rsid w:val="00C74A32"/>
    <w:rsid w:val="00C760C2"/>
    <w:rsid w:val="00C8439E"/>
    <w:rsid w:val="00C85071"/>
    <w:rsid w:val="00C85692"/>
    <w:rsid w:val="00C8582E"/>
    <w:rsid w:val="00C87CAC"/>
    <w:rsid w:val="00C94DD7"/>
    <w:rsid w:val="00C9577B"/>
    <w:rsid w:val="00CA12D9"/>
    <w:rsid w:val="00CA1512"/>
    <w:rsid w:val="00CA1E73"/>
    <w:rsid w:val="00CA58C7"/>
    <w:rsid w:val="00CB4157"/>
    <w:rsid w:val="00CB5A8E"/>
    <w:rsid w:val="00CC19E0"/>
    <w:rsid w:val="00CC2384"/>
    <w:rsid w:val="00CC4425"/>
    <w:rsid w:val="00CC4EA5"/>
    <w:rsid w:val="00CC6E0B"/>
    <w:rsid w:val="00CD058D"/>
    <w:rsid w:val="00CD2B04"/>
    <w:rsid w:val="00CD2B3F"/>
    <w:rsid w:val="00CD525F"/>
    <w:rsid w:val="00CD61FC"/>
    <w:rsid w:val="00CD7A25"/>
    <w:rsid w:val="00CD7E08"/>
    <w:rsid w:val="00CE2D8C"/>
    <w:rsid w:val="00CE469B"/>
    <w:rsid w:val="00CE518A"/>
    <w:rsid w:val="00CE7291"/>
    <w:rsid w:val="00CE7615"/>
    <w:rsid w:val="00CF1858"/>
    <w:rsid w:val="00CF217B"/>
    <w:rsid w:val="00CF29B1"/>
    <w:rsid w:val="00CF4346"/>
    <w:rsid w:val="00CF6A36"/>
    <w:rsid w:val="00D05341"/>
    <w:rsid w:val="00D05811"/>
    <w:rsid w:val="00D05B4D"/>
    <w:rsid w:val="00D07F2D"/>
    <w:rsid w:val="00D11960"/>
    <w:rsid w:val="00D12F02"/>
    <w:rsid w:val="00D15317"/>
    <w:rsid w:val="00D16095"/>
    <w:rsid w:val="00D2210A"/>
    <w:rsid w:val="00D23FB6"/>
    <w:rsid w:val="00D25B62"/>
    <w:rsid w:val="00D2641C"/>
    <w:rsid w:val="00D30BB9"/>
    <w:rsid w:val="00D3365D"/>
    <w:rsid w:val="00D337FC"/>
    <w:rsid w:val="00D36564"/>
    <w:rsid w:val="00D446EB"/>
    <w:rsid w:val="00D47A2D"/>
    <w:rsid w:val="00D50D3C"/>
    <w:rsid w:val="00D527E8"/>
    <w:rsid w:val="00D53FC3"/>
    <w:rsid w:val="00D54ABF"/>
    <w:rsid w:val="00D55B99"/>
    <w:rsid w:val="00D60547"/>
    <w:rsid w:val="00D63E87"/>
    <w:rsid w:val="00D73884"/>
    <w:rsid w:val="00D77552"/>
    <w:rsid w:val="00D81C2E"/>
    <w:rsid w:val="00D8302E"/>
    <w:rsid w:val="00D9169B"/>
    <w:rsid w:val="00D93D6D"/>
    <w:rsid w:val="00D94B0D"/>
    <w:rsid w:val="00D97121"/>
    <w:rsid w:val="00DA3913"/>
    <w:rsid w:val="00DA4D56"/>
    <w:rsid w:val="00DA7A45"/>
    <w:rsid w:val="00DB0DD1"/>
    <w:rsid w:val="00DB3948"/>
    <w:rsid w:val="00DB54CF"/>
    <w:rsid w:val="00DD6CBC"/>
    <w:rsid w:val="00DE3C81"/>
    <w:rsid w:val="00DE4D92"/>
    <w:rsid w:val="00DE66C7"/>
    <w:rsid w:val="00DE769D"/>
    <w:rsid w:val="00DF2642"/>
    <w:rsid w:val="00DF3246"/>
    <w:rsid w:val="00DF406D"/>
    <w:rsid w:val="00E004BB"/>
    <w:rsid w:val="00E01D1B"/>
    <w:rsid w:val="00E02D4F"/>
    <w:rsid w:val="00E03405"/>
    <w:rsid w:val="00E03853"/>
    <w:rsid w:val="00E06E94"/>
    <w:rsid w:val="00E076E0"/>
    <w:rsid w:val="00E10311"/>
    <w:rsid w:val="00E1185E"/>
    <w:rsid w:val="00E146B9"/>
    <w:rsid w:val="00E146FE"/>
    <w:rsid w:val="00E14885"/>
    <w:rsid w:val="00E14AB9"/>
    <w:rsid w:val="00E1573E"/>
    <w:rsid w:val="00E234A6"/>
    <w:rsid w:val="00E236E3"/>
    <w:rsid w:val="00E250BE"/>
    <w:rsid w:val="00E267B9"/>
    <w:rsid w:val="00E273A1"/>
    <w:rsid w:val="00E27691"/>
    <w:rsid w:val="00E309A2"/>
    <w:rsid w:val="00E31320"/>
    <w:rsid w:val="00E33DEF"/>
    <w:rsid w:val="00E35994"/>
    <w:rsid w:val="00E36656"/>
    <w:rsid w:val="00E375CD"/>
    <w:rsid w:val="00E46E1E"/>
    <w:rsid w:val="00E529E8"/>
    <w:rsid w:val="00E56714"/>
    <w:rsid w:val="00E573F3"/>
    <w:rsid w:val="00E57881"/>
    <w:rsid w:val="00E603F5"/>
    <w:rsid w:val="00E616DA"/>
    <w:rsid w:val="00E64D0A"/>
    <w:rsid w:val="00E65257"/>
    <w:rsid w:val="00E67329"/>
    <w:rsid w:val="00E715C2"/>
    <w:rsid w:val="00E71E6F"/>
    <w:rsid w:val="00E732FF"/>
    <w:rsid w:val="00E741A6"/>
    <w:rsid w:val="00E776FB"/>
    <w:rsid w:val="00E800CE"/>
    <w:rsid w:val="00E819C4"/>
    <w:rsid w:val="00E841A5"/>
    <w:rsid w:val="00E84B13"/>
    <w:rsid w:val="00E85DE2"/>
    <w:rsid w:val="00E9378E"/>
    <w:rsid w:val="00E94BA1"/>
    <w:rsid w:val="00E9500C"/>
    <w:rsid w:val="00EB22C4"/>
    <w:rsid w:val="00EB322E"/>
    <w:rsid w:val="00EB6840"/>
    <w:rsid w:val="00EB75F5"/>
    <w:rsid w:val="00EC3D25"/>
    <w:rsid w:val="00EC4B6D"/>
    <w:rsid w:val="00EC5619"/>
    <w:rsid w:val="00ED237F"/>
    <w:rsid w:val="00ED3FFD"/>
    <w:rsid w:val="00ED6E49"/>
    <w:rsid w:val="00ED78D1"/>
    <w:rsid w:val="00EE116E"/>
    <w:rsid w:val="00EE1A77"/>
    <w:rsid w:val="00EE2794"/>
    <w:rsid w:val="00EE3981"/>
    <w:rsid w:val="00EE462A"/>
    <w:rsid w:val="00EE46EF"/>
    <w:rsid w:val="00EE7D7B"/>
    <w:rsid w:val="00EF45C8"/>
    <w:rsid w:val="00EF6715"/>
    <w:rsid w:val="00F009AF"/>
    <w:rsid w:val="00F066BE"/>
    <w:rsid w:val="00F07A92"/>
    <w:rsid w:val="00F12861"/>
    <w:rsid w:val="00F12E07"/>
    <w:rsid w:val="00F14627"/>
    <w:rsid w:val="00F24552"/>
    <w:rsid w:val="00F24FA6"/>
    <w:rsid w:val="00F253FC"/>
    <w:rsid w:val="00F26B59"/>
    <w:rsid w:val="00F27E94"/>
    <w:rsid w:val="00F30ACF"/>
    <w:rsid w:val="00F31389"/>
    <w:rsid w:val="00F35622"/>
    <w:rsid w:val="00F4037A"/>
    <w:rsid w:val="00F454C5"/>
    <w:rsid w:val="00F45BBF"/>
    <w:rsid w:val="00F56BE4"/>
    <w:rsid w:val="00F67D19"/>
    <w:rsid w:val="00F7323D"/>
    <w:rsid w:val="00F73A9E"/>
    <w:rsid w:val="00F74DFC"/>
    <w:rsid w:val="00F80989"/>
    <w:rsid w:val="00F80EA4"/>
    <w:rsid w:val="00F81058"/>
    <w:rsid w:val="00F81228"/>
    <w:rsid w:val="00F841E1"/>
    <w:rsid w:val="00F85CB6"/>
    <w:rsid w:val="00F86242"/>
    <w:rsid w:val="00F928E0"/>
    <w:rsid w:val="00F94FE2"/>
    <w:rsid w:val="00FA0D48"/>
    <w:rsid w:val="00FB0A3A"/>
    <w:rsid w:val="00FB189D"/>
    <w:rsid w:val="00FB1CB2"/>
    <w:rsid w:val="00FB1EDE"/>
    <w:rsid w:val="00FB3C66"/>
    <w:rsid w:val="00FC0B1B"/>
    <w:rsid w:val="00FC0F42"/>
    <w:rsid w:val="00FC1246"/>
    <w:rsid w:val="00FC147E"/>
    <w:rsid w:val="00FC2ED7"/>
    <w:rsid w:val="00FC2F0E"/>
    <w:rsid w:val="00FC47EE"/>
    <w:rsid w:val="00FC4C5C"/>
    <w:rsid w:val="00FC4FFA"/>
    <w:rsid w:val="00FC64D5"/>
    <w:rsid w:val="00FC77F9"/>
    <w:rsid w:val="00FD2440"/>
    <w:rsid w:val="00FD3565"/>
    <w:rsid w:val="00FE49B0"/>
    <w:rsid w:val="00FE4BB3"/>
    <w:rsid w:val="00FE5CCC"/>
    <w:rsid w:val="00FE70CA"/>
    <w:rsid w:val="00FF1F7D"/>
    <w:rsid w:val="00FF2793"/>
    <w:rsid w:val="00FF2A4E"/>
    <w:rsid w:val="00FF32F1"/>
    <w:rsid w:val="00FF5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C2AC66"/>
  <w15:docId w15:val="{8D8D2724-89FD-4E23-A6E5-99B2876D2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6656"/>
    <w:pPr>
      <w:tabs>
        <w:tab w:val="left" w:pos="567"/>
      </w:tabs>
      <w:suppressAutoHyphens/>
      <w:spacing w:after="0" w:line="100" w:lineRule="atLeast"/>
    </w:pPr>
    <w:rPr>
      <w:rFonts w:ascii="Times New Roman" w:eastAsia="SimSun" w:hAnsi="Times New Roman" w:cs="Times New Roman"/>
      <w:color w:val="000000"/>
      <w:sz w:val="24"/>
      <w:szCs w:val="24"/>
      <w:lang w:val="lt-LT" w:eastAsia="ar-SA"/>
    </w:rPr>
  </w:style>
  <w:style w:type="paragraph" w:styleId="Antrat1">
    <w:name w:val="heading 1"/>
    <w:basedOn w:val="prastasis"/>
    <w:next w:val="Pagrindinistekstas"/>
    <w:link w:val="Antrat1Diagrama1"/>
    <w:qFormat/>
    <w:rsid w:val="000928CA"/>
    <w:pPr>
      <w:numPr>
        <w:numId w:val="1"/>
      </w:numPr>
      <w:spacing w:before="240" w:after="120"/>
      <w:ind w:left="357" w:hanging="357"/>
      <w:outlineLvl w:val="0"/>
    </w:pPr>
    <w:rPr>
      <w:b/>
      <w:caps/>
      <w:sz w:val="26"/>
      <w:lang w:val="en-US"/>
    </w:rPr>
  </w:style>
  <w:style w:type="paragraph" w:styleId="Antrat2">
    <w:name w:val="heading 2"/>
    <w:basedOn w:val="prastasis"/>
    <w:next w:val="Pagrindinistekstas"/>
    <w:link w:val="Antrat2Diagrama1"/>
    <w:qFormat/>
    <w:rsid w:val="000928CA"/>
    <w:pPr>
      <w:keepNext/>
      <w:numPr>
        <w:ilvl w:val="1"/>
        <w:numId w:val="1"/>
      </w:numPr>
      <w:spacing w:before="240" w:after="60"/>
      <w:outlineLvl w:val="1"/>
    </w:pPr>
    <w:rPr>
      <w:rFonts w:ascii="Cambria" w:hAnsi="Cambria" w:cs="Cambria"/>
      <w:b/>
      <w:bCs/>
      <w:i/>
      <w:iCs/>
      <w:sz w:val="28"/>
      <w:szCs w:val="28"/>
      <w:lang w:val="en-GB"/>
    </w:rPr>
  </w:style>
  <w:style w:type="paragraph" w:styleId="Antrat3">
    <w:name w:val="heading 3"/>
    <w:basedOn w:val="prastasis"/>
    <w:next w:val="Pagrindinistekstas"/>
    <w:link w:val="Antrat3Diagrama1"/>
    <w:qFormat/>
    <w:rsid w:val="000928CA"/>
    <w:pPr>
      <w:keepNext/>
      <w:keepLines/>
      <w:numPr>
        <w:ilvl w:val="2"/>
        <w:numId w:val="1"/>
      </w:numPr>
      <w:spacing w:before="120" w:after="80"/>
      <w:outlineLvl w:val="2"/>
    </w:pPr>
    <w:rPr>
      <w:rFonts w:ascii="Cambria" w:hAnsi="Cambria" w:cs="Cambria"/>
      <w:b/>
      <w:bCs/>
      <w:sz w:val="26"/>
      <w:szCs w:val="26"/>
      <w:lang w:val="en-GB"/>
    </w:rPr>
  </w:style>
  <w:style w:type="paragraph" w:styleId="Antrat4">
    <w:name w:val="heading 4"/>
    <w:basedOn w:val="prastasis"/>
    <w:next w:val="Pagrindinistekstas"/>
    <w:link w:val="Antrat4Diagrama1"/>
    <w:qFormat/>
    <w:rsid w:val="000928CA"/>
    <w:pPr>
      <w:keepNext/>
      <w:numPr>
        <w:ilvl w:val="3"/>
        <w:numId w:val="1"/>
      </w:numPr>
      <w:jc w:val="both"/>
      <w:outlineLvl w:val="3"/>
    </w:pPr>
    <w:rPr>
      <w:rFonts w:ascii="Calibri" w:hAnsi="Calibri" w:cs="Calibri"/>
      <w:b/>
      <w:bCs/>
      <w:sz w:val="28"/>
      <w:szCs w:val="28"/>
      <w:lang w:val="en-GB"/>
    </w:rPr>
  </w:style>
  <w:style w:type="paragraph" w:styleId="Antrat5">
    <w:name w:val="heading 5"/>
    <w:basedOn w:val="prastasis"/>
    <w:next w:val="Pagrindinistekstas"/>
    <w:link w:val="Antrat5Diagrama1"/>
    <w:qFormat/>
    <w:rsid w:val="000928CA"/>
    <w:pPr>
      <w:keepNext/>
      <w:numPr>
        <w:ilvl w:val="4"/>
        <w:numId w:val="1"/>
      </w:numPr>
      <w:jc w:val="both"/>
      <w:outlineLvl w:val="4"/>
    </w:pPr>
    <w:rPr>
      <w:sz w:val="20"/>
      <w:lang w:val="en-GB"/>
    </w:rPr>
  </w:style>
  <w:style w:type="paragraph" w:styleId="Antrat6">
    <w:name w:val="heading 6"/>
    <w:basedOn w:val="prastasis"/>
    <w:next w:val="Pagrindinistekstas"/>
    <w:link w:val="Antrat6Diagrama1"/>
    <w:qFormat/>
    <w:rsid w:val="000928CA"/>
    <w:pPr>
      <w:keepNext/>
      <w:numPr>
        <w:ilvl w:val="5"/>
        <w:numId w:val="1"/>
      </w:numPr>
      <w:tabs>
        <w:tab w:val="clear" w:pos="567"/>
        <w:tab w:val="left" w:pos="-720"/>
        <w:tab w:val="left" w:pos="4536"/>
      </w:tabs>
      <w:outlineLvl w:val="5"/>
    </w:pPr>
    <w:rPr>
      <w:i/>
      <w:sz w:val="20"/>
      <w:lang w:val="en-GB"/>
    </w:rPr>
  </w:style>
  <w:style w:type="paragraph" w:styleId="Antrat7">
    <w:name w:val="heading 7"/>
    <w:basedOn w:val="prastasis"/>
    <w:next w:val="Pagrindinistekstas"/>
    <w:link w:val="Antrat7Diagrama1"/>
    <w:qFormat/>
    <w:rsid w:val="000928CA"/>
    <w:pPr>
      <w:keepNext/>
      <w:numPr>
        <w:ilvl w:val="6"/>
        <w:numId w:val="1"/>
      </w:numPr>
      <w:tabs>
        <w:tab w:val="clear" w:pos="567"/>
        <w:tab w:val="left" w:pos="-720"/>
        <w:tab w:val="left" w:pos="4536"/>
      </w:tabs>
      <w:jc w:val="both"/>
      <w:outlineLvl w:val="6"/>
    </w:pPr>
    <w:rPr>
      <w:i/>
      <w:sz w:val="20"/>
      <w:lang w:val="en-GB"/>
    </w:rPr>
  </w:style>
  <w:style w:type="paragraph" w:styleId="Antrat8">
    <w:name w:val="heading 8"/>
    <w:basedOn w:val="prastasis"/>
    <w:next w:val="Pagrindinistekstas"/>
    <w:link w:val="Antrat8Diagrama1"/>
    <w:qFormat/>
    <w:rsid w:val="000928CA"/>
    <w:pPr>
      <w:keepNext/>
      <w:numPr>
        <w:ilvl w:val="7"/>
        <w:numId w:val="1"/>
      </w:numPr>
      <w:ind w:left="567" w:hanging="567"/>
      <w:jc w:val="both"/>
      <w:outlineLvl w:val="7"/>
    </w:pPr>
    <w:rPr>
      <w:b/>
      <w:i/>
      <w:sz w:val="20"/>
      <w:lang w:val="en-GB"/>
    </w:rPr>
  </w:style>
  <w:style w:type="paragraph" w:styleId="Antrat9">
    <w:name w:val="heading 9"/>
    <w:basedOn w:val="prastasis"/>
    <w:next w:val="Pagrindinistekstas"/>
    <w:link w:val="Antrat9Diagrama1"/>
    <w:qFormat/>
    <w:rsid w:val="000928CA"/>
    <w:pPr>
      <w:keepNext/>
      <w:numPr>
        <w:ilvl w:val="8"/>
        <w:numId w:val="1"/>
      </w:numPr>
      <w:jc w:val="both"/>
      <w:outlineLvl w:val="8"/>
    </w:pPr>
    <w:rPr>
      <w:b/>
      <w:i/>
      <w:sz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basedOn w:val="Numatytasispastraiposriftas"/>
    <w:link w:val="Antrat1"/>
    <w:rsid w:val="000928CA"/>
    <w:rPr>
      <w:rFonts w:ascii="Times New Roman" w:eastAsia="SimSun" w:hAnsi="Times New Roman" w:cs="Times New Roman"/>
      <w:b/>
      <w:caps/>
      <w:color w:val="000000"/>
      <w:sz w:val="26"/>
      <w:szCs w:val="24"/>
      <w:lang w:eastAsia="ar-SA"/>
    </w:rPr>
  </w:style>
  <w:style w:type="character" w:customStyle="1" w:styleId="Antrat2Diagrama1">
    <w:name w:val="Antraštė 2 Diagrama1"/>
    <w:basedOn w:val="Numatytasispastraiposriftas"/>
    <w:link w:val="Antrat2"/>
    <w:rsid w:val="000928CA"/>
    <w:rPr>
      <w:rFonts w:ascii="Cambria" w:eastAsia="SimSun" w:hAnsi="Cambria" w:cs="Cambria"/>
      <w:b/>
      <w:bCs/>
      <w:i/>
      <w:iCs/>
      <w:color w:val="000000"/>
      <w:sz w:val="28"/>
      <w:szCs w:val="28"/>
      <w:lang w:val="en-GB" w:eastAsia="ar-SA"/>
    </w:rPr>
  </w:style>
  <w:style w:type="character" w:customStyle="1" w:styleId="Antrat3Diagrama1">
    <w:name w:val="Antraštė 3 Diagrama1"/>
    <w:basedOn w:val="Numatytasispastraiposriftas"/>
    <w:link w:val="Antrat3"/>
    <w:rsid w:val="000928CA"/>
    <w:rPr>
      <w:rFonts w:ascii="Cambria" w:eastAsia="SimSun" w:hAnsi="Cambria" w:cs="Cambria"/>
      <w:b/>
      <w:bCs/>
      <w:color w:val="000000"/>
      <w:sz w:val="26"/>
      <w:szCs w:val="26"/>
      <w:lang w:val="en-GB" w:eastAsia="ar-SA"/>
    </w:rPr>
  </w:style>
  <w:style w:type="character" w:customStyle="1" w:styleId="Antrat4Diagrama1">
    <w:name w:val="Antraštė 4 Diagrama1"/>
    <w:basedOn w:val="Numatytasispastraiposriftas"/>
    <w:link w:val="Antrat4"/>
    <w:rsid w:val="000928CA"/>
    <w:rPr>
      <w:rFonts w:ascii="Calibri" w:eastAsia="SimSun" w:hAnsi="Calibri" w:cs="Calibri"/>
      <w:b/>
      <w:bCs/>
      <w:color w:val="000000"/>
      <w:sz w:val="28"/>
      <w:szCs w:val="28"/>
      <w:lang w:val="en-GB" w:eastAsia="ar-SA"/>
    </w:rPr>
  </w:style>
  <w:style w:type="character" w:customStyle="1" w:styleId="Antrat5Diagrama1">
    <w:name w:val="Antraštė 5 Diagrama1"/>
    <w:basedOn w:val="Numatytasispastraiposriftas"/>
    <w:link w:val="Antrat5"/>
    <w:rsid w:val="000928CA"/>
    <w:rPr>
      <w:rFonts w:ascii="Times New Roman" w:eastAsia="SimSun" w:hAnsi="Times New Roman" w:cs="Times New Roman"/>
      <w:color w:val="000000"/>
      <w:sz w:val="20"/>
      <w:szCs w:val="24"/>
      <w:lang w:val="en-GB" w:eastAsia="ar-SA"/>
    </w:rPr>
  </w:style>
  <w:style w:type="character" w:customStyle="1" w:styleId="Antrat6Diagrama1">
    <w:name w:val="Antraštė 6 Diagrama1"/>
    <w:basedOn w:val="Numatytasispastraiposriftas"/>
    <w:link w:val="Antrat6"/>
    <w:rsid w:val="000928CA"/>
    <w:rPr>
      <w:rFonts w:ascii="Times New Roman" w:eastAsia="SimSun" w:hAnsi="Times New Roman" w:cs="Times New Roman"/>
      <w:i/>
      <w:color w:val="000000"/>
      <w:sz w:val="20"/>
      <w:szCs w:val="24"/>
      <w:lang w:val="en-GB" w:eastAsia="ar-SA"/>
    </w:rPr>
  </w:style>
  <w:style w:type="character" w:customStyle="1" w:styleId="Antrat7Diagrama1">
    <w:name w:val="Antraštė 7 Diagrama1"/>
    <w:basedOn w:val="Numatytasispastraiposriftas"/>
    <w:link w:val="Antrat7"/>
    <w:rsid w:val="000928CA"/>
    <w:rPr>
      <w:rFonts w:ascii="Times New Roman" w:eastAsia="SimSun" w:hAnsi="Times New Roman" w:cs="Times New Roman"/>
      <w:i/>
      <w:color w:val="000000"/>
      <w:sz w:val="20"/>
      <w:szCs w:val="24"/>
      <w:lang w:val="en-GB" w:eastAsia="ar-SA"/>
    </w:rPr>
  </w:style>
  <w:style w:type="character" w:customStyle="1" w:styleId="Antrat8Diagrama1">
    <w:name w:val="Antraštė 8 Diagrama1"/>
    <w:basedOn w:val="Numatytasispastraiposriftas"/>
    <w:link w:val="Antrat8"/>
    <w:rsid w:val="000928CA"/>
    <w:rPr>
      <w:rFonts w:ascii="Times New Roman" w:eastAsia="SimSun" w:hAnsi="Times New Roman" w:cs="Times New Roman"/>
      <w:b/>
      <w:i/>
      <w:color w:val="000000"/>
      <w:sz w:val="20"/>
      <w:szCs w:val="24"/>
      <w:lang w:val="en-GB" w:eastAsia="ar-SA"/>
    </w:rPr>
  </w:style>
  <w:style w:type="character" w:customStyle="1" w:styleId="Antrat9Diagrama1">
    <w:name w:val="Antraštė 9 Diagrama1"/>
    <w:basedOn w:val="Numatytasispastraiposriftas"/>
    <w:link w:val="Antrat9"/>
    <w:rsid w:val="000928CA"/>
    <w:rPr>
      <w:rFonts w:ascii="Times New Roman" w:eastAsia="SimSun" w:hAnsi="Times New Roman" w:cs="Times New Roman"/>
      <w:b/>
      <w:i/>
      <w:color w:val="000000"/>
      <w:sz w:val="20"/>
      <w:szCs w:val="24"/>
      <w:lang w:val="en-GB" w:eastAsia="ar-SA"/>
    </w:rPr>
  </w:style>
  <w:style w:type="character" w:customStyle="1" w:styleId="WW8Num1z0">
    <w:name w:val="WW8Num1z0"/>
    <w:rsid w:val="000928CA"/>
  </w:style>
  <w:style w:type="character" w:customStyle="1" w:styleId="WW8Num1z1">
    <w:name w:val="WW8Num1z1"/>
    <w:rsid w:val="000928CA"/>
  </w:style>
  <w:style w:type="character" w:customStyle="1" w:styleId="WW8Num1z2">
    <w:name w:val="WW8Num1z2"/>
    <w:rsid w:val="000928CA"/>
  </w:style>
  <w:style w:type="character" w:customStyle="1" w:styleId="WW8Num1z3">
    <w:name w:val="WW8Num1z3"/>
    <w:rsid w:val="000928CA"/>
  </w:style>
  <w:style w:type="character" w:customStyle="1" w:styleId="WW8Num1z4">
    <w:name w:val="WW8Num1z4"/>
    <w:rsid w:val="000928CA"/>
  </w:style>
  <w:style w:type="character" w:customStyle="1" w:styleId="WW8Num1z5">
    <w:name w:val="WW8Num1z5"/>
    <w:rsid w:val="000928CA"/>
  </w:style>
  <w:style w:type="character" w:customStyle="1" w:styleId="WW8Num1z6">
    <w:name w:val="WW8Num1z6"/>
    <w:rsid w:val="000928CA"/>
  </w:style>
  <w:style w:type="character" w:customStyle="1" w:styleId="WW8Num1z7">
    <w:name w:val="WW8Num1z7"/>
    <w:rsid w:val="000928CA"/>
  </w:style>
  <w:style w:type="character" w:customStyle="1" w:styleId="WW8Num1z8">
    <w:name w:val="WW8Num1z8"/>
    <w:rsid w:val="000928CA"/>
  </w:style>
  <w:style w:type="character" w:customStyle="1" w:styleId="WW8Num2z0">
    <w:name w:val="WW8Num2z0"/>
    <w:rsid w:val="000928CA"/>
    <w:rPr>
      <w:rFonts w:cs="Times New Roman"/>
    </w:rPr>
  </w:style>
  <w:style w:type="character" w:customStyle="1" w:styleId="WW8Num2z1">
    <w:name w:val="WW8Num2z1"/>
    <w:rsid w:val="000928CA"/>
  </w:style>
  <w:style w:type="character" w:customStyle="1" w:styleId="WW8Num2z2">
    <w:name w:val="WW8Num2z2"/>
    <w:rsid w:val="000928CA"/>
  </w:style>
  <w:style w:type="character" w:customStyle="1" w:styleId="WW8Num2z3">
    <w:name w:val="WW8Num2z3"/>
    <w:rsid w:val="000928CA"/>
  </w:style>
  <w:style w:type="character" w:customStyle="1" w:styleId="WW8Num3z0">
    <w:name w:val="WW8Num3z0"/>
    <w:rsid w:val="000928CA"/>
    <w:rPr>
      <w:rFonts w:ascii="Times New Roman" w:hAnsi="Times New Roman" w:cs="Times New Roman"/>
      <w:color w:val="000000"/>
      <w:szCs w:val="22"/>
      <w:lang w:val="en-US"/>
    </w:rPr>
  </w:style>
  <w:style w:type="character" w:customStyle="1" w:styleId="WW8Num3z1">
    <w:name w:val="WW8Num3z1"/>
    <w:rsid w:val="000928CA"/>
    <w:rPr>
      <w:rFonts w:ascii="Courier New" w:hAnsi="Courier New" w:cs="Courier New"/>
    </w:rPr>
  </w:style>
  <w:style w:type="character" w:customStyle="1" w:styleId="WW8Num3z2">
    <w:name w:val="WW8Num3z2"/>
    <w:rsid w:val="000928CA"/>
    <w:rPr>
      <w:rFonts w:ascii="Wingdings" w:hAnsi="Wingdings" w:cs="Wingdings"/>
    </w:rPr>
  </w:style>
  <w:style w:type="character" w:customStyle="1" w:styleId="WW8Num4z0">
    <w:name w:val="WW8Num4z0"/>
    <w:rsid w:val="000928CA"/>
    <w:rPr>
      <w:rFonts w:ascii="Symbol" w:eastAsia="Times New Roman" w:hAnsi="Symbol" w:cs="Symbol"/>
      <w:sz w:val="22"/>
      <w:szCs w:val="22"/>
    </w:rPr>
  </w:style>
  <w:style w:type="character" w:customStyle="1" w:styleId="WW8Num4z1">
    <w:name w:val="WW8Num4z1"/>
    <w:rsid w:val="000928CA"/>
    <w:rPr>
      <w:rFonts w:ascii="Courier New" w:hAnsi="Courier New" w:cs="Courier New"/>
    </w:rPr>
  </w:style>
  <w:style w:type="character" w:customStyle="1" w:styleId="WW8Num4z2">
    <w:name w:val="WW8Num4z2"/>
    <w:rsid w:val="000928CA"/>
    <w:rPr>
      <w:rFonts w:ascii="Wingdings" w:hAnsi="Wingdings" w:cs="Wingdings"/>
    </w:rPr>
  </w:style>
  <w:style w:type="character" w:customStyle="1" w:styleId="WW8Num4z3">
    <w:name w:val="WW8Num4z3"/>
    <w:rsid w:val="000928CA"/>
    <w:rPr>
      <w:rFonts w:ascii="Symbol" w:hAnsi="Symbol" w:cs="Symbol"/>
    </w:rPr>
  </w:style>
  <w:style w:type="character" w:customStyle="1" w:styleId="WW8Num5z0">
    <w:name w:val="WW8Num5z0"/>
    <w:rsid w:val="000928CA"/>
    <w:rPr>
      <w:rFonts w:ascii="Symbol" w:hAnsi="Symbol" w:cs="Symbol"/>
      <w:color w:val="000000"/>
      <w:szCs w:val="22"/>
      <w:lang w:val="en-US"/>
    </w:rPr>
  </w:style>
  <w:style w:type="character" w:customStyle="1" w:styleId="WW8Num5z1">
    <w:name w:val="WW8Num5z1"/>
    <w:rsid w:val="000928CA"/>
    <w:rPr>
      <w:rFonts w:ascii="Courier New" w:hAnsi="Courier New" w:cs="Courier New"/>
    </w:rPr>
  </w:style>
  <w:style w:type="character" w:customStyle="1" w:styleId="WW8Num5z2">
    <w:name w:val="WW8Num5z2"/>
    <w:rsid w:val="000928CA"/>
    <w:rPr>
      <w:rFonts w:ascii="Wingdings" w:hAnsi="Wingdings" w:cs="Wingdings"/>
    </w:rPr>
  </w:style>
  <w:style w:type="character" w:customStyle="1" w:styleId="WW8Num6z0">
    <w:name w:val="WW8Num6z0"/>
    <w:rsid w:val="000928CA"/>
    <w:rPr>
      <w:rFonts w:ascii="Symbol" w:hAnsi="Symbol" w:cs="Symbol"/>
      <w:color w:val="000000"/>
      <w:sz w:val="22"/>
      <w:szCs w:val="22"/>
      <w:lang w:val="en-US"/>
    </w:rPr>
  </w:style>
  <w:style w:type="character" w:customStyle="1" w:styleId="WW8Num6z1">
    <w:name w:val="WW8Num6z1"/>
    <w:rsid w:val="000928CA"/>
    <w:rPr>
      <w:rFonts w:ascii="Courier New" w:hAnsi="Courier New" w:cs="Courier New"/>
    </w:rPr>
  </w:style>
  <w:style w:type="character" w:customStyle="1" w:styleId="WW8Num6z2">
    <w:name w:val="WW8Num6z2"/>
    <w:rsid w:val="000928CA"/>
    <w:rPr>
      <w:rFonts w:ascii="Wingdings" w:hAnsi="Wingdings" w:cs="Wingdings"/>
    </w:rPr>
  </w:style>
  <w:style w:type="character" w:customStyle="1" w:styleId="WW8Num7z0">
    <w:name w:val="WW8Num7z0"/>
    <w:rsid w:val="000928CA"/>
    <w:rPr>
      <w:rFonts w:ascii="Symbol" w:hAnsi="Symbol" w:cs="Symbol"/>
      <w:color w:val="000000"/>
      <w:szCs w:val="22"/>
      <w:lang w:val="en-US"/>
    </w:rPr>
  </w:style>
  <w:style w:type="character" w:customStyle="1" w:styleId="WW8Num7z1">
    <w:name w:val="WW8Num7z1"/>
    <w:rsid w:val="000928CA"/>
    <w:rPr>
      <w:rFonts w:ascii="Courier New" w:hAnsi="Courier New" w:cs="Courier New"/>
    </w:rPr>
  </w:style>
  <w:style w:type="character" w:customStyle="1" w:styleId="WW8Num7z2">
    <w:name w:val="WW8Num7z2"/>
    <w:rsid w:val="000928CA"/>
    <w:rPr>
      <w:rFonts w:ascii="Wingdings" w:hAnsi="Wingdings" w:cs="Wingdings"/>
    </w:rPr>
  </w:style>
  <w:style w:type="character" w:customStyle="1" w:styleId="WW8Num7z3">
    <w:name w:val="WW8Num7z3"/>
    <w:rsid w:val="000928CA"/>
    <w:rPr>
      <w:rFonts w:ascii="Symbol" w:hAnsi="Symbol" w:cs="Symbol"/>
    </w:rPr>
  </w:style>
  <w:style w:type="character" w:customStyle="1" w:styleId="WW8Num8z0">
    <w:name w:val="WW8Num8z0"/>
    <w:rsid w:val="000928CA"/>
    <w:rPr>
      <w:rFonts w:ascii="Symbol" w:hAnsi="Symbol" w:cs="Symbol"/>
      <w:color w:val="000000"/>
      <w:szCs w:val="22"/>
      <w:lang w:val="en-US"/>
    </w:rPr>
  </w:style>
  <w:style w:type="character" w:customStyle="1" w:styleId="WW8Num8z1">
    <w:name w:val="WW8Num8z1"/>
    <w:rsid w:val="000928CA"/>
    <w:rPr>
      <w:rFonts w:ascii="Courier New" w:hAnsi="Courier New" w:cs="Courier New"/>
    </w:rPr>
  </w:style>
  <w:style w:type="character" w:customStyle="1" w:styleId="WW8Num8z2">
    <w:name w:val="WW8Num8z2"/>
    <w:rsid w:val="000928CA"/>
    <w:rPr>
      <w:rFonts w:ascii="Wingdings" w:hAnsi="Wingdings" w:cs="Wingdings"/>
    </w:rPr>
  </w:style>
  <w:style w:type="character" w:customStyle="1" w:styleId="WW8Num8z3">
    <w:name w:val="WW8Num8z3"/>
    <w:rsid w:val="000928CA"/>
    <w:rPr>
      <w:rFonts w:ascii="Symbol" w:hAnsi="Symbol" w:cs="Symbol"/>
    </w:rPr>
  </w:style>
  <w:style w:type="character" w:customStyle="1" w:styleId="WW8Num9z0">
    <w:name w:val="WW8Num9z0"/>
    <w:rsid w:val="000928CA"/>
    <w:rPr>
      <w:rFonts w:ascii="Times New Roman" w:hAnsi="Times New Roman" w:cs="Times New Roman"/>
      <w:sz w:val="22"/>
      <w:szCs w:val="22"/>
      <w:lang w:val="lt-LT"/>
    </w:rPr>
  </w:style>
  <w:style w:type="character" w:customStyle="1" w:styleId="WW8Num9z1">
    <w:name w:val="WW8Num9z1"/>
    <w:rsid w:val="000928CA"/>
    <w:rPr>
      <w:rFonts w:ascii="Courier New" w:hAnsi="Courier New" w:cs="Courier New"/>
    </w:rPr>
  </w:style>
  <w:style w:type="character" w:customStyle="1" w:styleId="WW8Num9z2">
    <w:name w:val="WW8Num9z2"/>
    <w:rsid w:val="000928CA"/>
    <w:rPr>
      <w:rFonts w:ascii="Wingdings" w:hAnsi="Wingdings" w:cs="Wingdings"/>
    </w:rPr>
  </w:style>
  <w:style w:type="character" w:customStyle="1" w:styleId="WW8Num9z3">
    <w:name w:val="WW8Num9z3"/>
    <w:rsid w:val="000928CA"/>
    <w:rPr>
      <w:rFonts w:ascii="Symbol" w:hAnsi="Symbol" w:cs="Symbol"/>
    </w:rPr>
  </w:style>
  <w:style w:type="character" w:customStyle="1" w:styleId="WW8Num10z0">
    <w:name w:val="WW8Num10z0"/>
    <w:rsid w:val="000928CA"/>
    <w:rPr>
      <w:rFonts w:ascii="Times New Roman" w:hAnsi="Times New Roman" w:cs="Times New Roman"/>
      <w:sz w:val="22"/>
      <w:szCs w:val="22"/>
    </w:rPr>
  </w:style>
  <w:style w:type="character" w:customStyle="1" w:styleId="WW8Num10z2">
    <w:name w:val="WW8Num10z2"/>
    <w:rsid w:val="000928CA"/>
    <w:rPr>
      <w:rFonts w:ascii="Wingdings" w:hAnsi="Wingdings" w:cs="Wingdings"/>
    </w:rPr>
  </w:style>
  <w:style w:type="character" w:customStyle="1" w:styleId="WW8Num10z3">
    <w:name w:val="WW8Num10z3"/>
    <w:rsid w:val="000928CA"/>
    <w:rPr>
      <w:rFonts w:ascii="Symbol" w:hAnsi="Symbol" w:cs="Symbol"/>
    </w:rPr>
  </w:style>
  <w:style w:type="character" w:customStyle="1" w:styleId="WW8Num10z4">
    <w:name w:val="WW8Num10z4"/>
    <w:rsid w:val="000928CA"/>
  </w:style>
  <w:style w:type="character" w:customStyle="1" w:styleId="WW8Num10z5">
    <w:name w:val="WW8Num10z5"/>
    <w:rsid w:val="000928CA"/>
  </w:style>
  <w:style w:type="character" w:customStyle="1" w:styleId="WW8Num10z6">
    <w:name w:val="WW8Num10z6"/>
    <w:rsid w:val="000928CA"/>
  </w:style>
  <w:style w:type="character" w:customStyle="1" w:styleId="WW8Num10z7">
    <w:name w:val="WW8Num10z7"/>
    <w:rsid w:val="000928CA"/>
  </w:style>
  <w:style w:type="character" w:customStyle="1" w:styleId="WW8Num10z8">
    <w:name w:val="WW8Num10z8"/>
    <w:rsid w:val="000928CA"/>
  </w:style>
  <w:style w:type="character" w:customStyle="1" w:styleId="WW8Num11z0">
    <w:name w:val="WW8Num11z0"/>
    <w:rsid w:val="000928CA"/>
    <w:rPr>
      <w:rFonts w:ascii="OpenSymbol" w:hAnsi="OpenSymbol" w:cs="OpenSymbol"/>
      <w:lang w:val="lt-LT"/>
    </w:rPr>
  </w:style>
  <w:style w:type="character" w:customStyle="1" w:styleId="WW8Num11z2">
    <w:name w:val="WW8Num11z2"/>
    <w:rsid w:val="000928CA"/>
    <w:rPr>
      <w:rFonts w:ascii="Wingdings" w:hAnsi="Wingdings" w:cs="Wingdings"/>
    </w:rPr>
  </w:style>
  <w:style w:type="character" w:customStyle="1" w:styleId="WW8Num11z3">
    <w:name w:val="WW8Num11z3"/>
    <w:rsid w:val="000928CA"/>
    <w:rPr>
      <w:rFonts w:ascii="Symbol" w:hAnsi="Symbol" w:cs="Symbol"/>
    </w:rPr>
  </w:style>
  <w:style w:type="character" w:customStyle="1" w:styleId="WW8Num11z4">
    <w:name w:val="WW8Num11z4"/>
    <w:rsid w:val="000928CA"/>
  </w:style>
  <w:style w:type="character" w:customStyle="1" w:styleId="WW8Num11z5">
    <w:name w:val="WW8Num11z5"/>
    <w:rsid w:val="000928CA"/>
  </w:style>
  <w:style w:type="character" w:customStyle="1" w:styleId="WW8Num11z6">
    <w:name w:val="WW8Num11z6"/>
    <w:rsid w:val="000928CA"/>
  </w:style>
  <w:style w:type="character" w:customStyle="1" w:styleId="WW8Num11z7">
    <w:name w:val="WW8Num11z7"/>
    <w:rsid w:val="000928CA"/>
  </w:style>
  <w:style w:type="character" w:customStyle="1" w:styleId="WW8Num11z8">
    <w:name w:val="WW8Num11z8"/>
    <w:rsid w:val="000928CA"/>
  </w:style>
  <w:style w:type="character" w:customStyle="1" w:styleId="WW8Num12z0">
    <w:name w:val="WW8Num12z0"/>
    <w:rsid w:val="000928CA"/>
    <w:rPr>
      <w:b/>
      <w:bCs/>
    </w:rPr>
  </w:style>
  <w:style w:type="character" w:customStyle="1" w:styleId="WW8Num12z2">
    <w:name w:val="WW8Num12z2"/>
    <w:rsid w:val="000928CA"/>
  </w:style>
  <w:style w:type="character" w:customStyle="1" w:styleId="WW8Num12z3">
    <w:name w:val="WW8Num12z3"/>
    <w:rsid w:val="000928CA"/>
  </w:style>
  <w:style w:type="character" w:customStyle="1" w:styleId="WW8Num12z4">
    <w:name w:val="WW8Num12z4"/>
    <w:rsid w:val="000928CA"/>
  </w:style>
  <w:style w:type="character" w:customStyle="1" w:styleId="WW8Num12z5">
    <w:name w:val="WW8Num12z5"/>
    <w:rsid w:val="000928CA"/>
  </w:style>
  <w:style w:type="character" w:customStyle="1" w:styleId="WW8Num12z6">
    <w:name w:val="WW8Num12z6"/>
    <w:rsid w:val="000928CA"/>
  </w:style>
  <w:style w:type="character" w:customStyle="1" w:styleId="WW8Num12z7">
    <w:name w:val="WW8Num12z7"/>
    <w:rsid w:val="000928CA"/>
  </w:style>
  <w:style w:type="character" w:customStyle="1" w:styleId="WW8Num12z8">
    <w:name w:val="WW8Num12z8"/>
    <w:rsid w:val="000928CA"/>
  </w:style>
  <w:style w:type="character" w:customStyle="1" w:styleId="WW8Num13z0">
    <w:name w:val="WW8Num13z0"/>
    <w:rsid w:val="000928CA"/>
    <w:rPr>
      <w:b/>
      <w:bCs/>
    </w:rPr>
  </w:style>
  <w:style w:type="character" w:customStyle="1" w:styleId="WW8Num13z2">
    <w:name w:val="WW8Num13z2"/>
    <w:rsid w:val="000928CA"/>
  </w:style>
  <w:style w:type="character" w:customStyle="1" w:styleId="WW8Num13z3">
    <w:name w:val="WW8Num13z3"/>
    <w:rsid w:val="000928CA"/>
  </w:style>
  <w:style w:type="character" w:customStyle="1" w:styleId="WW8Num13z4">
    <w:name w:val="WW8Num13z4"/>
    <w:rsid w:val="000928CA"/>
  </w:style>
  <w:style w:type="character" w:customStyle="1" w:styleId="WW8Num13z5">
    <w:name w:val="WW8Num13z5"/>
    <w:rsid w:val="000928CA"/>
  </w:style>
  <w:style w:type="character" w:customStyle="1" w:styleId="WW8Num13z6">
    <w:name w:val="WW8Num13z6"/>
    <w:rsid w:val="000928CA"/>
  </w:style>
  <w:style w:type="character" w:customStyle="1" w:styleId="WW8Num13z7">
    <w:name w:val="WW8Num13z7"/>
    <w:rsid w:val="000928CA"/>
  </w:style>
  <w:style w:type="character" w:customStyle="1" w:styleId="WW8Num13z8">
    <w:name w:val="WW8Num13z8"/>
    <w:rsid w:val="000928CA"/>
  </w:style>
  <w:style w:type="character" w:customStyle="1" w:styleId="WW8Num14z0">
    <w:name w:val="WW8Num14z0"/>
    <w:rsid w:val="000928CA"/>
    <w:rPr>
      <w:b/>
      <w:bCs/>
    </w:rPr>
  </w:style>
  <w:style w:type="character" w:customStyle="1" w:styleId="WW8Num15z0">
    <w:name w:val="WW8Num15z0"/>
    <w:rsid w:val="000928CA"/>
    <w:rPr>
      <w:rFonts w:ascii="Symbol" w:eastAsia="SimSun" w:hAnsi="Symbol" w:cs="OpenSymbol"/>
      <w:sz w:val="22"/>
      <w:szCs w:val="24"/>
    </w:rPr>
  </w:style>
  <w:style w:type="character" w:customStyle="1" w:styleId="WW8Num16z0">
    <w:name w:val="WW8Num16z0"/>
    <w:rsid w:val="000928CA"/>
    <w:rPr>
      <w:rFonts w:ascii="Symbol" w:hAnsi="Symbol" w:cs="OpenSymbol"/>
      <w:sz w:val="22"/>
      <w:szCs w:val="22"/>
    </w:rPr>
  </w:style>
  <w:style w:type="character" w:customStyle="1" w:styleId="WW8Num17z0">
    <w:name w:val="WW8Num17z0"/>
    <w:rsid w:val="000928CA"/>
    <w:rPr>
      <w:rFonts w:ascii="Symbol" w:hAnsi="Symbol" w:cs="OpenSymbol"/>
    </w:rPr>
  </w:style>
  <w:style w:type="character" w:customStyle="1" w:styleId="WW8Num2z4">
    <w:name w:val="WW8Num2z4"/>
    <w:rsid w:val="000928CA"/>
  </w:style>
  <w:style w:type="character" w:customStyle="1" w:styleId="WW8Num2z5">
    <w:name w:val="WW8Num2z5"/>
    <w:rsid w:val="000928CA"/>
  </w:style>
  <w:style w:type="character" w:customStyle="1" w:styleId="WW8Num2z6">
    <w:name w:val="WW8Num2z6"/>
    <w:rsid w:val="000928CA"/>
  </w:style>
  <w:style w:type="character" w:customStyle="1" w:styleId="WW8Num2z7">
    <w:name w:val="WW8Num2z7"/>
    <w:rsid w:val="000928CA"/>
  </w:style>
  <w:style w:type="character" w:customStyle="1" w:styleId="WW8Num2z8">
    <w:name w:val="WW8Num2z8"/>
    <w:rsid w:val="000928CA"/>
  </w:style>
  <w:style w:type="character" w:customStyle="1" w:styleId="WW8Num3z3">
    <w:name w:val="WW8Num3z3"/>
    <w:rsid w:val="000928CA"/>
    <w:rPr>
      <w:rFonts w:ascii="Symbol" w:hAnsi="Symbol" w:cs="Symbol"/>
    </w:rPr>
  </w:style>
  <w:style w:type="character" w:customStyle="1" w:styleId="WW8Num6z3">
    <w:name w:val="WW8Num6z3"/>
    <w:rsid w:val="000928CA"/>
    <w:rPr>
      <w:rFonts w:ascii="Symbol" w:hAnsi="Symbol" w:cs="Symbol"/>
    </w:rPr>
  </w:style>
  <w:style w:type="character" w:customStyle="1" w:styleId="WW8Num10z1">
    <w:name w:val="WW8Num10z1"/>
    <w:rsid w:val="000928CA"/>
    <w:rPr>
      <w:rFonts w:ascii="Courier New" w:hAnsi="Courier New" w:cs="Courier New"/>
    </w:rPr>
  </w:style>
  <w:style w:type="character" w:customStyle="1" w:styleId="WW8Num11z1">
    <w:name w:val="WW8Num11z1"/>
    <w:rsid w:val="000928CA"/>
    <w:rPr>
      <w:rFonts w:ascii="Courier New" w:hAnsi="Courier New" w:cs="Courier New"/>
    </w:rPr>
  </w:style>
  <w:style w:type="character" w:customStyle="1" w:styleId="WW8Num14z2">
    <w:name w:val="WW8Num14z2"/>
    <w:rsid w:val="000928CA"/>
  </w:style>
  <w:style w:type="character" w:customStyle="1" w:styleId="WW8Num14z3">
    <w:name w:val="WW8Num14z3"/>
    <w:rsid w:val="000928CA"/>
  </w:style>
  <w:style w:type="character" w:customStyle="1" w:styleId="WW8Num14z4">
    <w:name w:val="WW8Num14z4"/>
    <w:rsid w:val="000928CA"/>
  </w:style>
  <w:style w:type="character" w:customStyle="1" w:styleId="WW8Num14z5">
    <w:name w:val="WW8Num14z5"/>
    <w:rsid w:val="000928CA"/>
  </w:style>
  <w:style w:type="character" w:customStyle="1" w:styleId="WW8Num14z6">
    <w:name w:val="WW8Num14z6"/>
    <w:rsid w:val="000928CA"/>
  </w:style>
  <w:style w:type="character" w:customStyle="1" w:styleId="WW8Num14z7">
    <w:name w:val="WW8Num14z7"/>
    <w:rsid w:val="000928CA"/>
  </w:style>
  <w:style w:type="character" w:customStyle="1" w:styleId="WW8Num14z8">
    <w:name w:val="WW8Num14z8"/>
    <w:rsid w:val="000928CA"/>
  </w:style>
  <w:style w:type="character" w:customStyle="1" w:styleId="DefaultParagraphFont1">
    <w:name w:val="Default Paragraph Font1"/>
    <w:rsid w:val="000928CA"/>
  </w:style>
  <w:style w:type="character" w:customStyle="1" w:styleId="Antrat1Diagrama">
    <w:name w:val="Antraštė 1 Diagrama"/>
    <w:rsid w:val="000928CA"/>
    <w:rPr>
      <w:rFonts w:ascii="Times New Roman" w:eastAsia="SimSun" w:hAnsi="Times New Roman" w:cs="Times New Roman"/>
      <w:b/>
      <w:caps/>
      <w:sz w:val="26"/>
      <w:szCs w:val="20"/>
      <w:lang w:val="en-US"/>
    </w:rPr>
  </w:style>
  <w:style w:type="character" w:customStyle="1" w:styleId="Antrat2Diagrama">
    <w:name w:val="Antraštė 2 Diagrama"/>
    <w:rsid w:val="000928CA"/>
    <w:rPr>
      <w:rFonts w:ascii="Cambria" w:eastAsia="Times New Roman" w:hAnsi="Cambria" w:cs="Times New Roman"/>
      <w:b/>
      <w:bCs/>
      <w:i/>
      <w:iCs/>
      <w:sz w:val="28"/>
      <w:szCs w:val="28"/>
      <w:lang w:val="en-GB"/>
    </w:rPr>
  </w:style>
  <w:style w:type="character" w:customStyle="1" w:styleId="Antrat3Diagrama">
    <w:name w:val="Antraštė 3 Diagrama"/>
    <w:rsid w:val="000928CA"/>
    <w:rPr>
      <w:rFonts w:ascii="Cambria" w:eastAsia="Times New Roman" w:hAnsi="Cambria" w:cs="Times New Roman"/>
      <w:b/>
      <w:bCs/>
      <w:sz w:val="26"/>
      <w:szCs w:val="26"/>
      <w:lang w:val="en-GB"/>
    </w:rPr>
  </w:style>
  <w:style w:type="character" w:customStyle="1" w:styleId="Antrat4Diagrama">
    <w:name w:val="Antraštė 4 Diagrama"/>
    <w:rsid w:val="000928CA"/>
    <w:rPr>
      <w:rFonts w:ascii="Calibri" w:eastAsia="Times New Roman" w:hAnsi="Calibri" w:cs="Times New Roman"/>
      <w:b/>
      <w:bCs/>
      <w:sz w:val="28"/>
      <w:szCs w:val="28"/>
      <w:lang w:val="en-GB"/>
    </w:rPr>
  </w:style>
  <w:style w:type="character" w:customStyle="1" w:styleId="Antrat5Diagrama">
    <w:name w:val="Antraštė 5 Diagrama"/>
    <w:rsid w:val="000928CA"/>
    <w:rPr>
      <w:rFonts w:ascii="Times New Roman" w:eastAsia="SimSun" w:hAnsi="Times New Roman" w:cs="Times New Roman"/>
      <w:sz w:val="20"/>
      <w:szCs w:val="20"/>
      <w:lang w:val="en-GB"/>
    </w:rPr>
  </w:style>
  <w:style w:type="character" w:customStyle="1" w:styleId="Antrat6Diagrama">
    <w:name w:val="Antraštė 6 Diagrama"/>
    <w:rsid w:val="000928CA"/>
    <w:rPr>
      <w:rFonts w:ascii="Times New Roman" w:eastAsia="SimSun" w:hAnsi="Times New Roman" w:cs="Times New Roman"/>
      <w:i/>
      <w:sz w:val="20"/>
      <w:szCs w:val="20"/>
      <w:lang w:val="en-GB"/>
    </w:rPr>
  </w:style>
  <w:style w:type="character" w:customStyle="1" w:styleId="Antrat7Diagrama">
    <w:name w:val="Antraštė 7 Diagrama"/>
    <w:rsid w:val="000928CA"/>
    <w:rPr>
      <w:rFonts w:ascii="Times New Roman" w:eastAsia="SimSun" w:hAnsi="Times New Roman" w:cs="Times New Roman"/>
      <w:i/>
      <w:sz w:val="20"/>
      <w:szCs w:val="20"/>
      <w:lang w:val="en-GB"/>
    </w:rPr>
  </w:style>
  <w:style w:type="character" w:customStyle="1" w:styleId="Antrat8Diagrama">
    <w:name w:val="Antraštė 8 Diagrama"/>
    <w:rsid w:val="000928CA"/>
    <w:rPr>
      <w:rFonts w:ascii="Times New Roman" w:eastAsia="SimSun" w:hAnsi="Times New Roman" w:cs="Times New Roman"/>
      <w:b/>
      <w:i/>
      <w:sz w:val="20"/>
      <w:szCs w:val="20"/>
      <w:lang w:val="en-GB"/>
    </w:rPr>
  </w:style>
  <w:style w:type="character" w:customStyle="1" w:styleId="Antrat9Diagrama">
    <w:name w:val="Antraštė 9 Diagrama"/>
    <w:rsid w:val="000928CA"/>
    <w:rPr>
      <w:rFonts w:ascii="Times New Roman" w:eastAsia="SimSun" w:hAnsi="Times New Roman" w:cs="Times New Roman"/>
      <w:b/>
      <w:i/>
      <w:sz w:val="20"/>
      <w:szCs w:val="20"/>
      <w:lang w:val="en-GB"/>
    </w:rPr>
  </w:style>
  <w:style w:type="character" w:customStyle="1" w:styleId="PoratDiagrama">
    <w:name w:val="Poraštė Diagrama"/>
    <w:rsid w:val="000928CA"/>
    <w:rPr>
      <w:rFonts w:ascii="Times New Roman" w:eastAsia="Times New Roman" w:hAnsi="Times New Roman" w:cs="Times New Roman"/>
      <w:sz w:val="20"/>
      <w:szCs w:val="20"/>
      <w:lang w:val="en-GB"/>
    </w:rPr>
  </w:style>
  <w:style w:type="character" w:customStyle="1" w:styleId="HeaderChar">
    <w:name w:val="Header Char"/>
    <w:rsid w:val="000928CA"/>
    <w:rPr>
      <w:sz w:val="22"/>
      <w:lang w:val="en-GB"/>
    </w:rPr>
  </w:style>
  <w:style w:type="character" w:customStyle="1" w:styleId="Puslapionumeris1">
    <w:name w:val="Puslapio numeris1"/>
    <w:rsid w:val="000928CA"/>
    <w:rPr>
      <w:rFonts w:cs="Times New Roman"/>
    </w:rPr>
  </w:style>
  <w:style w:type="character" w:styleId="Hipersaitas">
    <w:name w:val="Hyperlink"/>
    <w:rsid w:val="000928CA"/>
    <w:rPr>
      <w:color w:val="0000FF"/>
      <w:u w:val="single"/>
    </w:rPr>
  </w:style>
  <w:style w:type="character" w:customStyle="1" w:styleId="tw4winError">
    <w:name w:val="tw4winError"/>
    <w:rsid w:val="000928CA"/>
    <w:rPr>
      <w:rFonts w:ascii="Courier New" w:hAnsi="Courier New" w:cs="Courier New"/>
      <w:color w:val="00FF00"/>
      <w:sz w:val="40"/>
    </w:rPr>
  </w:style>
  <w:style w:type="character" w:customStyle="1" w:styleId="tw4winTerm">
    <w:name w:val="tw4winTerm"/>
    <w:rsid w:val="000928CA"/>
    <w:rPr>
      <w:color w:val="0000FF"/>
    </w:rPr>
  </w:style>
  <w:style w:type="character" w:customStyle="1" w:styleId="tw4winPopup">
    <w:name w:val="tw4winPopup"/>
    <w:rsid w:val="000928CA"/>
    <w:rPr>
      <w:rFonts w:ascii="Courier New" w:hAnsi="Courier New" w:cs="Courier New"/>
      <w:color w:val="008000"/>
    </w:rPr>
  </w:style>
  <w:style w:type="character" w:customStyle="1" w:styleId="tw4winJump">
    <w:name w:val="tw4winJump"/>
    <w:rsid w:val="000928CA"/>
    <w:rPr>
      <w:rFonts w:ascii="Courier New" w:hAnsi="Courier New" w:cs="Courier New"/>
      <w:color w:val="008080"/>
    </w:rPr>
  </w:style>
  <w:style w:type="character" w:customStyle="1" w:styleId="tw4winExternal">
    <w:name w:val="tw4winExternal"/>
    <w:rsid w:val="000928CA"/>
    <w:rPr>
      <w:rFonts w:ascii="Courier New" w:hAnsi="Courier New" w:cs="Courier New"/>
      <w:color w:val="808080"/>
    </w:rPr>
  </w:style>
  <w:style w:type="character" w:customStyle="1" w:styleId="tw4winInternal">
    <w:name w:val="tw4winInternal"/>
    <w:rsid w:val="000928CA"/>
    <w:rPr>
      <w:rFonts w:ascii="Courier New" w:hAnsi="Courier New" w:cs="Courier New"/>
      <w:color w:val="FF0000"/>
    </w:rPr>
  </w:style>
  <w:style w:type="character" w:customStyle="1" w:styleId="DONOTTRANSLATE">
    <w:name w:val="DO_NOT_TRANSLATE"/>
    <w:rsid w:val="000928CA"/>
    <w:rPr>
      <w:rFonts w:ascii="Courier New" w:hAnsi="Courier New" w:cs="Courier New"/>
      <w:color w:val="800000"/>
    </w:rPr>
  </w:style>
  <w:style w:type="character" w:customStyle="1" w:styleId="DebesliotekstasDiagrama">
    <w:name w:val="Debesėlio tekstas Diagrama"/>
    <w:rsid w:val="000928CA"/>
    <w:rPr>
      <w:rFonts w:ascii="Tahoma" w:eastAsia="Times New Roman" w:hAnsi="Tahoma" w:cs="Times New Roman"/>
      <w:sz w:val="16"/>
      <w:szCs w:val="16"/>
      <w:lang w:val="en-GB"/>
    </w:rPr>
  </w:style>
  <w:style w:type="character" w:customStyle="1" w:styleId="Komentaronuoroda1">
    <w:name w:val="Komentaro nuoroda1"/>
    <w:rsid w:val="000928CA"/>
    <w:rPr>
      <w:sz w:val="16"/>
      <w:szCs w:val="16"/>
    </w:rPr>
  </w:style>
  <w:style w:type="character" w:customStyle="1" w:styleId="KomentarotekstasDiagrama">
    <w:name w:val="Komentaro tekstas Diagrama"/>
    <w:rsid w:val="000928CA"/>
    <w:rPr>
      <w:rFonts w:ascii="Times New Roman" w:eastAsia="Times New Roman" w:hAnsi="Times New Roman" w:cs="Times New Roman"/>
      <w:sz w:val="20"/>
      <w:szCs w:val="20"/>
      <w:lang w:val="en-GB"/>
    </w:rPr>
  </w:style>
  <w:style w:type="character" w:customStyle="1" w:styleId="KomentarotemaDiagrama">
    <w:name w:val="Komentaro tema Diagrama"/>
    <w:rsid w:val="000928CA"/>
    <w:rPr>
      <w:rFonts w:ascii="Times New Roman" w:eastAsia="Times New Roman" w:hAnsi="Times New Roman" w:cs="Times New Roman"/>
      <w:b/>
      <w:bCs/>
      <w:sz w:val="20"/>
      <w:szCs w:val="20"/>
      <w:lang w:val="en-GB"/>
    </w:rPr>
  </w:style>
  <w:style w:type="character" w:customStyle="1" w:styleId="tw4winMark">
    <w:name w:val="tw4winMark"/>
    <w:rsid w:val="000928CA"/>
    <w:rPr>
      <w:rFonts w:ascii="Courier New" w:hAnsi="Courier New" w:cs="Courier New"/>
      <w:vanish/>
      <w:color w:val="800080"/>
      <w:sz w:val="24"/>
      <w:vertAlign w:val="subscript"/>
    </w:rPr>
  </w:style>
  <w:style w:type="character" w:customStyle="1" w:styleId="AntratsDiagrama">
    <w:name w:val="Antraštės Diagrama"/>
    <w:rsid w:val="000928CA"/>
    <w:rPr>
      <w:rFonts w:ascii="Times New Roman" w:eastAsia="SimSun" w:hAnsi="Times New Roman" w:cs="Times New Roman"/>
      <w:sz w:val="20"/>
      <w:szCs w:val="20"/>
      <w:lang w:val="en-GB"/>
    </w:rPr>
  </w:style>
  <w:style w:type="character" w:customStyle="1" w:styleId="DokumentostruktraDiagrama">
    <w:name w:val="Dokumento struktūra Diagrama"/>
    <w:rsid w:val="000928CA"/>
    <w:rPr>
      <w:rFonts w:ascii="Tahoma" w:eastAsia="SimSun" w:hAnsi="Tahoma" w:cs="Times New Roman"/>
      <w:sz w:val="20"/>
      <w:szCs w:val="20"/>
      <w:lang w:val="en-GB"/>
    </w:rPr>
  </w:style>
  <w:style w:type="character" w:customStyle="1" w:styleId="PagrindiniotekstotraukaDiagrama">
    <w:name w:val="Pagrindinio teksto įtrauka Diagrama"/>
    <w:rsid w:val="000928CA"/>
    <w:rPr>
      <w:rFonts w:ascii="Times New Roman" w:eastAsia="SimSun" w:hAnsi="Times New Roman" w:cs="Times New Roman"/>
      <w:sz w:val="20"/>
      <w:szCs w:val="20"/>
      <w:lang w:val="en-GB"/>
    </w:rPr>
  </w:style>
  <w:style w:type="character" w:customStyle="1" w:styleId="Pagrindinistekstas3Diagrama">
    <w:name w:val="Pagrindinis tekstas 3 Diagrama"/>
    <w:rsid w:val="000928CA"/>
    <w:rPr>
      <w:rFonts w:ascii="Times New Roman" w:eastAsia="SimSun" w:hAnsi="Times New Roman" w:cs="Times New Roman"/>
      <w:color w:val="0000FF"/>
      <w:sz w:val="20"/>
      <w:szCs w:val="20"/>
      <w:lang w:val="en-GB"/>
    </w:rPr>
  </w:style>
  <w:style w:type="character" w:customStyle="1" w:styleId="Pagrindiniotekstotrauka2Diagrama">
    <w:name w:val="Pagrindinio teksto įtrauka 2 Diagrama"/>
    <w:rsid w:val="000928CA"/>
    <w:rPr>
      <w:rFonts w:ascii="Times New Roman" w:eastAsia="SimSun" w:hAnsi="Times New Roman" w:cs="Times New Roman"/>
      <w:b/>
      <w:bCs/>
      <w:color w:val="0000FF"/>
      <w:sz w:val="20"/>
      <w:szCs w:val="20"/>
      <w:lang w:val="en-GB"/>
    </w:rPr>
  </w:style>
  <w:style w:type="character" w:customStyle="1" w:styleId="PagrindinistekstasDiagrama">
    <w:name w:val="Pagrindinis tekstas Diagrama"/>
    <w:rsid w:val="000928CA"/>
    <w:rPr>
      <w:rFonts w:ascii="Times New Roman" w:eastAsia="SimSun" w:hAnsi="Times New Roman" w:cs="Times New Roman"/>
      <w:i/>
      <w:color w:val="008000"/>
      <w:sz w:val="20"/>
      <w:szCs w:val="20"/>
      <w:lang w:val="en-GB"/>
    </w:rPr>
  </w:style>
  <w:style w:type="character" w:customStyle="1" w:styleId="Pagrindinistekstas2Diagrama">
    <w:name w:val="Pagrindinis tekstas 2 Diagrama"/>
    <w:rsid w:val="000928CA"/>
    <w:rPr>
      <w:rFonts w:ascii="Times New Roman" w:eastAsia="SimSun" w:hAnsi="Times New Roman" w:cs="Times New Roman"/>
      <w:b/>
      <w:bCs/>
      <w:color w:val="0000FF"/>
      <w:sz w:val="20"/>
      <w:szCs w:val="20"/>
      <w:u w:val="single"/>
      <w:lang w:val="en-GB"/>
    </w:rPr>
  </w:style>
  <w:style w:type="character" w:customStyle="1" w:styleId="Pagrindiniotekstotrauka3Diagrama">
    <w:name w:val="Pagrindinio teksto įtrauka 3 Diagrama"/>
    <w:rsid w:val="000928CA"/>
    <w:rPr>
      <w:rFonts w:ascii="Times New Roman" w:eastAsia="SimSun" w:hAnsi="Times New Roman" w:cs="Times New Roman"/>
      <w:sz w:val="20"/>
      <w:szCs w:val="21"/>
      <w:lang w:val="en-GB"/>
    </w:rPr>
  </w:style>
  <w:style w:type="character" w:customStyle="1" w:styleId="FollowedHyperlink1">
    <w:name w:val="FollowedHyperlink1"/>
    <w:rsid w:val="000928CA"/>
    <w:rPr>
      <w:rFonts w:cs="Times New Roman"/>
      <w:color w:val="800080"/>
      <w:u w:val="single"/>
    </w:rPr>
  </w:style>
  <w:style w:type="character" w:styleId="Grietas">
    <w:name w:val="Strong"/>
    <w:qFormat/>
    <w:rsid w:val="000928CA"/>
    <w:rPr>
      <w:rFonts w:cs="Times New Roman"/>
      <w:b/>
      <w:bCs/>
    </w:rPr>
  </w:style>
  <w:style w:type="character" w:customStyle="1" w:styleId="BodytextAgencyChar">
    <w:name w:val="Body text (Agency) Char"/>
    <w:rsid w:val="000928CA"/>
    <w:rPr>
      <w:rFonts w:ascii="Verdana" w:eastAsia="Times New Roman" w:hAnsi="Verdana" w:cs="Times New Roman"/>
      <w:sz w:val="18"/>
      <w:szCs w:val="20"/>
      <w:lang w:val="en-GB"/>
    </w:rPr>
  </w:style>
  <w:style w:type="character" w:customStyle="1" w:styleId="NormalAgencyChar">
    <w:name w:val="Normal (Agency) Char"/>
    <w:rsid w:val="000928CA"/>
    <w:rPr>
      <w:rFonts w:ascii="Verdana" w:eastAsia="Times New Roman" w:hAnsi="Verdana" w:cs="Times New Roman"/>
      <w:sz w:val="18"/>
      <w:lang w:val="en-GB"/>
    </w:rPr>
  </w:style>
  <w:style w:type="character" w:customStyle="1" w:styleId="PaprastasistekstasDiagrama">
    <w:name w:val="Paprastasis tekstas Diagrama"/>
    <w:rsid w:val="000928CA"/>
    <w:rPr>
      <w:rFonts w:ascii="Courier New" w:eastAsia="SimSun" w:hAnsi="Courier New" w:cs="Times New Roman"/>
      <w:sz w:val="20"/>
      <w:szCs w:val="20"/>
      <w:lang w:val="en-US"/>
    </w:rPr>
  </w:style>
  <w:style w:type="character" w:customStyle="1" w:styleId="PavadinimasDiagrama">
    <w:name w:val="Pavadinimas Diagrama"/>
    <w:rsid w:val="000928CA"/>
    <w:rPr>
      <w:rFonts w:ascii="Times New Roman" w:eastAsia="SimSun" w:hAnsi="Times New Roman" w:cs="Times New Roman"/>
      <w:b/>
      <w:sz w:val="20"/>
      <w:szCs w:val="20"/>
      <w:lang w:val="en-GB"/>
    </w:rPr>
  </w:style>
  <w:style w:type="character" w:customStyle="1" w:styleId="DokumentoinaostekstasDiagrama">
    <w:name w:val="Dokumento išnašos tekstas Diagrama"/>
    <w:rsid w:val="000928CA"/>
    <w:rPr>
      <w:rFonts w:ascii="Times New Roman" w:eastAsia="SimSun" w:hAnsi="Times New Roman" w:cs="Times New Roman"/>
      <w:sz w:val="20"/>
      <w:szCs w:val="20"/>
      <w:lang w:val="en-GB"/>
    </w:rPr>
  </w:style>
  <w:style w:type="character" w:customStyle="1" w:styleId="BTEMEASMCAChar">
    <w:name w:val="BT EMEA_SMCA Char"/>
    <w:rsid w:val="000928CA"/>
    <w:rPr>
      <w:rFonts w:ascii="Times New Roman" w:eastAsia="SimSun" w:hAnsi="Times New Roman" w:cs="Times New Roman"/>
      <w:sz w:val="20"/>
      <w:szCs w:val="20"/>
      <w:lang w:val="en-US"/>
    </w:rPr>
  </w:style>
  <w:style w:type="character" w:customStyle="1" w:styleId="CharChar12">
    <w:name w:val="Char Char12"/>
    <w:rsid w:val="000928CA"/>
    <w:rPr>
      <w:lang w:val="en-GB" w:eastAsia="ar-SA" w:bidi="ar-SA"/>
    </w:rPr>
  </w:style>
  <w:style w:type="character" w:customStyle="1" w:styleId="ListLabel1">
    <w:name w:val="ListLabel 1"/>
    <w:rsid w:val="000928CA"/>
    <w:rPr>
      <w:rFonts w:cs="Times New Roman"/>
    </w:rPr>
  </w:style>
  <w:style w:type="character" w:customStyle="1" w:styleId="ListLabel2">
    <w:name w:val="ListLabel 2"/>
    <w:rsid w:val="000928CA"/>
    <w:rPr>
      <w:rFonts w:eastAsia="Times New Roman"/>
    </w:rPr>
  </w:style>
  <w:style w:type="character" w:customStyle="1" w:styleId="ListLabel3">
    <w:name w:val="ListLabel 3"/>
    <w:rsid w:val="000928CA"/>
    <w:rPr>
      <w:rFonts w:cs="Courier New"/>
    </w:rPr>
  </w:style>
  <w:style w:type="character" w:customStyle="1" w:styleId="ListLabel4">
    <w:name w:val="ListLabel 4"/>
    <w:rsid w:val="000928CA"/>
    <w:rPr>
      <w:rFonts w:eastAsia="Symbol"/>
      <w:sz w:val="22"/>
      <w:szCs w:val="22"/>
    </w:rPr>
  </w:style>
  <w:style w:type="character" w:customStyle="1" w:styleId="ListLabel5">
    <w:name w:val="ListLabel 5"/>
    <w:rsid w:val="000928CA"/>
    <w:rPr>
      <w:rFonts w:eastAsia="Times New Roman"/>
      <w:sz w:val="22"/>
      <w:szCs w:val="22"/>
    </w:rPr>
  </w:style>
  <w:style w:type="character" w:customStyle="1" w:styleId="NumberingSymbols">
    <w:name w:val="Numbering Symbols"/>
    <w:rsid w:val="000928CA"/>
    <w:rPr>
      <w:b/>
      <w:bCs/>
    </w:rPr>
  </w:style>
  <w:style w:type="character" w:customStyle="1" w:styleId="Bullets">
    <w:name w:val="Bullets"/>
    <w:rsid w:val="000928CA"/>
    <w:rPr>
      <w:rFonts w:ascii="OpenSymbol" w:eastAsia="OpenSymbol" w:hAnsi="OpenSymbol" w:cs="OpenSymbol"/>
    </w:rPr>
  </w:style>
  <w:style w:type="paragraph" w:customStyle="1" w:styleId="Heading">
    <w:name w:val="Heading"/>
    <w:basedOn w:val="prastasis"/>
    <w:next w:val="Pagrindinistekstas"/>
    <w:rsid w:val="000928CA"/>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1"/>
    <w:rsid w:val="000928CA"/>
    <w:pPr>
      <w:tabs>
        <w:tab w:val="clear" w:pos="567"/>
      </w:tabs>
    </w:pPr>
    <w:rPr>
      <w:i/>
      <w:color w:val="008000"/>
      <w:sz w:val="20"/>
      <w:lang w:val="en-GB"/>
    </w:rPr>
  </w:style>
  <w:style w:type="character" w:customStyle="1" w:styleId="PagrindinistekstasDiagrama1">
    <w:name w:val="Pagrindinis tekstas Diagrama1"/>
    <w:basedOn w:val="Numatytasispastraiposriftas"/>
    <w:link w:val="Pagrindinistekstas"/>
    <w:rsid w:val="000928CA"/>
    <w:rPr>
      <w:rFonts w:ascii="Times New Roman" w:eastAsia="SimSun" w:hAnsi="Times New Roman" w:cs="Times New Roman"/>
      <w:i/>
      <w:color w:val="008000"/>
      <w:sz w:val="20"/>
      <w:szCs w:val="24"/>
      <w:lang w:val="en-GB" w:eastAsia="ar-SA"/>
    </w:rPr>
  </w:style>
  <w:style w:type="paragraph" w:styleId="Sraas">
    <w:name w:val="List"/>
    <w:basedOn w:val="Pagrindinistekstas"/>
    <w:rsid w:val="000928CA"/>
    <w:rPr>
      <w:rFonts w:cs="Mangal"/>
    </w:rPr>
  </w:style>
  <w:style w:type="paragraph" w:customStyle="1" w:styleId="Caption1">
    <w:name w:val="Caption1"/>
    <w:basedOn w:val="prastasis"/>
    <w:rsid w:val="000928CA"/>
    <w:pPr>
      <w:suppressLineNumbers/>
      <w:spacing w:before="120" w:after="120"/>
    </w:pPr>
    <w:rPr>
      <w:rFonts w:cs="Mangal"/>
      <w:i/>
      <w:iCs/>
    </w:rPr>
  </w:style>
  <w:style w:type="paragraph" w:customStyle="1" w:styleId="Index">
    <w:name w:val="Index"/>
    <w:basedOn w:val="prastasis"/>
    <w:rsid w:val="000928CA"/>
    <w:pPr>
      <w:suppressLineNumbers/>
    </w:pPr>
    <w:rPr>
      <w:rFonts w:cs="Mangal"/>
    </w:rPr>
  </w:style>
  <w:style w:type="paragraph" w:styleId="Porat">
    <w:name w:val="footer"/>
    <w:basedOn w:val="prastasis"/>
    <w:link w:val="PoratDiagrama1"/>
    <w:rsid w:val="000928CA"/>
    <w:pPr>
      <w:suppressLineNumbers/>
      <w:tabs>
        <w:tab w:val="clear" w:pos="567"/>
        <w:tab w:val="center" w:pos="4536"/>
        <w:tab w:val="right" w:pos="8306"/>
      </w:tabs>
    </w:pPr>
    <w:rPr>
      <w:sz w:val="20"/>
      <w:lang w:val="en-GB"/>
    </w:rPr>
  </w:style>
  <w:style w:type="character" w:customStyle="1" w:styleId="PoratDiagrama1">
    <w:name w:val="Poraštė Diagrama1"/>
    <w:basedOn w:val="Numatytasispastraiposriftas"/>
    <w:link w:val="Porat"/>
    <w:rsid w:val="000928CA"/>
    <w:rPr>
      <w:rFonts w:ascii="Times New Roman" w:eastAsia="SimSun" w:hAnsi="Times New Roman" w:cs="Times New Roman"/>
      <w:color w:val="000000"/>
      <w:sz w:val="20"/>
      <w:szCs w:val="24"/>
      <w:lang w:val="en-GB" w:eastAsia="ar-SA"/>
    </w:rPr>
  </w:style>
  <w:style w:type="paragraph" w:customStyle="1" w:styleId="BodytextAgency">
    <w:name w:val="Body text (Agency)"/>
    <w:basedOn w:val="prastasis"/>
    <w:rsid w:val="000928CA"/>
    <w:pPr>
      <w:tabs>
        <w:tab w:val="clear" w:pos="567"/>
      </w:tabs>
      <w:spacing w:after="140" w:line="280" w:lineRule="atLeast"/>
    </w:pPr>
    <w:rPr>
      <w:rFonts w:ascii="Verdana" w:hAnsi="Verdana" w:cs="Verdana"/>
      <w:sz w:val="18"/>
      <w:lang w:val="en-GB"/>
    </w:rPr>
  </w:style>
  <w:style w:type="paragraph" w:customStyle="1" w:styleId="NormalAgency">
    <w:name w:val="Normal (Agency)"/>
    <w:rsid w:val="000928CA"/>
    <w:pPr>
      <w:suppressAutoHyphens/>
      <w:spacing w:after="0" w:line="100" w:lineRule="atLeast"/>
    </w:pPr>
    <w:rPr>
      <w:rFonts w:ascii="Verdana" w:eastAsia="Times New Roman" w:hAnsi="Verdana" w:cs="Times New Roman"/>
      <w:sz w:val="18"/>
      <w:lang w:val="en-GB" w:eastAsia="ar-SA"/>
    </w:rPr>
  </w:style>
  <w:style w:type="paragraph" w:customStyle="1" w:styleId="TabletextrowsAgency">
    <w:name w:val="Table text rows (Agency)"/>
    <w:basedOn w:val="prastasis"/>
    <w:rsid w:val="000928CA"/>
    <w:pPr>
      <w:tabs>
        <w:tab w:val="clear" w:pos="567"/>
      </w:tabs>
      <w:spacing w:line="280" w:lineRule="exact"/>
    </w:pPr>
    <w:rPr>
      <w:rFonts w:ascii="Verdana" w:hAnsi="Verdana" w:cs="Verdana"/>
      <w:sz w:val="18"/>
    </w:rPr>
  </w:style>
  <w:style w:type="paragraph" w:customStyle="1" w:styleId="BalloonText1">
    <w:name w:val="Balloon Text1"/>
    <w:basedOn w:val="prastasis"/>
    <w:rsid w:val="000928CA"/>
    <w:rPr>
      <w:rFonts w:ascii="Tahoma" w:hAnsi="Tahoma" w:cs="Tahoma"/>
      <w:sz w:val="16"/>
      <w:szCs w:val="16"/>
      <w:lang w:val="en-GB"/>
    </w:rPr>
  </w:style>
  <w:style w:type="paragraph" w:customStyle="1" w:styleId="Komentarotekstas1">
    <w:name w:val="Komentaro tekstas1"/>
    <w:basedOn w:val="prastasis"/>
    <w:rsid w:val="000928CA"/>
    <w:rPr>
      <w:sz w:val="20"/>
      <w:lang w:val="en-GB"/>
    </w:rPr>
  </w:style>
  <w:style w:type="paragraph" w:customStyle="1" w:styleId="Komentarotema1">
    <w:name w:val="Komentaro tema1"/>
    <w:basedOn w:val="Komentarotekstas1"/>
    <w:rsid w:val="000928CA"/>
    <w:rPr>
      <w:b/>
      <w:bCs/>
    </w:rPr>
  </w:style>
  <w:style w:type="paragraph" w:customStyle="1" w:styleId="Revision1">
    <w:name w:val="Revision1"/>
    <w:rsid w:val="000928CA"/>
    <w:pPr>
      <w:suppressAutoHyphens/>
      <w:spacing w:after="0" w:line="100" w:lineRule="atLeast"/>
    </w:pPr>
    <w:rPr>
      <w:rFonts w:ascii="Times New Roman" w:eastAsia="Times New Roman" w:hAnsi="Times New Roman" w:cs="Times New Roman"/>
      <w:szCs w:val="20"/>
      <w:lang w:val="en-GB" w:eastAsia="ar-SA"/>
    </w:rPr>
  </w:style>
  <w:style w:type="paragraph" w:customStyle="1" w:styleId="EMEAEnBodyText">
    <w:name w:val="EMEA En Body Text"/>
    <w:basedOn w:val="prastasis"/>
    <w:rsid w:val="000928CA"/>
    <w:pPr>
      <w:tabs>
        <w:tab w:val="clear" w:pos="567"/>
      </w:tabs>
      <w:spacing w:before="120" w:after="120"/>
      <w:jc w:val="both"/>
    </w:pPr>
    <w:rPr>
      <w:lang w:val="en-US"/>
    </w:rPr>
  </w:style>
  <w:style w:type="paragraph" w:styleId="Antrats">
    <w:name w:val="header"/>
    <w:basedOn w:val="prastasis"/>
    <w:link w:val="AntratsDiagrama1"/>
    <w:rsid w:val="000928CA"/>
    <w:pPr>
      <w:suppressLineNumbers/>
      <w:tabs>
        <w:tab w:val="clear" w:pos="567"/>
        <w:tab w:val="center" w:pos="4320"/>
        <w:tab w:val="right" w:pos="8640"/>
      </w:tabs>
    </w:pPr>
    <w:rPr>
      <w:sz w:val="20"/>
      <w:lang w:val="en-GB"/>
    </w:rPr>
  </w:style>
  <w:style w:type="character" w:customStyle="1" w:styleId="AntratsDiagrama1">
    <w:name w:val="Antraštės Diagrama1"/>
    <w:basedOn w:val="Numatytasispastraiposriftas"/>
    <w:link w:val="Antrats"/>
    <w:rsid w:val="000928CA"/>
    <w:rPr>
      <w:rFonts w:ascii="Times New Roman" w:eastAsia="SimSun" w:hAnsi="Times New Roman" w:cs="Times New Roman"/>
      <w:color w:val="000000"/>
      <w:sz w:val="20"/>
      <w:szCs w:val="24"/>
      <w:lang w:val="en-GB" w:eastAsia="ar-SA"/>
    </w:rPr>
  </w:style>
  <w:style w:type="paragraph" w:customStyle="1" w:styleId="DocumentMap1">
    <w:name w:val="Document Map1"/>
    <w:basedOn w:val="prastasis"/>
    <w:rsid w:val="000928CA"/>
    <w:pPr>
      <w:shd w:val="clear" w:color="auto" w:fill="000080"/>
    </w:pPr>
    <w:rPr>
      <w:rFonts w:ascii="Tahoma" w:hAnsi="Tahoma" w:cs="Tahoma"/>
      <w:sz w:val="20"/>
      <w:lang w:val="en-GB"/>
    </w:rPr>
  </w:style>
  <w:style w:type="paragraph" w:styleId="Pagrindiniotekstotrauka">
    <w:name w:val="Body Text Indent"/>
    <w:basedOn w:val="prastasis"/>
    <w:link w:val="PagrindiniotekstotraukaDiagrama1"/>
    <w:rsid w:val="000928CA"/>
    <w:pPr>
      <w:tabs>
        <w:tab w:val="clear" w:pos="567"/>
      </w:tabs>
      <w:ind w:left="720"/>
      <w:jc w:val="both"/>
    </w:pPr>
    <w:rPr>
      <w:sz w:val="20"/>
      <w:lang w:val="en-GB"/>
    </w:rPr>
  </w:style>
  <w:style w:type="character" w:customStyle="1" w:styleId="PagrindiniotekstotraukaDiagrama1">
    <w:name w:val="Pagrindinio teksto įtrauka Diagrama1"/>
    <w:basedOn w:val="Numatytasispastraiposriftas"/>
    <w:link w:val="Pagrindiniotekstotrauka"/>
    <w:rsid w:val="000928CA"/>
    <w:rPr>
      <w:rFonts w:ascii="Times New Roman" w:eastAsia="SimSun" w:hAnsi="Times New Roman" w:cs="Times New Roman"/>
      <w:color w:val="000000"/>
      <w:sz w:val="20"/>
      <w:szCs w:val="24"/>
      <w:lang w:val="en-GB" w:eastAsia="ar-SA"/>
    </w:rPr>
  </w:style>
  <w:style w:type="paragraph" w:customStyle="1" w:styleId="BodyText31">
    <w:name w:val="Body Text 31"/>
    <w:basedOn w:val="prastasis"/>
    <w:rsid w:val="000928CA"/>
    <w:pPr>
      <w:tabs>
        <w:tab w:val="clear" w:pos="567"/>
      </w:tabs>
      <w:jc w:val="both"/>
    </w:pPr>
    <w:rPr>
      <w:color w:val="0000FF"/>
      <w:sz w:val="20"/>
      <w:lang w:val="en-GB"/>
    </w:rPr>
  </w:style>
  <w:style w:type="paragraph" w:customStyle="1" w:styleId="BodyTextIndent21">
    <w:name w:val="Body Text Indent 21"/>
    <w:basedOn w:val="prastasis"/>
    <w:rsid w:val="000928CA"/>
    <w:pPr>
      <w:pBdr>
        <w:top w:val="single" w:sz="8" w:space="0" w:color="000000"/>
        <w:left w:val="single" w:sz="8" w:space="3" w:color="000000"/>
        <w:bottom w:val="single" w:sz="8" w:space="1" w:color="000000"/>
        <w:right w:val="single" w:sz="8" w:space="4" w:color="000000"/>
      </w:pBdr>
      <w:ind w:left="1134"/>
      <w:jc w:val="both"/>
    </w:pPr>
    <w:rPr>
      <w:b/>
      <w:bCs/>
      <w:color w:val="0000FF"/>
      <w:sz w:val="20"/>
      <w:lang w:val="en-GB"/>
    </w:rPr>
  </w:style>
  <w:style w:type="paragraph" w:customStyle="1" w:styleId="BodyText21">
    <w:name w:val="Body Text 21"/>
    <w:basedOn w:val="prastasis"/>
    <w:rsid w:val="000928CA"/>
    <w:pPr>
      <w:pBdr>
        <w:top w:val="single" w:sz="8" w:space="0" w:color="000000"/>
        <w:left w:val="single" w:sz="8" w:space="3" w:color="000000"/>
        <w:bottom w:val="single" w:sz="8" w:space="1" w:color="000000"/>
        <w:right w:val="single" w:sz="8" w:space="4" w:color="000000"/>
      </w:pBdr>
      <w:jc w:val="both"/>
    </w:pPr>
    <w:rPr>
      <w:b/>
      <w:bCs/>
      <w:color w:val="0000FF"/>
      <w:sz w:val="20"/>
      <w:u w:val="single"/>
      <w:lang w:val="en-GB"/>
    </w:rPr>
  </w:style>
  <w:style w:type="paragraph" w:customStyle="1" w:styleId="AHeader1">
    <w:name w:val="AHeader 1"/>
    <w:basedOn w:val="prastasis"/>
    <w:rsid w:val="000928CA"/>
    <w:pPr>
      <w:tabs>
        <w:tab w:val="clear" w:pos="567"/>
        <w:tab w:val="left" w:pos="720"/>
      </w:tabs>
      <w:spacing w:after="120"/>
      <w:ind w:left="284" w:hanging="284"/>
    </w:pPr>
    <w:rPr>
      <w:rFonts w:ascii="Arial" w:hAnsi="Arial" w:cs="Arial"/>
      <w:b/>
      <w:bCs/>
    </w:rPr>
  </w:style>
  <w:style w:type="paragraph" w:customStyle="1" w:styleId="AHeader2">
    <w:name w:val="AHeader 2"/>
    <w:basedOn w:val="AHeader1"/>
    <w:rsid w:val="000928CA"/>
    <w:pPr>
      <w:tabs>
        <w:tab w:val="clear" w:pos="720"/>
        <w:tab w:val="left" w:pos="360"/>
      </w:tabs>
      <w:ind w:left="709" w:hanging="425"/>
    </w:pPr>
    <w:rPr>
      <w:sz w:val="22"/>
    </w:rPr>
  </w:style>
  <w:style w:type="paragraph" w:customStyle="1" w:styleId="AHeader3">
    <w:name w:val="AHeader 3"/>
    <w:basedOn w:val="AHeader2"/>
    <w:rsid w:val="000928CA"/>
    <w:pPr>
      <w:ind w:left="1276" w:hanging="567"/>
    </w:pPr>
  </w:style>
  <w:style w:type="paragraph" w:customStyle="1" w:styleId="AHeader2abc">
    <w:name w:val="AHeader 2 abc"/>
    <w:basedOn w:val="AHeader3"/>
    <w:rsid w:val="000928CA"/>
    <w:pPr>
      <w:jc w:val="both"/>
    </w:pPr>
    <w:rPr>
      <w:b w:val="0"/>
      <w:bCs w:val="0"/>
    </w:rPr>
  </w:style>
  <w:style w:type="paragraph" w:customStyle="1" w:styleId="AHeader3abc">
    <w:name w:val="AHeader 3 abc"/>
    <w:basedOn w:val="AHeader2abc"/>
    <w:rsid w:val="000928CA"/>
    <w:pPr>
      <w:ind w:left="1701" w:hanging="425"/>
    </w:pPr>
  </w:style>
  <w:style w:type="paragraph" w:customStyle="1" w:styleId="BodyTextIndent31">
    <w:name w:val="Body Text Indent 31"/>
    <w:basedOn w:val="prastasis"/>
    <w:rsid w:val="000928CA"/>
    <w:pPr>
      <w:tabs>
        <w:tab w:val="clear" w:pos="567"/>
        <w:tab w:val="left" w:pos="1134"/>
      </w:tabs>
      <w:ind w:left="633"/>
      <w:jc w:val="both"/>
    </w:pPr>
    <w:rPr>
      <w:sz w:val="20"/>
      <w:szCs w:val="21"/>
      <w:lang w:val="en-GB"/>
    </w:rPr>
  </w:style>
  <w:style w:type="paragraph" w:customStyle="1" w:styleId="TableheadingrowsAgency">
    <w:name w:val="Table heading rows (Agency)"/>
    <w:basedOn w:val="BodytextAgency"/>
    <w:rsid w:val="000928CA"/>
    <w:pPr>
      <w:keepNext/>
    </w:pPr>
    <w:rPr>
      <w:b/>
      <w:szCs w:val="18"/>
    </w:rPr>
  </w:style>
  <w:style w:type="paragraph" w:customStyle="1" w:styleId="PlainText1">
    <w:name w:val="Plain Text1"/>
    <w:basedOn w:val="prastasis"/>
    <w:rsid w:val="000928CA"/>
    <w:pPr>
      <w:tabs>
        <w:tab w:val="clear" w:pos="567"/>
      </w:tabs>
    </w:pPr>
    <w:rPr>
      <w:rFonts w:ascii="Courier New" w:hAnsi="Courier New" w:cs="Courier New"/>
      <w:sz w:val="20"/>
      <w:lang w:val="en-US"/>
    </w:rPr>
  </w:style>
  <w:style w:type="paragraph" w:styleId="Pavadinimas">
    <w:name w:val="Title"/>
    <w:basedOn w:val="prastasis"/>
    <w:next w:val="Paantrat"/>
    <w:link w:val="PavadinimasDiagrama1"/>
    <w:qFormat/>
    <w:rsid w:val="000928CA"/>
    <w:pPr>
      <w:tabs>
        <w:tab w:val="clear" w:pos="567"/>
      </w:tabs>
      <w:jc w:val="center"/>
    </w:pPr>
    <w:rPr>
      <w:b/>
      <w:bCs/>
      <w:sz w:val="20"/>
      <w:szCs w:val="36"/>
      <w:lang w:val="en-GB"/>
    </w:rPr>
  </w:style>
  <w:style w:type="character" w:customStyle="1" w:styleId="PavadinimasDiagrama1">
    <w:name w:val="Pavadinimas Diagrama1"/>
    <w:basedOn w:val="Numatytasispastraiposriftas"/>
    <w:link w:val="Pavadinimas"/>
    <w:rsid w:val="000928CA"/>
    <w:rPr>
      <w:rFonts w:ascii="Times New Roman" w:eastAsia="SimSun" w:hAnsi="Times New Roman" w:cs="Times New Roman"/>
      <w:b/>
      <w:bCs/>
      <w:color w:val="000000"/>
      <w:sz w:val="20"/>
      <w:szCs w:val="36"/>
      <w:lang w:val="en-GB" w:eastAsia="ar-SA"/>
    </w:rPr>
  </w:style>
  <w:style w:type="paragraph" w:styleId="Paantrat">
    <w:name w:val="Subtitle"/>
    <w:basedOn w:val="Heading"/>
    <w:next w:val="Pagrindinistekstas"/>
    <w:link w:val="PaantratDiagrama"/>
    <w:qFormat/>
    <w:rsid w:val="000928CA"/>
    <w:pPr>
      <w:jc w:val="center"/>
    </w:pPr>
    <w:rPr>
      <w:i/>
      <w:iCs/>
    </w:rPr>
  </w:style>
  <w:style w:type="character" w:customStyle="1" w:styleId="PaantratDiagrama">
    <w:name w:val="Paantraštė Diagrama"/>
    <w:basedOn w:val="Numatytasispastraiposriftas"/>
    <w:link w:val="Paantrat"/>
    <w:rsid w:val="000928CA"/>
    <w:rPr>
      <w:rFonts w:ascii="Arial" w:eastAsia="Microsoft YaHei" w:hAnsi="Arial" w:cs="Mangal"/>
      <w:i/>
      <w:iCs/>
      <w:color w:val="000000"/>
      <w:sz w:val="28"/>
      <w:szCs w:val="28"/>
      <w:lang w:val="lt-LT" w:eastAsia="ar-SA"/>
    </w:rPr>
  </w:style>
  <w:style w:type="paragraph" w:customStyle="1" w:styleId="Dokumentoinaostekstas1">
    <w:name w:val="Dokumento išnašos tekstas1"/>
    <w:basedOn w:val="prastasis"/>
    <w:rsid w:val="000928CA"/>
    <w:rPr>
      <w:sz w:val="20"/>
      <w:lang w:val="en-GB"/>
    </w:rPr>
  </w:style>
  <w:style w:type="paragraph" w:customStyle="1" w:styleId="BTEMEASMCA">
    <w:name w:val="BT EMEA_SMCA"/>
    <w:basedOn w:val="prastasis"/>
    <w:rsid w:val="000928CA"/>
    <w:pPr>
      <w:tabs>
        <w:tab w:val="clear" w:pos="567"/>
      </w:tabs>
    </w:pPr>
    <w:rPr>
      <w:sz w:val="20"/>
      <w:lang w:val="en-US"/>
    </w:rPr>
  </w:style>
  <w:style w:type="paragraph" w:customStyle="1" w:styleId="ListParagraph1">
    <w:name w:val="List Paragraph1"/>
    <w:basedOn w:val="prastasis"/>
    <w:rsid w:val="000928CA"/>
    <w:pPr>
      <w:widowControl w:val="0"/>
      <w:tabs>
        <w:tab w:val="clear" w:pos="567"/>
      </w:tabs>
    </w:pPr>
    <w:rPr>
      <w:rFonts w:ascii="Calibri" w:eastAsia="Calibri" w:hAnsi="Calibri" w:cs="Calibri"/>
      <w:szCs w:val="22"/>
      <w:lang w:val="en-US"/>
    </w:rPr>
  </w:style>
  <w:style w:type="paragraph" w:customStyle="1" w:styleId="TableContents">
    <w:name w:val="Table Contents"/>
    <w:basedOn w:val="prastasis"/>
    <w:rsid w:val="000928CA"/>
    <w:pPr>
      <w:suppressLineNumbers/>
    </w:pPr>
  </w:style>
  <w:style w:type="paragraph" w:customStyle="1" w:styleId="TableHeading">
    <w:name w:val="Table Heading"/>
    <w:basedOn w:val="TableContents"/>
    <w:rsid w:val="000928CA"/>
    <w:pPr>
      <w:jc w:val="center"/>
    </w:pPr>
    <w:rPr>
      <w:b/>
      <w:bCs/>
    </w:rPr>
  </w:style>
  <w:style w:type="paragraph" w:customStyle="1" w:styleId="WW-Default">
    <w:name w:val="WW-Default"/>
    <w:rsid w:val="000928CA"/>
    <w:pPr>
      <w:widowControl w:val="0"/>
      <w:suppressAutoHyphens/>
      <w:autoSpaceDE w:val="0"/>
      <w:spacing w:after="0" w:line="360" w:lineRule="atLeast"/>
      <w:jc w:val="both"/>
      <w:textAlignment w:val="baseline"/>
    </w:pPr>
    <w:rPr>
      <w:rFonts w:ascii="Times New Roman" w:eastAsia="Times New Roman" w:hAnsi="Times New Roman" w:cs="Times New Roman"/>
      <w:color w:val="000000"/>
      <w:sz w:val="24"/>
      <w:szCs w:val="24"/>
      <w:lang w:eastAsia="ar-SA"/>
    </w:rPr>
  </w:style>
  <w:style w:type="paragraph" w:styleId="Debesliotekstas">
    <w:name w:val="Balloon Text"/>
    <w:basedOn w:val="prastasis"/>
    <w:link w:val="DebesliotekstasDiagrama1"/>
    <w:uiPriority w:val="99"/>
    <w:semiHidden/>
    <w:unhideWhenUsed/>
    <w:rsid w:val="000928CA"/>
    <w:pPr>
      <w:spacing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28CA"/>
    <w:rPr>
      <w:rFonts w:ascii="Segoe UI" w:eastAsia="SimSun" w:hAnsi="Segoe UI" w:cs="Segoe UI"/>
      <w:color w:val="000000"/>
      <w:sz w:val="18"/>
      <w:szCs w:val="18"/>
      <w:lang w:val="lt-LT" w:eastAsia="ar-SA"/>
    </w:rPr>
  </w:style>
  <w:style w:type="table" w:styleId="Lentelstinklelis">
    <w:name w:val="Table Grid"/>
    <w:basedOn w:val="prastojilentel"/>
    <w:uiPriority w:val="39"/>
    <w:rsid w:val="000928CA"/>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0928CA"/>
    <w:rPr>
      <w:sz w:val="16"/>
      <w:szCs w:val="16"/>
    </w:rPr>
  </w:style>
  <w:style w:type="paragraph" w:styleId="Komentarotekstas">
    <w:name w:val="annotation text"/>
    <w:basedOn w:val="prastasis"/>
    <w:link w:val="KomentarotekstasDiagrama1"/>
    <w:uiPriority w:val="99"/>
    <w:unhideWhenUsed/>
    <w:rsid w:val="000928CA"/>
    <w:rPr>
      <w:sz w:val="20"/>
      <w:szCs w:val="20"/>
    </w:rPr>
  </w:style>
  <w:style w:type="character" w:customStyle="1" w:styleId="KomentarotekstasDiagrama1">
    <w:name w:val="Komentaro tekstas Diagrama1"/>
    <w:basedOn w:val="Numatytasispastraiposriftas"/>
    <w:link w:val="Komentarotekstas"/>
    <w:uiPriority w:val="99"/>
    <w:rsid w:val="000928CA"/>
    <w:rPr>
      <w:rFonts w:ascii="Times New Roman" w:eastAsia="SimSun" w:hAnsi="Times New Roman" w:cs="Times New Roman"/>
      <w:color w:val="000000"/>
      <w:sz w:val="20"/>
      <w:szCs w:val="20"/>
      <w:lang w:val="lt-LT" w:eastAsia="ar-SA"/>
    </w:rPr>
  </w:style>
  <w:style w:type="paragraph" w:styleId="Komentarotema">
    <w:name w:val="annotation subject"/>
    <w:basedOn w:val="Komentarotekstas"/>
    <w:next w:val="Komentarotekstas"/>
    <w:link w:val="KomentarotemaDiagrama1"/>
    <w:uiPriority w:val="99"/>
    <w:semiHidden/>
    <w:unhideWhenUsed/>
    <w:rsid w:val="000928CA"/>
    <w:rPr>
      <w:b/>
      <w:bCs/>
    </w:rPr>
  </w:style>
  <w:style w:type="character" w:customStyle="1" w:styleId="KomentarotemaDiagrama1">
    <w:name w:val="Komentaro tema Diagrama1"/>
    <w:basedOn w:val="KomentarotekstasDiagrama1"/>
    <w:link w:val="Komentarotema"/>
    <w:uiPriority w:val="99"/>
    <w:semiHidden/>
    <w:rsid w:val="000928CA"/>
    <w:rPr>
      <w:rFonts w:ascii="Times New Roman" w:eastAsia="SimSun" w:hAnsi="Times New Roman" w:cs="Times New Roman"/>
      <w:b/>
      <w:bCs/>
      <w:color w:val="000000"/>
      <w:sz w:val="20"/>
      <w:szCs w:val="20"/>
      <w:lang w:val="lt-LT" w:eastAsia="ar-SA"/>
    </w:rPr>
  </w:style>
  <w:style w:type="paragraph" w:styleId="Pataisymai">
    <w:name w:val="Revision"/>
    <w:hidden/>
    <w:uiPriority w:val="99"/>
    <w:semiHidden/>
    <w:rsid w:val="0081091D"/>
    <w:pPr>
      <w:spacing w:after="0" w:line="240" w:lineRule="auto"/>
    </w:pPr>
    <w:rPr>
      <w:rFonts w:ascii="Times New Roman" w:eastAsia="SimSun" w:hAnsi="Times New Roman" w:cs="Times New Roman"/>
      <w:color w:val="000000"/>
      <w:sz w:val="24"/>
      <w:szCs w:val="24"/>
      <w:lang w:val="lt-LT" w:eastAsia="ar-SA"/>
    </w:rPr>
  </w:style>
  <w:style w:type="paragraph" w:styleId="Sraopastraipa">
    <w:name w:val="List Paragraph"/>
    <w:basedOn w:val="prastasis"/>
    <w:uiPriority w:val="34"/>
    <w:qFormat/>
    <w:rsid w:val="003269B8"/>
    <w:pPr>
      <w:ind w:left="720"/>
      <w:contextualSpacing/>
    </w:pPr>
  </w:style>
  <w:style w:type="paragraph" w:customStyle="1" w:styleId="Default">
    <w:name w:val="Default"/>
    <w:rsid w:val="0090177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01">
    <w:name w:val="fontstyle01"/>
    <w:basedOn w:val="Numatytasispastraiposriftas"/>
    <w:rsid w:val="008C53D4"/>
    <w:rPr>
      <w:rFonts w:ascii="TimesNewRomanPS-BoldMT" w:hAnsi="TimesNewRomanPS-BoldMT" w:hint="default"/>
      <w:b/>
      <w:bCs/>
      <w:i w:val="0"/>
      <w:iCs w:val="0"/>
      <w:color w:val="000000"/>
      <w:sz w:val="22"/>
      <w:szCs w:val="22"/>
    </w:rPr>
  </w:style>
  <w:style w:type="character" w:customStyle="1" w:styleId="fontstyle21">
    <w:name w:val="fontstyle21"/>
    <w:basedOn w:val="Numatytasispastraiposriftas"/>
    <w:rsid w:val="009863E9"/>
    <w:rPr>
      <w:rFonts w:ascii="SymbolMT" w:hAnsi="SymbolMT" w:hint="default"/>
      <w:b w:val="0"/>
      <w:bCs w:val="0"/>
      <w:i w:val="0"/>
      <w:iCs w:val="0"/>
      <w:color w:val="000000"/>
      <w:sz w:val="22"/>
      <w:szCs w:val="22"/>
    </w:rPr>
  </w:style>
  <w:style w:type="character" w:customStyle="1" w:styleId="fontstyle31">
    <w:name w:val="fontstyle31"/>
    <w:basedOn w:val="Numatytasispastraiposriftas"/>
    <w:rsid w:val="009863E9"/>
    <w:rPr>
      <w:rFonts w:ascii="TimesNewRomanPS-BoldMT" w:hAnsi="TimesNewRomanPS-BoldMT" w:hint="default"/>
      <w:b/>
      <w:bCs/>
      <w:i w:val="0"/>
      <w:iCs w:val="0"/>
      <w:color w:val="000000"/>
      <w:sz w:val="22"/>
      <w:szCs w:val="22"/>
    </w:rPr>
  </w:style>
  <w:style w:type="character" w:styleId="Neapdorotaspaminjimas">
    <w:name w:val="Unresolved Mention"/>
    <w:basedOn w:val="Numatytasispastraiposriftas"/>
    <w:uiPriority w:val="99"/>
    <w:semiHidden/>
    <w:unhideWhenUsed/>
    <w:rsid w:val="00B10CAA"/>
    <w:rPr>
      <w:color w:val="605E5C"/>
      <w:shd w:val="clear" w:color="auto" w:fill="E1DFDD"/>
    </w:rPr>
  </w:style>
  <w:style w:type="table" w:styleId="Lentelstinklelisviesus">
    <w:name w:val="Grid Table Light"/>
    <w:basedOn w:val="prastojilentel"/>
    <w:uiPriority w:val="40"/>
    <w:rsid w:val="007F58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9669">
      <w:bodyDiv w:val="1"/>
      <w:marLeft w:val="0"/>
      <w:marRight w:val="0"/>
      <w:marTop w:val="0"/>
      <w:marBottom w:val="0"/>
      <w:divBdr>
        <w:top w:val="none" w:sz="0" w:space="0" w:color="auto"/>
        <w:left w:val="none" w:sz="0" w:space="0" w:color="auto"/>
        <w:bottom w:val="none" w:sz="0" w:space="0" w:color="auto"/>
        <w:right w:val="none" w:sz="0" w:space="0" w:color="auto"/>
      </w:divBdr>
    </w:div>
    <w:div w:id="23141439">
      <w:bodyDiv w:val="1"/>
      <w:marLeft w:val="0"/>
      <w:marRight w:val="0"/>
      <w:marTop w:val="0"/>
      <w:marBottom w:val="0"/>
      <w:divBdr>
        <w:top w:val="none" w:sz="0" w:space="0" w:color="auto"/>
        <w:left w:val="none" w:sz="0" w:space="0" w:color="auto"/>
        <w:bottom w:val="none" w:sz="0" w:space="0" w:color="auto"/>
        <w:right w:val="none" w:sz="0" w:space="0" w:color="auto"/>
      </w:divBdr>
    </w:div>
    <w:div w:id="64768079">
      <w:bodyDiv w:val="1"/>
      <w:marLeft w:val="0"/>
      <w:marRight w:val="0"/>
      <w:marTop w:val="0"/>
      <w:marBottom w:val="0"/>
      <w:divBdr>
        <w:top w:val="none" w:sz="0" w:space="0" w:color="auto"/>
        <w:left w:val="none" w:sz="0" w:space="0" w:color="auto"/>
        <w:bottom w:val="none" w:sz="0" w:space="0" w:color="auto"/>
        <w:right w:val="none" w:sz="0" w:space="0" w:color="auto"/>
      </w:divBdr>
    </w:div>
    <w:div w:id="71319588">
      <w:bodyDiv w:val="1"/>
      <w:marLeft w:val="0"/>
      <w:marRight w:val="0"/>
      <w:marTop w:val="0"/>
      <w:marBottom w:val="0"/>
      <w:divBdr>
        <w:top w:val="none" w:sz="0" w:space="0" w:color="auto"/>
        <w:left w:val="none" w:sz="0" w:space="0" w:color="auto"/>
        <w:bottom w:val="none" w:sz="0" w:space="0" w:color="auto"/>
        <w:right w:val="none" w:sz="0" w:space="0" w:color="auto"/>
      </w:divBdr>
    </w:div>
    <w:div w:id="97411282">
      <w:bodyDiv w:val="1"/>
      <w:marLeft w:val="0"/>
      <w:marRight w:val="0"/>
      <w:marTop w:val="0"/>
      <w:marBottom w:val="0"/>
      <w:divBdr>
        <w:top w:val="none" w:sz="0" w:space="0" w:color="auto"/>
        <w:left w:val="none" w:sz="0" w:space="0" w:color="auto"/>
        <w:bottom w:val="none" w:sz="0" w:space="0" w:color="auto"/>
        <w:right w:val="none" w:sz="0" w:space="0" w:color="auto"/>
      </w:divBdr>
    </w:div>
    <w:div w:id="113521981">
      <w:bodyDiv w:val="1"/>
      <w:marLeft w:val="0"/>
      <w:marRight w:val="0"/>
      <w:marTop w:val="0"/>
      <w:marBottom w:val="0"/>
      <w:divBdr>
        <w:top w:val="none" w:sz="0" w:space="0" w:color="auto"/>
        <w:left w:val="none" w:sz="0" w:space="0" w:color="auto"/>
        <w:bottom w:val="none" w:sz="0" w:space="0" w:color="auto"/>
        <w:right w:val="none" w:sz="0" w:space="0" w:color="auto"/>
      </w:divBdr>
    </w:div>
    <w:div w:id="132136570">
      <w:bodyDiv w:val="1"/>
      <w:marLeft w:val="0"/>
      <w:marRight w:val="0"/>
      <w:marTop w:val="0"/>
      <w:marBottom w:val="0"/>
      <w:divBdr>
        <w:top w:val="none" w:sz="0" w:space="0" w:color="auto"/>
        <w:left w:val="none" w:sz="0" w:space="0" w:color="auto"/>
        <w:bottom w:val="none" w:sz="0" w:space="0" w:color="auto"/>
        <w:right w:val="none" w:sz="0" w:space="0" w:color="auto"/>
      </w:divBdr>
    </w:div>
    <w:div w:id="135070216">
      <w:bodyDiv w:val="1"/>
      <w:marLeft w:val="0"/>
      <w:marRight w:val="0"/>
      <w:marTop w:val="0"/>
      <w:marBottom w:val="0"/>
      <w:divBdr>
        <w:top w:val="none" w:sz="0" w:space="0" w:color="auto"/>
        <w:left w:val="none" w:sz="0" w:space="0" w:color="auto"/>
        <w:bottom w:val="none" w:sz="0" w:space="0" w:color="auto"/>
        <w:right w:val="none" w:sz="0" w:space="0" w:color="auto"/>
      </w:divBdr>
    </w:div>
    <w:div w:id="158468160">
      <w:bodyDiv w:val="1"/>
      <w:marLeft w:val="0"/>
      <w:marRight w:val="0"/>
      <w:marTop w:val="0"/>
      <w:marBottom w:val="0"/>
      <w:divBdr>
        <w:top w:val="none" w:sz="0" w:space="0" w:color="auto"/>
        <w:left w:val="none" w:sz="0" w:space="0" w:color="auto"/>
        <w:bottom w:val="none" w:sz="0" w:space="0" w:color="auto"/>
        <w:right w:val="none" w:sz="0" w:space="0" w:color="auto"/>
      </w:divBdr>
    </w:div>
    <w:div w:id="195313423">
      <w:bodyDiv w:val="1"/>
      <w:marLeft w:val="0"/>
      <w:marRight w:val="0"/>
      <w:marTop w:val="0"/>
      <w:marBottom w:val="0"/>
      <w:divBdr>
        <w:top w:val="none" w:sz="0" w:space="0" w:color="auto"/>
        <w:left w:val="none" w:sz="0" w:space="0" w:color="auto"/>
        <w:bottom w:val="none" w:sz="0" w:space="0" w:color="auto"/>
        <w:right w:val="none" w:sz="0" w:space="0" w:color="auto"/>
      </w:divBdr>
    </w:div>
    <w:div w:id="243077710">
      <w:bodyDiv w:val="1"/>
      <w:marLeft w:val="0"/>
      <w:marRight w:val="0"/>
      <w:marTop w:val="0"/>
      <w:marBottom w:val="0"/>
      <w:divBdr>
        <w:top w:val="none" w:sz="0" w:space="0" w:color="auto"/>
        <w:left w:val="none" w:sz="0" w:space="0" w:color="auto"/>
        <w:bottom w:val="none" w:sz="0" w:space="0" w:color="auto"/>
        <w:right w:val="none" w:sz="0" w:space="0" w:color="auto"/>
      </w:divBdr>
    </w:div>
    <w:div w:id="266501094">
      <w:bodyDiv w:val="1"/>
      <w:marLeft w:val="0"/>
      <w:marRight w:val="0"/>
      <w:marTop w:val="0"/>
      <w:marBottom w:val="0"/>
      <w:divBdr>
        <w:top w:val="none" w:sz="0" w:space="0" w:color="auto"/>
        <w:left w:val="none" w:sz="0" w:space="0" w:color="auto"/>
        <w:bottom w:val="none" w:sz="0" w:space="0" w:color="auto"/>
        <w:right w:val="none" w:sz="0" w:space="0" w:color="auto"/>
      </w:divBdr>
    </w:div>
    <w:div w:id="272908055">
      <w:bodyDiv w:val="1"/>
      <w:marLeft w:val="0"/>
      <w:marRight w:val="0"/>
      <w:marTop w:val="0"/>
      <w:marBottom w:val="0"/>
      <w:divBdr>
        <w:top w:val="none" w:sz="0" w:space="0" w:color="auto"/>
        <w:left w:val="none" w:sz="0" w:space="0" w:color="auto"/>
        <w:bottom w:val="none" w:sz="0" w:space="0" w:color="auto"/>
        <w:right w:val="none" w:sz="0" w:space="0" w:color="auto"/>
      </w:divBdr>
    </w:div>
    <w:div w:id="279917321">
      <w:bodyDiv w:val="1"/>
      <w:marLeft w:val="0"/>
      <w:marRight w:val="0"/>
      <w:marTop w:val="0"/>
      <w:marBottom w:val="0"/>
      <w:divBdr>
        <w:top w:val="none" w:sz="0" w:space="0" w:color="auto"/>
        <w:left w:val="none" w:sz="0" w:space="0" w:color="auto"/>
        <w:bottom w:val="none" w:sz="0" w:space="0" w:color="auto"/>
        <w:right w:val="none" w:sz="0" w:space="0" w:color="auto"/>
      </w:divBdr>
    </w:div>
    <w:div w:id="304900097">
      <w:bodyDiv w:val="1"/>
      <w:marLeft w:val="0"/>
      <w:marRight w:val="0"/>
      <w:marTop w:val="0"/>
      <w:marBottom w:val="0"/>
      <w:divBdr>
        <w:top w:val="none" w:sz="0" w:space="0" w:color="auto"/>
        <w:left w:val="none" w:sz="0" w:space="0" w:color="auto"/>
        <w:bottom w:val="none" w:sz="0" w:space="0" w:color="auto"/>
        <w:right w:val="none" w:sz="0" w:space="0" w:color="auto"/>
      </w:divBdr>
    </w:div>
    <w:div w:id="313415795">
      <w:bodyDiv w:val="1"/>
      <w:marLeft w:val="0"/>
      <w:marRight w:val="0"/>
      <w:marTop w:val="0"/>
      <w:marBottom w:val="0"/>
      <w:divBdr>
        <w:top w:val="none" w:sz="0" w:space="0" w:color="auto"/>
        <w:left w:val="none" w:sz="0" w:space="0" w:color="auto"/>
        <w:bottom w:val="none" w:sz="0" w:space="0" w:color="auto"/>
        <w:right w:val="none" w:sz="0" w:space="0" w:color="auto"/>
      </w:divBdr>
    </w:div>
    <w:div w:id="350421974">
      <w:bodyDiv w:val="1"/>
      <w:marLeft w:val="0"/>
      <w:marRight w:val="0"/>
      <w:marTop w:val="0"/>
      <w:marBottom w:val="0"/>
      <w:divBdr>
        <w:top w:val="none" w:sz="0" w:space="0" w:color="auto"/>
        <w:left w:val="none" w:sz="0" w:space="0" w:color="auto"/>
        <w:bottom w:val="none" w:sz="0" w:space="0" w:color="auto"/>
        <w:right w:val="none" w:sz="0" w:space="0" w:color="auto"/>
      </w:divBdr>
    </w:div>
    <w:div w:id="381364515">
      <w:bodyDiv w:val="1"/>
      <w:marLeft w:val="0"/>
      <w:marRight w:val="0"/>
      <w:marTop w:val="0"/>
      <w:marBottom w:val="0"/>
      <w:divBdr>
        <w:top w:val="none" w:sz="0" w:space="0" w:color="auto"/>
        <w:left w:val="none" w:sz="0" w:space="0" w:color="auto"/>
        <w:bottom w:val="none" w:sz="0" w:space="0" w:color="auto"/>
        <w:right w:val="none" w:sz="0" w:space="0" w:color="auto"/>
      </w:divBdr>
    </w:div>
    <w:div w:id="405541371">
      <w:bodyDiv w:val="1"/>
      <w:marLeft w:val="0"/>
      <w:marRight w:val="0"/>
      <w:marTop w:val="0"/>
      <w:marBottom w:val="0"/>
      <w:divBdr>
        <w:top w:val="none" w:sz="0" w:space="0" w:color="auto"/>
        <w:left w:val="none" w:sz="0" w:space="0" w:color="auto"/>
        <w:bottom w:val="none" w:sz="0" w:space="0" w:color="auto"/>
        <w:right w:val="none" w:sz="0" w:space="0" w:color="auto"/>
      </w:divBdr>
    </w:div>
    <w:div w:id="414866123">
      <w:bodyDiv w:val="1"/>
      <w:marLeft w:val="0"/>
      <w:marRight w:val="0"/>
      <w:marTop w:val="0"/>
      <w:marBottom w:val="0"/>
      <w:divBdr>
        <w:top w:val="none" w:sz="0" w:space="0" w:color="auto"/>
        <w:left w:val="none" w:sz="0" w:space="0" w:color="auto"/>
        <w:bottom w:val="none" w:sz="0" w:space="0" w:color="auto"/>
        <w:right w:val="none" w:sz="0" w:space="0" w:color="auto"/>
      </w:divBdr>
    </w:div>
    <w:div w:id="421296111">
      <w:bodyDiv w:val="1"/>
      <w:marLeft w:val="0"/>
      <w:marRight w:val="0"/>
      <w:marTop w:val="0"/>
      <w:marBottom w:val="0"/>
      <w:divBdr>
        <w:top w:val="none" w:sz="0" w:space="0" w:color="auto"/>
        <w:left w:val="none" w:sz="0" w:space="0" w:color="auto"/>
        <w:bottom w:val="none" w:sz="0" w:space="0" w:color="auto"/>
        <w:right w:val="none" w:sz="0" w:space="0" w:color="auto"/>
      </w:divBdr>
    </w:div>
    <w:div w:id="432482373">
      <w:bodyDiv w:val="1"/>
      <w:marLeft w:val="0"/>
      <w:marRight w:val="0"/>
      <w:marTop w:val="0"/>
      <w:marBottom w:val="0"/>
      <w:divBdr>
        <w:top w:val="none" w:sz="0" w:space="0" w:color="auto"/>
        <w:left w:val="none" w:sz="0" w:space="0" w:color="auto"/>
        <w:bottom w:val="none" w:sz="0" w:space="0" w:color="auto"/>
        <w:right w:val="none" w:sz="0" w:space="0" w:color="auto"/>
      </w:divBdr>
    </w:div>
    <w:div w:id="484131179">
      <w:bodyDiv w:val="1"/>
      <w:marLeft w:val="0"/>
      <w:marRight w:val="0"/>
      <w:marTop w:val="0"/>
      <w:marBottom w:val="0"/>
      <w:divBdr>
        <w:top w:val="none" w:sz="0" w:space="0" w:color="auto"/>
        <w:left w:val="none" w:sz="0" w:space="0" w:color="auto"/>
        <w:bottom w:val="none" w:sz="0" w:space="0" w:color="auto"/>
        <w:right w:val="none" w:sz="0" w:space="0" w:color="auto"/>
      </w:divBdr>
    </w:div>
    <w:div w:id="484670013">
      <w:bodyDiv w:val="1"/>
      <w:marLeft w:val="0"/>
      <w:marRight w:val="0"/>
      <w:marTop w:val="0"/>
      <w:marBottom w:val="0"/>
      <w:divBdr>
        <w:top w:val="none" w:sz="0" w:space="0" w:color="auto"/>
        <w:left w:val="none" w:sz="0" w:space="0" w:color="auto"/>
        <w:bottom w:val="none" w:sz="0" w:space="0" w:color="auto"/>
        <w:right w:val="none" w:sz="0" w:space="0" w:color="auto"/>
      </w:divBdr>
    </w:div>
    <w:div w:id="572011466">
      <w:bodyDiv w:val="1"/>
      <w:marLeft w:val="0"/>
      <w:marRight w:val="0"/>
      <w:marTop w:val="0"/>
      <w:marBottom w:val="0"/>
      <w:divBdr>
        <w:top w:val="none" w:sz="0" w:space="0" w:color="auto"/>
        <w:left w:val="none" w:sz="0" w:space="0" w:color="auto"/>
        <w:bottom w:val="none" w:sz="0" w:space="0" w:color="auto"/>
        <w:right w:val="none" w:sz="0" w:space="0" w:color="auto"/>
      </w:divBdr>
    </w:div>
    <w:div w:id="613706173">
      <w:bodyDiv w:val="1"/>
      <w:marLeft w:val="0"/>
      <w:marRight w:val="0"/>
      <w:marTop w:val="0"/>
      <w:marBottom w:val="0"/>
      <w:divBdr>
        <w:top w:val="none" w:sz="0" w:space="0" w:color="auto"/>
        <w:left w:val="none" w:sz="0" w:space="0" w:color="auto"/>
        <w:bottom w:val="none" w:sz="0" w:space="0" w:color="auto"/>
        <w:right w:val="none" w:sz="0" w:space="0" w:color="auto"/>
      </w:divBdr>
    </w:div>
    <w:div w:id="614412596">
      <w:bodyDiv w:val="1"/>
      <w:marLeft w:val="0"/>
      <w:marRight w:val="0"/>
      <w:marTop w:val="0"/>
      <w:marBottom w:val="0"/>
      <w:divBdr>
        <w:top w:val="none" w:sz="0" w:space="0" w:color="auto"/>
        <w:left w:val="none" w:sz="0" w:space="0" w:color="auto"/>
        <w:bottom w:val="none" w:sz="0" w:space="0" w:color="auto"/>
        <w:right w:val="none" w:sz="0" w:space="0" w:color="auto"/>
      </w:divBdr>
    </w:div>
    <w:div w:id="617445472">
      <w:bodyDiv w:val="1"/>
      <w:marLeft w:val="0"/>
      <w:marRight w:val="0"/>
      <w:marTop w:val="0"/>
      <w:marBottom w:val="0"/>
      <w:divBdr>
        <w:top w:val="none" w:sz="0" w:space="0" w:color="auto"/>
        <w:left w:val="none" w:sz="0" w:space="0" w:color="auto"/>
        <w:bottom w:val="none" w:sz="0" w:space="0" w:color="auto"/>
        <w:right w:val="none" w:sz="0" w:space="0" w:color="auto"/>
      </w:divBdr>
    </w:div>
    <w:div w:id="633633026">
      <w:bodyDiv w:val="1"/>
      <w:marLeft w:val="0"/>
      <w:marRight w:val="0"/>
      <w:marTop w:val="0"/>
      <w:marBottom w:val="0"/>
      <w:divBdr>
        <w:top w:val="none" w:sz="0" w:space="0" w:color="auto"/>
        <w:left w:val="none" w:sz="0" w:space="0" w:color="auto"/>
        <w:bottom w:val="none" w:sz="0" w:space="0" w:color="auto"/>
        <w:right w:val="none" w:sz="0" w:space="0" w:color="auto"/>
      </w:divBdr>
    </w:div>
    <w:div w:id="667561783">
      <w:bodyDiv w:val="1"/>
      <w:marLeft w:val="0"/>
      <w:marRight w:val="0"/>
      <w:marTop w:val="0"/>
      <w:marBottom w:val="0"/>
      <w:divBdr>
        <w:top w:val="none" w:sz="0" w:space="0" w:color="auto"/>
        <w:left w:val="none" w:sz="0" w:space="0" w:color="auto"/>
        <w:bottom w:val="none" w:sz="0" w:space="0" w:color="auto"/>
        <w:right w:val="none" w:sz="0" w:space="0" w:color="auto"/>
      </w:divBdr>
    </w:div>
    <w:div w:id="700209498">
      <w:bodyDiv w:val="1"/>
      <w:marLeft w:val="0"/>
      <w:marRight w:val="0"/>
      <w:marTop w:val="0"/>
      <w:marBottom w:val="0"/>
      <w:divBdr>
        <w:top w:val="none" w:sz="0" w:space="0" w:color="auto"/>
        <w:left w:val="none" w:sz="0" w:space="0" w:color="auto"/>
        <w:bottom w:val="none" w:sz="0" w:space="0" w:color="auto"/>
        <w:right w:val="none" w:sz="0" w:space="0" w:color="auto"/>
      </w:divBdr>
    </w:div>
    <w:div w:id="754480004">
      <w:bodyDiv w:val="1"/>
      <w:marLeft w:val="0"/>
      <w:marRight w:val="0"/>
      <w:marTop w:val="0"/>
      <w:marBottom w:val="0"/>
      <w:divBdr>
        <w:top w:val="none" w:sz="0" w:space="0" w:color="auto"/>
        <w:left w:val="none" w:sz="0" w:space="0" w:color="auto"/>
        <w:bottom w:val="none" w:sz="0" w:space="0" w:color="auto"/>
        <w:right w:val="none" w:sz="0" w:space="0" w:color="auto"/>
      </w:divBdr>
    </w:div>
    <w:div w:id="800001726">
      <w:bodyDiv w:val="1"/>
      <w:marLeft w:val="0"/>
      <w:marRight w:val="0"/>
      <w:marTop w:val="0"/>
      <w:marBottom w:val="0"/>
      <w:divBdr>
        <w:top w:val="none" w:sz="0" w:space="0" w:color="auto"/>
        <w:left w:val="none" w:sz="0" w:space="0" w:color="auto"/>
        <w:bottom w:val="none" w:sz="0" w:space="0" w:color="auto"/>
        <w:right w:val="none" w:sz="0" w:space="0" w:color="auto"/>
      </w:divBdr>
    </w:div>
    <w:div w:id="813639636">
      <w:bodyDiv w:val="1"/>
      <w:marLeft w:val="0"/>
      <w:marRight w:val="0"/>
      <w:marTop w:val="0"/>
      <w:marBottom w:val="0"/>
      <w:divBdr>
        <w:top w:val="none" w:sz="0" w:space="0" w:color="auto"/>
        <w:left w:val="none" w:sz="0" w:space="0" w:color="auto"/>
        <w:bottom w:val="none" w:sz="0" w:space="0" w:color="auto"/>
        <w:right w:val="none" w:sz="0" w:space="0" w:color="auto"/>
      </w:divBdr>
    </w:div>
    <w:div w:id="872693075">
      <w:bodyDiv w:val="1"/>
      <w:marLeft w:val="0"/>
      <w:marRight w:val="0"/>
      <w:marTop w:val="0"/>
      <w:marBottom w:val="0"/>
      <w:divBdr>
        <w:top w:val="none" w:sz="0" w:space="0" w:color="auto"/>
        <w:left w:val="none" w:sz="0" w:space="0" w:color="auto"/>
        <w:bottom w:val="none" w:sz="0" w:space="0" w:color="auto"/>
        <w:right w:val="none" w:sz="0" w:space="0" w:color="auto"/>
      </w:divBdr>
    </w:div>
    <w:div w:id="886989343">
      <w:bodyDiv w:val="1"/>
      <w:marLeft w:val="0"/>
      <w:marRight w:val="0"/>
      <w:marTop w:val="0"/>
      <w:marBottom w:val="0"/>
      <w:divBdr>
        <w:top w:val="none" w:sz="0" w:space="0" w:color="auto"/>
        <w:left w:val="none" w:sz="0" w:space="0" w:color="auto"/>
        <w:bottom w:val="none" w:sz="0" w:space="0" w:color="auto"/>
        <w:right w:val="none" w:sz="0" w:space="0" w:color="auto"/>
      </w:divBdr>
    </w:div>
    <w:div w:id="892426920">
      <w:bodyDiv w:val="1"/>
      <w:marLeft w:val="0"/>
      <w:marRight w:val="0"/>
      <w:marTop w:val="0"/>
      <w:marBottom w:val="0"/>
      <w:divBdr>
        <w:top w:val="none" w:sz="0" w:space="0" w:color="auto"/>
        <w:left w:val="none" w:sz="0" w:space="0" w:color="auto"/>
        <w:bottom w:val="none" w:sz="0" w:space="0" w:color="auto"/>
        <w:right w:val="none" w:sz="0" w:space="0" w:color="auto"/>
      </w:divBdr>
    </w:div>
    <w:div w:id="905457880">
      <w:bodyDiv w:val="1"/>
      <w:marLeft w:val="0"/>
      <w:marRight w:val="0"/>
      <w:marTop w:val="0"/>
      <w:marBottom w:val="0"/>
      <w:divBdr>
        <w:top w:val="none" w:sz="0" w:space="0" w:color="auto"/>
        <w:left w:val="none" w:sz="0" w:space="0" w:color="auto"/>
        <w:bottom w:val="none" w:sz="0" w:space="0" w:color="auto"/>
        <w:right w:val="none" w:sz="0" w:space="0" w:color="auto"/>
      </w:divBdr>
      <w:divsChild>
        <w:div w:id="338973173">
          <w:marLeft w:val="0"/>
          <w:marRight w:val="225"/>
          <w:marTop w:val="0"/>
          <w:marBottom w:val="0"/>
          <w:divBdr>
            <w:top w:val="none" w:sz="0" w:space="0" w:color="auto"/>
            <w:left w:val="none" w:sz="0" w:space="0" w:color="auto"/>
            <w:bottom w:val="none" w:sz="0" w:space="0" w:color="auto"/>
            <w:right w:val="none" w:sz="0" w:space="0" w:color="auto"/>
          </w:divBdr>
        </w:div>
      </w:divsChild>
    </w:div>
    <w:div w:id="913976664">
      <w:bodyDiv w:val="1"/>
      <w:marLeft w:val="0"/>
      <w:marRight w:val="0"/>
      <w:marTop w:val="0"/>
      <w:marBottom w:val="0"/>
      <w:divBdr>
        <w:top w:val="none" w:sz="0" w:space="0" w:color="auto"/>
        <w:left w:val="none" w:sz="0" w:space="0" w:color="auto"/>
        <w:bottom w:val="none" w:sz="0" w:space="0" w:color="auto"/>
        <w:right w:val="none" w:sz="0" w:space="0" w:color="auto"/>
      </w:divBdr>
    </w:div>
    <w:div w:id="946233928">
      <w:bodyDiv w:val="1"/>
      <w:marLeft w:val="0"/>
      <w:marRight w:val="0"/>
      <w:marTop w:val="0"/>
      <w:marBottom w:val="0"/>
      <w:divBdr>
        <w:top w:val="none" w:sz="0" w:space="0" w:color="auto"/>
        <w:left w:val="none" w:sz="0" w:space="0" w:color="auto"/>
        <w:bottom w:val="none" w:sz="0" w:space="0" w:color="auto"/>
        <w:right w:val="none" w:sz="0" w:space="0" w:color="auto"/>
      </w:divBdr>
    </w:div>
    <w:div w:id="953904883">
      <w:bodyDiv w:val="1"/>
      <w:marLeft w:val="0"/>
      <w:marRight w:val="0"/>
      <w:marTop w:val="0"/>
      <w:marBottom w:val="0"/>
      <w:divBdr>
        <w:top w:val="none" w:sz="0" w:space="0" w:color="auto"/>
        <w:left w:val="none" w:sz="0" w:space="0" w:color="auto"/>
        <w:bottom w:val="none" w:sz="0" w:space="0" w:color="auto"/>
        <w:right w:val="none" w:sz="0" w:space="0" w:color="auto"/>
      </w:divBdr>
    </w:div>
    <w:div w:id="956445190">
      <w:bodyDiv w:val="1"/>
      <w:marLeft w:val="0"/>
      <w:marRight w:val="0"/>
      <w:marTop w:val="0"/>
      <w:marBottom w:val="0"/>
      <w:divBdr>
        <w:top w:val="none" w:sz="0" w:space="0" w:color="auto"/>
        <w:left w:val="none" w:sz="0" w:space="0" w:color="auto"/>
        <w:bottom w:val="none" w:sz="0" w:space="0" w:color="auto"/>
        <w:right w:val="none" w:sz="0" w:space="0" w:color="auto"/>
      </w:divBdr>
    </w:div>
    <w:div w:id="1001466949">
      <w:bodyDiv w:val="1"/>
      <w:marLeft w:val="0"/>
      <w:marRight w:val="0"/>
      <w:marTop w:val="0"/>
      <w:marBottom w:val="0"/>
      <w:divBdr>
        <w:top w:val="none" w:sz="0" w:space="0" w:color="auto"/>
        <w:left w:val="none" w:sz="0" w:space="0" w:color="auto"/>
        <w:bottom w:val="none" w:sz="0" w:space="0" w:color="auto"/>
        <w:right w:val="none" w:sz="0" w:space="0" w:color="auto"/>
      </w:divBdr>
    </w:div>
    <w:div w:id="1033120168">
      <w:bodyDiv w:val="1"/>
      <w:marLeft w:val="0"/>
      <w:marRight w:val="0"/>
      <w:marTop w:val="0"/>
      <w:marBottom w:val="0"/>
      <w:divBdr>
        <w:top w:val="none" w:sz="0" w:space="0" w:color="auto"/>
        <w:left w:val="none" w:sz="0" w:space="0" w:color="auto"/>
        <w:bottom w:val="none" w:sz="0" w:space="0" w:color="auto"/>
        <w:right w:val="none" w:sz="0" w:space="0" w:color="auto"/>
      </w:divBdr>
    </w:div>
    <w:div w:id="1063139762">
      <w:bodyDiv w:val="1"/>
      <w:marLeft w:val="0"/>
      <w:marRight w:val="0"/>
      <w:marTop w:val="0"/>
      <w:marBottom w:val="0"/>
      <w:divBdr>
        <w:top w:val="none" w:sz="0" w:space="0" w:color="auto"/>
        <w:left w:val="none" w:sz="0" w:space="0" w:color="auto"/>
        <w:bottom w:val="none" w:sz="0" w:space="0" w:color="auto"/>
        <w:right w:val="none" w:sz="0" w:space="0" w:color="auto"/>
      </w:divBdr>
    </w:div>
    <w:div w:id="1115516053">
      <w:bodyDiv w:val="1"/>
      <w:marLeft w:val="0"/>
      <w:marRight w:val="0"/>
      <w:marTop w:val="0"/>
      <w:marBottom w:val="0"/>
      <w:divBdr>
        <w:top w:val="none" w:sz="0" w:space="0" w:color="auto"/>
        <w:left w:val="none" w:sz="0" w:space="0" w:color="auto"/>
        <w:bottom w:val="none" w:sz="0" w:space="0" w:color="auto"/>
        <w:right w:val="none" w:sz="0" w:space="0" w:color="auto"/>
      </w:divBdr>
    </w:div>
    <w:div w:id="1135878927">
      <w:bodyDiv w:val="1"/>
      <w:marLeft w:val="0"/>
      <w:marRight w:val="0"/>
      <w:marTop w:val="0"/>
      <w:marBottom w:val="0"/>
      <w:divBdr>
        <w:top w:val="none" w:sz="0" w:space="0" w:color="auto"/>
        <w:left w:val="none" w:sz="0" w:space="0" w:color="auto"/>
        <w:bottom w:val="none" w:sz="0" w:space="0" w:color="auto"/>
        <w:right w:val="none" w:sz="0" w:space="0" w:color="auto"/>
      </w:divBdr>
    </w:div>
    <w:div w:id="1170022486">
      <w:bodyDiv w:val="1"/>
      <w:marLeft w:val="0"/>
      <w:marRight w:val="0"/>
      <w:marTop w:val="0"/>
      <w:marBottom w:val="0"/>
      <w:divBdr>
        <w:top w:val="none" w:sz="0" w:space="0" w:color="auto"/>
        <w:left w:val="none" w:sz="0" w:space="0" w:color="auto"/>
        <w:bottom w:val="none" w:sz="0" w:space="0" w:color="auto"/>
        <w:right w:val="none" w:sz="0" w:space="0" w:color="auto"/>
      </w:divBdr>
    </w:div>
    <w:div w:id="1181821533">
      <w:bodyDiv w:val="1"/>
      <w:marLeft w:val="0"/>
      <w:marRight w:val="0"/>
      <w:marTop w:val="0"/>
      <w:marBottom w:val="0"/>
      <w:divBdr>
        <w:top w:val="none" w:sz="0" w:space="0" w:color="auto"/>
        <w:left w:val="none" w:sz="0" w:space="0" w:color="auto"/>
        <w:bottom w:val="none" w:sz="0" w:space="0" w:color="auto"/>
        <w:right w:val="none" w:sz="0" w:space="0" w:color="auto"/>
      </w:divBdr>
    </w:div>
    <w:div w:id="1250311979">
      <w:bodyDiv w:val="1"/>
      <w:marLeft w:val="0"/>
      <w:marRight w:val="0"/>
      <w:marTop w:val="0"/>
      <w:marBottom w:val="0"/>
      <w:divBdr>
        <w:top w:val="none" w:sz="0" w:space="0" w:color="auto"/>
        <w:left w:val="none" w:sz="0" w:space="0" w:color="auto"/>
        <w:bottom w:val="none" w:sz="0" w:space="0" w:color="auto"/>
        <w:right w:val="none" w:sz="0" w:space="0" w:color="auto"/>
      </w:divBdr>
    </w:div>
    <w:div w:id="1256327001">
      <w:bodyDiv w:val="1"/>
      <w:marLeft w:val="0"/>
      <w:marRight w:val="0"/>
      <w:marTop w:val="0"/>
      <w:marBottom w:val="0"/>
      <w:divBdr>
        <w:top w:val="none" w:sz="0" w:space="0" w:color="auto"/>
        <w:left w:val="none" w:sz="0" w:space="0" w:color="auto"/>
        <w:bottom w:val="none" w:sz="0" w:space="0" w:color="auto"/>
        <w:right w:val="none" w:sz="0" w:space="0" w:color="auto"/>
      </w:divBdr>
    </w:div>
    <w:div w:id="1256404820">
      <w:bodyDiv w:val="1"/>
      <w:marLeft w:val="0"/>
      <w:marRight w:val="0"/>
      <w:marTop w:val="0"/>
      <w:marBottom w:val="0"/>
      <w:divBdr>
        <w:top w:val="none" w:sz="0" w:space="0" w:color="auto"/>
        <w:left w:val="none" w:sz="0" w:space="0" w:color="auto"/>
        <w:bottom w:val="none" w:sz="0" w:space="0" w:color="auto"/>
        <w:right w:val="none" w:sz="0" w:space="0" w:color="auto"/>
      </w:divBdr>
    </w:div>
    <w:div w:id="1263798825">
      <w:bodyDiv w:val="1"/>
      <w:marLeft w:val="0"/>
      <w:marRight w:val="0"/>
      <w:marTop w:val="0"/>
      <w:marBottom w:val="0"/>
      <w:divBdr>
        <w:top w:val="none" w:sz="0" w:space="0" w:color="auto"/>
        <w:left w:val="none" w:sz="0" w:space="0" w:color="auto"/>
        <w:bottom w:val="none" w:sz="0" w:space="0" w:color="auto"/>
        <w:right w:val="none" w:sz="0" w:space="0" w:color="auto"/>
      </w:divBdr>
    </w:div>
    <w:div w:id="1265190112">
      <w:bodyDiv w:val="1"/>
      <w:marLeft w:val="0"/>
      <w:marRight w:val="0"/>
      <w:marTop w:val="0"/>
      <w:marBottom w:val="0"/>
      <w:divBdr>
        <w:top w:val="none" w:sz="0" w:space="0" w:color="auto"/>
        <w:left w:val="none" w:sz="0" w:space="0" w:color="auto"/>
        <w:bottom w:val="none" w:sz="0" w:space="0" w:color="auto"/>
        <w:right w:val="none" w:sz="0" w:space="0" w:color="auto"/>
      </w:divBdr>
    </w:div>
    <w:div w:id="1286158606">
      <w:bodyDiv w:val="1"/>
      <w:marLeft w:val="0"/>
      <w:marRight w:val="0"/>
      <w:marTop w:val="0"/>
      <w:marBottom w:val="0"/>
      <w:divBdr>
        <w:top w:val="none" w:sz="0" w:space="0" w:color="auto"/>
        <w:left w:val="none" w:sz="0" w:space="0" w:color="auto"/>
        <w:bottom w:val="none" w:sz="0" w:space="0" w:color="auto"/>
        <w:right w:val="none" w:sz="0" w:space="0" w:color="auto"/>
      </w:divBdr>
    </w:div>
    <w:div w:id="1288052659">
      <w:bodyDiv w:val="1"/>
      <w:marLeft w:val="0"/>
      <w:marRight w:val="0"/>
      <w:marTop w:val="0"/>
      <w:marBottom w:val="0"/>
      <w:divBdr>
        <w:top w:val="none" w:sz="0" w:space="0" w:color="auto"/>
        <w:left w:val="none" w:sz="0" w:space="0" w:color="auto"/>
        <w:bottom w:val="none" w:sz="0" w:space="0" w:color="auto"/>
        <w:right w:val="none" w:sz="0" w:space="0" w:color="auto"/>
      </w:divBdr>
    </w:div>
    <w:div w:id="1300109878">
      <w:bodyDiv w:val="1"/>
      <w:marLeft w:val="0"/>
      <w:marRight w:val="0"/>
      <w:marTop w:val="0"/>
      <w:marBottom w:val="0"/>
      <w:divBdr>
        <w:top w:val="none" w:sz="0" w:space="0" w:color="auto"/>
        <w:left w:val="none" w:sz="0" w:space="0" w:color="auto"/>
        <w:bottom w:val="none" w:sz="0" w:space="0" w:color="auto"/>
        <w:right w:val="none" w:sz="0" w:space="0" w:color="auto"/>
      </w:divBdr>
    </w:div>
    <w:div w:id="1312903199">
      <w:bodyDiv w:val="1"/>
      <w:marLeft w:val="0"/>
      <w:marRight w:val="0"/>
      <w:marTop w:val="0"/>
      <w:marBottom w:val="0"/>
      <w:divBdr>
        <w:top w:val="none" w:sz="0" w:space="0" w:color="auto"/>
        <w:left w:val="none" w:sz="0" w:space="0" w:color="auto"/>
        <w:bottom w:val="none" w:sz="0" w:space="0" w:color="auto"/>
        <w:right w:val="none" w:sz="0" w:space="0" w:color="auto"/>
      </w:divBdr>
    </w:div>
    <w:div w:id="1368264013">
      <w:bodyDiv w:val="1"/>
      <w:marLeft w:val="0"/>
      <w:marRight w:val="0"/>
      <w:marTop w:val="0"/>
      <w:marBottom w:val="0"/>
      <w:divBdr>
        <w:top w:val="none" w:sz="0" w:space="0" w:color="auto"/>
        <w:left w:val="none" w:sz="0" w:space="0" w:color="auto"/>
        <w:bottom w:val="none" w:sz="0" w:space="0" w:color="auto"/>
        <w:right w:val="none" w:sz="0" w:space="0" w:color="auto"/>
      </w:divBdr>
    </w:div>
    <w:div w:id="1396585042">
      <w:bodyDiv w:val="1"/>
      <w:marLeft w:val="0"/>
      <w:marRight w:val="0"/>
      <w:marTop w:val="0"/>
      <w:marBottom w:val="0"/>
      <w:divBdr>
        <w:top w:val="none" w:sz="0" w:space="0" w:color="auto"/>
        <w:left w:val="none" w:sz="0" w:space="0" w:color="auto"/>
        <w:bottom w:val="none" w:sz="0" w:space="0" w:color="auto"/>
        <w:right w:val="none" w:sz="0" w:space="0" w:color="auto"/>
      </w:divBdr>
    </w:div>
    <w:div w:id="1410424573">
      <w:bodyDiv w:val="1"/>
      <w:marLeft w:val="0"/>
      <w:marRight w:val="0"/>
      <w:marTop w:val="0"/>
      <w:marBottom w:val="0"/>
      <w:divBdr>
        <w:top w:val="none" w:sz="0" w:space="0" w:color="auto"/>
        <w:left w:val="none" w:sz="0" w:space="0" w:color="auto"/>
        <w:bottom w:val="none" w:sz="0" w:space="0" w:color="auto"/>
        <w:right w:val="none" w:sz="0" w:space="0" w:color="auto"/>
      </w:divBdr>
    </w:div>
    <w:div w:id="1414089263">
      <w:bodyDiv w:val="1"/>
      <w:marLeft w:val="0"/>
      <w:marRight w:val="0"/>
      <w:marTop w:val="0"/>
      <w:marBottom w:val="0"/>
      <w:divBdr>
        <w:top w:val="none" w:sz="0" w:space="0" w:color="auto"/>
        <w:left w:val="none" w:sz="0" w:space="0" w:color="auto"/>
        <w:bottom w:val="none" w:sz="0" w:space="0" w:color="auto"/>
        <w:right w:val="none" w:sz="0" w:space="0" w:color="auto"/>
      </w:divBdr>
    </w:div>
    <w:div w:id="1417049545">
      <w:bodyDiv w:val="1"/>
      <w:marLeft w:val="0"/>
      <w:marRight w:val="0"/>
      <w:marTop w:val="0"/>
      <w:marBottom w:val="0"/>
      <w:divBdr>
        <w:top w:val="none" w:sz="0" w:space="0" w:color="auto"/>
        <w:left w:val="none" w:sz="0" w:space="0" w:color="auto"/>
        <w:bottom w:val="none" w:sz="0" w:space="0" w:color="auto"/>
        <w:right w:val="none" w:sz="0" w:space="0" w:color="auto"/>
      </w:divBdr>
    </w:div>
    <w:div w:id="1456480718">
      <w:bodyDiv w:val="1"/>
      <w:marLeft w:val="0"/>
      <w:marRight w:val="0"/>
      <w:marTop w:val="0"/>
      <w:marBottom w:val="0"/>
      <w:divBdr>
        <w:top w:val="none" w:sz="0" w:space="0" w:color="auto"/>
        <w:left w:val="none" w:sz="0" w:space="0" w:color="auto"/>
        <w:bottom w:val="none" w:sz="0" w:space="0" w:color="auto"/>
        <w:right w:val="none" w:sz="0" w:space="0" w:color="auto"/>
      </w:divBdr>
    </w:div>
    <w:div w:id="1470051591">
      <w:bodyDiv w:val="1"/>
      <w:marLeft w:val="0"/>
      <w:marRight w:val="0"/>
      <w:marTop w:val="0"/>
      <w:marBottom w:val="0"/>
      <w:divBdr>
        <w:top w:val="none" w:sz="0" w:space="0" w:color="auto"/>
        <w:left w:val="none" w:sz="0" w:space="0" w:color="auto"/>
        <w:bottom w:val="none" w:sz="0" w:space="0" w:color="auto"/>
        <w:right w:val="none" w:sz="0" w:space="0" w:color="auto"/>
      </w:divBdr>
    </w:div>
    <w:div w:id="1494223825">
      <w:bodyDiv w:val="1"/>
      <w:marLeft w:val="0"/>
      <w:marRight w:val="0"/>
      <w:marTop w:val="0"/>
      <w:marBottom w:val="0"/>
      <w:divBdr>
        <w:top w:val="none" w:sz="0" w:space="0" w:color="auto"/>
        <w:left w:val="none" w:sz="0" w:space="0" w:color="auto"/>
        <w:bottom w:val="none" w:sz="0" w:space="0" w:color="auto"/>
        <w:right w:val="none" w:sz="0" w:space="0" w:color="auto"/>
      </w:divBdr>
    </w:div>
    <w:div w:id="1495879554">
      <w:bodyDiv w:val="1"/>
      <w:marLeft w:val="0"/>
      <w:marRight w:val="0"/>
      <w:marTop w:val="0"/>
      <w:marBottom w:val="0"/>
      <w:divBdr>
        <w:top w:val="none" w:sz="0" w:space="0" w:color="auto"/>
        <w:left w:val="none" w:sz="0" w:space="0" w:color="auto"/>
        <w:bottom w:val="none" w:sz="0" w:space="0" w:color="auto"/>
        <w:right w:val="none" w:sz="0" w:space="0" w:color="auto"/>
      </w:divBdr>
    </w:div>
    <w:div w:id="1545601719">
      <w:bodyDiv w:val="1"/>
      <w:marLeft w:val="0"/>
      <w:marRight w:val="0"/>
      <w:marTop w:val="0"/>
      <w:marBottom w:val="0"/>
      <w:divBdr>
        <w:top w:val="none" w:sz="0" w:space="0" w:color="auto"/>
        <w:left w:val="none" w:sz="0" w:space="0" w:color="auto"/>
        <w:bottom w:val="none" w:sz="0" w:space="0" w:color="auto"/>
        <w:right w:val="none" w:sz="0" w:space="0" w:color="auto"/>
      </w:divBdr>
    </w:div>
    <w:div w:id="1546789328">
      <w:bodyDiv w:val="1"/>
      <w:marLeft w:val="0"/>
      <w:marRight w:val="0"/>
      <w:marTop w:val="0"/>
      <w:marBottom w:val="0"/>
      <w:divBdr>
        <w:top w:val="none" w:sz="0" w:space="0" w:color="auto"/>
        <w:left w:val="none" w:sz="0" w:space="0" w:color="auto"/>
        <w:bottom w:val="none" w:sz="0" w:space="0" w:color="auto"/>
        <w:right w:val="none" w:sz="0" w:space="0" w:color="auto"/>
      </w:divBdr>
    </w:div>
    <w:div w:id="1575771852">
      <w:bodyDiv w:val="1"/>
      <w:marLeft w:val="0"/>
      <w:marRight w:val="0"/>
      <w:marTop w:val="0"/>
      <w:marBottom w:val="0"/>
      <w:divBdr>
        <w:top w:val="none" w:sz="0" w:space="0" w:color="auto"/>
        <w:left w:val="none" w:sz="0" w:space="0" w:color="auto"/>
        <w:bottom w:val="none" w:sz="0" w:space="0" w:color="auto"/>
        <w:right w:val="none" w:sz="0" w:space="0" w:color="auto"/>
      </w:divBdr>
    </w:div>
    <w:div w:id="1591740719">
      <w:bodyDiv w:val="1"/>
      <w:marLeft w:val="0"/>
      <w:marRight w:val="0"/>
      <w:marTop w:val="0"/>
      <w:marBottom w:val="0"/>
      <w:divBdr>
        <w:top w:val="none" w:sz="0" w:space="0" w:color="auto"/>
        <w:left w:val="none" w:sz="0" w:space="0" w:color="auto"/>
        <w:bottom w:val="none" w:sz="0" w:space="0" w:color="auto"/>
        <w:right w:val="none" w:sz="0" w:space="0" w:color="auto"/>
      </w:divBdr>
    </w:div>
    <w:div w:id="1633753626">
      <w:bodyDiv w:val="1"/>
      <w:marLeft w:val="0"/>
      <w:marRight w:val="0"/>
      <w:marTop w:val="0"/>
      <w:marBottom w:val="0"/>
      <w:divBdr>
        <w:top w:val="none" w:sz="0" w:space="0" w:color="auto"/>
        <w:left w:val="none" w:sz="0" w:space="0" w:color="auto"/>
        <w:bottom w:val="none" w:sz="0" w:space="0" w:color="auto"/>
        <w:right w:val="none" w:sz="0" w:space="0" w:color="auto"/>
      </w:divBdr>
    </w:div>
    <w:div w:id="1640914426">
      <w:bodyDiv w:val="1"/>
      <w:marLeft w:val="0"/>
      <w:marRight w:val="0"/>
      <w:marTop w:val="0"/>
      <w:marBottom w:val="0"/>
      <w:divBdr>
        <w:top w:val="none" w:sz="0" w:space="0" w:color="auto"/>
        <w:left w:val="none" w:sz="0" w:space="0" w:color="auto"/>
        <w:bottom w:val="none" w:sz="0" w:space="0" w:color="auto"/>
        <w:right w:val="none" w:sz="0" w:space="0" w:color="auto"/>
      </w:divBdr>
    </w:div>
    <w:div w:id="1649553851">
      <w:bodyDiv w:val="1"/>
      <w:marLeft w:val="0"/>
      <w:marRight w:val="0"/>
      <w:marTop w:val="0"/>
      <w:marBottom w:val="0"/>
      <w:divBdr>
        <w:top w:val="none" w:sz="0" w:space="0" w:color="auto"/>
        <w:left w:val="none" w:sz="0" w:space="0" w:color="auto"/>
        <w:bottom w:val="none" w:sz="0" w:space="0" w:color="auto"/>
        <w:right w:val="none" w:sz="0" w:space="0" w:color="auto"/>
      </w:divBdr>
    </w:div>
    <w:div w:id="1661345985">
      <w:bodyDiv w:val="1"/>
      <w:marLeft w:val="0"/>
      <w:marRight w:val="0"/>
      <w:marTop w:val="0"/>
      <w:marBottom w:val="0"/>
      <w:divBdr>
        <w:top w:val="none" w:sz="0" w:space="0" w:color="auto"/>
        <w:left w:val="none" w:sz="0" w:space="0" w:color="auto"/>
        <w:bottom w:val="none" w:sz="0" w:space="0" w:color="auto"/>
        <w:right w:val="none" w:sz="0" w:space="0" w:color="auto"/>
      </w:divBdr>
    </w:div>
    <w:div w:id="1662466316">
      <w:bodyDiv w:val="1"/>
      <w:marLeft w:val="0"/>
      <w:marRight w:val="0"/>
      <w:marTop w:val="0"/>
      <w:marBottom w:val="0"/>
      <w:divBdr>
        <w:top w:val="none" w:sz="0" w:space="0" w:color="auto"/>
        <w:left w:val="none" w:sz="0" w:space="0" w:color="auto"/>
        <w:bottom w:val="none" w:sz="0" w:space="0" w:color="auto"/>
        <w:right w:val="none" w:sz="0" w:space="0" w:color="auto"/>
      </w:divBdr>
    </w:div>
    <w:div w:id="1684430109">
      <w:bodyDiv w:val="1"/>
      <w:marLeft w:val="0"/>
      <w:marRight w:val="0"/>
      <w:marTop w:val="0"/>
      <w:marBottom w:val="0"/>
      <w:divBdr>
        <w:top w:val="none" w:sz="0" w:space="0" w:color="auto"/>
        <w:left w:val="none" w:sz="0" w:space="0" w:color="auto"/>
        <w:bottom w:val="none" w:sz="0" w:space="0" w:color="auto"/>
        <w:right w:val="none" w:sz="0" w:space="0" w:color="auto"/>
      </w:divBdr>
    </w:div>
    <w:div w:id="1690447021">
      <w:bodyDiv w:val="1"/>
      <w:marLeft w:val="0"/>
      <w:marRight w:val="0"/>
      <w:marTop w:val="0"/>
      <w:marBottom w:val="0"/>
      <w:divBdr>
        <w:top w:val="none" w:sz="0" w:space="0" w:color="auto"/>
        <w:left w:val="none" w:sz="0" w:space="0" w:color="auto"/>
        <w:bottom w:val="none" w:sz="0" w:space="0" w:color="auto"/>
        <w:right w:val="none" w:sz="0" w:space="0" w:color="auto"/>
      </w:divBdr>
    </w:div>
    <w:div w:id="1699814373">
      <w:bodyDiv w:val="1"/>
      <w:marLeft w:val="0"/>
      <w:marRight w:val="0"/>
      <w:marTop w:val="0"/>
      <w:marBottom w:val="0"/>
      <w:divBdr>
        <w:top w:val="none" w:sz="0" w:space="0" w:color="auto"/>
        <w:left w:val="none" w:sz="0" w:space="0" w:color="auto"/>
        <w:bottom w:val="none" w:sz="0" w:space="0" w:color="auto"/>
        <w:right w:val="none" w:sz="0" w:space="0" w:color="auto"/>
      </w:divBdr>
    </w:div>
    <w:div w:id="1704595405">
      <w:bodyDiv w:val="1"/>
      <w:marLeft w:val="0"/>
      <w:marRight w:val="0"/>
      <w:marTop w:val="0"/>
      <w:marBottom w:val="0"/>
      <w:divBdr>
        <w:top w:val="none" w:sz="0" w:space="0" w:color="auto"/>
        <w:left w:val="none" w:sz="0" w:space="0" w:color="auto"/>
        <w:bottom w:val="none" w:sz="0" w:space="0" w:color="auto"/>
        <w:right w:val="none" w:sz="0" w:space="0" w:color="auto"/>
      </w:divBdr>
    </w:div>
    <w:div w:id="1755204542">
      <w:bodyDiv w:val="1"/>
      <w:marLeft w:val="0"/>
      <w:marRight w:val="0"/>
      <w:marTop w:val="0"/>
      <w:marBottom w:val="0"/>
      <w:divBdr>
        <w:top w:val="none" w:sz="0" w:space="0" w:color="auto"/>
        <w:left w:val="none" w:sz="0" w:space="0" w:color="auto"/>
        <w:bottom w:val="none" w:sz="0" w:space="0" w:color="auto"/>
        <w:right w:val="none" w:sz="0" w:space="0" w:color="auto"/>
      </w:divBdr>
    </w:div>
    <w:div w:id="1763063313">
      <w:bodyDiv w:val="1"/>
      <w:marLeft w:val="0"/>
      <w:marRight w:val="0"/>
      <w:marTop w:val="0"/>
      <w:marBottom w:val="0"/>
      <w:divBdr>
        <w:top w:val="none" w:sz="0" w:space="0" w:color="auto"/>
        <w:left w:val="none" w:sz="0" w:space="0" w:color="auto"/>
        <w:bottom w:val="none" w:sz="0" w:space="0" w:color="auto"/>
        <w:right w:val="none" w:sz="0" w:space="0" w:color="auto"/>
      </w:divBdr>
    </w:div>
    <w:div w:id="1770156650">
      <w:bodyDiv w:val="1"/>
      <w:marLeft w:val="0"/>
      <w:marRight w:val="0"/>
      <w:marTop w:val="0"/>
      <w:marBottom w:val="0"/>
      <w:divBdr>
        <w:top w:val="none" w:sz="0" w:space="0" w:color="auto"/>
        <w:left w:val="none" w:sz="0" w:space="0" w:color="auto"/>
        <w:bottom w:val="none" w:sz="0" w:space="0" w:color="auto"/>
        <w:right w:val="none" w:sz="0" w:space="0" w:color="auto"/>
      </w:divBdr>
    </w:div>
    <w:div w:id="1788042893">
      <w:bodyDiv w:val="1"/>
      <w:marLeft w:val="0"/>
      <w:marRight w:val="0"/>
      <w:marTop w:val="0"/>
      <w:marBottom w:val="0"/>
      <w:divBdr>
        <w:top w:val="none" w:sz="0" w:space="0" w:color="auto"/>
        <w:left w:val="none" w:sz="0" w:space="0" w:color="auto"/>
        <w:bottom w:val="none" w:sz="0" w:space="0" w:color="auto"/>
        <w:right w:val="none" w:sz="0" w:space="0" w:color="auto"/>
      </w:divBdr>
    </w:div>
    <w:div w:id="1790122547">
      <w:bodyDiv w:val="1"/>
      <w:marLeft w:val="0"/>
      <w:marRight w:val="0"/>
      <w:marTop w:val="0"/>
      <w:marBottom w:val="0"/>
      <w:divBdr>
        <w:top w:val="none" w:sz="0" w:space="0" w:color="auto"/>
        <w:left w:val="none" w:sz="0" w:space="0" w:color="auto"/>
        <w:bottom w:val="none" w:sz="0" w:space="0" w:color="auto"/>
        <w:right w:val="none" w:sz="0" w:space="0" w:color="auto"/>
      </w:divBdr>
    </w:div>
    <w:div w:id="1795059898">
      <w:bodyDiv w:val="1"/>
      <w:marLeft w:val="0"/>
      <w:marRight w:val="0"/>
      <w:marTop w:val="0"/>
      <w:marBottom w:val="0"/>
      <w:divBdr>
        <w:top w:val="none" w:sz="0" w:space="0" w:color="auto"/>
        <w:left w:val="none" w:sz="0" w:space="0" w:color="auto"/>
        <w:bottom w:val="none" w:sz="0" w:space="0" w:color="auto"/>
        <w:right w:val="none" w:sz="0" w:space="0" w:color="auto"/>
      </w:divBdr>
    </w:div>
    <w:div w:id="1837182447">
      <w:bodyDiv w:val="1"/>
      <w:marLeft w:val="0"/>
      <w:marRight w:val="0"/>
      <w:marTop w:val="0"/>
      <w:marBottom w:val="0"/>
      <w:divBdr>
        <w:top w:val="none" w:sz="0" w:space="0" w:color="auto"/>
        <w:left w:val="none" w:sz="0" w:space="0" w:color="auto"/>
        <w:bottom w:val="none" w:sz="0" w:space="0" w:color="auto"/>
        <w:right w:val="none" w:sz="0" w:space="0" w:color="auto"/>
      </w:divBdr>
    </w:div>
    <w:div w:id="1840195382">
      <w:bodyDiv w:val="1"/>
      <w:marLeft w:val="0"/>
      <w:marRight w:val="0"/>
      <w:marTop w:val="0"/>
      <w:marBottom w:val="0"/>
      <w:divBdr>
        <w:top w:val="none" w:sz="0" w:space="0" w:color="auto"/>
        <w:left w:val="none" w:sz="0" w:space="0" w:color="auto"/>
        <w:bottom w:val="none" w:sz="0" w:space="0" w:color="auto"/>
        <w:right w:val="none" w:sz="0" w:space="0" w:color="auto"/>
      </w:divBdr>
    </w:div>
    <w:div w:id="1847746725">
      <w:bodyDiv w:val="1"/>
      <w:marLeft w:val="0"/>
      <w:marRight w:val="0"/>
      <w:marTop w:val="0"/>
      <w:marBottom w:val="0"/>
      <w:divBdr>
        <w:top w:val="none" w:sz="0" w:space="0" w:color="auto"/>
        <w:left w:val="none" w:sz="0" w:space="0" w:color="auto"/>
        <w:bottom w:val="none" w:sz="0" w:space="0" w:color="auto"/>
        <w:right w:val="none" w:sz="0" w:space="0" w:color="auto"/>
      </w:divBdr>
    </w:div>
    <w:div w:id="1865825715">
      <w:bodyDiv w:val="1"/>
      <w:marLeft w:val="0"/>
      <w:marRight w:val="0"/>
      <w:marTop w:val="0"/>
      <w:marBottom w:val="0"/>
      <w:divBdr>
        <w:top w:val="none" w:sz="0" w:space="0" w:color="auto"/>
        <w:left w:val="none" w:sz="0" w:space="0" w:color="auto"/>
        <w:bottom w:val="none" w:sz="0" w:space="0" w:color="auto"/>
        <w:right w:val="none" w:sz="0" w:space="0" w:color="auto"/>
      </w:divBdr>
    </w:div>
    <w:div w:id="1901624983">
      <w:bodyDiv w:val="1"/>
      <w:marLeft w:val="0"/>
      <w:marRight w:val="0"/>
      <w:marTop w:val="0"/>
      <w:marBottom w:val="0"/>
      <w:divBdr>
        <w:top w:val="none" w:sz="0" w:space="0" w:color="auto"/>
        <w:left w:val="none" w:sz="0" w:space="0" w:color="auto"/>
        <w:bottom w:val="none" w:sz="0" w:space="0" w:color="auto"/>
        <w:right w:val="none" w:sz="0" w:space="0" w:color="auto"/>
      </w:divBdr>
    </w:div>
    <w:div w:id="1903173738">
      <w:bodyDiv w:val="1"/>
      <w:marLeft w:val="0"/>
      <w:marRight w:val="0"/>
      <w:marTop w:val="0"/>
      <w:marBottom w:val="0"/>
      <w:divBdr>
        <w:top w:val="none" w:sz="0" w:space="0" w:color="auto"/>
        <w:left w:val="none" w:sz="0" w:space="0" w:color="auto"/>
        <w:bottom w:val="none" w:sz="0" w:space="0" w:color="auto"/>
        <w:right w:val="none" w:sz="0" w:space="0" w:color="auto"/>
      </w:divBdr>
    </w:div>
    <w:div w:id="1927182223">
      <w:bodyDiv w:val="1"/>
      <w:marLeft w:val="0"/>
      <w:marRight w:val="0"/>
      <w:marTop w:val="0"/>
      <w:marBottom w:val="0"/>
      <w:divBdr>
        <w:top w:val="none" w:sz="0" w:space="0" w:color="auto"/>
        <w:left w:val="none" w:sz="0" w:space="0" w:color="auto"/>
        <w:bottom w:val="none" w:sz="0" w:space="0" w:color="auto"/>
        <w:right w:val="none" w:sz="0" w:space="0" w:color="auto"/>
      </w:divBdr>
    </w:div>
    <w:div w:id="1935279459">
      <w:bodyDiv w:val="1"/>
      <w:marLeft w:val="0"/>
      <w:marRight w:val="0"/>
      <w:marTop w:val="0"/>
      <w:marBottom w:val="0"/>
      <w:divBdr>
        <w:top w:val="none" w:sz="0" w:space="0" w:color="auto"/>
        <w:left w:val="none" w:sz="0" w:space="0" w:color="auto"/>
        <w:bottom w:val="none" w:sz="0" w:space="0" w:color="auto"/>
        <w:right w:val="none" w:sz="0" w:space="0" w:color="auto"/>
      </w:divBdr>
    </w:div>
    <w:div w:id="1946423356">
      <w:bodyDiv w:val="1"/>
      <w:marLeft w:val="0"/>
      <w:marRight w:val="0"/>
      <w:marTop w:val="0"/>
      <w:marBottom w:val="0"/>
      <w:divBdr>
        <w:top w:val="none" w:sz="0" w:space="0" w:color="auto"/>
        <w:left w:val="none" w:sz="0" w:space="0" w:color="auto"/>
        <w:bottom w:val="none" w:sz="0" w:space="0" w:color="auto"/>
        <w:right w:val="none" w:sz="0" w:space="0" w:color="auto"/>
      </w:divBdr>
    </w:div>
    <w:div w:id="1971520903">
      <w:bodyDiv w:val="1"/>
      <w:marLeft w:val="0"/>
      <w:marRight w:val="0"/>
      <w:marTop w:val="0"/>
      <w:marBottom w:val="0"/>
      <w:divBdr>
        <w:top w:val="none" w:sz="0" w:space="0" w:color="auto"/>
        <w:left w:val="none" w:sz="0" w:space="0" w:color="auto"/>
        <w:bottom w:val="none" w:sz="0" w:space="0" w:color="auto"/>
        <w:right w:val="none" w:sz="0" w:space="0" w:color="auto"/>
      </w:divBdr>
    </w:div>
    <w:div w:id="1975594549">
      <w:bodyDiv w:val="1"/>
      <w:marLeft w:val="0"/>
      <w:marRight w:val="0"/>
      <w:marTop w:val="0"/>
      <w:marBottom w:val="0"/>
      <w:divBdr>
        <w:top w:val="none" w:sz="0" w:space="0" w:color="auto"/>
        <w:left w:val="none" w:sz="0" w:space="0" w:color="auto"/>
        <w:bottom w:val="none" w:sz="0" w:space="0" w:color="auto"/>
        <w:right w:val="none" w:sz="0" w:space="0" w:color="auto"/>
      </w:divBdr>
    </w:div>
    <w:div w:id="1979912239">
      <w:bodyDiv w:val="1"/>
      <w:marLeft w:val="0"/>
      <w:marRight w:val="0"/>
      <w:marTop w:val="0"/>
      <w:marBottom w:val="0"/>
      <w:divBdr>
        <w:top w:val="none" w:sz="0" w:space="0" w:color="auto"/>
        <w:left w:val="none" w:sz="0" w:space="0" w:color="auto"/>
        <w:bottom w:val="none" w:sz="0" w:space="0" w:color="auto"/>
        <w:right w:val="none" w:sz="0" w:space="0" w:color="auto"/>
      </w:divBdr>
    </w:div>
    <w:div w:id="1981614920">
      <w:bodyDiv w:val="1"/>
      <w:marLeft w:val="0"/>
      <w:marRight w:val="0"/>
      <w:marTop w:val="0"/>
      <w:marBottom w:val="0"/>
      <w:divBdr>
        <w:top w:val="none" w:sz="0" w:space="0" w:color="auto"/>
        <w:left w:val="none" w:sz="0" w:space="0" w:color="auto"/>
        <w:bottom w:val="none" w:sz="0" w:space="0" w:color="auto"/>
        <w:right w:val="none" w:sz="0" w:space="0" w:color="auto"/>
      </w:divBdr>
    </w:div>
    <w:div w:id="2049256075">
      <w:bodyDiv w:val="1"/>
      <w:marLeft w:val="0"/>
      <w:marRight w:val="0"/>
      <w:marTop w:val="0"/>
      <w:marBottom w:val="0"/>
      <w:divBdr>
        <w:top w:val="none" w:sz="0" w:space="0" w:color="auto"/>
        <w:left w:val="none" w:sz="0" w:space="0" w:color="auto"/>
        <w:bottom w:val="none" w:sz="0" w:space="0" w:color="auto"/>
        <w:right w:val="none" w:sz="0" w:space="0" w:color="auto"/>
      </w:divBdr>
    </w:div>
    <w:div w:id="2057702124">
      <w:bodyDiv w:val="1"/>
      <w:marLeft w:val="0"/>
      <w:marRight w:val="0"/>
      <w:marTop w:val="0"/>
      <w:marBottom w:val="0"/>
      <w:divBdr>
        <w:top w:val="none" w:sz="0" w:space="0" w:color="auto"/>
        <w:left w:val="none" w:sz="0" w:space="0" w:color="auto"/>
        <w:bottom w:val="none" w:sz="0" w:space="0" w:color="auto"/>
        <w:right w:val="none" w:sz="0" w:space="0" w:color="auto"/>
      </w:divBdr>
    </w:div>
    <w:div w:id="2059090032">
      <w:bodyDiv w:val="1"/>
      <w:marLeft w:val="0"/>
      <w:marRight w:val="0"/>
      <w:marTop w:val="0"/>
      <w:marBottom w:val="0"/>
      <w:divBdr>
        <w:top w:val="none" w:sz="0" w:space="0" w:color="auto"/>
        <w:left w:val="none" w:sz="0" w:space="0" w:color="auto"/>
        <w:bottom w:val="none" w:sz="0" w:space="0" w:color="auto"/>
        <w:right w:val="none" w:sz="0" w:space="0" w:color="auto"/>
      </w:divBdr>
    </w:div>
    <w:div w:id="208594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vkt.lrv.l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vkt.lrv.lt/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E4AB92036B444898921BC5313F335A" ma:contentTypeVersion="5" ma:contentTypeDescription="Create a new document." ma:contentTypeScope="" ma:versionID="426eacc62ca825137d856afd4ffdbade">
  <xsd:schema xmlns:xsd="http://www.w3.org/2001/XMLSchema" xmlns:xs="http://www.w3.org/2001/XMLSchema" xmlns:p="http://schemas.microsoft.com/office/2006/metadata/properties" xmlns:ns2="8caceea9-b5d0-4f55-9d79-4284f92dc6b7" targetNamespace="http://schemas.microsoft.com/office/2006/metadata/properties" ma:root="true" ma:fieldsID="dd2296fb32da8b0fce109237c9561667" ns2:_="">
    <xsd:import namespace="8caceea9-b5d0-4f55-9d79-4284f92dc6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ceea9-b5d0-4f55-9d79-4284f92dc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9D16C6-9C9C-4EF2-98BD-6C31038372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B9A9B3-2020-4963-AA9C-ECE77DD71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ceea9-b5d0-4f55-9d79-4284f92d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0970D3-8CC7-B044-85C7-9A51B1F7EE58}">
  <ds:schemaRefs>
    <ds:schemaRef ds:uri="http://schemas.openxmlformats.org/officeDocument/2006/bibliography"/>
  </ds:schemaRefs>
</ds:datastoreItem>
</file>

<file path=customXml/itemProps4.xml><?xml version="1.0" encoding="utf-8"?>
<ds:datastoreItem xmlns:ds="http://schemas.openxmlformats.org/officeDocument/2006/customXml" ds:itemID="{A5264B98-CCF4-4FC2-811D-082904319DFE}">
  <ds:schemaRefs>
    <ds:schemaRef ds:uri="http://schemas.microsoft.com/sharepoint/v3/contenttype/forms"/>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61</Pages>
  <Words>19665</Words>
  <Characters>133560</Characters>
  <Application>Microsoft Office Word</Application>
  <DocSecurity>0</DocSecurity>
  <Lines>1113</Lines>
  <Paragraphs>305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Birutė Valkauskaitė</cp:lastModifiedBy>
  <cp:revision>3</cp:revision>
  <dcterms:created xsi:type="dcterms:W3CDTF">2025-10-02T11:07:00Z</dcterms:created>
  <dcterms:modified xsi:type="dcterms:W3CDTF">2025-10-02T11:08:00Z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2021-02-02T08:52:18Z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afa5679d-d283-406f-b236-e4477f6db598</vt:lpwstr>
  </property>
  <property fmtid="{D5CDD505-2E9C-101B-9397-08002B2CF9AE}" pid="8" name="MSIP_Label_4929bff8-5b33-42aa-95d2-28f72e792cb0_ContentBits">
    <vt:lpwstr>0</vt:lpwstr>
  </property>
  <property fmtid="{D5CDD505-2E9C-101B-9397-08002B2CF9AE}" pid="9" name="ContentTypeId">
    <vt:lpwstr>0x01010094E4AB92036B444898921BC5313F335A</vt:lpwstr>
  </property>
</Properties>
</file>