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FD4F7" w14:textId="6EBF4B23" w:rsidR="004A23E6" w:rsidRPr="000D7F6B" w:rsidRDefault="004A23E6" w:rsidP="004A23E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kern w:val="28"/>
          <w:lang w:val="lt-LT" w:eastAsia="lt-LT"/>
        </w:rPr>
        <w:t>B. PAKUOTĖS LAPELIS</w:t>
      </w:r>
    </w:p>
    <w:p w14:paraId="39E9E039" w14:textId="77777777" w:rsidR="004A23E6" w:rsidRPr="000D7F6B" w:rsidRDefault="004A23E6" w:rsidP="004A23E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br w:type="page"/>
      </w:r>
      <w:r>
        <w:rPr>
          <w:rFonts w:ascii="Times New Roman" w:eastAsia="Calibri" w:hAnsi="Times New Roman" w:cs="Times New Roman"/>
          <w:b/>
          <w:bCs/>
          <w:lang w:val="lt-LT" w:eastAsia="lt-LT"/>
        </w:rPr>
        <w:lastRenderedPageBreak/>
        <w:t>P</w:t>
      </w:r>
      <w:r w:rsidRPr="000D7F6B">
        <w:rPr>
          <w:rFonts w:ascii="Times New Roman" w:eastAsia="Calibri" w:hAnsi="Times New Roman" w:cs="Times New Roman"/>
          <w:b/>
          <w:bCs/>
          <w:lang w:val="lt-LT" w:eastAsia="lt-LT"/>
        </w:rPr>
        <w:t>akuotės lapelis: informacija vartotojui</w:t>
      </w:r>
    </w:p>
    <w:p w14:paraId="5C4BB20A" w14:textId="77777777" w:rsidR="004A23E6" w:rsidRPr="000D7F6B" w:rsidRDefault="004A23E6" w:rsidP="004A23E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14:paraId="5EFA0079" w14:textId="5861E2C3" w:rsidR="004A23E6" w:rsidRPr="000D7F6B" w:rsidRDefault="0049049D" w:rsidP="004A23E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lt-LT" w:eastAsia="lt-LT"/>
        </w:rPr>
      </w:pPr>
      <w:r w:rsidRPr="0049049D">
        <w:rPr>
          <w:rFonts w:ascii="Times New Roman" w:eastAsia="Calibri" w:hAnsi="Times New Roman" w:cs="Times New Roman"/>
          <w:b/>
          <w:lang w:val="lt-LT" w:eastAsia="lt-LT"/>
        </w:rPr>
        <w:t xml:space="preserve">TROXEVASIN </w:t>
      </w:r>
      <w:r w:rsidR="004A23E6" w:rsidRPr="000D7F6B">
        <w:rPr>
          <w:rFonts w:ascii="Times New Roman" w:eastAsia="Calibri" w:hAnsi="Times New Roman" w:cs="Times New Roman"/>
          <w:b/>
          <w:lang w:val="lt-LT" w:eastAsia="lt-LT"/>
        </w:rPr>
        <w:t>2</w:t>
      </w:r>
      <w:r w:rsidR="00122EA4">
        <w:rPr>
          <w:rFonts w:ascii="Times New Roman" w:eastAsia="Calibri" w:hAnsi="Times New Roman" w:cs="Times New Roman"/>
          <w:b/>
          <w:lang w:val="lt-LT" w:eastAsia="lt-LT"/>
        </w:rPr>
        <w:t>0 mg/g</w:t>
      </w:r>
      <w:r w:rsidR="004A23E6">
        <w:rPr>
          <w:rFonts w:ascii="Times New Roman" w:eastAsia="Calibri" w:hAnsi="Times New Roman" w:cs="Times New Roman"/>
          <w:b/>
          <w:lang w:val="lt-LT" w:eastAsia="lt-LT"/>
        </w:rPr>
        <w:t> </w:t>
      </w:r>
      <w:r w:rsidR="004A23E6" w:rsidRPr="000D7F6B">
        <w:rPr>
          <w:rFonts w:ascii="Times New Roman" w:eastAsia="Calibri" w:hAnsi="Times New Roman" w:cs="Times New Roman"/>
          <w:b/>
          <w:lang w:val="lt-LT" w:eastAsia="lt-LT"/>
        </w:rPr>
        <w:t>gelis</w:t>
      </w:r>
    </w:p>
    <w:p w14:paraId="37F10FCD" w14:textId="002E911C" w:rsidR="004A23E6" w:rsidRPr="000D7F6B" w:rsidRDefault="0049049D" w:rsidP="004A23E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iCs/>
          <w:lang w:val="lt-LT" w:eastAsia="lt-LT"/>
        </w:rPr>
        <w:t>t</w:t>
      </w:r>
      <w:r w:rsidR="004A23E6"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rokserutinas </w:t>
      </w:r>
    </w:p>
    <w:p w14:paraId="35F81041" w14:textId="77777777" w:rsidR="004A23E6" w:rsidRPr="000D7F6B" w:rsidRDefault="004A23E6" w:rsidP="004A23E6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val="lt-LT" w:eastAsia="lt-LT"/>
        </w:rPr>
      </w:pPr>
    </w:p>
    <w:p w14:paraId="08944CDB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iCs/>
          <w:lang w:val="lt-LT" w:eastAsia="lt-LT"/>
        </w:rPr>
        <w:t xml:space="preserve">Atidžiai perskaitykite visą šį lapelį, </w:t>
      </w:r>
      <w:r>
        <w:rPr>
          <w:rFonts w:ascii="Times New Roman" w:eastAsia="Calibri" w:hAnsi="Times New Roman" w:cs="Times New Roman"/>
          <w:b/>
          <w:iCs/>
          <w:lang w:val="lt-LT" w:eastAsia="lt-LT"/>
        </w:rPr>
        <w:t xml:space="preserve">prieš pradėdami vartoti šį vaistą, </w:t>
      </w:r>
      <w:r w:rsidRPr="000D7F6B">
        <w:rPr>
          <w:rFonts w:ascii="Times New Roman" w:eastAsia="Calibri" w:hAnsi="Times New Roman" w:cs="Times New Roman"/>
          <w:b/>
          <w:iCs/>
          <w:lang w:val="lt-LT" w:eastAsia="lt-LT"/>
        </w:rPr>
        <w:t>nes jame pateikiama Jums svarbi informacija.</w:t>
      </w:r>
    </w:p>
    <w:p w14:paraId="3C552CB9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iCs/>
          <w:lang w:val="lt-LT" w:eastAsia="lt-LT"/>
        </w:rPr>
      </w:pPr>
      <w:r w:rsidRPr="00234929">
        <w:rPr>
          <w:rFonts w:ascii="Times New Roman" w:eastAsia="Calibri" w:hAnsi="Times New Roman" w:cs="Times New Roman"/>
          <w:bCs/>
          <w:iCs/>
          <w:lang w:val="lt-LT" w:eastAsia="lt-LT"/>
        </w:rPr>
        <w:t>Visada vartokite šį vaistą tiksliai kaip aprašyta šiame lapelyje arba kaip nurodė vaistininkas</w:t>
      </w:r>
      <w:r>
        <w:rPr>
          <w:rFonts w:ascii="Times New Roman" w:eastAsia="Calibri" w:hAnsi="Times New Roman" w:cs="Times New Roman"/>
          <w:bCs/>
          <w:iCs/>
          <w:lang w:val="lt-LT" w:eastAsia="lt-LT"/>
        </w:rPr>
        <w:t>.</w:t>
      </w:r>
    </w:p>
    <w:p w14:paraId="2AA193C5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-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ab/>
        <w:t xml:space="preserve">Neišmeskite 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šio 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lapelio, nes vėl gali prireikti jį perskaityti.</w:t>
      </w:r>
    </w:p>
    <w:p w14:paraId="13AEA8E3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-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ab/>
        <w:t>Jeigu norite sužinoti daugiau arba pasitarti, kreipkitės į vaistininką.</w:t>
      </w:r>
    </w:p>
    <w:p w14:paraId="2E91C869" w14:textId="77777777" w:rsidR="004A23E6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-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ab/>
      </w:r>
      <w:r>
        <w:rPr>
          <w:rFonts w:ascii="Times New Roman" w:eastAsia="Calibri" w:hAnsi="Times New Roman" w:cs="Times New Roman"/>
          <w:iCs/>
          <w:lang w:val="lt-LT" w:eastAsia="lt-LT"/>
        </w:rPr>
        <w:t>J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eigu pasireiškė šalutinis poveikis </w:t>
      </w:r>
      <w:r>
        <w:rPr>
          <w:rFonts w:ascii="Times New Roman" w:eastAsia="Calibri" w:hAnsi="Times New Roman" w:cs="Times New Roman"/>
          <w:iCs/>
          <w:lang w:val="lt-LT" w:eastAsia="lt-LT"/>
        </w:rPr>
        <w:t>(net jeigu jis šiame lapelyje nenurodytas)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, </w:t>
      </w:r>
      <w:r>
        <w:rPr>
          <w:rFonts w:ascii="Times New Roman" w:eastAsia="Calibri" w:hAnsi="Times New Roman" w:cs="Times New Roman"/>
          <w:iCs/>
          <w:lang w:val="lt-LT" w:eastAsia="lt-LT"/>
        </w:rPr>
        <w:t>kreipkitės į gydytoją arba vaistininką. Žr. 4 skyrių.</w:t>
      </w:r>
    </w:p>
    <w:p w14:paraId="29C2239C" w14:textId="77777777" w:rsidR="004A23E6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>
        <w:rPr>
          <w:rFonts w:ascii="Times New Roman" w:eastAsia="Calibri" w:hAnsi="Times New Roman" w:cs="Times New Roman"/>
          <w:iCs/>
          <w:lang w:val="lt-LT" w:eastAsia="lt-LT"/>
        </w:rPr>
        <w:t>-</w:t>
      </w:r>
      <w:r>
        <w:rPr>
          <w:rFonts w:ascii="Times New Roman" w:eastAsia="Calibri" w:hAnsi="Times New Roman" w:cs="Times New Roman"/>
          <w:iCs/>
          <w:lang w:val="lt-LT" w:eastAsia="lt-LT"/>
        </w:rPr>
        <w:tab/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Jeigu per 3</w:t>
      </w:r>
      <w:r>
        <w:rPr>
          <w:rFonts w:ascii="Times New Roman" w:eastAsia="Calibri" w:hAnsi="Times New Roman" w:cs="Times New Roman"/>
          <w:iCs/>
          <w:lang w:val="lt-LT" w:eastAsia="lt-LT"/>
        </w:rPr>
        <w:t> 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dienas 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Jūsų savijauta 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ne</w:t>
      </w:r>
      <w:r>
        <w:rPr>
          <w:rFonts w:ascii="Times New Roman" w:eastAsia="Calibri" w:hAnsi="Times New Roman" w:cs="Times New Roman"/>
          <w:iCs/>
          <w:lang w:val="lt-LT" w:eastAsia="lt-LT"/>
        </w:rPr>
        <w:t>gerėjo arba net pablogėjo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, kreipkitės į gydytoją.</w:t>
      </w:r>
    </w:p>
    <w:p w14:paraId="17DCEBBF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</w:p>
    <w:p w14:paraId="114CAA39" w14:textId="77777777" w:rsidR="004A23E6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Calibri" w:hAnsi="Times New Roman" w:cs="Times New Roman"/>
          <w:b/>
          <w:lang w:val="lt-LT" w:eastAsia="lt-LT"/>
        </w:rPr>
        <w:t>Apie ką rašoma šiame lapelyje?</w:t>
      </w:r>
    </w:p>
    <w:p w14:paraId="452B0A26" w14:textId="6D56893F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1.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  <w:t xml:space="preserve">Kas yra </w:t>
      </w:r>
      <w:r w:rsidR="0049049D">
        <w:rPr>
          <w:rFonts w:ascii="Times New Roman" w:eastAsia="Calibri" w:hAnsi="Times New Roman" w:cs="Times New Roman"/>
          <w:bCs/>
          <w:lang w:val="lt-LT" w:eastAsia="lt-LT"/>
        </w:rPr>
        <w:t>TROXEVASIN</w:t>
      </w:r>
      <w:r w:rsidRPr="000D7F6B">
        <w:rPr>
          <w:rFonts w:ascii="Times New Roman" w:eastAsia="Calibri" w:hAnsi="Times New Roman" w:cs="Times New Roman"/>
          <w:bCs/>
          <w:lang w:val="lt-LT" w:eastAsia="lt-LT"/>
        </w:rPr>
        <w:t xml:space="preserve"> </w:t>
      </w:r>
      <w:r w:rsidRPr="000D7F6B">
        <w:rPr>
          <w:rFonts w:ascii="Times New Roman" w:eastAsia="Calibri" w:hAnsi="Times New Roman" w:cs="Times New Roman"/>
          <w:lang w:val="lt-LT" w:eastAsia="lt-LT"/>
        </w:rPr>
        <w:t>ir kam jis vartojamas</w:t>
      </w:r>
    </w:p>
    <w:p w14:paraId="1F312B8C" w14:textId="39648A11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2.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  <w:t xml:space="preserve">Kas žinotina prieš vartojant </w:t>
      </w:r>
      <w:r w:rsidR="0049049D">
        <w:rPr>
          <w:rFonts w:ascii="Times New Roman" w:eastAsia="Calibri" w:hAnsi="Times New Roman" w:cs="Times New Roman"/>
          <w:bCs/>
          <w:lang w:val="lt-LT" w:eastAsia="lt-LT"/>
        </w:rPr>
        <w:t>TROXEVASIN</w:t>
      </w:r>
      <w:r w:rsidRPr="000D7F6B">
        <w:rPr>
          <w:rFonts w:ascii="Times New Roman" w:eastAsia="Calibri" w:hAnsi="Times New Roman" w:cs="Times New Roman"/>
          <w:bCs/>
          <w:lang w:val="lt-LT" w:eastAsia="lt-LT"/>
        </w:rPr>
        <w:t xml:space="preserve"> </w:t>
      </w:r>
    </w:p>
    <w:p w14:paraId="3C60683C" w14:textId="780EF975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3.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  <w:t xml:space="preserve">Kaip vartoti </w:t>
      </w:r>
      <w:r w:rsidR="0049049D">
        <w:rPr>
          <w:rFonts w:ascii="Times New Roman" w:eastAsia="Calibri" w:hAnsi="Times New Roman" w:cs="Times New Roman"/>
          <w:bCs/>
          <w:lang w:val="lt-LT" w:eastAsia="lt-LT"/>
        </w:rPr>
        <w:t>TROXEVASIN</w:t>
      </w:r>
      <w:r w:rsidRPr="000D7F6B">
        <w:rPr>
          <w:rFonts w:ascii="Times New Roman" w:eastAsia="Calibri" w:hAnsi="Times New Roman" w:cs="Times New Roman"/>
          <w:bCs/>
          <w:lang w:val="lt-LT" w:eastAsia="lt-LT"/>
        </w:rPr>
        <w:t xml:space="preserve"> </w:t>
      </w:r>
    </w:p>
    <w:p w14:paraId="598B9F7C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4.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  <w:t>Galimas šalutinis poveikis</w:t>
      </w:r>
    </w:p>
    <w:p w14:paraId="5C724225" w14:textId="1778A9BF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5.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  <w:t xml:space="preserve">Kaip laikyti </w:t>
      </w:r>
      <w:r w:rsidR="0049049D">
        <w:rPr>
          <w:rFonts w:ascii="Times New Roman" w:eastAsia="Calibri" w:hAnsi="Times New Roman" w:cs="Times New Roman"/>
          <w:bCs/>
          <w:lang w:val="lt-LT" w:eastAsia="lt-LT"/>
        </w:rPr>
        <w:t>TROXEVASIN</w:t>
      </w:r>
    </w:p>
    <w:p w14:paraId="26606713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6.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</w:r>
      <w:r>
        <w:rPr>
          <w:rFonts w:ascii="Times New Roman" w:eastAsia="Calibri" w:hAnsi="Times New Roman" w:cs="Times New Roman"/>
          <w:lang w:val="lt-LT" w:eastAsia="lt-LT"/>
        </w:rPr>
        <w:t>Pakuotės turinys ir k</w:t>
      </w:r>
      <w:r w:rsidRPr="000D7F6B">
        <w:rPr>
          <w:rFonts w:ascii="Times New Roman" w:eastAsia="Calibri" w:hAnsi="Times New Roman" w:cs="Times New Roman"/>
          <w:lang w:val="lt-LT" w:eastAsia="lt-LT"/>
        </w:rPr>
        <w:t>ita informacija</w:t>
      </w:r>
    </w:p>
    <w:p w14:paraId="5B5F1160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692A8908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FD7ED19" w14:textId="35A1E22A" w:rsidR="004A23E6" w:rsidRPr="000D7F6B" w:rsidRDefault="004A23E6" w:rsidP="004A23E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1.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</w:r>
      <w:r>
        <w:rPr>
          <w:rFonts w:ascii="Times New Roman" w:eastAsia="Calibri" w:hAnsi="Times New Roman" w:cs="Times New Roman"/>
          <w:b/>
          <w:lang w:val="lt-LT" w:eastAsia="lt-LT"/>
        </w:rPr>
        <w:t>K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as yra </w:t>
      </w:r>
      <w:r w:rsidR="0049049D">
        <w:rPr>
          <w:rFonts w:ascii="Times New Roman" w:eastAsia="Calibri" w:hAnsi="Times New Roman" w:cs="Times New Roman"/>
          <w:b/>
          <w:lang w:val="lt-LT" w:eastAsia="lt-LT"/>
        </w:rPr>
        <w:t>TROXEVASIN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 ir kam jis vartojamas</w:t>
      </w:r>
    </w:p>
    <w:p w14:paraId="39AF8EDB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F0838EF" w14:textId="04A5C8B5" w:rsidR="004A23E6" w:rsidRPr="000D7F6B" w:rsidRDefault="0049049D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TROXEVASIN</w:t>
      </w:r>
      <w:r w:rsidR="004A23E6" w:rsidRPr="000D7F6B">
        <w:rPr>
          <w:rFonts w:ascii="Times New Roman" w:eastAsia="Calibri" w:hAnsi="Times New Roman" w:cs="Times New Roman"/>
          <w:lang w:val="lt-LT" w:eastAsia="lt-LT"/>
        </w:rPr>
        <w:t xml:space="preserve"> mažina kapiliarų laidumą bei trapumą, mažina šalia venų esančio audinio uždegimą, trombocitų agregaciją, didina venų ir kapiliarų tonusą. </w:t>
      </w:r>
    </w:p>
    <w:p w14:paraId="197CE658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679D7650" w14:textId="26F03E3E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 xml:space="preserve">Dėl minėto poveikio </w:t>
      </w:r>
      <w:r w:rsidR="0049049D">
        <w:rPr>
          <w:rFonts w:ascii="Times New Roman" w:eastAsia="Calibri" w:hAnsi="Times New Roman" w:cs="Times New Roman"/>
          <w:lang w:val="lt-LT" w:eastAsia="lt-LT"/>
        </w:rPr>
        <w:t>TROXEVASIN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tinka lengvinant veninės kraujotakos nepakankamumo simptomus (kojų, skausmą,</w:t>
      </w:r>
      <w:r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0D7F6B">
        <w:rPr>
          <w:rFonts w:ascii="Times New Roman" w:eastAsia="Calibri" w:hAnsi="Times New Roman" w:cs="Times New Roman"/>
          <w:lang w:val="lt-LT" w:eastAsia="lt-LT"/>
        </w:rPr>
        <w:t>sunkumą ir pabrinkimą).</w:t>
      </w:r>
    </w:p>
    <w:p w14:paraId="1ED0CBAF" w14:textId="77777777" w:rsidR="004A23E6" w:rsidRPr="00DE0F2F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B22AC46" w14:textId="77777777" w:rsidR="004A23E6" w:rsidRPr="00DE0F2F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234929">
        <w:rPr>
          <w:rFonts w:ascii="Times New Roman" w:eastAsia="Calibri" w:hAnsi="Times New Roman" w:cs="Times New Roman"/>
          <w:lang w:val="lt-LT" w:eastAsia="lt-LT"/>
        </w:rPr>
        <w:t xml:space="preserve">Jeigu </w:t>
      </w:r>
      <w:r w:rsidRPr="00DE0F2F">
        <w:rPr>
          <w:rFonts w:ascii="Times New Roman" w:eastAsia="Calibri" w:hAnsi="Times New Roman" w:cs="Times New Roman"/>
          <w:lang w:val="lt-LT" w:eastAsia="lt-LT"/>
        </w:rPr>
        <w:t xml:space="preserve">per </w:t>
      </w:r>
      <w:r>
        <w:rPr>
          <w:rFonts w:ascii="Times New Roman" w:eastAsia="Calibri" w:hAnsi="Times New Roman" w:cs="Times New Roman"/>
          <w:lang w:val="lt-LT" w:eastAsia="lt-LT"/>
        </w:rPr>
        <w:t>3</w:t>
      </w:r>
      <w:r w:rsidRPr="00234929">
        <w:rPr>
          <w:rFonts w:ascii="Times New Roman" w:eastAsia="Calibri" w:hAnsi="Times New Roman" w:cs="Times New Roman"/>
          <w:lang w:val="lt-LT" w:eastAsia="lt-LT"/>
        </w:rPr>
        <w:t xml:space="preserve"> dienas</w:t>
      </w:r>
      <w:r w:rsidRPr="00DE0F2F">
        <w:rPr>
          <w:rFonts w:ascii="Times New Roman" w:eastAsia="Calibri" w:hAnsi="Times New Roman" w:cs="Times New Roman"/>
          <w:lang w:val="lt-LT" w:eastAsia="lt-LT"/>
        </w:rPr>
        <w:t xml:space="preserve"> Jūsų savijauta nepagerėjo arba net pablogėjo, kreipkitės į gydytoją.</w:t>
      </w:r>
    </w:p>
    <w:p w14:paraId="0C37E003" w14:textId="77777777" w:rsidR="004A23E6" w:rsidRPr="00DE0F2F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69979C0" w14:textId="6B0A644E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2.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</w:r>
      <w:r>
        <w:rPr>
          <w:rFonts w:ascii="Times New Roman" w:eastAsia="Calibri" w:hAnsi="Times New Roman" w:cs="Times New Roman"/>
          <w:b/>
          <w:lang w:val="lt-LT" w:eastAsia="lt-LT"/>
        </w:rPr>
        <w:t>K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as žinotina prieš vartojant </w:t>
      </w:r>
      <w:r w:rsidR="0049049D">
        <w:rPr>
          <w:rFonts w:ascii="Times New Roman" w:eastAsia="Calibri" w:hAnsi="Times New Roman" w:cs="Times New Roman"/>
          <w:b/>
          <w:lang w:val="lt-LT" w:eastAsia="lt-LT"/>
        </w:rPr>
        <w:t>TROXEVASIN</w:t>
      </w:r>
    </w:p>
    <w:p w14:paraId="58E0B076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EDE866B" w14:textId="1D905A71" w:rsidR="004A23E6" w:rsidRPr="000D7F6B" w:rsidRDefault="0049049D" w:rsidP="004A23E6">
      <w:pPr>
        <w:tabs>
          <w:tab w:val="left" w:pos="567"/>
        </w:tabs>
        <w:spacing w:after="60" w:line="240" w:lineRule="auto"/>
        <w:outlineLvl w:val="7"/>
        <w:rPr>
          <w:rFonts w:ascii="Times New Roman" w:eastAsia="Calibri" w:hAnsi="Times New Roman" w:cs="Times New Roman"/>
          <w:b/>
          <w:iCs/>
          <w:lang w:val="lt-LT" w:eastAsia="lt-LT"/>
        </w:rPr>
      </w:pPr>
      <w:r>
        <w:rPr>
          <w:rFonts w:ascii="Times New Roman" w:eastAsia="Calibri" w:hAnsi="Times New Roman" w:cs="Times New Roman"/>
          <w:b/>
          <w:iCs/>
          <w:lang w:val="lt-LT" w:eastAsia="lt-LT"/>
        </w:rPr>
        <w:t>TROXEVASIN</w:t>
      </w:r>
      <w:r w:rsidR="004A23E6" w:rsidRPr="000D7F6B">
        <w:rPr>
          <w:rFonts w:ascii="Times New Roman" w:eastAsia="Calibri" w:hAnsi="Times New Roman" w:cs="Times New Roman"/>
          <w:b/>
          <w:iCs/>
          <w:lang w:val="lt-LT" w:eastAsia="lt-LT"/>
        </w:rPr>
        <w:t xml:space="preserve"> vartoti </w:t>
      </w:r>
      <w:r w:rsidR="00A038CF">
        <w:rPr>
          <w:rFonts w:ascii="Times New Roman" w:eastAsia="Calibri" w:hAnsi="Times New Roman" w:cs="Times New Roman"/>
          <w:b/>
          <w:iCs/>
          <w:lang w:val="lt-LT" w:eastAsia="lt-LT"/>
        </w:rPr>
        <w:t>draudžiama</w:t>
      </w:r>
      <w:r w:rsidR="004A23E6" w:rsidRPr="000D7F6B">
        <w:rPr>
          <w:rFonts w:ascii="Times New Roman" w:eastAsia="Calibri" w:hAnsi="Times New Roman" w:cs="Times New Roman"/>
          <w:b/>
          <w:iCs/>
          <w:lang w:val="lt-LT" w:eastAsia="lt-LT"/>
        </w:rPr>
        <w:t>:</w:t>
      </w:r>
    </w:p>
    <w:p w14:paraId="79D791C2" w14:textId="77777777" w:rsidR="004A23E6" w:rsidRPr="000D7F6B" w:rsidRDefault="004A23E6" w:rsidP="004A23E6">
      <w:pPr>
        <w:tabs>
          <w:tab w:val="left" w:pos="567"/>
        </w:tabs>
        <w:spacing w:after="60" w:line="240" w:lineRule="auto"/>
        <w:outlineLvl w:val="7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-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ab/>
        <w:t xml:space="preserve">jei </w:t>
      </w:r>
      <w:r>
        <w:rPr>
          <w:rFonts w:ascii="Times New Roman" w:eastAsia="Calibri" w:hAnsi="Times New Roman" w:cs="Times New Roman"/>
          <w:iCs/>
          <w:lang w:val="lt-LT" w:eastAsia="lt-LT"/>
        </w:rPr>
        <w:t>yra alergija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 </w:t>
      </w:r>
      <w:r>
        <w:rPr>
          <w:rFonts w:ascii="Times New Roman" w:eastAsia="Calibri" w:hAnsi="Times New Roman" w:cs="Times New Roman"/>
          <w:iCs/>
          <w:lang w:val="lt-LT" w:eastAsia="lt-LT"/>
        </w:rPr>
        <w:t>trokserutinui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 arba bet kuriai pagalbinei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 šio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 vaisto medžiagai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 (jos išvardytos 6 skyriuje)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.</w:t>
      </w:r>
    </w:p>
    <w:p w14:paraId="5DFFA5FA" w14:textId="77777777" w:rsidR="004A23E6" w:rsidRPr="000D7F6B" w:rsidRDefault="004A23E6" w:rsidP="004A23E6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val="lt-LT" w:eastAsia="lt-LT"/>
        </w:rPr>
      </w:pPr>
    </w:p>
    <w:p w14:paraId="338F543E" w14:textId="77777777" w:rsidR="004A23E6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Calibri" w:hAnsi="Times New Roman" w:cs="Times New Roman"/>
          <w:b/>
          <w:lang w:val="lt-LT" w:eastAsia="lt-LT"/>
        </w:rPr>
        <w:t>Įspėjimai ir atsargumo priemonės</w:t>
      </w:r>
    </w:p>
    <w:p w14:paraId="1C9FA1FF" w14:textId="566C00E8" w:rsidR="004A23E6" w:rsidRPr="00944E9C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C5A2A">
        <w:rPr>
          <w:rFonts w:ascii="Times New Roman" w:eastAsia="Calibri" w:hAnsi="Times New Roman" w:cs="Times New Roman"/>
          <w:lang w:val="lt-LT" w:eastAsia="lt-LT"/>
        </w:rPr>
        <w:t>Pasitarkite su gydytoju arba</w:t>
      </w:r>
      <w:r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944E9C">
        <w:rPr>
          <w:rFonts w:ascii="Times New Roman" w:eastAsia="Calibri" w:hAnsi="Times New Roman" w:cs="Times New Roman"/>
          <w:lang w:val="lt-LT" w:eastAsia="lt-LT"/>
        </w:rPr>
        <w:t xml:space="preserve">vaistininku, prieš pradėdami vartoti </w:t>
      </w:r>
      <w:r w:rsidR="0049049D">
        <w:rPr>
          <w:rFonts w:ascii="Times New Roman" w:eastAsia="Calibri" w:hAnsi="Times New Roman" w:cs="Times New Roman"/>
          <w:lang w:val="lt-LT" w:eastAsia="lt-LT"/>
        </w:rPr>
        <w:t>TROXEVASIN</w:t>
      </w:r>
      <w:r w:rsidRPr="00944E9C">
        <w:rPr>
          <w:rFonts w:ascii="Times New Roman" w:eastAsia="Calibri" w:hAnsi="Times New Roman" w:cs="Times New Roman"/>
          <w:lang w:val="lt-LT" w:eastAsia="lt-LT"/>
        </w:rPr>
        <w:t>.</w:t>
      </w:r>
    </w:p>
    <w:p w14:paraId="33167473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7F7E3E2F" w14:textId="2480F2B8" w:rsidR="004A23E6" w:rsidRPr="00944E9C" w:rsidRDefault="004A23E6" w:rsidP="004A23E6">
      <w:pPr>
        <w:pStyle w:val="Betarp"/>
        <w:rPr>
          <w:rFonts w:ascii="Times New Roman" w:hAnsi="Times New Roman" w:cs="Times New Roman"/>
          <w:lang w:val="lt-LT" w:eastAsia="lt-LT"/>
        </w:rPr>
      </w:pPr>
      <w:r w:rsidRPr="00944E9C">
        <w:rPr>
          <w:rFonts w:ascii="Times New Roman" w:hAnsi="Times New Roman" w:cs="Times New Roman"/>
          <w:lang w:val="lt-LT" w:eastAsia="lt-LT"/>
        </w:rPr>
        <w:t xml:space="preserve">Gydymo </w:t>
      </w:r>
      <w:r w:rsidR="0049049D">
        <w:rPr>
          <w:rFonts w:ascii="Times New Roman" w:hAnsi="Times New Roman" w:cs="Times New Roman"/>
          <w:lang w:val="lt-LT" w:eastAsia="lt-LT"/>
        </w:rPr>
        <w:t>TROXEVASIN</w:t>
      </w:r>
      <w:r w:rsidRPr="00944E9C">
        <w:rPr>
          <w:rFonts w:ascii="Times New Roman" w:hAnsi="Times New Roman" w:cs="Times New Roman"/>
          <w:lang w:val="lt-LT" w:eastAsia="lt-LT"/>
        </w:rPr>
        <w:t xml:space="preserve"> veiksmingumas daugiausia priklauso nuo vaisto dozės, vartojimo reguliarumo ir trukmės (</w:t>
      </w:r>
      <w:r>
        <w:rPr>
          <w:rFonts w:ascii="Times New Roman" w:hAnsi="Times New Roman" w:cs="Times New Roman"/>
          <w:lang w:val="lt-LT" w:eastAsia="lt-LT"/>
        </w:rPr>
        <w:t>vaisto</w:t>
      </w:r>
      <w:r w:rsidRPr="00944E9C">
        <w:rPr>
          <w:rFonts w:ascii="Times New Roman" w:hAnsi="Times New Roman" w:cs="Times New Roman"/>
          <w:lang w:val="lt-LT" w:eastAsia="lt-LT"/>
        </w:rPr>
        <w:t xml:space="preserve"> patariama vartoti ilgai). </w:t>
      </w:r>
    </w:p>
    <w:p w14:paraId="29248C2F" w14:textId="5FE94A39" w:rsidR="004A23E6" w:rsidRPr="00944E9C" w:rsidRDefault="0049049D" w:rsidP="004A23E6">
      <w:pPr>
        <w:pStyle w:val="Betarp"/>
        <w:rPr>
          <w:rFonts w:ascii="Times New Roman" w:hAnsi="Times New Roman" w:cs="Times New Roman"/>
          <w:b/>
          <w:i/>
          <w:lang w:val="lt-LT" w:eastAsia="lt-LT"/>
        </w:rPr>
      </w:pPr>
      <w:r>
        <w:rPr>
          <w:rFonts w:ascii="Times New Roman" w:hAnsi="Times New Roman" w:cs="Times New Roman"/>
          <w:lang w:val="lt-LT" w:eastAsia="lt-LT"/>
        </w:rPr>
        <w:t>TROXEVASIN</w:t>
      </w:r>
      <w:r w:rsidR="004A23E6" w:rsidRPr="00944E9C">
        <w:rPr>
          <w:rFonts w:ascii="Times New Roman" w:hAnsi="Times New Roman" w:cs="Times New Roman"/>
          <w:lang w:val="lt-LT" w:eastAsia="lt-LT"/>
        </w:rPr>
        <w:t xml:space="preserve"> vartojama tik ant nepažeistos odos. Juo negalima tepti atvirų žaizdų bei gleivinės, pvz., akių.</w:t>
      </w:r>
    </w:p>
    <w:p w14:paraId="7A22AB55" w14:textId="77777777" w:rsidR="004A23E6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1F13C7EE" w14:textId="60BCD850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Kit</w:t>
      </w:r>
      <w:r>
        <w:rPr>
          <w:rFonts w:ascii="Times New Roman" w:eastAsia="Calibri" w:hAnsi="Times New Roman" w:cs="Times New Roman"/>
          <w:b/>
          <w:lang w:val="lt-LT" w:eastAsia="lt-LT"/>
        </w:rPr>
        <w:t>i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 vaist</w:t>
      </w:r>
      <w:r>
        <w:rPr>
          <w:rFonts w:ascii="Times New Roman" w:eastAsia="Calibri" w:hAnsi="Times New Roman" w:cs="Times New Roman"/>
          <w:b/>
          <w:lang w:val="lt-LT" w:eastAsia="lt-LT"/>
        </w:rPr>
        <w:t xml:space="preserve">ai ir </w:t>
      </w:r>
      <w:r w:rsidR="0049049D">
        <w:rPr>
          <w:rFonts w:ascii="Times New Roman" w:eastAsia="Calibri" w:hAnsi="Times New Roman" w:cs="Times New Roman"/>
          <w:b/>
          <w:lang w:val="lt-LT" w:eastAsia="lt-LT"/>
        </w:rPr>
        <w:t>TROXEVASIN</w:t>
      </w:r>
      <w:r>
        <w:rPr>
          <w:rFonts w:ascii="Times New Roman" w:eastAsia="Calibri" w:hAnsi="Times New Roman" w:cs="Times New Roman"/>
          <w:b/>
          <w:lang w:val="lt-LT" w:eastAsia="lt-LT"/>
        </w:rPr>
        <w:t xml:space="preserve"> </w:t>
      </w:r>
    </w:p>
    <w:p w14:paraId="54E9A63D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Jeigu vartojate arba neseniai vartojote kitų vaistų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 arba dėl to nesate tikri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, 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apie tai 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pasakykite gydytojui arba vaistininkui.</w:t>
      </w:r>
    </w:p>
    <w:p w14:paraId="229B5584" w14:textId="77777777" w:rsidR="004A23E6" w:rsidRPr="000D7F6B" w:rsidRDefault="004A23E6" w:rsidP="004A23E6">
      <w:pPr>
        <w:widowControl w:val="0"/>
        <w:tabs>
          <w:tab w:val="left" w:pos="567"/>
        </w:tabs>
        <w:spacing w:before="120"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Veikliosios vaisto medžiagos sąveikos su kitais vaistais nepastebėta.</w:t>
      </w:r>
    </w:p>
    <w:p w14:paraId="3C2C7D3F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</w:p>
    <w:p w14:paraId="11CDC0FE" w14:textId="2F57104F" w:rsidR="004A23E6" w:rsidRPr="000D7F6B" w:rsidRDefault="0049049D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Calibri" w:hAnsi="Times New Roman" w:cs="Times New Roman"/>
          <w:b/>
          <w:lang w:val="lt-LT" w:eastAsia="lt-LT"/>
        </w:rPr>
        <w:t>TROXEVASIN</w:t>
      </w:r>
      <w:r w:rsidR="004A23E6" w:rsidRPr="000D7F6B">
        <w:rPr>
          <w:rFonts w:ascii="Times New Roman" w:eastAsia="Calibri" w:hAnsi="Times New Roman" w:cs="Times New Roman"/>
          <w:b/>
          <w:lang w:val="lt-LT" w:eastAsia="lt-LT"/>
        </w:rPr>
        <w:t xml:space="preserve"> vartojimas su maistu ir gėrimais</w:t>
      </w:r>
    </w:p>
    <w:p w14:paraId="1D71815B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Maistas ir gėrimai vaisto poveikiui įtakos nedaro.</w:t>
      </w:r>
    </w:p>
    <w:p w14:paraId="267C3290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05AC8220" w14:textId="77777777" w:rsidR="004A23E6" w:rsidRPr="000D7F6B" w:rsidRDefault="004A23E6" w:rsidP="004A23E6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4608C7DD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lastRenderedPageBreak/>
        <w:t>Nėštumas ir žindymo laikotarpis</w:t>
      </w:r>
    </w:p>
    <w:p w14:paraId="59E832A4" w14:textId="77777777" w:rsidR="004A23E6" w:rsidRPr="000D7F6B" w:rsidRDefault="004A23E6" w:rsidP="004A23E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C5A2A">
        <w:rPr>
          <w:rFonts w:ascii="Times New Roman" w:eastAsia="Calibri" w:hAnsi="Times New Roman" w:cs="Times New Roman"/>
          <w:iCs/>
          <w:lang w:val="lt-LT" w:eastAsia="lt-LT"/>
        </w:rPr>
        <w:t xml:space="preserve">Jeigu esate nėščia, žindote kūdikį, manote, kad galbūt esate nėščia, arba planuojate pastoti, tai prieš vartodama šį vaistą, pasitarkite su 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su gydytoju arba vaistininku</w:t>
      </w:r>
      <w:r w:rsidRPr="000D7F6B">
        <w:rPr>
          <w:rFonts w:ascii="Times New Roman" w:eastAsia="Calibri" w:hAnsi="Times New Roman" w:cs="Times New Roman"/>
          <w:lang w:val="lt-LT" w:eastAsia="lt-LT"/>
        </w:rPr>
        <w:t>.</w:t>
      </w:r>
    </w:p>
    <w:p w14:paraId="3BEB90C0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71CE10D" w14:textId="7DD851A6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Duomenų apie vaisto vartojimą nėštumo metu nepakanka. Nors tyrimai su gyvūnais tiesioginio ar netiesioginio kenksmingo poveikio nėštumo eigai</w:t>
      </w:r>
      <w:r w:rsidRPr="004B2BE4">
        <w:rPr>
          <w:rFonts w:ascii="Times New Roman" w:eastAsia="Calibri" w:hAnsi="Times New Roman" w:cs="Times New Roman"/>
          <w:lang w:val="lt-LT" w:eastAsia="lt-LT"/>
        </w:rPr>
        <w:t xml:space="preserve">, 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vaisiaus vystymuisi ar gimdymui neparodė, nėščioms moterims </w:t>
      </w:r>
      <w:r w:rsidR="0049049D">
        <w:rPr>
          <w:rFonts w:ascii="Times New Roman" w:eastAsia="Calibri" w:hAnsi="Times New Roman" w:cs="Times New Roman"/>
          <w:lang w:val="lt-LT" w:eastAsia="lt-LT"/>
        </w:rPr>
        <w:t>TROXEVASIN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reikia vartoti atsargiai. </w:t>
      </w:r>
    </w:p>
    <w:p w14:paraId="09F29E9F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BBBE6A5" w14:textId="07B35264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 xml:space="preserve">Nepastebėta, kad </w:t>
      </w:r>
      <w:r w:rsidR="0049049D">
        <w:rPr>
          <w:rFonts w:ascii="Times New Roman" w:eastAsia="Calibri" w:hAnsi="Times New Roman" w:cs="Times New Roman"/>
          <w:lang w:val="lt-LT" w:eastAsia="lt-LT"/>
        </w:rPr>
        <w:t>TROXEVASIN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sukeltų nepageidaujamą poveikį žindomam kūdikiui.</w:t>
      </w:r>
    </w:p>
    <w:p w14:paraId="328C1A37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43D67464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Vairavimas ir mechanizmų valdymas</w:t>
      </w:r>
    </w:p>
    <w:p w14:paraId="153BF3F3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Poveikis gebėjimui vairuoti ir valdyti mechanizmus nepasireiškia.</w:t>
      </w:r>
    </w:p>
    <w:p w14:paraId="380A8007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5DE62B7" w14:textId="30528570" w:rsidR="004A23E6" w:rsidRPr="00DE0F2F" w:rsidRDefault="0049049D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Calibri" w:hAnsi="Times New Roman" w:cs="Times New Roman"/>
          <w:b/>
          <w:lang w:val="lt-LT" w:eastAsia="lt-LT"/>
        </w:rPr>
        <w:t>TROXEVASIN</w:t>
      </w:r>
      <w:r w:rsidR="004A23E6" w:rsidRPr="000D7F6B">
        <w:rPr>
          <w:rFonts w:ascii="Times New Roman" w:eastAsia="Calibri" w:hAnsi="Times New Roman" w:cs="Times New Roman"/>
          <w:b/>
          <w:lang w:val="lt-LT" w:eastAsia="lt-LT"/>
        </w:rPr>
        <w:t xml:space="preserve"> </w:t>
      </w:r>
      <w:r w:rsidR="004A23E6" w:rsidRPr="00DE0F2F">
        <w:rPr>
          <w:rFonts w:ascii="Times New Roman" w:eastAsia="Calibri" w:hAnsi="Times New Roman" w:cs="Times New Roman"/>
          <w:b/>
          <w:lang w:val="lt-LT" w:eastAsia="lt-LT"/>
        </w:rPr>
        <w:t>sudėtyje yra benzalkonio chlorido</w:t>
      </w:r>
    </w:p>
    <w:p w14:paraId="3F7DB59C" w14:textId="77777777" w:rsidR="004A23E6" w:rsidRPr="00CB3BCF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K</w:t>
      </w:r>
      <w:r w:rsidRPr="00CB3BCF">
        <w:rPr>
          <w:rFonts w:ascii="Times New Roman" w:eastAsia="Calibri" w:hAnsi="Times New Roman" w:cs="Times New Roman"/>
          <w:lang w:val="lt-LT" w:eastAsia="lt-LT"/>
        </w:rPr>
        <w:t>iekviename gelio grame</w:t>
      </w:r>
      <w:r>
        <w:rPr>
          <w:rFonts w:ascii="Times New Roman" w:eastAsia="Calibri" w:hAnsi="Times New Roman" w:cs="Times New Roman"/>
          <w:lang w:val="lt-LT" w:eastAsia="lt-LT"/>
        </w:rPr>
        <w:t xml:space="preserve"> yra 1 mg benzalkonio chlorido</w:t>
      </w:r>
      <w:r w:rsidRPr="00CB3BCF">
        <w:rPr>
          <w:rFonts w:ascii="Times New Roman" w:eastAsia="Calibri" w:hAnsi="Times New Roman" w:cs="Times New Roman"/>
          <w:lang w:val="lt-LT" w:eastAsia="lt-LT"/>
        </w:rPr>
        <w:t>.</w:t>
      </w:r>
    </w:p>
    <w:p w14:paraId="54AD052D" w14:textId="77777777" w:rsidR="004A23E6" w:rsidRPr="00CB3BCF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CB3BCF">
        <w:rPr>
          <w:rFonts w:ascii="Times New Roman" w:eastAsia="Calibri" w:hAnsi="Times New Roman" w:cs="Times New Roman"/>
          <w:lang w:val="lt-LT" w:eastAsia="lt-LT"/>
        </w:rPr>
        <w:t>Benzalkonio chloridas gali sudirginti odą.</w:t>
      </w:r>
    </w:p>
    <w:p w14:paraId="0CAC7195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CB3BCF">
        <w:rPr>
          <w:rFonts w:ascii="Times New Roman" w:eastAsia="Calibri" w:hAnsi="Times New Roman" w:cs="Times New Roman"/>
          <w:lang w:val="lt-LT" w:eastAsia="lt-LT"/>
        </w:rPr>
        <w:t>Žindymo laikotarpi</w:t>
      </w:r>
      <w:r>
        <w:rPr>
          <w:rFonts w:ascii="Times New Roman" w:eastAsia="Calibri" w:hAnsi="Times New Roman" w:cs="Times New Roman"/>
          <w:lang w:val="lt-LT" w:eastAsia="lt-LT"/>
        </w:rPr>
        <w:t xml:space="preserve">u šio vaisto negalima tepti ant </w:t>
      </w:r>
      <w:r w:rsidRPr="00CB3BCF">
        <w:rPr>
          <w:rFonts w:ascii="Times New Roman" w:eastAsia="Calibri" w:hAnsi="Times New Roman" w:cs="Times New Roman"/>
          <w:lang w:val="lt-LT" w:eastAsia="lt-LT"/>
        </w:rPr>
        <w:t>krūtų, kadangi kūdikis gali jį nuryti kartu su pienu.</w:t>
      </w:r>
    </w:p>
    <w:p w14:paraId="4E8E19A0" w14:textId="77777777" w:rsidR="004A23E6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C79E751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BABE040" w14:textId="6F2C3EE8" w:rsidR="004A23E6" w:rsidRPr="000D7F6B" w:rsidRDefault="004A23E6" w:rsidP="004A23E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3.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ab/>
      </w:r>
      <w:r>
        <w:rPr>
          <w:rFonts w:ascii="Times New Roman" w:eastAsia="Calibri" w:hAnsi="Times New Roman" w:cs="Times New Roman"/>
          <w:b/>
          <w:lang w:val="lt-LT" w:eastAsia="lt-LT"/>
        </w:rPr>
        <w:t>K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aip vartoti </w:t>
      </w:r>
      <w:r w:rsidR="0049049D">
        <w:rPr>
          <w:rFonts w:ascii="Times New Roman" w:eastAsia="Calibri" w:hAnsi="Times New Roman" w:cs="Times New Roman"/>
          <w:b/>
          <w:lang w:val="lt-LT" w:eastAsia="lt-LT"/>
        </w:rPr>
        <w:t>TROXEVASIN</w:t>
      </w:r>
    </w:p>
    <w:p w14:paraId="7BC6B836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195DBF7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iCs/>
          <w:lang w:val="lt-LT" w:eastAsia="lt-LT"/>
        </w:rPr>
        <w:t>V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isada vartokite 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šį vaistą 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tiksliai kaip nurodė gydytojas</w:t>
      </w:r>
      <w:r>
        <w:rPr>
          <w:rFonts w:ascii="Times New Roman" w:eastAsia="Calibri" w:hAnsi="Times New Roman" w:cs="Times New Roman"/>
          <w:iCs/>
          <w:lang w:val="lt-LT" w:eastAsia="lt-LT"/>
        </w:rPr>
        <w:t xml:space="preserve"> arba vaistininkas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>. Jeigu abejojate, kreipkitės į gydytoją arba vaistininką</w:t>
      </w:r>
      <w:r w:rsidRPr="000D7F6B">
        <w:rPr>
          <w:rFonts w:ascii="Times New Roman" w:eastAsia="Calibri" w:hAnsi="Times New Roman" w:cs="Times New Roman"/>
          <w:lang w:val="lt-LT" w:eastAsia="lt-LT"/>
        </w:rPr>
        <w:t>.</w:t>
      </w:r>
    </w:p>
    <w:p w14:paraId="3D245F62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76C0579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Suaugusiems žmonėms, įskaitant senyvus, iš ryto ir vakare ligos pažeistą vietą reikia patepti nedideliu gelio kiekiu ir švelniai masažuoti tol, kol vaistas visiškai įsigers į odą.</w:t>
      </w:r>
    </w:p>
    <w:p w14:paraId="461AC8C0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0C9446C5" w14:textId="4750D196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>
        <w:rPr>
          <w:rFonts w:ascii="Times New Roman" w:eastAsia="Calibri" w:hAnsi="Times New Roman" w:cs="Times New Roman"/>
          <w:b/>
          <w:lang w:val="lt-LT" w:eastAsia="lt-LT"/>
        </w:rPr>
        <w:t>Ką daryti p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avartojus per didelę </w:t>
      </w:r>
      <w:r w:rsidR="0049049D">
        <w:rPr>
          <w:rFonts w:ascii="Times New Roman" w:eastAsia="Calibri" w:hAnsi="Times New Roman" w:cs="Times New Roman"/>
          <w:b/>
          <w:lang w:val="lt-LT" w:eastAsia="lt-LT"/>
        </w:rPr>
        <w:t>TROXEVASIN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 dozę</w:t>
      </w:r>
      <w:r>
        <w:rPr>
          <w:rFonts w:ascii="Times New Roman" w:eastAsia="Calibri" w:hAnsi="Times New Roman" w:cs="Times New Roman"/>
          <w:b/>
          <w:lang w:val="lt-LT" w:eastAsia="lt-LT"/>
        </w:rPr>
        <w:t>?</w:t>
      </w:r>
    </w:p>
    <w:p w14:paraId="2F6B9EF4" w14:textId="77777777" w:rsidR="004A23E6" w:rsidRPr="000D7F6B" w:rsidRDefault="004A23E6" w:rsidP="004A23E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Ant odos vartojamo gelio perdozavimo nepastebėta</w:t>
      </w:r>
      <w:r w:rsidRPr="000D7F6B">
        <w:rPr>
          <w:rFonts w:ascii="Times New Roman" w:eastAsia="Calibri" w:hAnsi="Times New Roman" w:cs="Times New Roman"/>
          <w:lang w:val="lt-LT" w:eastAsia="lt-LT"/>
        </w:rPr>
        <w:t>. Jei gydant didesniam odos plotui reikia ilgai tepti daugiau gelio, vaisto reikia vartoti atsargiai.</w:t>
      </w:r>
    </w:p>
    <w:p w14:paraId="4EBDB0A2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</w:p>
    <w:p w14:paraId="5E2E2751" w14:textId="4FE2AC20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Pamiršus pavartoti </w:t>
      </w:r>
      <w:r w:rsidR="0049049D">
        <w:rPr>
          <w:rFonts w:ascii="Times New Roman" w:eastAsia="Calibri" w:hAnsi="Times New Roman" w:cs="Times New Roman"/>
          <w:b/>
          <w:lang w:val="lt-LT" w:eastAsia="lt-LT"/>
        </w:rPr>
        <w:t>TROXEVASIN</w:t>
      </w:r>
    </w:p>
    <w:p w14:paraId="2BA740EB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Praleidus dozę, vėliau vietoj jos dvigubos dozės vartoti negalima. Toliau vaisto reikia vartoti įprasta tvarka.</w:t>
      </w:r>
    </w:p>
    <w:p w14:paraId="4A723FD4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C07744C" w14:textId="74512288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Nustojus vartoti </w:t>
      </w:r>
      <w:r w:rsidR="0049049D">
        <w:rPr>
          <w:rFonts w:ascii="Times New Roman" w:eastAsia="Calibri" w:hAnsi="Times New Roman" w:cs="Times New Roman"/>
          <w:b/>
          <w:lang w:val="lt-LT" w:eastAsia="lt-LT"/>
        </w:rPr>
        <w:t>TROXEVASIN</w:t>
      </w:r>
    </w:p>
    <w:p w14:paraId="650537A3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Nutraukus vaisto vartojimą gali vėl sustiprėti ligos simptomai.</w:t>
      </w:r>
    </w:p>
    <w:p w14:paraId="1434529E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652282D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Jeigu kiltų daugiau klausimų dėl šio vaisto vartojimo, kreipkitės į gydytoją arba vaistininką.</w:t>
      </w:r>
    </w:p>
    <w:p w14:paraId="08DC29B5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138B2B0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72BCAAC" w14:textId="77777777" w:rsidR="004A23E6" w:rsidRPr="000D7F6B" w:rsidRDefault="004A23E6" w:rsidP="004A23E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caps/>
          <w:lang w:val="lt-LT" w:eastAsia="lt-LT"/>
        </w:rPr>
        <w:t>4.</w:t>
      </w:r>
      <w:r w:rsidRPr="000D7F6B">
        <w:rPr>
          <w:rFonts w:ascii="Times New Roman" w:eastAsia="Calibri" w:hAnsi="Times New Roman" w:cs="Times New Roman"/>
          <w:b/>
          <w:caps/>
          <w:lang w:val="lt-LT" w:eastAsia="lt-LT"/>
        </w:rPr>
        <w:tab/>
      </w:r>
      <w:r>
        <w:rPr>
          <w:rFonts w:ascii="Times New Roman" w:eastAsia="Calibri" w:hAnsi="Times New Roman" w:cs="Times New Roman"/>
          <w:b/>
          <w:lang w:val="lt-LT" w:eastAsia="lt-LT"/>
        </w:rPr>
        <w:t>G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>alimas šalutinis poveikis</w:t>
      </w:r>
    </w:p>
    <w:p w14:paraId="660B264A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4C8C95C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Šis vaistas,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kaip ir </w:t>
      </w:r>
      <w:r>
        <w:rPr>
          <w:rFonts w:ascii="Times New Roman" w:eastAsia="Calibri" w:hAnsi="Times New Roman" w:cs="Times New Roman"/>
          <w:lang w:val="lt-LT" w:eastAsia="lt-LT"/>
        </w:rPr>
        <w:t xml:space="preserve">visi </w:t>
      </w:r>
      <w:r w:rsidRPr="000D7F6B">
        <w:rPr>
          <w:rFonts w:ascii="Times New Roman" w:eastAsia="Calibri" w:hAnsi="Times New Roman" w:cs="Times New Roman"/>
          <w:lang w:val="lt-LT" w:eastAsia="lt-LT"/>
        </w:rPr>
        <w:t>kiti, gali sukelti šalutinį poveikį</w:t>
      </w:r>
      <w:r>
        <w:rPr>
          <w:rFonts w:ascii="Times New Roman" w:eastAsia="Calibri" w:hAnsi="Times New Roman" w:cs="Times New Roman"/>
          <w:lang w:val="lt-LT" w:eastAsia="lt-LT"/>
        </w:rPr>
        <w:t xml:space="preserve">, </w:t>
      </w:r>
      <w:r w:rsidRPr="004111EE">
        <w:rPr>
          <w:rFonts w:ascii="Times New Roman" w:eastAsia="Calibri" w:hAnsi="Times New Roman" w:cs="Times New Roman"/>
          <w:lang w:val="lt-LT" w:eastAsia="lt-LT"/>
        </w:rPr>
        <w:t>nors jis pasireiškia ne visiems žmonėms</w:t>
      </w:r>
      <w:r>
        <w:rPr>
          <w:rFonts w:ascii="Times New Roman" w:eastAsia="Calibri" w:hAnsi="Times New Roman" w:cs="Times New Roman"/>
          <w:lang w:val="lt-LT" w:eastAsia="lt-LT"/>
        </w:rPr>
        <w:t>.</w:t>
      </w:r>
    </w:p>
    <w:p w14:paraId="35E1BE84" w14:textId="77777777" w:rsidR="004A23E6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0569D9A" w14:textId="6B2B79BE" w:rsidR="004A23E6" w:rsidRPr="000D7F6B" w:rsidRDefault="00966547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966547">
        <w:rPr>
          <w:rFonts w:ascii="Times New Roman" w:eastAsia="Calibri" w:hAnsi="Times New Roman" w:cs="Times New Roman"/>
          <w:lang w:val="lt-LT" w:eastAsia="lt-LT"/>
        </w:rPr>
        <w:t>Labai dažni šalutinio poveikio reiškiniai (gali pasireikšti ne rečiau kaip 1 iš 10 asmenų)</w:t>
      </w:r>
      <w:r>
        <w:rPr>
          <w:rFonts w:ascii="Times New Roman" w:eastAsia="Calibri" w:hAnsi="Times New Roman" w:cs="Times New Roman"/>
          <w:lang w:val="lt-LT" w:eastAsia="lt-LT"/>
        </w:rPr>
        <w:t>:</w:t>
      </w:r>
      <w:r w:rsidR="004A23E6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="004A23E6" w:rsidRPr="000D7F6B">
        <w:rPr>
          <w:rFonts w:ascii="Times New Roman" w:eastAsia="Calibri" w:hAnsi="Times New Roman" w:cs="Times New Roman"/>
          <w:lang w:val="lt-LT" w:eastAsia="lt-LT"/>
        </w:rPr>
        <w:t>galima alerginė odos reakcija (uždegimas, dilgėlinė, egzema). Jei prasideda alerginė reakcija, vaisto vartojimą reikia nutraukti ir kreiptis į gydytoją.</w:t>
      </w:r>
    </w:p>
    <w:p w14:paraId="05E8FA03" w14:textId="77777777" w:rsidR="004A23E6" w:rsidRDefault="004A23E6" w:rsidP="004A23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</w:pPr>
    </w:p>
    <w:p w14:paraId="55CBE921" w14:textId="77777777" w:rsidR="004A23E6" w:rsidRPr="004111EE" w:rsidRDefault="004A23E6" w:rsidP="004A23E6">
      <w:pPr>
        <w:pStyle w:val="Betarp"/>
        <w:rPr>
          <w:rFonts w:ascii="Times New Roman" w:hAnsi="Times New Roman" w:cs="Times New Roman"/>
          <w:b/>
          <w:snapToGrid w:val="0"/>
          <w:lang w:val="lt-LT"/>
        </w:rPr>
      </w:pPr>
      <w:r w:rsidRPr="004111EE">
        <w:rPr>
          <w:rFonts w:ascii="Times New Roman" w:hAnsi="Times New Roman" w:cs="Times New Roman"/>
          <w:b/>
          <w:noProof/>
          <w:snapToGrid w:val="0"/>
          <w:lang w:val="lt-LT"/>
        </w:rPr>
        <w:t>Pranešimas apie šalutinį poveikį</w:t>
      </w:r>
    </w:p>
    <w:p w14:paraId="5701EF7A" w14:textId="1EF24944" w:rsidR="000B770D" w:rsidRPr="000B770D" w:rsidRDefault="000B770D" w:rsidP="000B770D">
      <w:pPr>
        <w:ind w:right="-2"/>
        <w:rPr>
          <w:rFonts w:ascii="Times New Roman" w:hAnsi="Times New Roman" w:cs="Times New Roman"/>
          <w:lang w:val="lt-LT" w:eastAsia="ja-JP"/>
        </w:rPr>
      </w:pPr>
      <w:r w:rsidRPr="000B770D">
        <w:rPr>
          <w:rFonts w:ascii="Times New Roman" w:hAnsi="Times New Roman" w:cs="Times New Roman"/>
          <w:lang w:val="lt-LT" w:eastAsia="ja-JP"/>
        </w:rPr>
        <w:t xml:space="preserve">Jeigu pasireiškė šalutinis poveikis, įskaitant šiame lapelyje nenurodytą, pasakykite gydytojui, vaistininkui arba slaugytojui. </w:t>
      </w:r>
      <w:r w:rsidR="00F52408" w:rsidRPr="00F52408">
        <w:rPr>
          <w:rFonts w:ascii="Times New Roman" w:hAnsi="Times New Roman" w:cs="Times New Roman"/>
          <w:lang w:val="lt-LT" w:eastAsia="ja-JP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</w:t>
      </w:r>
      <w:r w:rsidRPr="000B770D">
        <w:rPr>
          <w:rFonts w:ascii="Times New Roman" w:hAnsi="Times New Roman" w:cs="Times New Roman"/>
          <w:lang w:val="lt-LT" w:eastAsia="ja-JP"/>
        </w:rPr>
        <w:t>.</w:t>
      </w:r>
    </w:p>
    <w:p w14:paraId="56038E3E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6174D4A9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A0F4610" w14:textId="02FC5B79" w:rsidR="004A23E6" w:rsidRPr="000D7F6B" w:rsidRDefault="004A23E6" w:rsidP="004A23E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caps/>
          <w:lang w:val="lt-LT" w:eastAsia="lt-LT"/>
        </w:rPr>
        <w:t>5.</w:t>
      </w:r>
      <w:r w:rsidRPr="000D7F6B">
        <w:rPr>
          <w:rFonts w:ascii="Times New Roman" w:eastAsia="Calibri" w:hAnsi="Times New Roman" w:cs="Times New Roman"/>
          <w:b/>
          <w:caps/>
          <w:lang w:val="lt-LT" w:eastAsia="lt-LT"/>
        </w:rPr>
        <w:tab/>
      </w:r>
      <w:r>
        <w:rPr>
          <w:rFonts w:ascii="Times New Roman" w:eastAsia="Calibri" w:hAnsi="Times New Roman" w:cs="Times New Roman"/>
          <w:b/>
          <w:lang w:val="lt-LT" w:eastAsia="lt-LT"/>
        </w:rPr>
        <w:t>K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aip laikyti </w:t>
      </w:r>
      <w:r w:rsidR="0049049D">
        <w:rPr>
          <w:rFonts w:ascii="Times New Roman" w:eastAsia="Calibri" w:hAnsi="Times New Roman" w:cs="Times New Roman"/>
          <w:b/>
          <w:lang w:val="lt-LT" w:eastAsia="lt-LT"/>
        </w:rPr>
        <w:t>TROXEVASIN</w:t>
      </w:r>
    </w:p>
    <w:p w14:paraId="16FFB885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6B567E96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4111EE">
        <w:rPr>
          <w:rFonts w:ascii="Times New Roman" w:eastAsia="Calibri" w:hAnsi="Times New Roman" w:cs="Times New Roman"/>
          <w:lang w:val="lt-LT" w:eastAsia="lt-LT"/>
        </w:rPr>
        <w:t>Šį vaistą laikykite vaikams nepastebimoje ir nepasiekiamoje vietoje.</w:t>
      </w:r>
    </w:p>
    <w:p w14:paraId="70432A23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5BB48569" w14:textId="28398BDD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Laikyti ne aukštesnėje kaip 25</w:t>
      </w:r>
      <w:r>
        <w:rPr>
          <w:rFonts w:ascii="Times New Roman" w:eastAsia="Calibri" w:hAnsi="Times New Roman" w:cs="Times New Roman"/>
          <w:lang w:val="lt-LT" w:eastAsia="lt-LT"/>
        </w:rPr>
        <w:t> </w:t>
      </w:r>
      <w:r w:rsidRPr="000D7F6B">
        <w:rPr>
          <w:rFonts w:ascii="Times New Roman" w:eastAsia="Calibri" w:hAnsi="Times New Roman" w:cs="Times New Roman"/>
          <w:lang w:val="lt-LT" w:eastAsia="lt-LT"/>
        </w:rPr>
        <w:sym w:font="Symbol" w:char="F0B0"/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C temperatūroje. </w:t>
      </w:r>
      <w:r w:rsidR="00912248" w:rsidRPr="00912248">
        <w:rPr>
          <w:rFonts w:ascii="Times New Roman" w:eastAsia="Calibri" w:hAnsi="Times New Roman" w:cs="Times New Roman"/>
          <w:lang w:val="lt-LT" w:eastAsia="lt-LT"/>
        </w:rPr>
        <w:t>Laikyti gamintojo pakuotėje</w:t>
      </w:r>
      <w:r w:rsidR="00912248">
        <w:rPr>
          <w:rFonts w:ascii="Times New Roman" w:eastAsia="Calibri" w:hAnsi="Times New Roman" w:cs="Times New Roman"/>
          <w:lang w:val="lt-LT" w:eastAsia="lt-LT"/>
        </w:rPr>
        <w:t>.</w:t>
      </w:r>
      <w:r w:rsidR="00912248" w:rsidRPr="00912248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0D7F6B">
        <w:rPr>
          <w:rFonts w:ascii="Times New Roman" w:eastAsia="Calibri" w:hAnsi="Times New Roman" w:cs="Times New Roman"/>
          <w:lang w:val="lt-LT" w:eastAsia="lt-LT"/>
        </w:rPr>
        <w:t>Negalima šaldyti.</w:t>
      </w:r>
    </w:p>
    <w:p w14:paraId="3893F5B2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F458E40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 xml:space="preserve">Ant </w:t>
      </w:r>
      <w:r>
        <w:rPr>
          <w:rFonts w:ascii="Times New Roman" w:eastAsia="Calibri" w:hAnsi="Times New Roman" w:cs="Times New Roman"/>
          <w:lang w:val="lt-LT" w:eastAsia="lt-LT"/>
        </w:rPr>
        <w:t>kartono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dėžutės po „</w:t>
      </w:r>
      <w:r>
        <w:rPr>
          <w:rFonts w:ascii="Times New Roman" w:eastAsia="Calibri" w:hAnsi="Times New Roman" w:cs="Times New Roman"/>
          <w:lang w:val="lt-LT" w:eastAsia="lt-LT"/>
        </w:rPr>
        <w:t>EXP</w:t>
      </w:r>
      <w:r w:rsidRPr="005B4249">
        <w:rPr>
          <w:rFonts w:ascii="Times New Roman" w:eastAsia="Calibri" w:hAnsi="Times New Roman" w:cs="Times New Roman"/>
          <w:highlight w:val="lightGray"/>
          <w:lang w:val="lt-LT" w:eastAsia="lt-LT"/>
        </w:rPr>
        <w:t>/Tinka iki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“ </w:t>
      </w:r>
      <w:r>
        <w:rPr>
          <w:rFonts w:ascii="Times New Roman" w:eastAsia="Calibri" w:hAnsi="Times New Roman" w:cs="Times New Roman"/>
          <w:lang w:val="lt-LT" w:eastAsia="lt-LT"/>
        </w:rPr>
        <w:t xml:space="preserve">ir ant tūbelės 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nurodytam tinkamumo laikui pasibaigus, </w:t>
      </w:r>
      <w:r>
        <w:rPr>
          <w:rFonts w:ascii="Times New Roman" w:eastAsia="Calibri" w:hAnsi="Times New Roman" w:cs="Times New Roman"/>
          <w:lang w:val="lt-LT" w:eastAsia="lt-LT"/>
        </w:rPr>
        <w:t>šio vaisto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vartoti negalima. Vaistas tinka</w:t>
      </w:r>
      <w:r>
        <w:rPr>
          <w:rFonts w:ascii="Times New Roman" w:eastAsia="Calibri" w:hAnsi="Times New Roman" w:cs="Times New Roman"/>
          <w:lang w:val="lt-LT" w:eastAsia="lt-LT"/>
        </w:rPr>
        <w:t>mas</w:t>
      </w:r>
      <w:r w:rsidRPr="000D7F6B">
        <w:rPr>
          <w:rFonts w:ascii="Times New Roman" w:eastAsia="Calibri" w:hAnsi="Times New Roman" w:cs="Times New Roman"/>
          <w:lang w:val="lt-LT" w:eastAsia="lt-LT"/>
        </w:rPr>
        <w:t xml:space="preserve"> vartoti iki paskutinės nurodyto mėnesio dienos.</w:t>
      </w:r>
    </w:p>
    <w:p w14:paraId="4A6EE5E5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1B766852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0D7F6B">
        <w:rPr>
          <w:rFonts w:ascii="Times New Roman" w:eastAsia="Calibri" w:hAnsi="Times New Roman" w:cs="Times New Roman"/>
          <w:noProof/>
          <w:lang w:val="lt-LT"/>
        </w:rPr>
        <w:t>Vaistų negalima iš</w:t>
      </w:r>
      <w:r>
        <w:rPr>
          <w:rFonts w:ascii="Times New Roman" w:eastAsia="Calibri" w:hAnsi="Times New Roman" w:cs="Times New Roman"/>
          <w:noProof/>
          <w:lang w:val="lt-LT"/>
        </w:rPr>
        <w:t>mesti</w:t>
      </w:r>
      <w:r w:rsidRPr="000D7F6B">
        <w:rPr>
          <w:rFonts w:ascii="Times New Roman" w:eastAsia="Calibri" w:hAnsi="Times New Roman" w:cs="Times New Roman"/>
          <w:noProof/>
          <w:lang w:val="lt-LT"/>
        </w:rPr>
        <w:t xml:space="preserve"> į kanalizaciją arba su buitinėmis atliekomis. </w:t>
      </w:r>
      <w:r w:rsidRPr="000D7F6B">
        <w:rPr>
          <w:rFonts w:ascii="Times New Roman" w:eastAsia="Calibri" w:hAnsi="Times New Roman" w:cs="Times New Roman"/>
          <w:lang w:val="lt-LT"/>
        </w:rPr>
        <w:t xml:space="preserve">Kaip </w:t>
      </w:r>
      <w:r>
        <w:rPr>
          <w:rFonts w:ascii="Times New Roman" w:eastAsia="Calibri" w:hAnsi="Times New Roman" w:cs="Times New Roman"/>
          <w:lang w:val="lt-LT"/>
        </w:rPr>
        <w:t xml:space="preserve">išmesti </w:t>
      </w:r>
      <w:r w:rsidRPr="000D7F6B">
        <w:rPr>
          <w:rFonts w:ascii="Times New Roman" w:eastAsia="Calibri" w:hAnsi="Times New Roman" w:cs="Times New Roman"/>
          <w:lang w:val="lt-LT"/>
        </w:rPr>
        <w:t>nereikalingus vaistus, klauskite vaistininko. Šios priemonės padės apsaugoti aplinką.</w:t>
      </w:r>
    </w:p>
    <w:p w14:paraId="288CDB5F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3EC88D39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14:paraId="2EDEA903" w14:textId="77777777" w:rsidR="004A23E6" w:rsidRPr="000D7F6B" w:rsidRDefault="004A23E6" w:rsidP="004A23E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lang w:val="lt-LT" w:eastAsia="lt-LT"/>
        </w:rPr>
        <w:t>6.</w:t>
      </w:r>
      <w:r w:rsidRPr="000D7F6B">
        <w:rPr>
          <w:rFonts w:ascii="Times New Roman" w:eastAsia="Calibri" w:hAnsi="Times New Roman" w:cs="Times New Roman"/>
          <w:lang w:val="lt-LT" w:eastAsia="lt-LT"/>
        </w:rPr>
        <w:tab/>
      </w:r>
      <w:r>
        <w:rPr>
          <w:rFonts w:ascii="Times New Roman" w:eastAsia="Calibri" w:hAnsi="Times New Roman" w:cs="Times New Roman"/>
          <w:b/>
          <w:lang w:val="lt-LT" w:eastAsia="lt-LT"/>
        </w:rPr>
        <w:t>Pakuotės turinys ir kita informacija</w:t>
      </w:r>
    </w:p>
    <w:p w14:paraId="2F06A1BF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14:paraId="2C77E512" w14:textId="169198DF" w:rsidR="004A23E6" w:rsidRPr="000D7F6B" w:rsidRDefault="0049049D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r>
        <w:rPr>
          <w:rFonts w:ascii="Times New Roman" w:eastAsia="Calibri" w:hAnsi="Times New Roman" w:cs="Times New Roman"/>
          <w:b/>
          <w:bCs/>
          <w:lang w:val="lt-LT" w:eastAsia="lt-LT"/>
        </w:rPr>
        <w:t>TROXEVASIN</w:t>
      </w:r>
      <w:r w:rsidR="004A23E6" w:rsidRPr="000D7F6B">
        <w:rPr>
          <w:rFonts w:ascii="Times New Roman" w:eastAsia="Calibri" w:hAnsi="Times New Roman" w:cs="Times New Roman"/>
          <w:b/>
          <w:bCs/>
          <w:lang w:val="lt-LT" w:eastAsia="lt-LT"/>
        </w:rPr>
        <w:t xml:space="preserve"> sudėtis</w:t>
      </w:r>
    </w:p>
    <w:p w14:paraId="0E9B9E5C" w14:textId="296BA4F9" w:rsidR="004A23E6" w:rsidRPr="00DE0F2F" w:rsidRDefault="004A23E6" w:rsidP="00B5280D">
      <w:pPr>
        <w:pStyle w:val="Betarp"/>
        <w:numPr>
          <w:ilvl w:val="0"/>
          <w:numId w:val="2"/>
        </w:numPr>
        <w:ind w:left="709" w:hanging="426"/>
        <w:rPr>
          <w:rFonts w:ascii="Times New Roman" w:hAnsi="Times New Roman" w:cs="Times New Roman"/>
          <w:iCs/>
          <w:lang w:val="lt-LT" w:eastAsia="lt-LT"/>
        </w:rPr>
      </w:pPr>
      <w:r w:rsidRPr="00DE0F2F">
        <w:rPr>
          <w:rFonts w:ascii="Times New Roman" w:hAnsi="Times New Roman" w:cs="Times New Roman"/>
          <w:iCs/>
          <w:lang w:val="lt-LT" w:eastAsia="lt-LT"/>
        </w:rPr>
        <w:t xml:space="preserve">Veiklioji medžiaga yra trokserutinas. </w:t>
      </w:r>
      <w:r w:rsidRPr="00DE0F2F">
        <w:rPr>
          <w:rFonts w:ascii="Times New Roman" w:hAnsi="Times New Roman" w:cs="Times New Roman"/>
          <w:lang w:val="lt-LT" w:eastAsia="lt-LT"/>
        </w:rPr>
        <w:t>Viename grame gelio yra 20</w:t>
      </w:r>
      <w:r>
        <w:rPr>
          <w:rFonts w:ascii="Times New Roman" w:hAnsi="Times New Roman" w:cs="Times New Roman"/>
          <w:lang w:val="lt-LT" w:eastAsia="lt-LT"/>
        </w:rPr>
        <w:t> </w:t>
      </w:r>
      <w:r w:rsidRPr="00DE0F2F">
        <w:rPr>
          <w:rFonts w:ascii="Times New Roman" w:hAnsi="Times New Roman" w:cs="Times New Roman"/>
          <w:lang w:val="lt-LT" w:eastAsia="lt-LT"/>
        </w:rPr>
        <w:t>mg trokserutino.</w:t>
      </w:r>
    </w:p>
    <w:p w14:paraId="0316F974" w14:textId="43B73DC4" w:rsidR="004A23E6" w:rsidRPr="00DE0F2F" w:rsidRDefault="004A23E6" w:rsidP="00B5280D">
      <w:pPr>
        <w:pStyle w:val="Betarp"/>
        <w:numPr>
          <w:ilvl w:val="0"/>
          <w:numId w:val="2"/>
        </w:numPr>
        <w:ind w:left="709" w:hanging="426"/>
        <w:rPr>
          <w:rFonts w:ascii="Times New Roman" w:hAnsi="Times New Roman" w:cs="Times New Roman"/>
          <w:lang w:val="lt-LT" w:eastAsia="lt-LT"/>
        </w:rPr>
      </w:pPr>
      <w:r w:rsidRPr="00DE0F2F">
        <w:rPr>
          <w:rFonts w:ascii="Times New Roman" w:hAnsi="Times New Roman" w:cs="Times New Roman"/>
          <w:iCs/>
          <w:lang w:val="lt-LT" w:eastAsia="lt-LT"/>
        </w:rPr>
        <w:t>Pagalbinės medžiagos: karbomerai, dinatrio edetatas, benzalkonio chloridas, trolaminas, išgrynintas vanduo.</w:t>
      </w:r>
    </w:p>
    <w:p w14:paraId="236C9C4D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highlight w:val="green"/>
          <w:lang w:val="lt-LT" w:eastAsia="lt-LT"/>
        </w:rPr>
      </w:pPr>
    </w:p>
    <w:p w14:paraId="18B5028E" w14:textId="70F989C9" w:rsidR="004A23E6" w:rsidRPr="000D7F6B" w:rsidRDefault="0049049D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iCs/>
          <w:lang w:val="lt-LT" w:eastAsia="lt-LT"/>
        </w:rPr>
      </w:pPr>
      <w:r>
        <w:rPr>
          <w:rFonts w:ascii="Times New Roman" w:eastAsia="Calibri" w:hAnsi="Times New Roman" w:cs="Times New Roman"/>
          <w:b/>
          <w:iCs/>
          <w:lang w:val="lt-LT" w:eastAsia="lt-LT"/>
        </w:rPr>
        <w:t>TROXEVASIN</w:t>
      </w:r>
      <w:r w:rsidR="004A23E6" w:rsidRPr="000D7F6B">
        <w:rPr>
          <w:rFonts w:ascii="Times New Roman" w:eastAsia="Calibri" w:hAnsi="Times New Roman" w:cs="Times New Roman"/>
          <w:b/>
          <w:iCs/>
          <w:lang w:val="lt-LT" w:eastAsia="lt-LT"/>
        </w:rPr>
        <w:t xml:space="preserve"> išvaizda ir kiekis pakuotėje</w:t>
      </w:r>
    </w:p>
    <w:p w14:paraId="732FBE20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lang w:val="lt-LT" w:eastAsia="lt-LT"/>
        </w:rPr>
        <w:t>Nuo geltonos iki rusvos spalvos gelis</w:t>
      </w:r>
      <w:r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. </w:t>
      </w:r>
    </w:p>
    <w:p w14:paraId="4F510B07" w14:textId="77777777" w:rsidR="00B5280D" w:rsidRDefault="00B5280D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</w:p>
    <w:p w14:paraId="6109F3E4" w14:textId="04ECB626" w:rsidR="00B5280D" w:rsidRDefault="0049049D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>
        <w:rPr>
          <w:rFonts w:ascii="Times New Roman" w:eastAsia="Calibri" w:hAnsi="Times New Roman" w:cs="Times New Roman"/>
          <w:iCs/>
          <w:lang w:val="lt-LT" w:eastAsia="lt-LT"/>
        </w:rPr>
        <w:t>TROXEVASIN</w:t>
      </w:r>
      <w:r w:rsidR="004A23E6" w:rsidRPr="000D7F6B">
        <w:rPr>
          <w:rFonts w:ascii="Times New Roman" w:eastAsia="Calibri" w:hAnsi="Times New Roman" w:cs="Times New Roman"/>
          <w:iCs/>
          <w:lang w:val="lt-LT" w:eastAsia="lt-LT"/>
        </w:rPr>
        <w:t xml:space="preserve"> tiekiamas tūbelėje, kurioje yra 100 g gelio. </w:t>
      </w:r>
    </w:p>
    <w:p w14:paraId="099DC8D7" w14:textId="2BD68DC8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 w:rsidRPr="000D7F6B">
        <w:rPr>
          <w:rFonts w:ascii="Times New Roman" w:eastAsia="Calibri" w:hAnsi="Times New Roman" w:cs="Times New Roman"/>
          <w:iCs/>
          <w:lang w:val="lt-LT" w:eastAsia="lt-LT"/>
        </w:rPr>
        <w:t>Kartono dėžutėje yra viena tūbelė ir pakuotės lapelis.</w:t>
      </w:r>
    </w:p>
    <w:p w14:paraId="66D50D51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</w:p>
    <w:p w14:paraId="539EC926" w14:textId="77777777" w:rsidR="00B5280D" w:rsidRDefault="00B5280D" w:rsidP="00BC7537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644A6A50" w14:textId="7320FD35" w:rsidR="00BC7537" w:rsidRPr="00BC7537" w:rsidRDefault="00BC7537" w:rsidP="00BC7537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/>
        </w:rPr>
      </w:pPr>
      <w:r w:rsidRPr="00BC7537">
        <w:rPr>
          <w:rFonts w:ascii="Times New Roman" w:eastAsia="Times New Roman" w:hAnsi="Times New Roman" w:cs="Times New Roman"/>
          <w:b/>
          <w:noProof/>
          <w:lang w:val="lt-LT"/>
        </w:rPr>
        <w:t>Registruotojas eksportuojančioje valstybėje ir gamintojas</w:t>
      </w:r>
    </w:p>
    <w:p w14:paraId="15DD7647" w14:textId="77777777" w:rsidR="00BC7537" w:rsidRPr="00BC7537" w:rsidRDefault="00BC7537" w:rsidP="00BC7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lt-LT"/>
        </w:rPr>
      </w:pPr>
    </w:p>
    <w:p w14:paraId="6C0F34E4" w14:textId="77777777" w:rsidR="00BC7537" w:rsidRPr="00BC7537" w:rsidRDefault="00BC7537" w:rsidP="00BC7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lt-LT"/>
        </w:rPr>
      </w:pPr>
      <w:r w:rsidRPr="00BC7537">
        <w:rPr>
          <w:rFonts w:ascii="Times New Roman" w:hAnsi="Times New Roman" w:cs="Times New Roman"/>
          <w:b/>
          <w:color w:val="000000"/>
          <w:lang w:val="lt-LT"/>
        </w:rPr>
        <w:t>Registruotojas</w:t>
      </w:r>
    </w:p>
    <w:p w14:paraId="79D75238" w14:textId="77777777" w:rsidR="00BC7537" w:rsidRPr="00BC7537" w:rsidRDefault="00BC7537" w:rsidP="00BC7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BC7537">
        <w:rPr>
          <w:rFonts w:ascii="Times New Roman" w:hAnsi="Times New Roman" w:cs="Times New Roman"/>
          <w:bCs/>
          <w:color w:val="000000"/>
          <w:lang w:val="lt-LT"/>
        </w:rPr>
        <w:t>TEVA PHARMACEUTICALS S.R.L.</w:t>
      </w:r>
    </w:p>
    <w:p w14:paraId="547A343D" w14:textId="77777777" w:rsidR="00BC7537" w:rsidRPr="00BC7537" w:rsidRDefault="00BC7537" w:rsidP="00BC7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BC7537">
        <w:rPr>
          <w:rFonts w:ascii="Times New Roman" w:hAnsi="Times New Roman" w:cs="Times New Roman"/>
          <w:bCs/>
          <w:color w:val="000000"/>
          <w:lang w:val="lt-LT"/>
        </w:rPr>
        <w:t>Str. Domniţa Ruxandra nr. 12, Parter, Camera A</w:t>
      </w:r>
    </w:p>
    <w:p w14:paraId="744EE1DD" w14:textId="3F5ABBE4" w:rsidR="00BC7537" w:rsidRDefault="00BC7537" w:rsidP="00BC7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BC7537">
        <w:rPr>
          <w:rFonts w:ascii="Times New Roman" w:hAnsi="Times New Roman" w:cs="Times New Roman"/>
          <w:bCs/>
          <w:color w:val="000000"/>
          <w:lang w:val="lt-LT"/>
        </w:rPr>
        <w:t xml:space="preserve">Sector 2, </w:t>
      </w:r>
      <w:r w:rsidR="00EB0D4C" w:rsidRPr="00EB0D4C">
        <w:rPr>
          <w:rFonts w:ascii="Times New Roman" w:hAnsi="Times New Roman" w:cs="Times New Roman"/>
          <w:bCs/>
          <w:color w:val="000000"/>
          <w:lang w:val="lt-LT"/>
        </w:rPr>
        <w:t>Bucharest</w:t>
      </w:r>
      <w:r w:rsidRPr="00BC7537">
        <w:rPr>
          <w:rFonts w:ascii="Times New Roman" w:hAnsi="Times New Roman" w:cs="Times New Roman"/>
          <w:bCs/>
          <w:color w:val="000000"/>
          <w:lang w:val="lt-LT"/>
        </w:rPr>
        <w:t xml:space="preserve">, </w:t>
      </w:r>
    </w:p>
    <w:p w14:paraId="1E6D0A63" w14:textId="256D7C86" w:rsidR="00BC7537" w:rsidRDefault="00BC7537" w:rsidP="00BC7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BC7537">
        <w:rPr>
          <w:rFonts w:ascii="Times New Roman" w:hAnsi="Times New Roman" w:cs="Times New Roman"/>
          <w:bCs/>
          <w:color w:val="000000"/>
          <w:lang w:val="lt-LT"/>
        </w:rPr>
        <w:t>Rumunija</w:t>
      </w:r>
    </w:p>
    <w:p w14:paraId="5BB0B71B" w14:textId="77777777" w:rsidR="00BC7537" w:rsidRPr="00BC7537" w:rsidRDefault="00BC7537" w:rsidP="00BC7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</w:p>
    <w:p w14:paraId="58343FAC" w14:textId="77777777" w:rsidR="00BC7537" w:rsidRPr="00BC7537" w:rsidRDefault="00BC7537" w:rsidP="00BC7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lt-LT"/>
        </w:rPr>
      </w:pPr>
      <w:r w:rsidRPr="00BC7537">
        <w:rPr>
          <w:rFonts w:ascii="Times New Roman" w:hAnsi="Times New Roman" w:cs="Times New Roman"/>
          <w:b/>
          <w:color w:val="000000"/>
          <w:lang w:val="lt-LT"/>
        </w:rPr>
        <w:t>Gamintojas</w:t>
      </w:r>
    </w:p>
    <w:p w14:paraId="58F843D4" w14:textId="77777777" w:rsidR="008A6E68" w:rsidRPr="008A6E68" w:rsidRDefault="008A6E68" w:rsidP="008A6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8A6E68">
        <w:rPr>
          <w:rFonts w:ascii="Times New Roman" w:hAnsi="Times New Roman" w:cs="Times New Roman"/>
          <w:bCs/>
          <w:color w:val="000000"/>
          <w:lang w:val="lt-LT"/>
        </w:rPr>
        <w:t>Balkanpharma-Troyan AD,</w:t>
      </w:r>
    </w:p>
    <w:p w14:paraId="474F018B" w14:textId="77777777" w:rsidR="008A6E68" w:rsidRPr="008A6E68" w:rsidRDefault="008A6E68" w:rsidP="008A6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8A6E68">
        <w:rPr>
          <w:rFonts w:ascii="Times New Roman" w:hAnsi="Times New Roman" w:cs="Times New Roman"/>
          <w:bCs/>
          <w:color w:val="000000"/>
          <w:lang w:val="lt-LT"/>
        </w:rPr>
        <w:t>1, Krayrechna Str.</w:t>
      </w:r>
    </w:p>
    <w:p w14:paraId="4F564D60" w14:textId="77777777" w:rsidR="008A6E68" w:rsidRDefault="008A6E68" w:rsidP="008A6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8A6E68">
        <w:rPr>
          <w:rFonts w:ascii="Times New Roman" w:hAnsi="Times New Roman" w:cs="Times New Roman"/>
          <w:bCs/>
          <w:color w:val="000000"/>
          <w:lang w:val="lt-LT"/>
        </w:rPr>
        <w:t xml:space="preserve">5600 Troyan, </w:t>
      </w:r>
    </w:p>
    <w:p w14:paraId="677B7CCD" w14:textId="3CE3339E" w:rsidR="00BC7537" w:rsidRPr="00BC7537" w:rsidRDefault="008A6E68" w:rsidP="008A6E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lt-LT"/>
        </w:rPr>
      </w:pPr>
      <w:r w:rsidRPr="008A6E68">
        <w:rPr>
          <w:rFonts w:ascii="Times New Roman" w:hAnsi="Times New Roman" w:cs="Times New Roman"/>
          <w:bCs/>
          <w:color w:val="000000"/>
          <w:lang w:val="lt-LT"/>
        </w:rPr>
        <w:t>Bulgari</w:t>
      </w:r>
      <w:r>
        <w:rPr>
          <w:rFonts w:ascii="Times New Roman" w:hAnsi="Times New Roman" w:cs="Times New Roman"/>
          <w:bCs/>
          <w:color w:val="000000"/>
          <w:lang w:val="lt-LT"/>
        </w:rPr>
        <w:t>j</w:t>
      </w:r>
      <w:r w:rsidRPr="008A6E68">
        <w:rPr>
          <w:rFonts w:ascii="Times New Roman" w:hAnsi="Times New Roman" w:cs="Times New Roman"/>
          <w:bCs/>
          <w:color w:val="000000"/>
          <w:lang w:val="lt-LT"/>
        </w:rPr>
        <w:t>a</w:t>
      </w:r>
    </w:p>
    <w:p w14:paraId="076FC414" w14:textId="77777777" w:rsidR="00BC7537" w:rsidRPr="00BC7537" w:rsidRDefault="00BC7537" w:rsidP="00BC7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lt-LT"/>
        </w:rPr>
      </w:pPr>
    </w:p>
    <w:p w14:paraId="65C1F38D" w14:textId="77777777" w:rsidR="00BC7537" w:rsidRPr="00BC7537" w:rsidRDefault="00BC7537" w:rsidP="00BC753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lang w:val="lt-LT"/>
        </w:rPr>
      </w:pPr>
      <w:r w:rsidRPr="00BC7537">
        <w:rPr>
          <w:rFonts w:ascii="Times New Roman" w:hAnsi="Times New Roman" w:cs="Times New Roman"/>
          <w:b/>
          <w:color w:val="000000"/>
          <w:lang w:val="lt-LT"/>
        </w:rPr>
        <w:t xml:space="preserve">Lygiagretus importuotojas </w:t>
      </w:r>
      <w:r w:rsidRPr="00BC7537">
        <w:rPr>
          <w:rFonts w:ascii="Times New Roman" w:hAnsi="Times New Roman" w:cs="Times New Roman"/>
          <w:b/>
          <w:color w:val="000000"/>
          <w:lang w:val="lt-LT"/>
        </w:rPr>
        <w:br/>
      </w:r>
      <w:r w:rsidRPr="00BC7537">
        <w:rPr>
          <w:rFonts w:ascii="Times New Roman" w:eastAsia="TimesNewRoman" w:hAnsi="Times New Roman" w:cs="Times New Roman"/>
          <w:color w:val="000000"/>
          <w:lang w:val="lt-LT"/>
        </w:rPr>
        <w:t>UAB „Niromed“</w:t>
      </w:r>
      <w:r w:rsidRPr="00BC7537">
        <w:rPr>
          <w:rFonts w:ascii="Times New Roman" w:hAnsi="Times New Roman" w:cs="Times New Roman"/>
          <w:b/>
          <w:color w:val="000000"/>
          <w:lang w:val="lt-LT"/>
        </w:rPr>
        <w:br/>
      </w:r>
      <w:r w:rsidRPr="00BC7537">
        <w:rPr>
          <w:rFonts w:ascii="Times New Roman" w:eastAsia="TimesNewRoman" w:hAnsi="Times New Roman" w:cs="Times New Roman"/>
          <w:color w:val="000000"/>
          <w:lang w:val="lt-LT"/>
        </w:rPr>
        <w:t>Žirmūnų g. 139A</w:t>
      </w:r>
      <w:r w:rsidRPr="00BC7537">
        <w:rPr>
          <w:rFonts w:ascii="Times New Roman" w:hAnsi="Times New Roman" w:cs="Times New Roman"/>
          <w:b/>
          <w:color w:val="000000"/>
          <w:lang w:val="lt-LT"/>
        </w:rPr>
        <w:br/>
      </w:r>
      <w:r w:rsidRPr="00BC7537">
        <w:rPr>
          <w:rFonts w:ascii="Times New Roman" w:eastAsia="TimesNewRoman" w:hAnsi="Times New Roman" w:cs="Times New Roman"/>
          <w:color w:val="000000"/>
          <w:lang w:val="lt-LT"/>
        </w:rPr>
        <w:t>LT-09120 Vilnius</w:t>
      </w:r>
      <w:r w:rsidRPr="00BC7537">
        <w:rPr>
          <w:rFonts w:ascii="Times New Roman" w:eastAsia="TimesNewRoman" w:hAnsi="Times New Roman" w:cs="Times New Roman"/>
          <w:color w:val="000000"/>
          <w:lang w:val="lt-LT"/>
        </w:rPr>
        <w:br/>
        <w:t>Lietuva</w:t>
      </w:r>
    </w:p>
    <w:p w14:paraId="5CA96294" w14:textId="77777777" w:rsidR="00BC7537" w:rsidRPr="00BC7537" w:rsidRDefault="00BC7537" w:rsidP="00BC7537">
      <w:pPr>
        <w:widowControl w:val="0"/>
        <w:tabs>
          <w:tab w:val="left" w:pos="567"/>
        </w:tabs>
        <w:autoSpaceDN w:val="0"/>
        <w:snapToGrid w:val="0"/>
        <w:spacing w:after="0" w:line="260" w:lineRule="exact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14:paraId="6937B95B" w14:textId="77777777" w:rsidR="00BC7537" w:rsidRPr="00BC7537" w:rsidRDefault="00BC7537" w:rsidP="00BC7537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r w:rsidRPr="00BC7537">
        <w:rPr>
          <w:rFonts w:ascii="Times New Roman" w:eastAsia="Times New Roman" w:hAnsi="Times New Roman" w:cs="Times New Roman"/>
          <w:b/>
          <w:bCs/>
          <w:lang w:val="lt-LT"/>
        </w:rPr>
        <w:t>Perpakavo</w:t>
      </w:r>
    </w:p>
    <w:p w14:paraId="19CEBFFD" w14:textId="77777777" w:rsidR="00BC7537" w:rsidRPr="00BC7537" w:rsidRDefault="00BC7537" w:rsidP="00BC7537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  <w:r w:rsidRPr="00BC7537">
        <w:rPr>
          <w:rFonts w:ascii="Times New Roman" w:eastAsia="TimesNewRoman" w:hAnsi="Times New Roman" w:cs="Times New Roman"/>
          <w:color w:val="000000"/>
          <w:lang w:val="lt-LT"/>
        </w:rPr>
        <w:t>LABOR Przedsiębiorstwo Farmaceutyczno-Chemiczne sp. z o.o.</w:t>
      </w:r>
    </w:p>
    <w:p w14:paraId="2BA7FDEA" w14:textId="77777777" w:rsidR="00BC7537" w:rsidRPr="00BC7537" w:rsidRDefault="00BC7537" w:rsidP="00BC7537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  <w:r w:rsidRPr="00BC7537">
        <w:rPr>
          <w:rFonts w:ascii="Times New Roman" w:eastAsia="TimesNewRoman" w:hAnsi="Times New Roman" w:cs="Times New Roman"/>
          <w:color w:val="000000"/>
          <w:lang w:val="lt-LT"/>
        </w:rPr>
        <w:t>Ul. Długosza 49,</w:t>
      </w:r>
    </w:p>
    <w:p w14:paraId="66C4CBE7" w14:textId="77777777" w:rsidR="00BC7537" w:rsidRPr="00BC7537" w:rsidRDefault="00BC7537" w:rsidP="00BC7537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  <w:r w:rsidRPr="00BC7537">
        <w:rPr>
          <w:rFonts w:ascii="Times New Roman" w:eastAsia="TimesNewRoman" w:hAnsi="Times New Roman" w:cs="Times New Roman"/>
          <w:color w:val="000000"/>
          <w:lang w:val="lt-LT"/>
        </w:rPr>
        <w:t>51-162 Wrocław,</w:t>
      </w:r>
    </w:p>
    <w:p w14:paraId="26CF4B37" w14:textId="77777777" w:rsidR="00BC7537" w:rsidRPr="00BC7537" w:rsidRDefault="00BC7537" w:rsidP="00BC7537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  <w:r w:rsidRPr="00BC7537">
        <w:rPr>
          <w:rFonts w:ascii="Times New Roman" w:eastAsia="TimesNewRoman" w:hAnsi="Times New Roman" w:cs="Times New Roman"/>
          <w:color w:val="000000"/>
          <w:lang w:val="lt-LT"/>
        </w:rPr>
        <w:t>Lenkija</w:t>
      </w:r>
    </w:p>
    <w:p w14:paraId="79853ED7" w14:textId="77777777" w:rsidR="00BC7537" w:rsidRPr="00BC7537" w:rsidRDefault="00BC7537" w:rsidP="00BC7537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</w:p>
    <w:p w14:paraId="07C8B159" w14:textId="77777777" w:rsidR="00BC7537" w:rsidRPr="00BC7537" w:rsidRDefault="00BC7537" w:rsidP="00BC7537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  <w:r w:rsidRPr="00BC7537">
        <w:rPr>
          <w:rFonts w:ascii="Times New Roman" w:eastAsia="TimesNewRoman" w:hAnsi="Times New Roman" w:cs="Times New Roman"/>
          <w:color w:val="000000"/>
          <w:lang w:val="lt-LT"/>
        </w:rPr>
        <w:t>arba</w:t>
      </w:r>
    </w:p>
    <w:p w14:paraId="394864E5" w14:textId="77777777" w:rsidR="00BC7537" w:rsidRPr="00BC7537" w:rsidRDefault="00BC7537" w:rsidP="00BC7537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lang w:val="lt-LT"/>
        </w:rPr>
      </w:pPr>
    </w:p>
    <w:p w14:paraId="29537C8F" w14:textId="77777777" w:rsidR="00BC7537" w:rsidRPr="00BC7537" w:rsidRDefault="00BC7537" w:rsidP="00BC7537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lang w:val="lt-LT"/>
        </w:rPr>
      </w:pPr>
      <w:r w:rsidRPr="00BC7537">
        <w:rPr>
          <w:rFonts w:ascii="Times New Roman" w:eastAsia="TimesNewRoman" w:hAnsi="Times New Roman" w:cs="Times New Roman"/>
          <w:color w:val="000000"/>
          <w:lang w:val="lt-LT"/>
        </w:rPr>
        <w:t>UAB „Entafarma“</w:t>
      </w:r>
    </w:p>
    <w:p w14:paraId="02DE4BDA" w14:textId="77777777" w:rsidR="00BC7537" w:rsidRPr="00BC7537" w:rsidRDefault="00BC7537" w:rsidP="00BC7537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lang w:val="lt-LT"/>
        </w:rPr>
      </w:pPr>
      <w:r w:rsidRPr="00BC7537">
        <w:rPr>
          <w:rFonts w:ascii="Times New Roman" w:eastAsia="TimesNewRoman" w:hAnsi="Times New Roman" w:cs="Times New Roman"/>
          <w:color w:val="000000"/>
          <w:lang w:val="lt-LT"/>
        </w:rPr>
        <w:lastRenderedPageBreak/>
        <w:t>Klonėnų vs. 1,</w:t>
      </w:r>
    </w:p>
    <w:p w14:paraId="25108BC4" w14:textId="77777777" w:rsidR="00BC7537" w:rsidRPr="00BC7537" w:rsidRDefault="00BC7537" w:rsidP="00BC7537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lang w:val="lt-LT"/>
        </w:rPr>
      </w:pPr>
      <w:r w:rsidRPr="00BC7537">
        <w:rPr>
          <w:rFonts w:ascii="Times New Roman" w:eastAsia="TimesNewRoman" w:hAnsi="Times New Roman" w:cs="Times New Roman"/>
          <w:color w:val="000000"/>
          <w:lang w:val="lt-LT"/>
        </w:rPr>
        <w:t>LT-19156 Širvintų r. sav.</w:t>
      </w:r>
    </w:p>
    <w:p w14:paraId="06CEA012" w14:textId="77777777" w:rsidR="00BC7537" w:rsidRPr="00BC7537" w:rsidRDefault="00BC7537" w:rsidP="00BC7537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lang w:val="lt-LT"/>
        </w:rPr>
      </w:pPr>
      <w:r w:rsidRPr="00BC7537">
        <w:rPr>
          <w:rFonts w:ascii="Times New Roman" w:eastAsia="TimesNewRoman" w:hAnsi="Times New Roman" w:cs="Times New Roman"/>
          <w:color w:val="000000"/>
          <w:lang w:val="lt-LT"/>
        </w:rPr>
        <w:t>Lietuva</w:t>
      </w:r>
    </w:p>
    <w:p w14:paraId="3FBC2A19" w14:textId="77777777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0A7DE98" w14:textId="270E9E16" w:rsidR="004A23E6" w:rsidRPr="000D7F6B" w:rsidRDefault="004A23E6" w:rsidP="004A23E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 w:eastAsia="lt-LT"/>
        </w:rPr>
      </w:pPr>
      <w:r w:rsidRPr="000D7F6B">
        <w:rPr>
          <w:rFonts w:ascii="Times New Roman" w:eastAsia="Calibri" w:hAnsi="Times New Roman" w:cs="Times New Roman"/>
          <w:b/>
          <w:bCs/>
          <w:lang w:val="lt-LT" w:eastAsia="lt-LT"/>
        </w:rPr>
        <w:t xml:space="preserve">Šis pakuotės </w:t>
      </w:r>
      <w:r w:rsidRPr="000D7F6B">
        <w:rPr>
          <w:rFonts w:ascii="Times New Roman" w:eastAsia="Calibri" w:hAnsi="Times New Roman" w:cs="Times New Roman"/>
          <w:b/>
          <w:lang w:val="lt-LT" w:eastAsia="lt-LT"/>
        </w:rPr>
        <w:t xml:space="preserve">lapelis paskutinį kartą </w:t>
      </w:r>
      <w:r>
        <w:rPr>
          <w:rFonts w:ascii="Times New Roman" w:eastAsia="Calibri" w:hAnsi="Times New Roman" w:cs="Times New Roman"/>
          <w:b/>
          <w:lang w:val="lt-LT" w:eastAsia="lt-LT"/>
        </w:rPr>
        <w:t xml:space="preserve">peržiūrėtas </w:t>
      </w:r>
      <w:r w:rsidR="00E401A9">
        <w:rPr>
          <w:rFonts w:ascii="Times New Roman" w:eastAsia="Calibri" w:hAnsi="Times New Roman" w:cs="Times New Roman"/>
          <w:b/>
          <w:lang w:val="lt-LT" w:eastAsia="lt-LT"/>
        </w:rPr>
        <w:t>2024-11-22</w:t>
      </w:r>
    </w:p>
    <w:p w14:paraId="33133B12" w14:textId="77777777" w:rsidR="004A23E6" w:rsidRPr="000D7F6B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14:paraId="03CDF0D1" w14:textId="4C2974DB" w:rsidR="004A23E6" w:rsidRDefault="004A23E6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  <w:r w:rsidRPr="004111EE">
        <w:rPr>
          <w:rFonts w:ascii="Times New Roman" w:eastAsia="Calibri" w:hAnsi="Times New Roman" w:cs="Times New Roman"/>
          <w:noProof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="00C61BFB" w:rsidRPr="00715A3A">
          <w:rPr>
            <w:rStyle w:val="Hipersaitas"/>
            <w:rFonts w:ascii="Times New Roman" w:eastAsia="Calibri" w:hAnsi="Times New Roman" w:cs="Times New Roman"/>
            <w:noProof/>
            <w:lang w:val="lt-LT"/>
          </w:rPr>
          <w:t>https://vvkt.lrv.lt/lt/</w:t>
        </w:r>
      </w:hyperlink>
      <w:r w:rsidR="00C61BFB" w:rsidRPr="00C61BFB">
        <w:rPr>
          <w:rFonts w:ascii="Times New Roman" w:eastAsia="Calibri" w:hAnsi="Times New Roman" w:cs="Times New Roman"/>
          <w:noProof/>
          <w:lang w:val="lt-LT"/>
        </w:rPr>
        <w:t>.</w:t>
      </w:r>
    </w:p>
    <w:p w14:paraId="22BA0866" w14:textId="77777777" w:rsidR="00C61BFB" w:rsidRDefault="00C61BFB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14:paraId="3AAAEE48" w14:textId="77777777" w:rsidR="00C61BFB" w:rsidRPr="000D7F6B" w:rsidRDefault="00C61BFB" w:rsidP="004A23E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val="lt-LT"/>
        </w:rPr>
      </w:pPr>
    </w:p>
    <w:p w14:paraId="0E9C3C26" w14:textId="36B75031" w:rsidR="004A23E6" w:rsidRPr="00203874" w:rsidRDefault="00203874" w:rsidP="00203874">
      <w:pPr>
        <w:spacing w:after="160" w:line="259" w:lineRule="auto"/>
        <w:rPr>
          <w:rFonts w:ascii="Times New Roman" w:hAnsi="Times New Roman" w:cs="Times New Roman"/>
          <w:kern w:val="2"/>
          <w:lang w:val="lt-LT"/>
          <w14:ligatures w14:val="standardContextual"/>
        </w:rPr>
      </w:pPr>
      <w:r w:rsidRPr="00203874">
        <w:rPr>
          <w:rFonts w:ascii="Times New Roman" w:hAnsi="Times New Roman" w:cs="Times New Roman"/>
          <w:i/>
          <w:iCs/>
          <w:kern w:val="2"/>
          <w:lang w:val="lt-LT"/>
          <w14:ligatures w14:val="standardContextual"/>
        </w:rPr>
        <w:t>Lygiagrečiai importuojamas vaistas nuo referencinio vaisto skiriasi tinkamumo laiku: referencinis vaistas po</w:t>
      </w:r>
      <w:r w:rsidRPr="00203874">
        <w:rPr>
          <w:kern w:val="2"/>
          <w:lang w:val="lt-LT"/>
          <w14:ligatures w14:val="standardContextual"/>
        </w:rPr>
        <w:t xml:space="preserve"> </w:t>
      </w:r>
      <w:r w:rsidRPr="00203874">
        <w:rPr>
          <w:rFonts w:ascii="Times New Roman" w:hAnsi="Times New Roman" w:cs="Times New Roman"/>
          <w:i/>
          <w:iCs/>
          <w:kern w:val="2"/>
          <w:lang w:val="lt-LT"/>
          <w14:ligatures w14:val="standardContextual"/>
        </w:rPr>
        <w:t>pirmojo tūtelės atidarymo tinkamas vartoti 6 mėnesius; laikymo sąlygomis: lygiagrečiai importuojamą vaistą laikyti gamintojo pakuotėje.</w:t>
      </w:r>
    </w:p>
    <w:p w14:paraId="59FD3E53" w14:textId="77777777" w:rsidR="00E7340C" w:rsidRPr="00E401A9" w:rsidRDefault="00E7340C">
      <w:pPr>
        <w:rPr>
          <w:lang w:val="lt-LT"/>
        </w:rPr>
      </w:pPr>
    </w:p>
    <w:sectPr w:rsidR="00E7340C" w:rsidRPr="00E401A9" w:rsidSect="00016013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8B3DB" w14:textId="77777777" w:rsidR="00664C8E" w:rsidRDefault="00664C8E">
      <w:pPr>
        <w:spacing w:after="0" w:line="240" w:lineRule="auto"/>
      </w:pPr>
      <w:r>
        <w:separator/>
      </w:r>
    </w:p>
  </w:endnote>
  <w:endnote w:type="continuationSeparator" w:id="0">
    <w:p w14:paraId="24A8ABE6" w14:textId="77777777" w:rsidR="00664C8E" w:rsidRDefault="0066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C3674" w14:textId="77777777" w:rsidR="00D42AD6" w:rsidRDefault="00E401A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181BFE8" w14:textId="77777777" w:rsidR="00D42AD6" w:rsidRDefault="00D42AD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40FFF" w14:textId="77777777" w:rsidR="00D42AD6" w:rsidRDefault="00D42AD6">
    <w:pPr>
      <w:pStyle w:val="Porat"/>
      <w:framePr w:wrap="around" w:vAnchor="text" w:hAnchor="margin" w:xAlign="right" w:y="1"/>
      <w:rPr>
        <w:rStyle w:val="Puslapionumeris"/>
      </w:rPr>
    </w:pPr>
  </w:p>
  <w:p w14:paraId="02268EF2" w14:textId="77777777" w:rsidR="00D42AD6" w:rsidRDefault="00D42AD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C687B" w14:textId="77777777" w:rsidR="00664C8E" w:rsidRDefault="00664C8E">
      <w:pPr>
        <w:spacing w:after="0" w:line="240" w:lineRule="auto"/>
      </w:pPr>
      <w:r>
        <w:separator/>
      </w:r>
    </w:p>
  </w:footnote>
  <w:footnote w:type="continuationSeparator" w:id="0">
    <w:p w14:paraId="0D748FE8" w14:textId="77777777" w:rsidR="00664C8E" w:rsidRDefault="0066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73E1A"/>
    <w:multiLevelType w:val="hybridMultilevel"/>
    <w:tmpl w:val="3F68DF3C"/>
    <w:lvl w:ilvl="0" w:tplc="BA54CB98">
      <w:numFmt w:val="bullet"/>
      <w:lvlText w:val="-"/>
      <w:lvlJc w:val="left"/>
      <w:pPr>
        <w:ind w:left="1656" w:hanging="1296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912E4"/>
    <w:multiLevelType w:val="hybridMultilevel"/>
    <w:tmpl w:val="EF785E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940582">
    <w:abstractNumId w:val="1"/>
  </w:num>
  <w:num w:numId="2" w16cid:durableId="11814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E4"/>
    <w:rsid w:val="00016013"/>
    <w:rsid w:val="00093FB5"/>
    <w:rsid w:val="000B770D"/>
    <w:rsid w:val="00122EA4"/>
    <w:rsid w:val="001739C9"/>
    <w:rsid w:val="00203874"/>
    <w:rsid w:val="002F2D2A"/>
    <w:rsid w:val="00375F79"/>
    <w:rsid w:val="0049049D"/>
    <w:rsid w:val="004A23E6"/>
    <w:rsid w:val="004C17E4"/>
    <w:rsid w:val="00664C8E"/>
    <w:rsid w:val="00826C15"/>
    <w:rsid w:val="008A6E68"/>
    <w:rsid w:val="00912248"/>
    <w:rsid w:val="00966547"/>
    <w:rsid w:val="00A038CF"/>
    <w:rsid w:val="00A27107"/>
    <w:rsid w:val="00B5280D"/>
    <w:rsid w:val="00BA1455"/>
    <w:rsid w:val="00BC7537"/>
    <w:rsid w:val="00BE6A43"/>
    <w:rsid w:val="00C61BFB"/>
    <w:rsid w:val="00CC5CFF"/>
    <w:rsid w:val="00D42AD6"/>
    <w:rsid w:val="00DF5C81"/>
    <w:rsid w:val="00E401A9"/>
    <w:rsid w:val="00E7340C"/>
    <w:rsid w:val="00EB0D4C"/>
    <w:rsid w:val="00F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FACC"/>
  <w15:chartTrackingRefBased/>
  <w15:docId w15:val="{001D445E-9809-47E1-A3E7-FFD8EE61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23E6"/>
    <w:pPr>
      <w:spacing w:after="200" w:line="27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17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17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17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17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17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17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17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17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17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1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1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1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17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17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17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17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17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17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1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1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17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1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17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17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17E4"/>
    <w:pPr>
      <w:spacing w:after="160" w:line="259" w:lineRule="auto"/>
      <w:ind w:left="720"/>
      <w:contextualSpacing/>
    </w:pPr>
    <w:rPr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C17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1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17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17E4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4A23E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23E6"/>
    <w:rPr>
      <w:kern w:val="0"/>
      <w:lang w:val="en-US"/>
      <w14:ligatures w14:val="none"/>
    </w:rPr>
  </w:style>
  <w:style w:type="character" w:styleId="Puslapionumeris">
    <w:name w:val="page number"/>
    <w:basedOn w:val="Numatytasispastraiposriftas"/>
    <w:rsid w:val="004A23E6"/>
    <w:rPr>
      <w:rFonts w:cs="Times New Roman"/>
    </w:rPr>
  </w:style>
  <w:style w:type="paragraph" w:styleId="Betarp">
    <w:name w:val="No Spacing"/>
    <w:uiPriority w:val="1"/>
    <w:qFormat/>
    <w:rsid w:val="004A23E6"/>
    <w:pPr>
      <w:spacing w:after="0" w:line="240" w:lineRule="auto"/>
    </w:pPr>
    <w:rPr>
      <w:kern w:val="0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0B770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B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4413</Words>
  <Characters>2516</Characters>
  <Application>Microsoft Office Word</Application>
  <DocSecurity>0</DocSecurity>
  <Lines>20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18</cp:revision>
  <dcterms:created xsi:type="dcterms:W3CDTF">2024-03-25T16:08:00Z</dcterms:created>
  <dcterms:modified xsi:type="dcterms:W3CDTF">2024-11-27T21:05:00Z</dcterms:modified>
</cp:coreProperties>
</file>