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79A2" w14:textId="77777777" w:rsidR="002B2D97" w:rsidRDefault="002B2D97" w:rsidP="002B2D97">
      <w:pPr>
        <w:pStyle w:val="TTEMEASMCA"/>
      </w:pPr>
      <w:r>
        <w:t>A. ŽENKLINIMAS</w:t>
      </w:r>
    </w:p>
    <w:p w14:paraId="1B8A33BD" w14:textId="77777777" w:rsidR="002B2D97" w:rsidRPr="00160337" w:rsidRDefault="002B2D97" w:rsidP="002B2D97">
      <w:pPr>
        <w:pStyle w:val="BTEMEASMCA"/>
        <w:rPr>
          <w:lang w:val="lt-LT"/>
        </w:rPr>
      </w:pPr>
      <w:r w:rsidRPr="00160337">
        <w:rPr>
          <w:lang w:val="lt-LT"/>
        </w:rPr>
        <w:br w:type="page"/>
      </w:r>
    </w:p>
    <w:p w14:paraId="1FEFA51D" w14:textId="77777777" w:rsidR="002B2D97" w:rsidRDefault="002B2D97" w:rsidP="002B2D97">
      <w:pPr>
        <w:pStyle w:val="PI-1labEMEASMCA"/>
      </w:pPr>
      <w:r>
        <w:lastRenderedPageBreak/>
        <w:t>INFORMACIJA ANT IŠORINĖS PAKUOTĖS</w:t>
      </w:r>
    </w:p>
    <w:p w14:paraId="479E2001" w14:textId="77777777" w:rsidR="002B2D97" w:rsidRDefault="002B2D97" w:rsidP="002B2D97">
      <w:pPr>
        <w:pStyle w:val="PI-1labEMEASMCA"/>
      </w:pPr>
    </w:p>
    <w:p w14:paraId="183E915F" w14:textId="77777777" w:rsidR="002B2D97" w:rsidRDefault="002B2D97" w:rsidP="002B2D97">
      <w:pPr>
        <w:pStyle w:val="PI-1labEMEASMCA"/>
        <w:rPr>
          <w:bCs/>
        </w:rPr>
      </w:pPr>
      <w:r>
        <w:t>KARTONO DĖŽUTĖ</w:t>
      </w:r>
    </w:p>
    <w:p w14:paraId="335B962C" w14:textId="77777777" w:rsidR="002B2D97" w:rsidRPr="00160337" w:rsidRDefault="002B2D97" w:rsidP="002B2D97">
      <w:pPr>
        <w:pStyle w:val="BTEMEASMCA"/>
        <w:rPr>
          <w:lang w:val="lt-LT"/>
        </w:rPr>
      </w:pPr>
    </w:p>
    <w:p w14:paraId="5B9CD359" w14:textId="77777777" w:rsidR="002B2D97" w:rsidRPr="00160337" w:rsidRDefault="002B2D97" w:rsidP="002B2D97">
      <w:pPr>
        <w:pStyle w:val="BTEMEASMCA"/>
        <w:rPr>
          <w:lang w:val="lt-LT"/>
        </w:rPr>
      </w:pPr>
    </w:p>
    <w:p w14:paraId="2A64F478" w14:textId="77777777" w:rsidR="002B2D97" w:rsidRDefault="002B2D97" w:rsidP="002B2D97">
      <w:pPr>
        <w:pStyle w:val="PI-1labEMEASMCA"/>
      </w:pPr>
      <w:r>
        <w:t>1.</w:t>
      </w:r>
      <w:r>
        <w:tab/>
        <w:t>VAISTINIO PREPARATO PAVADINIMAS</w:t>
      </w:r>
    </w:p>
    <w:p w14:paraId="7E037216" w14:textId="77777777" w:rsidR="002B2D97" w:rsidRPr="006E4147" w:rsidRDefault="002B2D97" w:rsidP="002B2D97">
      <w:pPr>
        <w:pStyle w:val="BTEMEASMCA"/>
        <w:rPr>
          <w:lang w:val="pl-PL"/>
        </w:rPr>
      </w:pPr>
    </w:p>
    <w:p w14:paraId="653CB5AB" w14:textId="1D4BC2E0" w:rsidR="002B2D97" w:rsidRPr="006E4147" w:rsidRDefault="001A0ADC" w:rsidP="002B2D97">
      <w:pPr>
        <w:pStyle w:val="BTEMEASMCA"/>
        <w:rPr>
          <w:lang w:val="pl-PL"/>
        </w:rPr>
      </w:pPr>
      <w:r>
        <w:rPr>
          <w:lang w:val="pl-PL"/>
        </w:rPr>
        <w:t>Beacita</w:t>
      </w:r>
      <w:r w:rsidR="002B2D97" w:rsidRPr="006E4147">
        <w:rPr>
          <w:lang w:val="pl-PL"/>
        </w:rPr>
        <w:t xml:space="preserve"> 60</w:t>
      </w:r>
      <w:r w:rsidR="002B2D97">
        <w:rPr>
          <w:lang w:val="pl-PL"/>
        </w:rPr>
        <w:t> </w:t>
      </w:r>
      <w:r w:rsidR="002B2D97" w:rsidRPr="006E4147">
        <w:rPr>
          <w:lang w:val="pl-PL"/>
        </w:rPr>
        <w:t>mg kietosios kapsulės</w:t>
      </w:r>
    </w:p>
    <w:p w14:paraId="65124EBD" w14:textId="04118B98" w:rsidR="002B2D97" w:rsidRPr="006E4147" w:rsidRDefault="00222F92" w:rsidP="002B2D97">
      <w:pPr>
        <w:pStyle w:val="BTEMEASMCA"/>
        <w:rPr>
          <w:lang w:val="pl-PL"/>
        </w:rPr>
      </w:pPr>
      <w:r>
        <w:rPr>
          <w:lang w:val="pl-PL"/>
        </w:rPr>
        <w:t>o</w:t>
      </w:r>
      <w:r w:rsidR="002B2D97" w:rsidRPr="006E4147">
        <w:rPr>
          <w:lang w:val="pl-PL"/>
        </w:rPr>
        <w:t>rlistatas</w:t>
      </w:r>
    </w:p>
    <w:p w14:paraId="0A639EE7" w14:textId="77777777" w:rsidR="002B2D97" w:rsidRPr="006E4147" w:rsidRDefault="002B2D97" w:rsidP="002B2D97">
      <w:pPr>
        <w:pStyle w:val="BTEMEASMCA"/>
        <w:rPr>
          <w:lang w:val="pl-PL"/>
        </w:rPr>
      </w:pPr>
    </w:p>
    <w:p w14:paraId="2AD3A929" w14:textId="77777777" w:rsidR="002B2D97" w:rsidRPr="006E4147" w:rsidRDefault="002B2D97" w:rsidP="002B2D97">
      <w:pPr>
        <w:pStyle w:val="BTEMEASMCA"/>
        <w:rPr>
          <w:lang w:val="pl-PL"/>
        </w:rPr>
      </w:pPr>
    </w:p>
    <w:p w14:paraId="150D47F0" w14:textId="77777777" w:rsidR="002B2D97" w:rsidRDefault="002B2D97" w:rsidP="002B2D97">
      <w:pPr>
        <w:pStyle w:val="PI-1labEMEASMCA"/>
      </w:pPr>
      <w:r>
        <w:t>2.</w:t>
      </w:r>
      <w:r>
        <w:tab/>
      </w:r>
      <w:r w:rsidRPr="00651C0D">
        <w:t>VEIKLIOJI (-IOS) MEDŽIAGA (-OS) IR JOS (-Ų) KIEKIS (-IAI)</w:t>
      </w:r>
    </w:p>
    <w:p w14:paraId="398D84F3" w14:textId="77777777" w:rsidR="002B2D97" w:rsidRPr="006E4147" w:rsidRDefault="002B2D97" w:rsidP="002B2D97">
      <w:pPr>
        <w:pStyle w:val="BTEMEASMCA"/>
        <w:rPr>
          <w:lang w:val="pl-PL"/>
        </w:rPr>
      </w:pPr>
    </w:p>
    <w:p w14:paraId="0532320D" w14:textId="77777777" w:rsidR="002B2D97" w:rsidRPr="006E4147" w:rsidRDefault="002B2D97" w:rsidP="002B2D97">
      <w:pPr>
        <w:pStyle w:val="BTEMEASMCA"/>
        <w:rPr>
          <w:lang w:val="pl-PL"/>
        </w:rPr>
      </w:pPr>
      <w:r>
        <w:rPr>
          <w:lang w:val="pl-PL"/>
        </w:rPr>
        <w:t>Kiekv</w:t>
      </w:r>
      <w:r w:rsidRPr="006E4147">
        <w:rPr>
          <w:lang w:val="pl-PL"/>
        </w:rPr>
        <w:t>ienoje kietojoje kapsulėje yra 60</w:t>
      </w:r>
      <w:r>
        <w:rPr>
          <w:lang w:val="pl-PL"/>
        </w:rPr>
        <w:t> </w:t>
      </w:r>
      <w:r w:rsidRPr="006E4147">
        <w:rPr>
          <w:lang w:val="pl-PL"/>
        </w:rPr>
        <w:t>mg orlistato.</w:t>
      </w:r>
    </w:p>
    <w:p w14:paraId="71B6D30B" w14:textId="77777777" w:rsidR="002B2D97" w:rsidRPr="006E4147" w:rsidRDefault="002B2D97" w:rsidP="002B2D97">
      <w:pPr>
        <w:pStyle w:val="BTEMEASMCA"/>
        <w:rPr>
          <w:lang w:val="pl-PL"/>
        </w:rPr>
      </w:pPr>
    </w:p>
    <w:p w14:paraId="0DCB414A" w14:textId="77777777" w:rsidR="002B2D97" w:rsidRPr="006E4147" w:rsidRDefault="002B2D97" w:rsidP="002B2D97">
      <w:pPr>
        <w:pStyle w:val="BTEMEASMCA"/>
        <w:rPr>
          <w:lang w:val="pl-PL"/>
        </w:rPr>
      </w:pPr>
    </w:p>
    <w:p w14:paraId="499463C3" w14:textId="77777777" w:rsidR="002B2D97" w:rsidRDefault="002B2D97" w:rsidP="002B2D97">
      <w:pPr>
        <w:pStyle w:val="PI-1labEMEASMCA"/>
        <w:rPr>
          <w:highlight w:val="lightGray"/>
        </w:rPr>
      </w:pPr>
      <w:r>
        <w:t>3.</w:t>
      </w:r>
      <w:r>
        <w:tab/>
        <w:t>PAGALBINIŲ MEDŽIAGŲ SĄRAŠAS</w:t>
      </w:r>
    </w:p>
    <w:p w14:paraId="5CC40C4D" w14:textId="77777777" w:rsidR="002B2D97" w:rsidRPr="006E4147" w:rsidRDefault="002B2D97" w:rsidP="002B2D97">
      <w:pPr>
        <w:pStyle w:val="BTEMEASMCA"/>
        <w:rPr>
          <w:lang w:val="pl-PL"/>
        </w:rPr>
      </w:pPr>
    </w:p>
    <w:p w14:paraId="6818C55B" w14:textId="77777777" w:rsidR="002B2D97" w:rsidRPr="006E4147" w:rsidRDefault="002B2D97" w:rsidP="002B2D97">
      <w:pPr>
        <w:pStyle w:val="BTEMEASMCA"/>
        <w:rPr>
          <w:lang w:val="pl-PL"/>
        </w:rPr>
      </w:pPr>
    </w:p>
    <w:p w14:paraId="195816AB" w14:textId="77777777" w:rsidR="002B2D97" w:rsidRDefault="002B2D97" w:rsidP="002B2D97">
      <w:pPr>
        <w:pStyle w:val="PI-1labEMEASMCA"/>
      </w:pPr>
      <w:r>
        <w:t>4.</w:t>
      </w:r>
      <w:r>
        <w:tab/>
        <w:t>FARMACINĖ FORMA IR KIEKIS PAKUOTĖJE</w:t>
      </w:r>
    </w:p>
    <w:p w14:paraId="636A5318" w14:textId="77777777" w:rsidR="002B2D97" w:rsidRPr="006E4147" w:rsidRDefault="002B2D97" w:rsidP="002B2D97">
      <w:pPr>
        <w:pStyle w:val="BTEMEASMCA"/>
        <w:rPr>
          <w:lang w:val="pl-PL"/>
        </w:rPr>
      </w:pPr>
    </w:p>
    <w:p w14:paraId="0102A9AC" w14:textId="77777777" w:rsidR="002B2D97" w:rsidRPr="006E4147" w:rsidRDefault="002B2D97" w:rsidP="002B2D97">
      <w:pPr>
        <w:pStyle w:val="BTEMEASMCA"/>
        <w:rPr>
          <w:lang w:val="pl-PL"/>
        </w:rPr>
      </w:pPr>
      <w:r w:rsidRPr="001A0ADC">
        <w:rPr>
          <w:highlight w:val="lightGray"/>
          <w:lang w:val="pl-PL"/>
        </w:rPr>
        <w:t>Kietoji kapsulė</w:t>
      </w:r>
    </w:p>
    <w:p w14:paraId="19B29CA0" w14:textId="2074653C" w:rsidR="002B2D97" w:rsidRPr="001A0ADC" w:rsidRDefault="002B2D97" w:rsidP="002B2D97">
      <w:pPr>
        <w:pStyle w:val="BTEMEASMCA"/>
        <w:rPr>
          <w:lang w:val="pl-PL"/>
        </w:rPr>
      </w:pPr>
      <w:r w:rsidRPr="001A0ADC">
        <w:rPr>
          <w:lang w:val="pl-PL"/>
        </w:rPr>
        <w:t xml:space="preserve">84 </w:t>
      </w:r>
      <w:r w:rsidR="001A0ADC">
        <w:rPr>
          <w:lang w:val="pl-PL"/>
        </w:rPr>
        <w:t xml:space="preserve">kietosios </w:t>
      </w:r>
      <w:r w:rsidRPr="001A0ADC">
        <w:rPr>
          <w:lang w:val="pl-PL"/>
        </w:rPr>
        <w:t>kapsulės</w:t>
      </w:r>
    </w:p>
    <w:p w14:paraId="599E22D2" w14:textId="77777777" w:rsidR="002B2D97" w:rsidRPr="006E4147" w:rsidRDefault="002B2D97" w:rsidP="002B2D97">
      <w:pPr>
        <w:pStyle w:val="BTEMEASMCA"/>
        <w:rPr>
          <w:lang w:val="pl-PL"/>
        </w:rPr>
      </w:pPr>
    </w:p>
    <w:p w14:paraId="466DB371" w14:textId="77777777" w:rsidR="002B2D97" w:rsidRPr="006E4147" w:rsidRDefault="002B2D97" w:rsidP="002B2D97">
      <w:pPr>
        <w:pStyle w:val="BTEMEASMCA"/>
        <w:rPr>
          <w:lang w:val="pl-PL"/>
        </w:rPr>
      </w:pPr>
    </w:p>
    <w:p w14:paraId="7989DCB3" w14:textId="77777777" w:rsidR="002B2D97" w:rsidRPr="00876326" w:rsidRDefault="002B2D97" w:rsidP="002B2D97">
      <w:pPr>
        <w:pStyle w:val="PI-1labEMEASMCA"/>
        <w:rPr>
          <w:highlight w:val="lightGray"/>
          <w:lang w:val="pl-PL"/>
        </w:rPr>
      </w:pPr>
      <w:r w:rsidRPr="00876326">
        <w:rPr>
          <w:lang w:val="pl-PL"/>
        </w:rPr>
        <w:t>5.</w:t>
      </w:r>
      <w:r w:rsidRPr="00876326">
        <w:rPr>
          <w:lang w:val="pl-PL"/>
        </w:rPr>
        <w:tab/>
        <w:t>VARTOJIMO METODAS IR BŪDAS (-AI)</w:t>
      </w:r>
    </w:p>
    <w:p w14:paraId="38E4B963" w14:textId="77777777" w:rsidR="002B2D97" w:rsidRPr="00876326" w:rsidRDefault="002B2D97" w:rsidP="002B2D97">
      <w:pPr>
        <w:pStyle w:val="BTEMEASMCA"/>
        <w:rPr>
          <w:lang w:val="pl-PL"/>
        </w:rPr>
      </w:pPr>
    </w:p>
    <w:p w14:paraId="39A8D645" w14:textId="77777777" w:rsidR="002B2D97" w:rsidRPr="00876326" w:rsidRDefault="002B2D97" w:rsidP="002B2D97">
      <w:pPr>
        <w:pStyle w:val="BTEMEASMCA"/>
        <w:rPr>
          <w:lang w:val="pl-PL"/>
        </w:rPr>
      </w:pPr>
      <w:r w:rsidRPr="00876326">
        <w:rPr>
          <w:lang w:val="pl-PL"/>
        </w:rPr>
        <w:t>Vartoti per burną.</w:t>
      </w:r>
    </w:p>
    <w:p w14:paraId="1D30DD99" w14:textId="77777777" w:rsidR="002B2D97" w:rsidRPr="00876326" w:rsidRDefault="002B2D97" w:rsidP="002B2D97">
      <w:pPr>
        <w:pStyle w:val="BTEMEASMCA"/>
        <w:rPr>
          <w:lang w:val="pl-PL"/>
        </w:rPr>
      </w:pPr>
      <w:r w:rsidRPr="00876326">
        <w:rPr>
          <w:lang w:val="pl-PL"/>
        </w:rPr>
        <w:t>Prieš vartojimą perskaitykite pakuotės lapelį.</w:t>
      </w:r>
    </w:p>
    <w:p w14:paraId="76B209D3" w14:textId="77777777" w:rsidR="002B2D97" w:rsidRPr="00876326" w:rsidRDefault="002B2D97" w:rsidP="002B2D97">
      <w:pPr>
        <w:pStyle w:val="BTEMEASMCA"/>
        <w:rPr>
          <w:lang w:val="pl-PL"/>
        </w:rPr>
      </w:pPr>
    </w:p>
    <w:p w14:paraId="272FDC4A" w14:textId="77777777" w:rsidR="002B2D97" w:rsidRPr="00876326" w:rsidRDefault="002B2D97" w:rsidP="002B2D97">
      <w:pPr>
        <w:pStyle w:val="BTEMEASMCA"/>
        <w:rPr>
          <w:lang w:val="pl-PL"/>
        </w:rPr>
      </w:pPr>
    </w:p>
    <w:p w14:paraId="7222C771" w14:textId="77777777" w:rsidR="002B2D97" w:rsidRPr="00876326" w:rsidRDefault="002B2D97" w:rsidP="002B2D97">
      <w:pPr>
        <w:pStyle w:val="PI-1labEMEASMCA"/>
        <w:rPr>
          <w:lang w:val="pl-PL"/>
        </w:rPr>
      </w:pPr>
      <w:r w:rsidRPr="00876326">
        <w:rPr>
          <w:lang w:val="pl-PL"/>
        </w:rPr>
        <w:t>6.</w:t>
      </w:r>
      <w:r w:rsidRPr="00876326">
        <w:rPr>
          <w:lang w:val="pl-PL"/>
        </w:rPr>
        <w:tab/>
        <w:t>SPECIALUS ĮSPĖJIMAS, KAD VAISTINĮ PREPARATĄ BŪTINA LAIKYTI VAIKAMS NEPASTEBIMOJE IR NEPASIEKIAMOJE VIETOJE</w:t>
      </w:r>
    </w:p>
    <w:p w14:paraId="3B4A1B9C" w14:textId="77777777" w:rsidR="002B2D97" w:rsidRPr="00876326" w:rsidRDefault="002B2D97" w:rsidP="002B2D97">
      <w:pPr>
        <w:pStyle w:val="BTEMEASMCA"/>
        <w:rPr>
          <w:lang w:val="pl-PL"/>
        </w:rPr>
      </w:pPr>
    </w:p>
    <w:p w14:paraId="2511F655" w14:textId="77777777" w:rsidR="002B2D97" w:rsidRPr="00876326" w:rsidRDefault="002B2D97" w:rsidP="002B2D97">
      <w:pPr>
        <w:pStyle w:val="BTEMEASMCA"/>
        <w:rPr>
          <w:lang w:val="pl-PL"/>
        </w:rPr>
      </w:pPr>
      <w:r w:rsidRPr="00876326">
        <w:rPr>
          <w:lang w:val="pl-PL"/>
        </w:rPr>
        <w:t>Laikyti vaikams nepastebimoje ir nepasiekiamoje vietoje.</w:t>
      </w:r>
    </w:p>
    <w:p w14:paraId="3D23D95F" w14:textId="77777777" w:rsidR="002B2D97" w:rsidRPr="00876326" w:rsidRDefault="002B2D97" w:rsidP="002B2D97">
      <w:pPr>
        <w:pStyle w:val="BTEMEASMCA"/>
        <w:rPr>
          <w:lang w:val="pl-PL"/>
        </w:rPr>
      </w:pPr>
    </w:p>
    <w:p w14:paraId="2356D7B9" w14:textId="77777777" w:rsidR="002B2D97" w:rsidRPr="00876326" w:rsidRDefault="002B2D97" w:rsidP="002B2D97">
      <w:pPr>
        <w:pStyle w:val="BTEMEASMCA"/>
        <w:rPr>
          <w:lang w:val="pl-PL"/>
        </w:rPr>
      </w:pPr>
    </w:p>
    <w:p w14:paraId="559E8F40" w14:textId="77777777" w:rsidR="002B2D97" w:rsidRPr="00205A93" w:rsidRDefault="002B2D97" w:rsidP="002B2D97">
      <w:pPr>
        <w:pStyle w:val="PI-1labEMEASMCA"/>
        <w:rPr>
          <w:highlight w:val="lightGray"/>
          <w:lang w:val="en-US"/>
        </w:rPr>
      </w:pPr>
      <w:r w:rsidRPr="00205A93">
        <w:rPr>
          <w:lang w:val="en-US"/>
        </w:rPr>
        <w:t>7.</w:t>
      </w:r>
      <w:r w:rsidRPr="00205A93">
        <w:rPr>
          <w:lang w:val="en-US"/>
        </w:rPr>
        <w:tab/>
        <w:t>KITAS (-I) SPECIALUS (-ŪS) ĮSPĖJIMAS (-AI) (JEI REIKIA)</w:t>
      </w:r>
    </w:p>
    <w:p w14:paraId="3EEA692F" w14:textId="77777777" w:rsidR="002B2D97" w:rsidRPr="00E16B4C" w:rsidRDefault="002B2D97" w:rsidP="002B2D97">
      <w:pPr>
        <w:pStyle w:val="BTEMEASMCA"/>
      </w:pPr>
    </w:p>
    <w:p w14:paraId="41D20F3C" w14:textId="77777777" w:rsidR="002B2D97" w:rsidRPr="00E16B4C" w:rsidRDefault="002B2D97" w:rsidP="002B2D97">
      <w:pPr>
        <w:pStyle w:val="BTEMEASMCA"/>
      </w:pPr>
    </w:p>
    <w:p w14:paraId="329F3E80" w14:textId="77777777" w:rsidR="002B2D97" w:rsidRDefault="002B2D97" w:rsidP="002B2D97">
      <w:pPr>
        <w:pStyle w:val="PI-1labEMEASMCA"/>
        <w:rPr>
          <w:highlight w:val="lightGray"/>
        </w:rPr>
      </w:pPr>
      <w:r>
        <w:t>8.</w:t>
      </w:r>
      <w:r>
        <w:tab/>
        <w:t>TINKAMUMO LAIKAS</w:t>
      </w:r>
    </w:p>
    <w:p w14:paraId="222D75D7" w14:textId="77777777" w:rsidR="002B2D97" w:rsidRPr="006E4147" w:rsidRDefault="002B2D97" w:rsidP="002B2D97">
      <w:pPr>
        <w:pStyle w:val="BTEMEASMCA"/>
        <w:rPr>
          <w:lang w:val="pl-PL"/>
        </w:rPr>
      </w:pPr>
    </w:p>
    <w:p w14:paraId="450E7B91" w14:textId="77777777" w:rsidR="002B2D97" w:rsidRPr="006E4147" w:rsidRDefault="002B2D97" w:rsidP="002B2D97">
      <w:pPr>
        <w:pStyle w:val="BTEMEASMCA"/>
        <w:rPr>
          <w:lang w:val="pl-PL"/>
        </w:rPr>
      </w:pPr>
      <w:r w:rsidRPr="006E4147">
        <w:rPr>
          <w:lang w:val="pl-PL"/>
        </w:rPr>
        <w:t>Tinka iki {mm/MMMM/}</w:t>
      </w:r>
    </w:p>
    <w:p w14:paraId="51932924" w14:textId="77777777" w:rsidR="002B2D97" w:rsidRPr="006E4147" w:rsidRDefault="002B2D97" w:rsidP="002B2D97">
      <w:pPr>
        <w:pStyle w:val="BTEMEASMCA"/>
        <w:rPr>
          <w:lang w:val="pl-PL"/>
        </w:rPr>
      </w:pPr>
    </w:p>
    <w:p w14:paraId="159E2C3D" w14:textId="77777777" w:rsidR="002B2D97" w:rsidRPr="006E4147" w:rsidRDefault="002B2D97" w:rsidP="002B2D97">
      <w:pPr>
        <w:pStyle w:val="BTEMEASMCA"/>
        <w:rPr>
          <w:lang w:val="pl-PL"/>
        </w:rPr>
      </w:pPr>
    </w:p>
    <w:p w14:paraId="7013E8B0" w14:textId="77777777" w:rsidR="002B2D97" w:rsidRDefault="002B2D97" w:rsidP="002B2D97">
      <w:pPr>
        <w:pStyle w:val="PI-1labEMEASMCA"/>
      </w:pPr>
      <w:r>
        <w:t>9.</w:t>
      </w:r>
      <w:r>
        <w:tab/>
        <w:t>SPECIALIOS LAIKYMO SĄLYGOS</w:t>
      </w:r>
    </w:p>
    <w:p w14:paraId="46D2A18C" w14:textId="77777777" w:rsidR="002B2D97" w:rsidRPr="006E4147" w:rsidRDefault="002B2D97" w:rsidP="002B2D97">
      <w:pPr>
        <w:pStyle w:val="BTEMEASMCA"/>
        <w:rPr>
          <w:lang w:val="pl-PL"/>
        </w:rPr>
      </w:pPr>
    </w:p>
    <w:p w14:paraId="198C4A35" w14:textId="77777777" w:rsidR="002B2D97" w:rsidRPr="006E4147" w:rsidRDefault="002B2D97" w:rsidP="002B2D97">
      <w:pPr>
        <w:pStyle w:val="BTEMEASMCA"/>
        <w:rPr>
          <w:lang w:val="pl-PL"/>
        </w:rPr>
      </w:pPr>
      <w:r w:rsidRPr="006E4147">
        <w:rPr>
          <w:lang w:val="pl-PL"/>
        </w:rPr>
        <w:t xml:space="preserve">Laikyti ne aukštesnėje kaip 25 °C temperatūroje. </w:t>
      </w:r>
    </w:p>
    <w:p w14:paraId="36079EA2" w14:textId="77777777" w:rsidR="002B2D97" w:rsidRPr="006E4147" w:rsidRDefault="002B2D97" w:rsidP="002B2D97">
      <w:pPr>
        <w:pStyle w:val="BTEMEASMCA"/>
        <w:rPr>
          <w:lang w:val="pl-PL"/>
        </w:rPr>
      </w:pPr>
      <w:r w:rsidRPr="006E4147">
        <w:rPr>
          <w:lang w:val="pl-PL"/>
        </w:rPr>
        <w:t xml:space="preserve">Laikyti gamintojo pakuotėje, kad </w:t>
      </w:r>
      <w:r>
        <w:rPr>
          <w:lang w:val="pl-PL"/>
        </w:rPr>
        <w:t>vaistas</w:t>
      </w:r>
      <w:r w:rsidRPr="006E4147">
        <w:rPr>
          <w:lang w:val="pl-PL"/>
        </w:rPr>
        <w:t xml:space="preserve"> būtų apsaugotas nuo šviesos ir drėgmės.</w:t>
      </w:r>
    </w:p>
    <w:p w14:paraId="5D5D7C59" w14:textId="77777777" w:rsidR="002B2D97" w:rsidRPr="006E4147" w:rsidRDefault="002B2D97" w:rsidP="002B2D97">
      <w:pPr>
        <w:pStyle w:val="BTEMEASMCA"/>
        <w:rPr>
          <w:lang w:val="pl-PL"/>
        </w:rPr>
      </w:pPr>
    </w:p>
    <w:p w14:paraId="667857D1" w14:textId="77777777" w:rsidR="002B2D97" w:rsidRPr="006E4147" w:rsidRDefault="002B2D97" w:rsidP="002B2D97">
      <w:pPr>
        <w:pStyle w:val="BTEMEASMCA"/>
        <w:rPr>
          <w:lang w:val="pl-PL"/>
        </w:rPr>
      </w:pPr>
    </w:p>
    <w:p w14:paraId="31CDE5F0" w14:textId="77777777" w:rsidR="002B2D97" w:rsidRDefault="002B2D97" w:rsidP="002B2D97">
      <w:pPr>
        <w:pStyle w:val="PI-1labEMEASMCA"/>
      </w:pPr>
      <w:r>
        <w:lastRenderedPageBreak/>
        <w:t>10.</w:t>
      </w:r>
      <w:r>
        <w:tab/>
        <w:t xml:space="preserve">SPECIALIOS ATSARGUMO PRIEMONĖS DĖL NESUVARTOTO </w:t>
      </w:r>
      <w:r>
        <w:rPr>
          <w:bCs/>
        </w:rPr>
        <w:t xml:space="preserve">VAISTINIO PREPARATO AR JO ATLIEKŲ </w:t>
      </w:r>
      <w:r>
        <w:t>TVARKYMO (JEI REIKIA)</w:t>
      </w:r>
    </w:p>
    <w:p w14:paraId="42FAE913" w14:textId="77777777" w:rsidR="002B2D97" w:rsidRPr="006E4147" w:rsidRDefault="002B2D97" w:rsidP="002B2D97">
      <w:pPr>
        <w:pStyle w:val="BTEMEASMCA"/>
        <w:rPr>
          <w:lang w:val="pl-PL"/>
        </w:rPr>
      </w:pPr>
    </w:p>
    <w:p w14:paraId="7DA5F06F" w14:textId="77777777" w:rsidR="00A03EC5" w:rsidRPr="00A03EC5" w:rsidRDefault="00A03EC5" w:rsidP="00A03EC5">
      <w:pPr>
        <w:tabs>
          <w:tab w:val="left" w:pos="540"/>
          <w:tab w:val="left" w:pos="567"/>
        </w:tabs>
        <w:snapToGrid w:val="0"/>
        <w:rPr>
          <w:sz w:val="22"/>
          <w:szCs w:val="20"/>
          <w:lang w:eastAsia="x-none"/>
        </w:rPr>
      </w:pPr>
    </w:p>
    <w:p w14:paraId="6205CA22" w14:textId="77777777" w:rsidR="00A03EC5" w:rsidRPr="00A03EC5" w:rsidRDefault="00A03EC5" w:rsidP="00A03EC5">
      <w:pPr>
        <w:pBdr>
          <w:top w:val="single" w:sz="4" w:space="1" w:color="auto"/>
          <w:left w:val="single" w:sz="4" w:space="4" w:color="auto"/>
          <w:bottom w:val="single" w:sz="4" w:space="1" w:color="auto"/>
          <w:right w:val="single" w:sz="4" w:space="4" w:color="auto"/>
        </w:pBdr>
        <w:tabs>
          <w:tab w:val="left" w:pos="540"/>
          <w:tab w:val="left" w:pos="567"/>
        </w:tabs>
        <w:snapToGrid w:val="0"/>
        <w:rPr>
          <w:sz w:val="22"/>
          <w:szCs w:val="20"/>
          <w:lang w:eastAsia="x-none"/>
        </w:rPr>
      </w:pPr>
      <w:r w:rsidRPr="00A03EC5">
        <w:rPr>
          <w:b/>
          <w:sz w:val="22"/>
          <w:szCs w:val="20"/>
          <w:lang w:eastAsia="x-none"/>
        </w:rPr>
        <w:t>11.</w:t>
      </w:r>
      <w:r w:rsidRPr="00A03EC5">
        <w:rPr>
          <w:b/>
          <w:sz w:val="22"/>
          <w:szCs w:val="20"/>
          <w:lang w:eastAsia="x-none"/>
        </w:rPr>
        <w:tab/>
        <w:t>LYGIAGRETUS IMPORTUOTOJAS</w:t>
      </w:r>
    </w:p>
    <w:p w14:paraId="13286547" w14:textId="77777777" w:rsidR="00A03EC5" w:rsidRPr="00A03EC5" w:rsidRDefault="00A03EC5" w:rsidP="00A03EC5">
      <w:pPr>
        <w:tabs>
          <w:tab w:val="left" w:pos="540"/>
          <w:tab w:val="left" w:pos="567"/>
        </w:tabs>
        <w:snapToGrid w:val="0"/>
        <w:rPr>
          <w:sz w:val="22"/>
          <w:szCs w:val="20"/>
          <w:lang w:eastAsia="ar-SA"/>
        </w:rPr>
      </w:pPr>
    </w:p>
    <w:p w14:paraId="0FC20FFD" w14:textId="77777777" w:rsidR="00A03EC5" w:rsidRPr="00A03EC5" w:rsidRDefault="00A03EC5" w:rsidP="00A03EC5">
      <w:pPr>
        <w:tabs>
          <w:tab w:val="left" w:pos="540"/>
          <w:tab w:val="left" w:pos="567"/>
        </w:tabs>
        <w:snapToGrid w:val="0"/>
        <w:rPr>
          <w:sz w:val="22"/>
          <w:szCs w:val="20"/>
          <w:lang w:eastAsia="x-none"/>
        </w:rPr>
      </w:pPr>
      <w:r w:rsidRPr="00A03EC5">
        <w:rPr>
          <w:sz w:val="22"/>
          <w:szCs w:val="20"/>
          <w:lang w:eastAsia="ar-SA"/>
        </w:rPr>
        <w:t>UAB „</w:t>
      </w:r>
      <w:proofErr w:type="spellStart"/>
      <w:r w:rsidRPr="00A03EC5">
        <w:rPr>
          <w:sz w:val="22"/>
          <w:szCs w:val="20"/>
          <w:lang w:eastAsia="ar-SA"/>
        </w:rPr>
        <w:t>Niromed</w:t>
      </w:r>
      <w:proofErr w:type="spellEnd"/>
      <w:r w:rsidRPr="00A03EC5">
        <w:rPr>
          <w:sz w:val="22"/>
          <w:szCs w:val="20"/>
          <w:lang w:eastAsia="ar-SA"/>
        </w:rPr>
        <w:t>“</w:t>
      </w:r>
    </w:p>
    <w:p w14:paraId="22EC236B" w14:textId="77777777" w:rsidR="00A03EC5" w:rsidRPr="00A03EC5" w:rsidRDefault="00A03EC5" w:rsidP="00A03EC5">
      <w:pPr>
        <w:tabs>
          <w:tab w:val="left" w:pos="540"/>
          <w:tab w:val="left" w:pos="567"/>
        </w:tabs>
        <w:snapToGrid w:val="0"/>
        <w:rPr>
          <w:sz w:val="22"/>
          <w:szCs w:val="20"/>
          <w:lang w:eastAsia="x-none"/>
        </w:rPr>
      </w:pPr>
    </w:p>
    <w:p w14:paraId="581796C9" w14:textId="77777777" w:rsidR="00A03EC5" w:rsidRPr="00A03EC5" w:rsidRDefault="00A03EC5" w:rsidP="00A03EC5">
      <w:pPr>
        <w:pBdr>
          <w:top w:val="single" w:sz="4" w:space="1" w:color="auto"/>
          <w:left w:val="single" w:sz="4" w:space="4" w:color="auto"/>
          <w:bottom w:val="single" w:sz="4" w:space="1" w:color="auto"/>
          <w:right w:val="single" w:sz="4" w:space="4" w:color="auto"/>
        </w:pBdr>
        <w:tabs>
          <w:tab w:val="left" w:pos="540"/>
          <w:tab w:val="left" w:pos="567"/>
        </w:tabs>
        <w:snapToGrid w:val="0"/>
        <w:rPr>
          <w:sz w:val="22"/>
          <w:szCs w:val="20"/>
          <w:lang w:eastAsia="x-none"/>
        </w:rPr>
      </w:pPr>
      <w:r w:rsidRPr="00A03EC5">
        <w:rPr>
          <w:b/>
          <w:sz w:val="22"/>
          <w:szCs w:val="20"/>
          <w:lang w:eastAsia="x-none"/>
        </w:rPr>
        <w:t>12.</w:t>
      </w:r>
      <w:r w:rsidRPr="00A03EC5">
        <w:rPr>
          <w:b/>
          <w:sz w:val="22"/>
          <w:szCs w:val="20"/>
          <w:lang w:eastAsia="x-none"/>
        </w:rPr>
        <w:tab/>
        <w:t>LYGIAGRETAUS IMPORTO LEIDIMO NUMERIS (-IAI)</w:t>
      </w:r>
    </w:p>
    <w:p w14:paraId="1C0091D6" w14:textId="77777777" w:rsidR="00A03EC5" w:rsidRPr="00A03EC5" w:rsidRDefault="00A03EC5" w:rsidP="00A03EC5">
      <w:pPr>
        <w:tabs>
          <w:tab w:val="left" w:pos="540"/>
          <w:tab w:val="left" w:pos="567"/>
        </w:tabs>
        <w:snapToGrid w:val="0"/>
        <w:rPr>
          <w:sz w:val="22"/>
          <w:szCs w:val="20"/>
          <w:lang w:eastAsia="x-none"/>
        </w:rPr>
      </w:pPr>
    </w:p>
    <w:p w14:paraId="28907174" w14:textId="5167D34C" w:rsidR="00B72E4B" w:rsidRPr="00B72E4B" w:rsidRDefault="00876326" w:rsidP="00B72E4B">
      <w:pPr>
        <w:pStyle w:val="Default"/>
        <w:rPr>
          <w:rFonts w:eastAsiaTheme="minorHAnsi"/>
          <w:lang w:val="lt-LT"/>
          <w14:ligatures w14:val="standardContextual"/>
        </w:rPr>
      </w:pPr>
      <w:r w:rsidRPr="00B72E4B">
        <w:rPr>
          <w:sz w:val="22"/>
          <w:szCs w:val="20"/>
          <w:highlight w:val="lightGray"/>
          <w:lang w:eastAsia="x-none"/>
        </w:rPr>
        <w:t>N84</w:t>
      </w:r>
      <w:r>
        <w:rPr>
          <w:sz w:val="22"/>
          <w:szCs w:val="20"/>
          <w:lang w:eastAsia="x-none"/>
        </w:rPr>
        <w:t xml:space="preserve"> - </w:t>
      </w:r>
      <w:r w:rsidR="00A03EC5" w:rsidRPr="00A03EC5">
        <w:rPr>
          <w:sz w:val="22"/>
          <w:szCs w:val="20"/>
          <w:lang w:eastAsia="x-none"/>
        </w:rPr>
        <w:t>LT/L/</w:t>
      </w:r>
      <w:r w:rsidR="00B72E4B" w:rsidRPr="00B72E4B">
        <w:rPr>
          <w:rFonts w:eastAsiaTheme="minorHAnsi"/>
          <w:sz w:val="23"/>
          <w:szCs w:val="23"/>
          <w14:ligatures w14:val="standardContextual"/>
        </w:rPr>
        <w:t xml:space="preserve">25/2371/001 </w:t>
      </w:r>
    </w:p>
    <w:p w14:paraId="485D2636" w14:textId="77777777" w:rsidR="00B72E4B" w:rsidRPr="00B72E4B" w:rsidRDefault="00B72E4B" w:rsidP="00B72E4B">
      <w:pPr>
        <w:autoSpaceDE w:val="0"/>
        <w:autoSpaceDN w:val="0"/>
        <w:adjustRightInd w:val="0"/>
        <w:rPr>
          <w:rFonts w:eastAsiaTheme="minorHAnsi"/>
          <w:color w:val="000000"/>
          <w:sz w:val="23"/>
          <w:szCs w:val="23"/>
          <w14:ligatures w14:val="standardContextual"/>
        </w:rPr>
      </w:pPr>
    </w:p>
    <w:p w14:paraId="02A63827" w14:textId="77777777" w:rsidR="002B2D97" w:rsidRPr="00E16B4C" w:rsidRDefault="002B2D97" w:rsidP="002B2D97">
      <w:pPr>
        <w:pStyle w:val="BTEMEASMCA"/>
      </w:pPr>
    </w:p>
    <w:p w14:paraId="3DC4EF8F" w14:textId="77777777" w:rsidR="002B2D97" w:rsidRPr="00205A93" w:rsidRDefault="002B2D97" w:rsidP="002B2D97">
      <w:pPr>
        <w:pStyle w:val="PI-1labEMEASMCA"/>
        <w:rPr>
          <w:lang w:val="en-US"/>
        </w:rPr>
      </w:pPr>
      <w:r w:rsidRPr="00205A93">
        <w:rPr>
          <w:lang w:val="en-US"/>
        </w:rPr>
        <w:t>13.</w:t>
      </w:r>
      <w:r w:rsidRPr="00205A93">
        <w:rPr>
          <w:lang w:val="en-US"/>
        </w:rPr>
        <w:tab/>
        <w:t>SERIJOS NUMERIS</w:t>
      </w:r>
    </w:p>
    <w:p w14:paraId="47270E0D" w14:textId="77777777" w:rsidR="002B2D97" w:rsidRPr="00E16B4C" w:rsidRDefault="002B2D97" w:rsidP="002B2D97">
      <w:pPr>
        <w:pStyle w:val="BTEMEASMCA"/>
      </w:pPr>
    </w:p>
    <w:p w14:paraId="4052F60B" w14:textId="77777777" w:rsidR="002B2D97" w:rsidRPr="00E16B4C" w:rsidRDefault="002B2D97" w:rsidP="002B2D97">
      <w:pPr>
        <w:pStyle w:val="BTEMEASMCA"/>
      </w:pPr>
      <w:r w:rsidRPr="00E16B4C">
        <w:t>Serija</w:t>
      </w:r>
    </w:p>
    <w:p w14:paraId="49B5DE5C" w14:textId="77777777" w:rsidR="002B2D97" w:rsidRPr="00E16B4C" w:rsidRDefault="002B2D97" w:rsidP="002B2D97">
      <w:pPr>
        <w:pStyle w:val="BTEMEASMCA"/>
      </w:pPr>
    </w:p>
    <w:p w14:paraId="61204B82" w14:textId="77777777" w:rsidR="002B2D97" w:rsidRPr="00E16B4C" w:rsidRDefault="002B2D97" w:rsidP="002B2D97">
      <w:pPr>
        <w:pStyle w:val="BTEMEASMCA"/>
      </w:pPr>
    </w:p>
    <w:p w14:paraId="2EFD9D22" w14:textId="77777777" w:rsidR="002B2D97" w:rsidRPr="00205A93" w:rsidRDefault="002B2D97" w:rsidP="002B2D97">
      <w:pPr>
        <w:pStyle w:val="PI-1labEMEASMCA"/>
        <w:rPr>
          <w:lang w:val="en-US"/>
        </w:rPr>
      </w:pPr>
      <w:r w:rsidRPr="00205A93">
        <w:rPr>
          <w:lang w:val="en-US"/>
        </w:rPr>
        <w:t>14.</w:t>
      </w:r>
      <w:r w:rsidRPr="00205A93">
        <w:rPr>
          <w:lang w:val="en-US"/>
        </w:rPr>
        <w:tab/>
        <w:t>PARDAVIMO (IŠDAVIMO) TVARKA</w:t>
      </w:r>
    </w:p>
    <w:p w14:paraId="5281F233" w14:textId="77777777" w:rsidR="002B2D97" w:rsidRPr="00E16B4C" w:rsidRDefault="002B2D97" w:rsidP="002B2D97">
      <w:pPr>
        <w:pStyle w:val="BTEMEASMCA"/>
      </w:pPr>
    </w:p>
    <w:p w14:paraId="5E3567FD" w14:textId="77777777" w:rsidR="002B2D97" w:rsidRPr="00E16B4C" w:rsidRDefault="002B2D97" w:rsidP="002B2D97">
      <w:pPr>
        <w:pStyle w:val="BTEMEASMCA"/>
      </w:pPr>
      <w:r w:rsidRPr="00E16B4C">
        <w:t>Nereceptinis vaistas</w:t>
      </w:r>
      <w:r>
        <w:t>.</w:t>
      </w:r>
    </w:p>
    <w:p w14:paraId="41E35078" w14:textId="77777777" w:rsidR="002B2D97" w:rsidRPr="00E16B4C" w:rsidRDefault="002B2D97" w:rsidP="002B2D97">
      <w:pPr>
        <w:pStyle w:val="BTEMEASMCA"/>
      </w:pPr>
    </w:p>
    <w:p w14:paraId="4892D33A" w14:textId="77777777" w:rsidR="002B2D97" w:rsidRPr="00E16B4C" w:rsidRDefault="002B2D97" w:rsidP="002B2D97">
      <w:pPr>
        <w:pStyle w:val="BTEMEASMCA"/>
      </w:pPr>
    </w:p>
    <w:p w14:paraId="43BE246C" w14:textId="77777777" w:rsidR="002B2D97" w:rsidRPr="00205A93" w:rsidRDefault="002B2D97" w:rsidP="002B2D97">
      <w:pPr>
        <w:pStyle w:val="PI-1labEMEASMCA"/>
        <w:rPr>
          <w:lang w:val="en-US"/>
        </w:rPr>
      </w:pPr>
      <w:r w:rsidRPr="00205A93">
        <w:rPr>
          <w:lang w:val="en-US"/>
        </w:rPr>
        <w:t>15.</w:t>
      </w:r>
      <w:r w:rsidRPr="00205A93">
        <w:rPr>
          <w:lang w:val="en-US"/>
        </w:rPr>
        <w:tab/>
        <w:t>VARTOJIMO INSTRUKCIJA</w:t>
      </w:r>
    </w:p>
    <w:p w14:paraId="70882098" w14:textId="77777777" w:rsidR="002B2D97" w:rsidRPr="00E16B4C" w:rsidRDefault="002B2D97" w:rsidP="002B2D97">
      <w:pPr>
        <w:pStyle w:val="BTEMEASMCA"/>
      </w:pPr>
    </w:p>
    <w:p w14:paraId="31574D7F" w14:textId="77777777" w:rsidR="002B2D97" w:rsidRDefault="002B2D97" w:rsidP="002B2D97">
      <w:pPr>
        <w:pStyle w:val="Default"/>
        <w:rPr>
          <w:sz w:val="22"/>
          <w:szCs w:val="22"/>
          <w:lang w:val="lt-LT"/>
        </w:rPr>
      </w:pPr>
      <w:r>
        <w:rPr>
          <w:sz w:val="22"/>
          <w:szCs w:val="22"/>
          <w:lang w:val="lt-LT"/>
        </w:rPr>
        <w:t>Suaugusiems žmonėms, kurių kūno masės indeksas (KMI) 28 ir daugiau.</w:t>
      </w:r>
    </w:p>
    <w:p w14:paraId="7D44D8B9" w14:textId="77777777" w:rsidR="002B2D97" w:rsidRDefault="002B2D97" w:rsidP="002B2D97">
      <w:pPr>
        <w:pStyle w:val="Default"/>
        <w:rPr>
          <w:sz w:val="22"/>
          <w:szCs w:val="22"/>
          <w:lang w:val="lt-LT"/>
        </w:rPr>
      </w:pPr>
    </w:p>
    <w:p w14:paraId="553B3E5F" w14:textId="77777777" w:rsidR="002B2D97" w:rsidRDefault="002B2D97" w:rsidP="002B2D97">
      <w:pPr>
        <w:pStyle w:val="Default"/>
        <w:rPr>
          <w:sz w:val="22"/>
          <w:szCs w:val="22"/>
          <w:lang w:val="lt-LT"/>
        </w:rPr>
      </w:pPr>
      <w:r>
        <w:rPr>
          <w:sz w:val="22"/>
          <w:szCs w:val="22"/>
          <w:lang w:val="lt-LT"/>
        </w:rPr>
        <w:t>Pagalbinė priemonė svoriui mažinti.</w:t>
      </w:r>
    </w:p>
    <w:p w14:paraId="5CD4A471" w14:textId="77777777" w:rsidR="002B2D97" w:rsidRDefault="002B2D97" w:rsidP="002B2D97">
      <w:pPr>
        <w:pStyle w:val="Default"/>
        <w:rPr>
          <w:sz w:val="22"/>
          <w:szCs w:val="22"/>
          <w:lang w:val="lt-LT"/>
        </w:rPr>
      </w:pPr>
    </w:p>
    <w:p w14:paraId="64B56C66" w14:textId="77777777" w:rsidR="002B2D97" w:rsidRDefault="002B2D97" w:rsidP="002B2D97">
      <w:pPr>
        <w:pStyle w:val="Default"/>
        <w:rPr>
          <w:sz w:val="22"/>
          <w:szCs w:val="22"/>
          <w:lang w:val="lt-LT"/>
        </w:rPr>
      </w:pPr>
      <w:r>
        <w:rPr>
          <w:sz w:val="22"/>
          <w:szCs w:val="22"/>
          <w:lang w:val="lt-LT"/>
        </w:rPr>
        <w:t xml:space="preserve">Gali padėti sumažinti svorį daugiau negu vien tik laikantis dietos. </w:t>
      </w:r>
    </w:p>
    <w:p w14:paraId="1F0C6DBB" w14:textId="77777777" w:rsidR="002B2D97" w:rsidRDefault="002B2D97" w:rsidP="002B2D97">
      <w:pPr>
        <w:pStyle w:val="Default"/>
        <w:rPr>
          <w:sz w:val="22"/>
          <w:szCs w:val="22"/>
          <w:lang w:val="lt-LT"/>
        </w:rPr>
      </w:pPr>
    </w:p>
    <w:p w14:paraId="3ADA6F42" w14:textId="57D35C6C" w:rsidR="002B2D97" w:rsidRDefault="00542FD1" w:rsidP="002B2D97">
      <w:pPr>
        <w:pStyle w:val="Default"/>
        <w:rPr>
          <w:sz w:val="22"/>
          <w:szCs w:val="22"/>
          <w:lang w:val="lt-LT"/>
        </w:rPr>
      </w:pPr>
      <w:proofErr w:type="spellStart"/>
      <w:r>
        <w:rPr>
          <w:sz w:val="22"/>
          <w:szCs w:val="22"/>
          <w:lang w:val="lt-LT"/>
        </w:rPr>
        <w:t>Beacita</w:t>
      </w:r>
      <w:proofErr w:type="spellEnd"/>
      <w:r w:rsidR="002B2D97">
        <w:rPr>
          <w:sz w:val="22"/>
          <w:szCs w:val="22"/>
          <w:lang w:val="lt-LT"/>
        </w:rPr>
        <w:t xml:space="preserve"> vartojamas suaugusių, vyresnių nei 18 metų amžiaus, antsvorio (KMI 28 ir daugiau) turinčių asmenų kūno svoriui mažinti kartu vartojant mažiau kaloringą maistą, kuriame yra mažai riebalų. </w:t>
      </w:r>
    </w:p>
    <w:p w14:paraId="68EB0606" w14:textId="77777777" w:rsidR="002B2D97" w:rsidRDefault="002B2D97" w:rsidP="002B2D97">
      <w:pPr>
        <w:pStyle w:val="Default"/>
        <w:rPr>
          <w:sz w:val="22"/>
          <w:szCs w:val="22"/>
          <w:lang w:val="lt-LT"/>
        </w:rPr>
      </w:pPr>
    </w:p>
    <w:p w14:paraId="1B530639" w14:textId="67A8ED62" w:rsidR="002B2D97" w:rsidRDefault="002B2D97" w:rsidP="002B2D97">
      <w:pPr>
        <w:pStyle w:val="Default"/>
        <w:rPr>
          <w:sz w:val="22"/>
          <w:szCs w:val="22"/>
          <w:lang w:val="lt-LT"/>
        </w:rPr>
      </w:pPr>
      <w:r>
        <w:rPr>
          <w:sz w:val="22"/>
          <w:szCs w:val="22"/>
          <w:lang w:val="lt-LT"/>
        </w:rPr>
        <w:t xml:space="preserve">Kliniškai įrodyta, kad </w:t>
      </w:r>
      <w:proofErr w:type="spellStart"/>
      <w:r w:rsidR="00542FD1">
        <w:rPr>
          <w:sz w:val="22"/>
          <w:szCs w:val="22"/>
          <w:lang w:val="lt-LT"/>
        </w:rPr>
        <w:t>Beacita</w:t>
      </w:r>
      <w:proofErr w:type="spellEnd"/>
      <w:r>
        <w:rPr>
          <w:sz w:val="22"/>
          <w:szCs w:val="22"/>
          <w:lang w:val="lt-LT"/>
        </w:rPr>
        <w:t xml:space="preserve"> padeda sumažinti svorį daugiau nei vien tik laikantis dietos. Kapsulės veikia tik Jūsų virškinimo sistemoje ir neleidžia absorbuoti apie ketvirtadalio riebalų, esančių maiste. Šie riebalai pasišalina iš Jūsų organizmo ir gali sukelti tuštinimosi pokyčių. Norėdami kontroliuoti šį poveikį, valgykite mažai riebalų turintį maistą. </w:t>
      </w:r>
    </w:p>
    <w:p w14:paraId="5B227DB7" w14:textId="77777777" w:rsidR="002B2D97" w:rsidRPr="00160337" w:rsidRDefault="002B2D97" w:rsidP="002B2D97">
      <w:pPr>
        <w:pStyle w:val="BTEMEASMCA"/>
        <w:rPr>
          <w:lang w:val="lt-LT"/>
        </w:rPr>
      </w:pPr>
    </w:p>
    <w:p w14:paraId="553DBA7C" w14:textId="7AE3FA21" w:rsidR="002B2D97" w:rsidRPr="00160337" w:rsidRDefault="002B2D97" w:rsidP="002B2D97">
      <w:pPr>
        <w:pStyle w:val="BTEMEASMCA"/>
        <w:rPr>
          <w:lang w:val="lt-LT"/>
        </w:rPr>
      </w:pPr>
      <w:r w:rsidRPr="00160337">
        <w:rPr>
          <w:lang w:val="lt-LT"/>
        </w:rPr>
        <w:t xml:space="preserve">Norėdami sužinoti, ar Jūsų KMI </w:t>
      </w:r>
      <w:r>
        <w:rPr>
          <w:lang w:val="lt-LT"/>
        </w:rPr>
        <w:t xml:space="preserve">yra </w:t>
      </w:r>
      <w:r w:rsidRPr="00160337">
        <w:rPr>
          <w:lang w:val="lt-LT"/>
        </w:rPr>
        <w:t>28 ir daugiau, lentelėje suraskite savo ūgį. Jeigu Jūsų svoris</w:t>
      </w:r>
      <w:r>
        <w:rPr>
          <w:lang w:val="lt-LT"/>
        </w:rPr>
        <w:t xml:space="preserve"> </w:t>
      </w:r>
      <w:r w:rsidRPr="00160337">
        <w:rPr>
          <w:lang w:val="lt-LT"/>
        </w:rPr>
        <w:t xml:space="preserve">yra mažesnis nei nurodytas šalia Jūsų ūgio, </w:t>
      </w:r>
      <w:r>
        <w:rPr>
          <w:lang w:val="lt-LT"/>
        </w:rPr>
        <w:t xml:space="preserve">Jūsų KMI yra mažesnis kaip 28 - </w:t>
      </w:r>
      <w:r w:rsidRPr="00160337">
        <w:rPr>
          <w:lang w:val="lt-LT"/>
        </w:rPr>
        <w:t xml:space="preserve">nevartokite </w:t>
      </w:r>
      <w:r w:rsidR="00542FD1">
        <w:rPr>
          <w:lang w:val="lt-LT"/>
        </w:rPr>
        <w:t>Beacita</w:t>
      </w:r>
      <w:r w:rsidRPr="00160337">
        <w:rPr>
          <w:lang w:val="lt-LT"/>
        </w:rPr>
        <w:t>.</w:t>
      </w:r>
    </w:p>
    <w:p w14:paraId="3C27FB31" w14:textId="77777777" w:rsidR="002B2D97" w:rsidRPr="00160337" w:rsidRDefault="002B2D97" w:rsidP="002B2D97">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671"/>
      </w:tblGrid>
      <w:tr w:rsidR="002B2D97" w14:paraId="2817C8A0"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64DC5FF7" w14:textId="77777777" w:rsidR="002B2D97" w:rsidRDefault="002B2D97" w:rsidP="00B56080">
            <w:pPr>
              <w:pStyle w:val="BTEMEASMCA"/>
            </w:pPr>
            <w:r>
              <w:t>Ūgis</w:t>
            </w:r>
          </w:p>
        </w:tc>
        <w:tc>
          <w:tcPr>
            <w:tcW w:w="1671" w:type="dxa"/>
            <w:tcBorders>
              <w:top w:val="single" w:sz="4" w:space="0" w:color="auto"/>
              <w:left w:val="single" w:sz="4" w:space="0" w:color="auto"/>
              <w:bottom w:val="single" w:sz="4" w:space="0" w:color="auto"/>
              <w:right w:val="single" w:sz="4" w:space="0" w:color="auto"/>
            </w:tcBorders>
            <w:hideMark/>
          </w:tcPr>
          <w:p w14:paraId="755A6669" w14:textId="77777777" w:rsidR="002B2D97" w:rsidRDefault="002B2D97" w:rsidP="00B56080">
            <w:pPr>
              <w:pStyle w:val="BTEMEASMCA"/>
            </w:pPr>
            <w:r>
              <w:t>Svoris</w:t>
            </w:r>
          </w:p>
        </w:tc>
      </w:tr>
      <w:tr w:rsidR="002B2D97" w14:paraId="5C3982AC"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33786CFB" w14:textId="77777777" w:rsidR="002B2D97" w:rsidRDefault="002B2D97" w:rsidP="00B56080">
            <w:pPr>
              <w:pStyle w:val="BTEMEASMCA"/>
            </w:pPr>
            <w:r>
              <w:t>1,50 m</w:t>
            </w:r>
          </w:p>
        </w:tc>
        <w:tc>
          <w:tcPr>
            <w:tcW w:w="1671" w:type="dxa"/>
            <w:tcBorders>
              <w:top w:val="single" w:sz="4" w:space="0" w:color="auto"/>
              <w:left w:val="single" w:sz="4" w:space="0" w:color="auto"/>
              <w:bottom w:val="single" w:sz="4" w:space="0" w:color="auto"/>
              <w:right w:val="single" w:sz="4" w:space="0" w:color="auto"/>
            </w:tcBorders>
            <w:hideMark/>
          </w:tcPr>
          <w:p w14:paraId="2DF99E45" w14:textId="77777777" w:rsidR="002B2D97" w:rsidRDefault="002B2D97" w:rsidP="00B56080">
            <w:pPr>
              <w:pStyle w:val="BTEMEASMCA"/>
            </w:pPr>
            <w:r>
              <w:t>63 kg</w:t>
            </w:r>
          </w:p>
        </w:tc>
      </w:tr>
      <w:tr w:rsidR="002B2D97" w14:paraId="67EDD762"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2556F6DF" w14:textId="77777777" w:rsidR="002B2D97" w:rsidRDefault="002B2D97" w:rsidP="00B56080">
            <w:pPr>
              <w:pStyle w:val="BTEMEASMCA"/>
            </w:pPr>
            <w:r>
              <w:t>1,55 m</w:t>
            </w:r>
          </w:p>
        </w:tc>
        <w:tc>
          <w:tcPr>
            <w:tcW w:w="1671" w:type="dxa"/>
            <w:tcBorders>
              <w:top w:val="single" w:sz="4" w:space="0" w:color="auto"/>
              <w:left w:val="single" w:sz="4" w:space="0" w:color="auto"/>
              <w:bottom w:val="single" w:sz="4" w:space="0" w:color="auto"/>
              <w:right w:val="single" w:sz="4" w:space="0" w:color="auto"/>
            </w:tcBorders>
            <w:hideMark/>
          </w:tcPr>
          <w:p w14:paraId="1449A28E" w14:textId="77777777" w:rsidR="002B2D97" w:rsidRDefault="002B2D97" w:rsidP="00B56080">
            <w:pPr>
              <w:pStyle w:val="BTEMEASMCA"/>
            </w:pPr>
            <w:r>
              <w:t>67,25 kg</w:t>
            </w:r>
          </w:p>
        </w:tc>
      </w:tr>
      <w:tr w:rsidR="002B2D97" w14:paraId="6EB49B32"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2A6CB47A" w14:textId="77777777" w:rsidR="002B2D97" w:rsidRDefault="002B2D97" w:rsidP="00B56080">
            <w:pPr>
              <w:pStyle w:val="BTEMEASMCA"/>
            </w:pPr>
            <w:r>
              <w:t>1,60 m</w:t>
            </w:r>
          </w:p>
        </w:tc>
        <w:tc>
          <w:tcPr>
            <w:tcW w:w="1671" w:type="dxa"/>
            <w:tcBorders>
              <w:top w:val="single" w:sz="4" w:space="0" w:color="auto"/>
              <w:left w:val="single" w:sz="4" w:space="0" w:color="auto"/>
              <w:bottom w:val="single" w:sz="4" w:space="0" w:color="auto"/>
              <w:right w:val="single" w:sz="4" w:space="0" w:color="auto"/>
            </w:tcBorders>
            <w:hideMark/>
          </w:tcPr>
          <w:p w14:paraId="2754790C" w14:textId="77777777" w:rsidR="002B2D97" w:rsidRDefault="002B2D97" w:rsidP="00B56080">
            <w:pPr>
              <w:pStyle w:val="BTEMEASMCA"/>
            </w:pPr>
            <w:r>
              <w:t>71,75 kg</w:t>
            </w:r>
          </w:p>
        </w:tc>
      </w:tr>
      <w:tr w:rsidR="002B2D97" w14:paraId="6802DB56"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21B2C534" w14:textId="77777777" w:rsidR="002B2D97" w:rsidRDefault="002B2D97" w:rsidP="00B56080">
            <w:pPr>
              <w:pStyle w:val="BTEMEASMCA"/>
            </w:pPr>
            <w:r>
              <w:t>1,65 m</w:t>
            </w:r>
          </w:p>
        </w:tc>
        <w:tc>
          <w:tcPr>
            <w:tcW w:w="1671" w:type="dxa"/>
            <w:tcBorders>
              <w:top w:val="single" w:sz="4" w:space="0" w:color="auto"/>
              <w:left w:val="single" w:sz="4" w:space="0" w:color="auto"/>
              <w:bottom w:val="single" w:sz="4" w:space="0" w:color="auto"/>
              <w:right w:val="single" w:sz="4" w:space="0" w:color="auto"/>
            </w:tcBorders>
            <w:hideMark/>
          </w:tcPr>
          <w:p w14:paraId="62440F11" w14:textId="77777777" w:rsidR="002B2D97" w:rsidRDefault="002B2D97" w:rsidP="00B56080">
            <w:pPr>
              <w:pStyle w:val="BTEMEASMCA"/>
            </w:pPr>
            <w:r>
              <w:t>76,25 kg</w:t>
            </w:r>
          </w:p>
        </w:tc>
      </w:tr>
      <w:tr w:rsidR="002B2D97" w14:paraId="0C504EF8"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50A55C1D" w14:textId="77777777" w:rsidR="002B2D97" w:rsidRDefault="002B2D97" w:rsidP="00B56080">
            <w:pPr>
              <w:pStyle w:val="BTEMEASMCA"/>
            </w:pPr>
            <w:r>
              <w:t>1,70 m</w:t>
            </w:r>
          </w:p>
        </w:tc>
        <w:tc>
          <w:tcPr>
            <w:tcW w:w="1671" w:type="dxa"/>
            <w:tcBorders>
              <w:top w:val="single" w:sz="4" w:space="0" w:color="auto"/>
              <w:left w:val="single" w:sz="4" w:space="0" w:color="auto"/>
              <w:bottom w:val="single" w:sz="4" w:space="0" w:color="auto"/>
              <w:right w:val="single" w:sz="4" w:space="0" w:color="auto"/>
            </w:tcBorders>
            <w:hideMark/>
          </w:tcPr>
          <w:p w14:paraId="72CBB79F" w14:textId="77777777" w:rsidR="002B2D97" w:rsidRDefault="002B2D97" w:rsidP="00B56080">
            <w:pPr>
              <w:pStyle w:val="BTEMEASMCA"/>
            </w:pPr>
            <w:r>
              <w:t>81 kg</w:t>
            </w:r>
          </w:p>
        </w:tc>
      </w:tr>
      <w:tr w:rsidR="002B2D97" w14:paraId="694B2876"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7FF22B79" w14:textId="77777777" w:rsidR="002B2D97" w:rsidRDefault="002B2D97" w:rsidP="00B56080">
            <w:pPr>
              <w:pStyle w:val="BTEMEASMCA"/>
            </w:pPr>
            <w:r>
              <w:t>1,75 m</w:t>
            </w:r>
          </w:p>
        </w:tc>
        <w:tc>
          <w:tcPr>
            <w:tcW w:w="1671" w:type="dxa"/>
            <w:tcBorders>
              <w:top w:val="single" w:sz="4" w:space="0" w:color="auto"/>
              <w:left w:val="single" w:sz="4" w:space="0" w:color="auto"/>
              <w:bottom w:val="single" w:sz="4" w:space="0" w:color="auto"/>
              <w:right w:val="single" w:sz="4" w:space="0" w:color="auto"/>
            </w:tcBorders>
            <w:hideMark/>
          </w:tcPr>
          <w:p w14:paraId="087AC7AF" w14:textId="77777777" w:rsidR="002B2D97" w:rsidRDefault="002B2D97" w:rsidP="00B56080">
            <w:pPr>
              <w:pStyle w:val="BTEMEASMCA"/>
            </w:pPr>
            <w:r>
              <w:t>85,75 kg</w:t>
            </w:r>
          </w:p>
        </w:tc>
      </w:tr>
      <w:tr w:rsidR="002B2D97" w14:paraId="492551AE"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035C374C" w14:textId="77777777" w:rsidR="002B2D97" w:rsidRDefault="002B2D97" w:rsidP="00B56080">
            <w:pPr>
              <w:pStyle w:val="BTEMEASMCA"/>
            </w:pPr>
            <w:r>
              <w:t>1,80 m</w:t>
            </w:r>
          </w:p>
        </w:tc>
        <w:tc>
          <w:tcPr>
            <w:tcW w:w="1671" w:type="dxa"/>
            <w:tcBorders>
              <w:top w:val="single" w:sz="4" w:space="0" w:color="auto"/>
              <w:left w:val="single" w:sz="4" w:space="0" w:color="auto"/>
              <w:bottom w:val="single" w:sz="4" w:space="0" w:color="auto"/>
              <w:right w:val="single" w:sz="4" w:space="0" w:color="auto"/>
            </w:tcBorders>
            <w:hideMark/>
          </w:tcPr>
          <w:p w14:paraId="03C21ED4" w14:textId="77777777" w:rsidR="002B2D97" w:rsidRDefault="002B2D97" w:rsidP="00B56080">
            <w:pPr>
              <w:pStyle w:val="BTEMEASMCA"/>
            </w:pPr>
            <w:r>
              <w:t>90,75 kg</w:t>
            </w:r>
          </w:p>
        </w:tc>
      </w:tr>
      <w:tr w:rsidR="002B2D97" w14:paraId="0B9AF164"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37BB4F90" w14:textId="77777777" w:rsidR="002B2D97" w:rsidRDefault="002B2D97" w:rsidP="00B56080">
            <w:pPr>
              <w:pStyle w:val="BTEMEASMCA"/>
            </w:pPr>
            <w:r>
              <w:t>1,85 m</w:t>
            </w:r>
          </w:p>
        </w:tc>
        <w:tc>
          <w:tcPr>
            <w:tcW w:w="1671" w:type="dxa"/>
            <w:tcBorders>
              <w:top w:val="single" w:sz="4" w:space="0" w:color="auto"/>
              <w:left w:val="single" w:sz="4" w:space="0" w:color="auto"/>
              <w:bottom w:val="single" w:sz="4" w:space="0" w:color="auto"/>
              <w:right w:val="single" w:sz="4" w:space="0" w:color="auto"/>
            </w:tcBorders>
            <w:hideMark/>
          </w:tcPr>
          <w:p w14:paraId="27E80880" w14:textId="77777777" w:rsidR="002B2D97" w:rsidRDefault="002B2D97" w:rsidP="00B56080">
            <w:pPr>
              <w:pStyle w:val="BTEMEASMCA"/>
            </w:pPr>
            <w:r>
              <w:t>95,75 kg</w:t>
            </w:r>
          </w:p>
        </w:tc>
      </w:tr>
      <w:tr w:rsidR="002B2D97" w14:paraId="75D94823" w14:textId="77777777" w:rsidTr="00B56080">
        <w:tc>
          <w:tcPr>
            <w:tcW w:w="1857" w:type="dxa"/>
            <w:tcBorders>
              <w:top w:val="single" w:sz="4" w:space="0" w:color="auto"/>
              <w:left w:val="single" w:sz="4" w:space="0" w:color="auto"/>
              <w:bottom w:val="single" w:sz="4" w:space="0" w:color="auto"/>
              <w:right w:val="single" w:sz="4" w:space="0" w:color="auto"/>
            </w:tcBorders>
            <w:hideMark/>
          </w:tcPr>
          <w:p w14:paraId="522B4977" w14:textId="77777777" w:rsidR="002B2D97" w:rsidRDefault="002B2D97" w:rsidP="00B56080">
            <w:pPr>
              <w:pStyle w:val="BTEMEASMCA"/>
            </w:pPr>
            <w:r>
              <w:t>1,90 m</w:t>
            </w:r>
          </w:p>
        </w:tc>
        <w:tc>
          <w:tcPr>
            <w:tcW w:w="1671" w:type="dxa"/>
            <w:tcBorders>
              <w:top w:val="single" w:sz="4" w:space="0" w:color="auto"/>
              <w:left w:val="single" w:sz="4" w:space="0" w:color="auto"/>
              <w:bottom w:val="single" w:sz="4" w:space="0" w:color="auto"/>
              <w:right w:val="single" w:sz="4" w:space="0" w:color="auto"/>
            </w:tcBorders>
            <w:hideMark/>
          </w:tcPr>
          <w:p w14:paraId="61AE46A6" w14:textId="77777777" w:rsidR="002B2D97" w:rsidRDefault="002B2D97" w:rsidP="00B56080">
            <w:pPr>
              <w:pStyle w:val="BTEMEASMCA"/>
            </w:pPr>
            <w:r>
              <w:t>101 kg</w:t>
            </w:r>
          </w:p>
        </w:tc>
      </w:tr>
    </w:tbl>
    <w:p w14:paraId="2BB14DE5" w14:textId="77777777" w:rsidR="002B2D97" w:rsidRDefault="002B2D97" w:rsidP="002B2D97">
      <w:pPr>
        <w:pStyle w:val="BTEMEASMCA"/>
      </w:pPr>
    </w:p>
    <w:p w14:paraId="4C060250" w14:textId="77777777" w:rsidR="002B2D97" w:rsidRDefault="002B2D97" w:rsidP="002B2D97">
      <w:pPr>
        <w:pStyle w:val="Default"/>
        <w:rPr>
          <w:sz w:val="22"/>
          <w:szCs w:val="22"/>
          <w:lang w:val="lt-LT"/>
        </w:rPr>
      </w:pPr>
      <w:r>
        <w:rPr>
          <w:sz w:val="22"/>
          <w:szCs w:val="22"/>
          <w:lang w:val="lt-LT"/>
        </w:rPr>
        <w:lastRenderedPageBreak/>
        <w:t xml:space="preserve">Antsvoris didina kelių sunkių sveikatos sutrikimų, pvz., cukrinio diabeto ir širdies ligos, išsivystymo riziką. Jūs turite kreiptis į savo gydytoją ir pasitikrinti. </w:t>
      </w:r>
    </w:p>
    <w:p w14:paraId="1D9392C7" w14:textId="77777777" w:rsidR="002B2D97" w:rsidRPr="00876326" w:rsidRDefault="002B2D97" w:rsidP="002B2D97">
      <w:pPr>
        <w:pStyle w:val="BTEMEASMCA"/>
        <w:rPr>
          <w:lang w:val="lt-LT"/>
        </w:rPr>
      </w:pPr>
    </w:p>
    <w:p w14:paraId="41729C5B" w14:textId="7EB126E2" w:rsidR="002B2D97" w:rsidRPr="00876326" w:rsidRDefault="002B2D97" w:rsidP="002B2D97">
      <w:pPr>
        <w:pStyle w:val="BTEMEASMCA"/>
        <w:rPr>
          <w:lang w:val="lt-LT"/>
        </w:rPr>
      </w:pPr>
      <w:r w:rsidRPr="00876326">
        <w:rPr>
          <w:lang w:val="lt-LT"/>
        </w:rPr>
        <w:t xml:space="preserve">Vartoti </w:t>
      </w:r>
      <w:r w:rsidR="00F83928" w:rsidRPr="00876326">
        <w:rPr>
          <w:lang w:val="lt-LT"/>
        </w:rPr>
        <w:t>draudžiama</w:t>
      </w:r>
      <w:r w:rsidRPr="00876326">
        <w:rPr>
          <w:lang w:val="lt-LT"/>
        </w:rPr>
        <w:t>:</w:t>
      </w:r>
    </w:p>
    <w:p w14:paraId="64E53482" w14:textId="77777777" w:rsidR="002B2D97" w:rsidRDefault="002B2D97" w:rsidP="002B2D97">
      <w:pPr>
        <w:pStyle w:val="Default"/>
        <w:numPr>
          <w:ilvl w:val="0"/>
          <w:numId w:val="1"/>
        </w:numPr>
        <w:rPr>
          <w:sz w:val="22"/>
          <w:szCs w:val="22"/>
          <w:lang w:val="lt-LT"/>
        </w:rPr>
      </w:pPr>
      <w:r>
        <w:rPr>
          <w:sz w:val="22"/>
          <w:szCs w:val="22"/>
          <w:lang w:val="lt-LT"/>
        </w:rPr>
        <w:t xml:space="preserve">jeigu Jūs jaunesni nei 18 metų; </w:t>
      </w:r>
    </w:p>
    <w:p w14:paraId="481C5D2E" w14:textId="77777777" w:rsidR="002B2D97" w:rsidRDefault="002B2D97" w:rsidP="002B2D97">
      <w:pPr>
        <w:pStyle w:val="Default"/>
        <w:numPr>
          <w:ilvl w:val="0"/>
          <w:numId w:val="1"/>
        </w:numPr>
        <w:rPr>
          <w:sz w:val="22"/>
          <w:szCs w:val="22"/>
          <w:lang w:val="lt-LT"/>
        </w:rPr>
      </w:pPr>
      <w:r>
        <w:rPr>
          <w:sz w:val="22"/>
          <w:szCs w:val="22"/>
          <w:lang w:val="lt-LT"/>
        </w:rPr>
        <w:t xml:space="preserve">jeigu Jūs esate nėščia arba žindote kūdikį; </w:t>
      </w:r>
    </w:p>
    <w:p w14:paraId="032F9484" w14:textId="77777777" w:rsidR="002B2D97" w:rsidRDefault="002B2D97" w:rsidP="002B2D97">
      <w:pPr>
        <w:pStyle w:val="Default"/>
        <w:numPr>
          <w:ilvl w:val="0"/>
          <w:numId w:val="1"/>
        </w:numPr>
        <w:rPr>
          <w:sz w:val="22"/>
          <w:szCs w:val="22"/>
          <w:lang w:val="lt-LT"/>
        </w:rPr>
      </w:pPr>
      <w:r>
        <w:rPr>
          <w:sz w:val="22"/>
          <w:szCs w:val="22"/>
          <w:lang w:val="lt-LT"/>
        </w:rPr>
        <w:t xml:space="preserve">jeigu Jūs vartojate </w:t>
      </w:r>
      <w:proofErr w:type="spellStart"/>
      <w:r>
        <w:rPr>
          <w:sz w:val="22"/>
          <w:szCs w:val="22"/>
          <w:lang w:val="lt-LT"/>
        </w:rPr>
        <w:t>ciklosporiną</w:t>
      </w:r>
      <w:proofErr w:type="spellEnd"/>
      <w:r>
        <w:rPr>
          <w:sz w:val="22"/>
          <w:szCs w:val="22"/>
          <w:lang w:val="lt-LT"/>
        </w:rPr>
        <w:t xml:space="preserve">; </w:t>
      </w:r>
    </w:p>
    <w:p w14:paraId="53614785" w14:textId="77777777" w:rsidR="002B2D97" w:rsidRDefault="002B2D97" w:rsidP="002B2D97">
      <w:pPr>
        <w:pStyle w:val="Default"/>
        <w:numPr>
          <w:ilvl w:val="0"/>
          <w:numId w:val="1"/>
        </w:numPr>
        <w:rPr>
          <w:sz w:val="22"/>
          <w:szCs w:val="22"/>
          <w:lang w:val="lt-LT"/>
        </w:rPr>
      </w:pPr>
      <w:r>
        <w:rPr>
          <w:sz w:val="22"/>
          <w:szCs w:val="22"/>
          <w:lang w:val="lt-LT"/>
        </w:rPr>
        <w:t xml:space="preserve">jeigu vartojate varfariną arba bet kurį kraują skystinantį vaistą; </w:t>
      </w:r>
    </w:p>
    <w:p w14:paraId="5601A2AB" w14:textId="77777777" w:rsidR="002B2D97" w:rsidRDefault="002B2D97" w:rsidP="002B2D97">
      <w:pPr>
        <w:pStyle w:val="Default"/>
        <w:numPr>
          <w:ilvl w:val="0"/>
          <w:numId w:val="1"/>
        </w:numPr>
        <w:rPr>
          <w:sz w:val="22"/>
          <w:szCs w:val="22"/>
          <w:lang w:val="lt-LT"/>
        </w:rPr>
      </w:pPr>
      <w:r>
        <w:rPr>
          <w:sz w:val="22"/>
          <w:szCs w:val="22"/>
          <w:lang w:val="lt-LT"/>
        </w:rPr>
        <w:t xml:space="preserve">jeigu esate alergiški </w:t>
      </w:r>
      <w:proofErr w:type="spellStart"/>
      <w:r>
        <w:rPr>
          <w:sz w:val="22"/>
          <w:szCs w:val="22"/>
          <w:lang w:val="lt-LT"/>
        </w:rPr>
        <w:t>orlistatui</w:t>
      </w:r>
      <w:proofErr w:type="spellEnd"/>
      <w:r>
        <w:rPr>
          <w:sz w:val="22"/>
          <w:szCs w:val="22"/>
          <w:lang w:val="lt-LT"/>
        </w:rPr>
        <w:t xml:space="preserve"> arba bet kurioms kitoms pagalbinėms medžiagoms; </w:t>
      </w:r>
    </w:p>
    <w:p w14:paraId="17CA5370" w14:textId="77777777" w:rsidR="002B2D97" w:rsidRDefault="002B2D97" w:rsidP="002B2D97">
      <w:pPr>
        <w:pStyle w:val="Default"/>
        <w:numPr>
          <w:ilvl w:val="0"/>
          <w:numId w:val="1"/>
        </w:numPr>
        <w:rPr>
          <w:sz w:val="22"/>
          <w:szCs w:val="22"/>
          <w:lang w:val="lt-LT"/>
        </w:rPr>
      </w:pPr>
      <w:r>
        <w:rPr>
          <w:sz w:val="22"/>
          <w:szCs w:val="22"/>
          <w:lang w:val="lt-LT"/>
        </w:rPr>
        <w:t xml:space="preserve">jeigu Jums yra tulžies stazė (būklė, kai sutrinka tulžies nutekėjimas iš kepenų); </w:t>
      </w:r>
    </w:p>
    <w:p w14:paraId="47EFB6F2" w14:textId="77777777" w:rsidR="002B2D97" w:rsidRDefault="002B2D97" w:rsidP="002B2D97">
      <w:pPr>
        <w:pStyle w:val="Default"/>
        <w:numPr>
          <w:ilvl w:val="0"/>
          <w:numId w:val="1"/>
        </w:numPr>
        <w:rPr>
          <w:sz w:val="22"/>
          <w:szCs w:val="22"/>
          <w:lang w:val="lt-LT"/>
        </w:rPr>
      </w:pPr>
      <w:r>
        <w:rPr>
          <w:sz w:val="22"/>
          <w:szCs w:val="22"/>
          <w:lang w:val="lt-LT"/>
        </w:rPr>
        <w:t xml:space="preserve">jeigu Jums yra maisto absorbcijos sutrikimų (lėtinės </w:t>
      </w:r>
      <w:proofErr w:type="spellStart"/>
      <w:r>
        <w:rPr>
          <w:sz w:val="22"/>
          <w:szCs w:val="22"/>
          <w:lang w:val="lt-LT"/>
        </w:rPr>
        <w:t>malabsorbcijos</w:t>
      </w:r>
      <w:proofErr w:type="spellEnd"/>
      <w:r>
        <w:rPr>
          <w:sz w:val="22"/>
          <w:szCs w:val="22"/>
          <w:lang w:val="lt-LT"/>
        </w:rPr>
        <w:t xml:space="preserve"> sindromas). </w:t>
      </w:r>
    </w:p>
    <w:p w14:paraId="524A31C9" w14:textId="77777777" w:rsidR="002B2D97" w:rsidRDefault="002B2D97" w:rsidP="002B2D97">
      <w:pPr>
        <w:pStyle w:val="Default"/>
        <w:rPr>
          <w:sz w:val="22"/>
          <w:szCs w:val="22"/>
          <w:lang w:val="lt-LT"/>
        </w:rPr>
      </w:pPr>
    </w:p>
    <w:p w14:paraId="0364DDFD" w14:textId="6C9DA2FA" w:rsidR="002B2D97" w:rsidRDefault="002B2D97" w:rsidP="002B2D97">
      <w:pPr>
        <w:pStyle w:val="Default"/>
        <w:rPr>
          <w:sz w:val="22"/>
          <w:szCs w:val="22"/>
          <w:lang w:val="lt-LT"/>
        </w:rPr>
      </w:pPr>
      <w:r>
        <w:rPr>
          <w:sz w:val="22"/>
          <w:szCs w:val="22"/>
          <w:lang w:val="lt-LT"/>
        </w:rPr>
        <w:t xml:space="preserve">Prieš vartodami </w:t>
      </w:r>
      <w:proofErr w:type="spellStart"/>
      <w:r w:rsidR="00542FD1">
        <w:rPr>
          <w:sz w:val="22"/>
          <w:szCs w:val="22"/>
          <w:lang w:val="lt-LT"/>
        </w:rPr>
        <w:t>Beacita</w:t>
      </w:r>
      <w:proofErr w:type="spellEnd"/>
      <w:r>
        <w:rPr>
          <w:sz w:val="22"/>
          <w:szCs w:val="22"/>
          <w:lang w:val="lt-LT"/>
        </w:rPr>
        <w:t xml:space="preserve"> kreipkitės į gydytoją: </w:t>
      </w:r>
    </w:p>
    <w:p w14:paraId="4FA4F0F3" w14:textId="77777777" w:rsidR="002B2D97" w:rsidRDefault="002B2D97" w:rsidP="002B2D97">
      <w:pPr>
        <w:pStyle w:val="Default"/>
        <w:numPr>
          <w:ilvl w:val="0"/>
          <w:numId w:val="2"/>
        </w:numPr>
        <w:rPr>
          <w:sz w:val="22"/>
          <w:szCs w:val="22"/>
          <w:lang w:val="lt-LT"/>
        </w:rPr>
      </w:pPr>
      <w:r>
        <w:rPr>
          <w:sz w:val="22"/>
          <w:szCs w:val="22"/>
          <w:lang w:val="lt-LT"/>
        </w:rPr>
        <w:t xml:space="preserve">jeigu dėl širdies ritmo sutrikimų vartojate </w:t>
      </w:r>
      <w:proofErr w:type="spellStart"/>
      <w:r>
        <w:rPr>
          <w:sz w:val="22"/>
          <w:szCs w:val="22"/>
          <w:lang w:val="lt-LT"/>
        </w:rPr>
        <w:t>amjodaroną</w:t>
      </w:r>
      <w:proofErr w:type="spellEnd"/>
      <w:r>
        <w:rPr>
          <w:sz w:val="22"/>
          <w:szCs w:val="22"/>
          <w:lang w:val="lt-LT"/>
        </w:rPr>
        <w:t xml:space="preserve">; </w:t>
      </w:r>
    </w:p>
    <w:p w14:paraId="05BC8368" w14:textId="77777777" w:rsidR="002B2D97" w:rsidRDefault="002B2D97" w:rsidP="002B2D97">
      <w:pPr>
        <w:pStyle w:val="Default"/>
        <w:numPr>
          <w:ilvl w:val="0"/>
          <w:numId w:val="2"/>
        </w:numPr>
        <w:rPr>
          <w:sz w:val="22"/>
          <w:szCs w:val="22"/>
          <w:lang w:val="lt-LT"/>
        </w:rPr>
      </w:pPr>
      <w:r>
        <w:rPr>
          <w:sz w:val="22"/>
          <w:szCs w:val="22"/>
          <w:lang w:val="lt-LT"/>
        </w:rPr>
        <w:t xml:space="preserve">jeigu vartojate vaistus cukriniam diabetui gydyti; </w:t>
      </w:r>
    </w:p>
    <w:p w14:paraId="2C09DA30" w14:textId="77777777" w:rsidR="002B2D97" w:rsidRDefault="002B2D97" w:rsidP="002B2D97">
      <w:pPr>
        <w:pStyle w:val="Default"/>
        <w:numPr>
          <w:ilvl w:val="0"/>
          <w:numId w:val="2"/>
        </w:numPr>
        <w:rPr>
          <w:sz w:val="22"/>
          <w:szCs w:val="22"/>
          <w:lang w:val="lt-LT"/>
        </w:rPr>
      </w:pPr>
      <w:r>
        <w:rPr>
          <w:sz w:val="22"/>
          <w:szCs w:val="22"/>
          <w:lang w:val="lt-LT"/>
        </w:rPr>
        <w:t xml:space="preserve">jeigu vartojate vaistus nuo epilepsijos; </w:t>
      </w:r>
    </w:p>
    <w:p w14:paraId="11044021" w14:textId="77777777" w:rsidR="002B2D97" w:rsidRDefault="002B2D97" w:rsidP="002B2D97">
      <w:pPr>
        <w:pStyle w:val="Default"/>
        <w:numPr>
          <w:ilvl w:val="0"/>
          <w:numId w:val="2"/>
        </w:numPr>
        <w:rPr>
          <w:sz w:val="22"/>
          <w:szCs w:val="22"/>
        </w:rPr>
      </w:pPr>
      <w:proofErr w:type="spellStart"/>
      <w:r>
        <w:rPr>
          <w:sz w:val="22"/>
          <w:szCs w:val="22"/>
        </w:rPr>
        <w:t>jeigu</w:t>
      </w:r>
      <w:proofErr w:type="spellEnd"/>
      <w:r>
        <w:rPr>
          <w:sz w:val="22"/>
          <w:szCs w:val="22"/>
        </w:rPr>
        <w:t xml:space="preserve"> </w:t>
      </w:r>
      <w:proofErr w:type="spellStart"/>
      <w:r>
        <w:rPr>
          <w:sz w:val="22"/>
          <w:szCs w:val="22"/>
        </w:rPr>
        <w:t>sergate</w:t>
      </w:r>
      <w:proofErr w:type="spellEnd"/>
      <w:r>
        <w:rPr>
          <w:sz w:val="22"/>
          <w:szCs w:val="22"/>
        </w:rPr>
        <w:t xml:space="preserve"> </w:t>
      </w:r>
      <w:proofErr w:type="spellStart"/>
      <w:r>
        <w:rPr>
          <w:sz w:val="22"/>
          <w:szCs w:val="22"/>
        </w:rPr>
        <w:t>inkstų</w:t>
      </w:r>
      <w:proofErr w:type="spellEnd"/>
      <w:r>
        <w:rPr>
          <w:sz w:val="22"/>
          <w:szCs w:val="22"/>
        </w:rPr>
        <w:t xml:space="preserve"> </w:t>
      </w:r>
      <w:proofErr w:type="spellStart"/>
      <w:proofErr w:type="gramStart"/>
      <w:r>
        <w:rPr>
          <w:sz w:val="22"/>
          <w:szCs w:val="22"/>
        </w:rPr>
        <w:t>liga</w:t>
      </w:r>
      <w:proofErr w:type="spellEnd"/>
      <w:r>
        <w:rPr>
          <w:sz w:val="22"/>
          <w:szCs w:val="22"/>
        </w:rPr>
        <w:t>;</w:t>
      </w:r>
      <w:proofErr w:type="gramEnd"/>
      <w:r>
        <w:rPr>
          <w:sz w:val="22"/>
          <w:szCs w:val="22"/>
        </w:rPr>
        <w:t xml:space="preserve"> </w:t>
      </w:r>
    </w:p>
    <w:p w14:paraId="6B1CD98C" w14:textId="77777777" w:rsidR="002B2D97" w:rsidRDefault="002B2D97" w:rsidP="002B2D97">
      <w:pPr>
        <w:pStyle w:val="Default"/>
        <w:numPr>
          <w:ilvl w:val="0"/>
          <w:numId w:val="2"/>
        </w:numPr>
        <w:rPr>
          <w:sz w:val="22"/>
          <w:szCs w:val="22"/>
          <w:lang w:val="fi-FI"/>
        </w:rPr>
      </w:pPr>
      <w:r>
        <w:rPr>
          <w:sz w:val="22"/>
          <w:szCs w:val="22"/>
          <w:lang w:val="fi-FI"/>
        </w:rPr>
        <w:t>jeigu vartojate vaistus nuo skydliaukės ligos (levotiroksiną);</w:t>
      </w:r>
    </w:p>
    <w:p w14:paraId="4CD2CC77" w14:textId="77777777" w:rsidR="002B2D97" w:rsidRDefault="002B2D97" w:rsidP="002B2D97">
      <w:pPr>
        <w:pStyle w:val="Default"/>
        <w:numPr>
          <w:ilvl w:val="0"/>
          <w:numId w:val="2"/>
        </w:numPr>
        <w:rPr>
          <w:sz w:val="22"/>
          <w:szCs w:val="22"/>
          <w:lang w:val="fi-FI"/>
        </w:rPr>
      </w:pPr>
      <w:r>
        <w:rPr>
          <w:sz w:val="22"/>
          <w:szCs w:val="22"/>
          <w:lang w:val="fi-FI"/>
        </w:rPr>
        <w:t>jeigu vartojate vaistus ŽIV infekcijai gydyti;</w:t>
      </w:r>
    </w:p>
    <w:p w14:paraId="4DFACDC4" w14:textId="77777777" w:rsidR="002B2D97" w:rsidRPr="0038013B" w:rsidRDefault="002B2D97" w:rsidP="002B2D97">
      <w:pPr>
        <w:pStyle w:val="Default"/>
        <w:numPr>
          <w:ilvl w:val="0"/>
          <w:numId w:val="2"/>
        </w:numPr>
        <w:rPr>
          <w:sz w:val="22"/>
          <w:szCs w:val="22"/>
          <w:lang w:val="fi-FI"/>
        </w:rPr>
      </w:pPr>
      <w:r w:rsidRPr="0038013B">
        <w:rPr>
          <w:sz w:val="22"/>
          <w:szCs w:val="22"/>
          <w:lang w:val="lt-LT"/>
        </w:rPr>
        <w:t>jeigu vartojate vaistus nuo depresijos, psichikos sutrikimų ar nerimo</w:t>
      </w:r>
      <w:r w:rsidRPr="0038013B">
        <w:rPr>
          <w:sz w:val="22"/>
          <w:szCs w:val="22"/>
          <w:lang w:val="fi-FI"/>
        </w:rPr>
        <w:t xml:space="preserve">. </w:t>
      </w:r>
    </w:p>
    <w:p w14:paraId="29B4BE8F" w14:textId="77777777" w:rsidR="002B2D97" w:rsidRPr="00160337" w:rsidRDefault="002B2D97" w:rsidP="002B2D97">
      <w:pPr>
        <w:pStyle w:val="BTEMEASMCA"/>
        <w:rPr>
          <w:lang w:val="fi-FI"/>
        </w:rPr>
      </w:pPr>
    </w:p>
    <w:p w14:paraId="15FF2C13" w14:textId="7E9699EE" w:rsidR="002B2D97" w:rsidRDefault="002B2D97" w:rsidP="002B2D97">
      <w:pPr>
        <w:pStyle w:val="Default"/>
        <w:rPr>
          <w:sz w:val="22"/>
          <w:szCs w:val="22"/>
          <w:lang w:val="fi-FI"/>
        </w:rPr>
      </w:pPr>
      <w:r>
        <w:rPr>
          <w:sz w:val="22"/>
          <w:szCs w:val="22"/>
          <w:lang w:val="fi-FI"/>
        </w:rPr>
        <w:t xml:space="preserve">Vartodami </w:t>
      </w:r>
      <w:proofErr w:type="spellStart"/>
      <w:r w:rsidR="00542FD1">
        <w:rPr>
          <w:sz w:val="22"/>
          <w:szCs w:val="22"/>
          <w:lang w:val="lt-LT"/>
        </w:rPr>
        <w:t>Beacita</w:t>
      </w:r>
      <w:proofErr w:type="spellEnd"/>
      <w:r>
        <w:rPr>
          <w:sz w:val="22"/>
          <w:szCs w:val="22"/>
          <w:lang w:val="fi-FI"/>
        </w:rPr>
        <w:t xml:space="preserve"> pasakykite gydytojui arba vaistininkui: </w:t>
      </w:r>
    </w:p>
    <w:p w14:paraId="794A8A40" w14:textId="77777777" w:rsidR="002B2D97" w:rsidRDefault="002B2D97" w:rsidP="002B2D97">
      <w:pPr>
        <w:pStyle w:val="Default"/>
        <w:numPr>
          <w:ilvl w:val="0"/>
          <w:numId w:val="3"/>
        </w:numPr>
        <w:rPr>
          <w:sz w:val="22"/>
          <w:szCs w:val="22"/>
          <w:lang w:val="fi-FI"/>
        </w:rPr>
      </w:pPr>
      <w:r>
        <w:rPr>
          <w:sz w:val="22"/>
          <w:szCs w:val="22"/>
          <w:lang w:val="fi-FI"/>
        </w:rPr>
        <w:t xml:space="preserve">jeigu vartojate vaistus aukštam kraujospūdžiui gydyti; </w:t>
      </w:r>
    </w:p>
    <w:p w14:paraId="3BA69FAD" w14:textId="77777777" w:rsidR="002B2D97" w:rsidRDefault="002B2D97" w:rsidP="002B2D97">
      <w:pPr>
        <w:pStyle w:val="Default"/>
        <w:numPr>
          <w:ilvl w:val="0"/>
          <w:numId w:val="3"/>
        </w:numPr>
        <w:rPr>
          <w:sz w:val="22"/>
          <w:szCs w:val="22"/>
          <w:lang w:val="es-ES"/>
        </w:rPr>
      </w:pPr>
      <w:proofErr w:type="spellStart"/>
      <w:r>
        <w:rPr>
          <w:sz w:val="22"/>
          <w:szCs w:val="22"/>
          <w:lang w:val="es-ES"/>
        </w:rPr>
        <w:t>jeigu</w:t>
      </w:r>
      <w:proofErr w:type="spellEnd"/>
      <w:r>
        <w:rPr>
          <w:sz w:val="22"/>
          <w:szCs w:val="22"/>
          <w:lang w:val="es-ES"/>
        </w:rPr>
        <w:t xml:space="preserve"> </w:t>
      </w:r>
      <w:proofErr w:type="spellStart"/>
      <w:r>
        <w:rPr>
          <w:sz w:val="22"/>
          <w:szCs w:val="22"/>
          <w:lang w:val="es-ES"/>
        </w:rPr>
        <w:t>vartojate</w:t>
      </w:r>
      <w:proofErr w:type="spellEnd"/>
      <w:r>
        <w:rPr>
          <w:sz w:val="22"/>
          <w:szCs w:val="22"/>
          <w:lang w:val="es-ES"/>
        </w:rPr>
        <w:t xml:space="preserve"> </w:t>
      </w:r>
      <w:proofErr w:type="spellStart"/>
      <w:r>
        <w:rPr>
          <w:sz w:val="22"/>
          <w:szCs w:val="22"/>
          <w:lang w:val="es-ES"/>
        </w:rPr>
        <w:t>vaistus</w:t>
      </w:r>
      <w:proofErr w:type="spellEnd"/>
      <w:r>
        <w:rPr>
          <w:sz w:val="22"/>
          <w:szCs w:val="22"/>
          <w:lang w:val="es-ES"/>
        </w:rPr>
        <w:t xml:space="preserve"> </w:t>
      </w:r>
      <w:proofErr w:type="spellStart"/>
      <w:r>
        <w:rPr>
          <w:sz w:val="22"/>
          <w:szCs w:val="22"/>
          <w:lang w:val="es-ES"/>
        </w:rPr>
        <w:t>didelei</w:t>
      </w:r>
      <w:proofErr w:type="spellEnd"/>
      <w:r>
        <w:rPr>
          <w:sz w:val="22"/>
          <w:szCs w:val="22"/>
          <w:lang w:val="es-ES"/>
        </w:rPr>
        <w:t xml:space="preserve"> </w:t>
      </w:r>
      <w:proofErr w:type="spellStart"/>
      <w:r>
        <w:rPr>
          <w:sz w:val="22"/>
          <w:szCs w:val="22"/>
          <w:lang w:val="es-ES"/>
        </w:rPr>
        <w:t>cholesterolio</w:t>
      </w:r>
      <w:proofErr w:type="spellEnd"/>
      <w:r>
        <w:rPr>
          <w:sz w:val="22"/>
          <w:szCs w:val="22"/>
          <w:lang w:val="es-ES"/>
        </w:rPr>
        <w:t xml:space="preserve"> </w:t>
      </w:r>
      <w:proofErr w:type="spellStart"/>
      <w:r>
        <w:rPr>
          <w:sz w:val="22"/>
          <w:szCs w:val="22"/>
          <w:lang w:val="es-ES"/>
        </w:rPr>
        <w:t>koncentracijai</w:t>
      </w:r>
      <w:proofErr w:type="spellEnd"/>
      <w:r>
        <w:rPr>
          <w:sz w:val="22"/>
          <w:szCs w:val="22"/>
          <w:lang w:val="es-ES"/>
        </w:rPr>
        <w:t xml:space="preserve"> </w:t>
      </w:r>
      <w:proofErr w:type="spellStart"/>
      <w:r>
        <w:rPr>
          <w:sz w:val="22"/>
          <w:szCs w:val="22"/>
          <w:lang w:val="es-ES"/>
        </w:rPr>
        <w:t>gydyti</w:t>
      </w:r>
      <w:proofErr w:type="spellEnd"/>
      <w:r>
        <w:rPr>
          <w:sz w:val="22"/>
          <w:szCs w:val="22"/>
          <w:lang w:val="es-ES"/>
        </w:rPr>
        <w:t xml:space="preserve">. </w:t>
      </w:r>
    </w:p>
    <w:p w14:paraId="02489561" w14:textId="77777777" w:rsidR="002B2D97" w:rsidRDefault="002B2D97" w:rsidP="002B2D97">
      <w:pPr>
        <w:pStyle w:val="Default"/>
        <w:rPr>
          <w:sz w:val="22"/>
          <w:szCs w:val="22"/>
          <w:lang w:val="es-ES"/>
        </w:rPr>
      </w:pPr>
    </w:p>
    <w:p w14:paraId="3597626F" w14:textId="77777777" w:rsidR="002B2D97" w:rsidRDefault="002B2D97" w:rsidP="002B2D97">
      <w:pPr>
        <w:pStyle w:val="Default"/>
        <w:rPr>
          <w:sz w:val="22"/>
          <w:szCs w:val="22"/>
        </w:rPr>
      </w:pPr>
      <w:r>
        <w:rPr>
          <w:sz w:val="22"/>
          <w:szCs w:val="22"/>
        </w:rPr>
        <w:t xml:space="preserve">Kaip </w:t>
      </w:r>
      <w:proofErr w:type="spellStart"/>
      <w:r>
        <w:rPr>
          <w:sz w:val="22"/>
          <w:szCs w:val="22"/>
        </w:rPr>
        <w:t>vartoti</w:t>
      </w:r>
      <w:proofErr w:type="spellEnd"/>
      <w:r>
        <w:rPr>
          <w:sz w:val="22"/>
          <w:szCs w:val="22"/>
        </w:rPr>
        <w:t xml:space="preserve">: </w:t>
      </w:r>
    </w:p>
    <w:p w14:paraId="0BA81F03" w14:textId="77777777" w:rsidR="002B2D97" w:rsidRDefault="002B2D97" w:rsidP="002B2D97">
      <w:pPr>
        <w:pStyle w:val="Default"/>
        <w:numPr>
          <w:ilvl w:val="0"/>
          <w:numId w:val="4"/>
        </w:numPr>
        <w:ind w:left="709" w:hanging="269"/>
        <w:rPr>
          <w:sz w:val="22"/>
          <w:szCs w:val="22"/>
        </w:rPr>
      </w:pPr>
      <w:r>
        <w:rPr>
          <w:sz w:val="22"/>
          <w:szCs w:val="22"/>
        </w:rPr>
        <w:t xml:space="preserve">tris </w:t>
      </w:r>
      <w:proofErr w:type="spellStart"/>
      <w:r>
        <w:rPr>
          <w:sz w:val="22"/>
          <w:szCs w:val="22"/>
        </w:rPr>
        <w:t>kartus</w:t>
      </w:r>
      <w:proofErr w:type="spellEnd"/>
      <w:r>
        <w:rPr>
          <w:sz w:val="22"/>
          <w:szCs w:val="22"/>
        </w:rPr>
        <w:t xml:space="preserve"> per </w:t>
      </w:r>
      <w:proofErr w:type="spellStart"/>
      <w:r>
        <w:rPr>
          <w:sz w:val="22"/>
          <w:szCs w:val="22"/>
        </w:rPr>
        <w:t>parą</w:t>
      </w:r>
      <w:proofErr w:type="spellEnd"/>
      <w:r>
        <w:rPr>
          <w:sz w:val="22"/>
          <w:szCs w:val="22"/>
        </w:rPr>
        <w:t xml:space="preserve"> </w:t>
      </w:r>
      <w:proofErr w:type="spellStart"/>
      <w:r>
        <w:rPr>
          <w:sz w:val="22"/>
          <w:szCs w:val="22"/>
        </w:rPr>
        <w:t>kiekvieno</w:t>
      </w:r>
      <w:proofErr w:type="spellEnd"/>
      <w:r>
        <w:rPr>
          <w:sz w:val="22"/>
          <w:szCs w:val="22"/>
        </w:rPr>
        <w:t xml:space="preserve"> </w:t>
      </w:r>
      <w:proofErr w:type="spellStart"/>
      <w:r>
        <w:rPr>
          <w:sz w:val="22"/>
          <w:szCs w:val="22"/>
        </w:rPr>
        <w:t>pagrindinio</w:t>
      </w:r>
      <w:proofErr w:type="spellEnd"/>
      <w:r>
        <w:rPr>
          <w:sz w:val="22"/>
          <w:szCs w:val="22"/>
        </w:rPr>
        <w:t xml:space="preserve"> </w:t>
      </w:r>
      <w:proofErr w:type="spellStart"/>
      <w:r>
        <w:rPr>
          <w:sz w:val="22"/>
          <w:szCs w:val="22"/>
        </w:rPr>
        <w:t>valgymo</w:t>
      </w:r>
      <w:proofErr w:type="spellEnd"/>
      <w:r>
        <w:rPr>
          <w:sz w:val="22"/>
          <w:szCs w:val="22"/>
        </w:rPr>
        <w:t xml:space="preserve">, kai </w:t>
      </w:r>
      <w:proofErr w:type="spellStart"/>
      <w:r>
        <w:rPr>
          <w:sz w:val="22"/>
          <w:szCs w:val="22"/>
        </w:rPr>
        <w:t>valgoma</w:t>
      </w:r>
      <w:proofErr w:type="spellEnd"/>
      <w:r>
        <w:rPr>
          <w:sz w:val="22"/>
          <w:szCs w:val="22"/>
        </w:rPr>
        <w:t xml:space="preserve"> </w:t>
      </w:r>
      <w:proofErr w:type="spellStart"/>
      <w:r>
        <w:rPr>
          <w:sz w:val="22"/>
          <w:szCs w:val="22"/>
        </w:rPr>
        <w:t>riebalų</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nuryti</w:t>
      </w:r>
      <w:proofErr w:type="spellEnd"/>
      <w:r>
        <w:rPr>
          <w:sz w:val="22"/>
          <w:szCs w:val="22"/>
        </w:rPr>
        <w:t xml:space="preserve"> </w:t>
      </w:r>
      <w:proofErr w:type="spellStart"/>
      <w:r>
        <w:rPr>
          <w:sz w:val="22"/>
          <w:szCs w:val="22"/>
        </w:rPr>
        <w:t>visą</w:t>
      </w:r>
      <w:proofErr w:type="spellEnd"/>
      <w:r>
        <w:rPr>
          <w:sz w:val="22"/>
          <w:szCs w:val="22"/>
        </w:rPr>
        <w:t xml:space="preserve"> </w:t>
      </w:r>
      <w:proofErr w:type="spellStart"/>
      <w:r>
        <w:rPr>
          <w:sz w:val="22"/>
          <w:szCs w:val="22"/>
        </w:rPr>
        <w:t>kapsulę</w:t>
      </w:r>
      <w:proofErr w:type="spellEnd"/>
      <w:r>
        <w:rPr>
          <w:sz w:val="22"/>
          <w:szCs w:val="22"/>
        </w:rPr>
        <w:t xml:space="preserve"> </w:t>
      </w:r>
      <w:proofErr w:type="spellStart"/>
      <w:r>
        <w:rPr>
          <w:sz w:val="22"/>
          <w:szCs w:val="22"/>
        </w:rPr>
        <w:t>užsigeriant</w:t>
      </w:r>
      <w:proofErr w:type="spellEnd"/>
      <w:r>
        <w:rPr>
          <w:sz w:val="22"/>
          <w:szCs w:val="22"/>
        </w:rPr>
        <w:t xml:space="preserve"> </w:t>
      </w:r>
      <w:proofErr w:type="spellStart"/>
      <w:proofErr w:type="gramStart"/>
      <w:r>
        <w:rPr>
          <w:sz w:val="22"/>
          <w:szCs w:val="22"/>
        </w:rPr>
        <w:t>vandeniu</w:t>
      </w:r>
      <w:proofErr w:type="spellEnd"/>
      <w:r>
        <w:rPr>
          <w:sz w:val="22"/>
          <w:szCs w:val="22"/>
        </w:rPr>
        <w:t>;</w:t>
      </w:r>
      <w:proofErr w:type="gramEnd"/>
      <w:r>
        <w:rPr>
          <w:sz w:val="22"/>
          <w:szCs w:val="22"/>
        </w:rPr>
        <w:t xml:space="preserve"> </w:t>
      </w:r>
    </w:p>
    <w:p w14:paraId="4BBA62AC" w14:textId="77777777" w:rsidR="002B2D97" w:rsidRDefault="002B2D97" w:rsidP="002B2D97">
      <w:pPr>
        <w:pStyle w:val="Default"/>
        <w:numPr>
          <w:ilvl w:val="0"/>
          <w:numId w:val="4"/>
        </w:numPr>
        <w:ind w:left="709" w:hanging="269"/>
        <w:rPr>
          <w:sz w:val="22"/>
          <w:szCs w:val="22"/>
        </w:rPr>
      </w:pPr>
      <w:proofErr w:type="spellStart"/>
      <w:r>
        <w:rPr>
          <w:sz w:val="22"/>
          <w:szCs w:val="22"/>
        </w:rPr>
        <w:t>negalima</w:t>
      </w:r>
      <w:proofErr w:type="spellEnd"/>
      <w:r>
        <w:rPr>
          <w:sz w:val="22"/>
          <w:szCs w:val="22"/>
        </w:rPr>
        <w:t xml:space="preserve"> </w:t>
      </w:r>
      <w:proofErr w:type="spellStart"/>
      <w:r>
        <w:rPr>
          <w:sz w:val="22"/>
          <w:szCs w:val="22"/>
        </w:rPr>
        <w:t>gerti</w:t>
      </w:r>
      <w:proofErr w:type="spellEnd"/>
      <w:r>
        <w:rPr>
          <w:sz w:val="22"/>
          <w:szCs w:val="22"/>
        </w:rPr>
        <w:t xml:space="preserve"> </w:t>
      </w:r>
      <w:proofErr w:type="spellStart"/>
      <w:r>
        <w:rPr>
          <w:sz w:val="22"/>
          <w:szCs w:val="22"/>
        </w:rPr>
        <w:t>daugiau</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trijų</w:t>
      </w:r>
      <w:proofErr w:type="spellEnd"/>
      <w:r>
        <w:rPr>
          <w:sz w:val="22"/>
          <w:szCs w:val="22"/>
        </w:rPr>
        <w:t xml:space="preserve"> </w:t>
      </w:r>
      <w:proofErr w:type="spellStart"/>
      <w:r>
        <w:rPr>
          <w:sz w:val="22"/>
          <w:szCs w:val="22"/>
        </w:rPr>
        <w:t>kapsulių</w:t>
      </w:r>
      <w:proofErr w:type="spellEnd"/>
      <w:r>
        <w:rPr>
          <w:sz w:val="22"/>
          <w:szCs w:val="22"/>
        </w:rPr>
        <w:t xml:space="preserve"> per </w:t>
      </w:r>
      <w:proofErr w:type="spellStart"/>
      <w:proofErr w:type="gramStart"/>
      <w:r>
        <w:rPr>
          <w:sz w:val="22"/>
          <w:szCs w:val="22"/>
        </w:rPr>
        <w:t>parą</w:t>
      </w:r>
      <w:proofErr w:type="spellEnd"/>
      <w:r>
        <w:rPr>
          <w:sz w:val="22"/>
          <w:szCs w:val="22"/>
        </w:rPr>
        <w:t>;</w:t>
      </w:r>
      <w:proofErr w:type="gramEnd"/>
      <w:r>
        <w:rPr>
          <w:sz w:val="22"/>
          <w:szCs w:val="22"/>
        </w:rPr>
        <w:t xml:space="preserve"> </w:t>
      </w:r>
    </w:p>
    <w:p w14:paraId="48683D3F" w14:textId="77777777" w:rsidR="002B2D97" w:rsidRDefault="002B2D97" w:rsidP="002B2D97">
      <w:pPr>
        <w:pStyle w:val="Default"/>
        <w:numPr>
          <w:ilvl w:val="0"/>
          <w:numId w:val="4"/>
        </w:numPr>
        <w:ind w:left="709" w:hanging="269"/>
        <w:rPr>
          <w:sz w:val="22"/>
          <w:szCs w:val="22"/>
        </w:rPr>
      </w:pPr>
      <w:proofErr w:type="spellStart"/>
      <w:r>
        <w:rPr>
          <w:sz w:val="22"/>
          <w:szCs w:val="22"/>
        </w:rPr>
        <w:t>Jūs</w:t>
      </w:r>
      <w:proofErr w:type="spellEnd"/>
      <w:r>
        <w:rPr>
          <w:sz w:val="22"/>
          <w:szCs w:val="22"/>
        </w:rPr>
        <w:t xml:space="preserve"> </w:t>
      </w:r>
      <w:proofErr w:type="spellStart"/>
      <w:r>
        <w:rPr>
          <w:sz w:val="22"/>
          <w:szCs w:val="22"/>
        </w:rPr>
        <w:t>turėtumėte</w:t>
      </w:r>
      <w:proofErr w:type="spellEnd"/>
      <w:r>
        <w:rPr>
          <w:sz w:val="22"/>
          <w:szCs w:val="22"/>
        </w:rPr>
        <w:t xml:space="preserve"> </w:t>
      </w:r>
      <w:proofErr w:type="spellStart"/>
      <w:r>
        <w:rPr>
          <w:sz w:val="22"/>
          <w:szCs w:val="22"/>
        </w:rPr>
        <w:t>gerti</w:t>
      </w:r>
      <w:proofErr w:type="spellEnd"/>
      <w:r>
        <w:rPr>
          <w:sz w:val="22"/>
          <w:szCs w:val="22"/>
        </w:rPr>
        <w:t xml:space="preserve"> </w:t>
      </w:r>
      <w:proofErr w:type="spellStart"/>
      <w:r>
        <w:rPr>
          <w:sz w:val="22"/>
          <w:szCs w:val="22"/>
        </w:rPr>
        <w:t>polivitaminų</w:t>
      </w:r>
      <w:proofErr w:type="spellEnd"/>
      <w:r>
        <w:rPr>
          <w:sz w:val="22"/>
          <w:szCs w:val="22"/>
        </w:rPr>
        <w:t xml:space="preserve"> (kurių </w:t>
      </w:r>
      <w:proofErr w:type="spellStart"/>
      <w:r>
        <w:rPr>
          <w:sz w:val="22"/>
          <w:szCs w:val="22"/>
        </w:rPr>
        <w:t>sudėtyje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vitaminų</w:t>
      </w:r>
      <w:proofErr w:type="spellEnd"/>
      <w:r>
        <w:rPr>
          <w:sz w:val="22"/>
          <w:szCs w:val="22"/>
        </w:rPr>
        <w:t xml:space="preserve"> A, D, E </w:t>
      </w:r>
      <w:proofErr w:type="spellStart"/>
      <w:r>
        <w:rPr>
          <w:sz w:val="22"/>
          <w:szCs w:val="22"/>
        </w:rPr>
        <w:t>ir</w:t>
      </w:r>
      <w:proofErr w:type="spellEnd"/>
      <w:r>
        <w:rPr>
          <w:sz w:val="22"/>
          <w:szCs w:val="22"/>
        </w:rPr>
        <w:t xml:space="preserve"> K) </w:t>
      </w:r>
      <w:proofErr w:type="spellStart"/>
      <w:r>
        <w:rPr>
          <w:sz w:val="22"/>
          <w:szCs w:val="22"/>
        </w:rPr>
        <w:t>vieną</w:t>
      </w:r>
      <w:proofErr w:type="spellEnd"/>
      <w:r>
        <w:rPr>
          <w:sz w:val="22"/>
          <w:szCs w:val="22"/>
        </w:rPr>
        <w:t xml:space="preserve"> </w:t>
      </w:r>
      <w:proofErr w:type="spellStart"/>
      <w:r>
        <w:rPr>
          <w:sz w:val="22"/>
          <w:szCs w:val="22"/>
        </w:rPr>
        <w:t>kartą</w:t>
      </w:r>
      <w:proofErr w:type="spellEnd"/>
      <w:r>
        <w:rPr>
          <w:sz w:val="22"/>
          <w:szCs w:val="22"/>
        </w:rPr>
        <w:t xml:space="preserve"> per </w:t>
      </w:r>
      <w:proofErr w:type="spellStart"/>
      <w:r>
        <w:rPr>
          <w:sz w:val="22"/>
          <w:szCs w:val="22"/>
        </w:rPr>
        <w:t>parą</w:t>
      </w:r>
      <w:proofErr w:type="spellEnd"/>
      <w:r>
        <w:rPr>
          <w:sz w:val="22"/>
          <w:szCs w:val="22"/>
        </w:rPr>
        <w:t xml:space="preserve">, </w:t>
      </w:r>
      <w:proofErr w:type="spellStart"/>
      <w:r>
        <w:rPr>
          <w:sz w:val="22"/>
          <w:szCs w:val="22"/>
        </w:rPr>
        <w:t>prieš</w:t>
      </w:r>
      <w:proofErr w:type="spellEnd"/>
      <w:r>
        <w:rPr>
          <w:sz w:val="22"/>
          <w:szCs w:val="22"/>
        </w:rPr>
        <w:t xml:space="preserve"> </w:t>
      </w:r>
      <w:proofErr w:type="spellStart"/>
      <w:proofErr w:type="gramStart"/>
      <w:r>
        <w:rPr>
          <w:sz w:val="22"/>
          <w:szCs w:val="22"/>
        </w:rPr>
        <w:t>miegą</w:t>
      </w:r>
      <w:proofErr w:type="spellEnd"/>
      <w:r>
        <w:rPr>
          <w:sz w:val="22"/>
          <w:szCs w:val="22"/>
        </w:rPr>
        <w:t>;</w:t>
      </w:r>
      <w:proofErr w:type="gramEnd"/>
      <w:r>
        <w:rPr>
          <w:sz w:val="22"/>
          <w:szCs w:val="22"/>
        </w:rPr>
        <w:t xml:space="preserve"> </w:t>
      </w:r>
    </w:p>
    <w:p w14:paraId="62026EC7" w14:textId="6C634F9C" w:rsidR="002B2D97" w:rsidRDefault="00542FD1" w:rsidP="002B2D97">
      <w:pPr>
        <w:pStyle w:val="Default"/>
        <w:numPr>
          <w:ilvl w:val="0"/>
          <w:numId w:val="4"/>
        </w:numPr>
        <w:ind w:left="709" w:hanging="269"/>
        <w:rPr>
          <w:sz w:val="22"/>
          <w:szCs w:val="22"/>
        </w:rPr>
      </w:pPr>
      <w:proofErr w:type="spellStart"/>
      <w:r>
        <w:rPr>
          <w:sz w:val="22"/>
          <w:szCs w:val="22"/>
          <w:lang w:val="lt-LT"/>
        </w:rPr>
        <w:t>Beacita</w:t>
      </w:r>
      <w:proofErr w:type="spellEnd"/>
      <w:r w:rsidR="002B2D97">
        <w:rPr>
          <w:sz w:val="22"/>
          <w:szCs w:val="22"/>
        </w:rPr>
        <w:t xml:space="preserve"> </w:t>
      </w:r>
      <w:proofErr w:type="spellStart"/>
      <w:r w:rsidR="002B2D97">
        <w:rPr>
          <w:sz w:val="22"/>
          <w:szCs w:val="22"/>
        </w:rPr>
        <w:t>negalima</w:t>
      </w:r>
      <w:proofErr w:type="spellEnd"/>
      <w:r w:rsidR="002B2D97">
        <w:rPr>
          <w:sz w:val="22"/>
          <w:szCs w:val="22"/>
        </w:rPr>
        <w:t xml:space="preserve"> </w:t>
      </w:r>
      <w:proofErr w:type="spellStart"/>
      <w:r w:rsidR="002B2D97">
        <w:rPr>
          <w:sz w:val="22"/>
          <w:szCs w:val="22"/>
        </w:rPr>
        <w:t>vartoti</w:t>
      </w:r>
      <w:proofErr w:type="spellEnd"/>
      <w:r w:rsidR="002B2D97">
        <w:rPr>
          <w:sz w:val="22"/>
          <w:szCs w:val="22"/>
        </w:rPr>
        <w:t xml:space="preserve"> </w:t>
      </w:r>
      <w:proofErr w:type="spellStart"/>
      <w:r w:rsidR="002B2D97">
        <w:rPr>
          <w:sz w:val="22"/>
          <w:szCs w:val="22"/>
        </w:rPr>
        <w:t>daugiau</w:t>
      </w:r>
      <w:proofErr w:type="spellEnd"/>
      <w:r w:rsidR="002B2D97">
        <w:rPr>
          <w:sz w:val="22"/>
          <w:szCs w:val="22"/>
        </w:rPr>
        <w:t xml:space="preserve"> </w:t>
      </w:r>
      <w:proofErr w:type="spellStart"/>
      <w:r w:rsidR="002B2D97">
        <w:rPr>
          <w:sz w:val="22"/>
          <w:szCs w:val="22"/>
        </w:rPr>
        <w:t>kaip</w:t>
      </w:r>
      <w:proofErr w:type="spellEnd"/>
      <w:r w:rsidR="002B2D97">
        <w:rPr>
          <w:sz w:val="22"/>
          <w:szCs w:val="22"/>
        </w:rPr>
        <w:t xml:space="preserve"> </w:t>
      </w:r>
      <w:proofErr w:type="spellStart"/>
      <w:r w:rsidR="002B2D97">
        <w:rPr>
          <w:sz w:val="22"/>
          <w:szCs w:val="22"/>
        </w:rPr>
        <w:t>šešis</w:t>
      </w:r>
      <w:proofErr w:type="spellEnd"/>
      <w:r w:rsidR="002B2D97">
        <w:rPr>
          <w:sz w:val="22"/>
          <w:szCs w:val="22"/>
        </w:rPr>
        <w:t xml:space="preserve"> </w:t>
      </w:r>
      <w:proofErr w:type="spellStart"/>
      <w:r w:rsidR="002B2D97">
        <w:rPr>
          <w:sz w:val="22"/>
          <w:szCs w:val="22"/>
        </w:rPr>
        <w:t>mėnesius</w:t>
      </w:r>
      <w:proofErr w:type="spellEnd"/>
      <w:r w:rsidR="002B2D97">
        <w:rPr>
          <w:sz w:val="22"/>
          <w:szCs w:val="22"/>
        </w:rPr>
        <w:t xml:space="preserve">. </w:t>
      </w:r>
    </w:p>
    <w:p w14:paraId="1260C0C8" w14:textId="77777777" w:rsidR="002B2D97" w:rsidRDefault="002B2D97" w:rsidP="002B2D97">
      <w:pPr>
        <w:pStyle w:val="BTEMEASMCA"/>
      </w:pPr>
    </w:p>
    <w:p w14:paraId="24D06F22" w14:textId="77777777" w:rsidR="002B2D97" w:rsidRDefault="002B2D97" w:rsidP="002B2D97">
      <w:pPr>
        <w:pStyle w:val="BTEMEASMCA"/>
      </w:pPr>
    </w:p>
    <w:p w14:paraId="6B4420D9" w14:textId="77777777" w:rsidR="002B2D97" w:rsidRDefault="002B2D97" w:rsidP="002B2D97">
      <w:pPr>
        <w:pStyle w:val="PI-1labEMEASMCA"/>
      </w:pPr>
      <w:r>
        <w:t>16.</w:t>
      </w:r>
      <w:r>
        <w:tab/>
        <w:t>INFORMACIJA BRAILIO RAŠTU</w:t>
      </w:r>
    </w:p>
    <w:p w14:paraId="2FAD1932" w14:textId="77777777" w:rsidR="002B2D97" w:rsidRPr="006E4147" w:rsidRDefault="002B2D97" w:rsidP="002B2D97">
      <w:pPr>
        <w:pStyle w:val="BTEMEASMCA"/>
        <w:rPr>
          <w:lang w:val="pl-PL"/>
        </w:rPr>
      </w:pPr>
    </w:p>
    <w:p w14:paraId="1EAC7074" w14:textId="384066CD" w:rsidR="002B2D97" w:rsidRPr="006E4147" w:rsidRDefault="00542FD1" w:rsidP="002B2D97">
      <w:pPr>
        <w:pStyle w:val="BTEMEASMCA"/>
        <w:rPr>
          <w:lang w:val="pl-PL"/>
        </w:rPr>
      </w:pPr>
      <w:r>
        <w:rPr>
          <w:lang w:val="pl-PL"/>
        </w:rPr>
        <w:t>beacita</w:t>
      </w:r>
      <w:r w:rsidR="002B2D97" w:rsidRPr="006E4147">
        <w:rPr>
          <w:lang w:val="pl-PL"/>
        </w:rPr>
        <w:t xml:space="preserve"> 60</w:t>
      </w:r>
      <w:r w:rsidR="002B2D97">
        <w:rPr>
          <w:lang w:val="pl-PL"/>
        </w:rPr>
        <w:t> </w:t>
      </w:r>
      <w:r w:rsidR="002B2D97" w:rsidRPr="006E4147">
        <w:rPr>
          <w:lang w:val="pl-PL"/>
        </w:rPr>
        <w:t>mg</w:t>
      </w:r>
    </w:p>
    <w:p w14:paraId="5862CB16" w14:textId="77777777" w:rsidR="002B2D97" w:rsidRDefault="002B2D97" w:rsidP="002B2D97">
      <w:pPr>
        <w:tabs>
          <w:tab w:val="left" w:pos="567"/>
        </w:tabs>
        <w:spacing w:line="260" w:lineRule="exact"/>
        <w:rPr>
          <w:noProof/>
          <w:sz w:val="22"/>
          <w:szCs w:val="22"/>
          <w:shd w:val="clear" w:color="auto" w:fill="CCCCCC"/>
        </w:rPr>
      </w:pPr>
    </w:p>
    <w:p w14:paraId="6115E6A1" w14:textId="77777777" w:rsidR="002B2D97" w:rsidRPr="00651C0D" w:rsidRDefault="002B2D97" w:rsidP="002B2D97">
      <w:pPr>
        <w:tabs>
          <w:tab w:val="left" w:pos="567"/>
        </w:tabs>
        <w:spacing w:line="260" w:lineRule="exact"/>
        <w:rPr>
          <w:noProof/>
          <w:sz w:val="22"/>
          <w:szCs w:val="22"/>
          <w:shd w:val="clear" w:color="auto" w:fill="CCCCCC"/>
        </w:rPr>
      </w:pPr>
    </w:p>
    <w:p w14:paraId="203D8DF3" w14:textId="77777777" w:rsidR="002B2D97" w:rsidRPr="00651C0D" w:rsidRDefault="002B2D97" w:rsidP="002B2D9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651C0D">
        <w:rPr>
          <w:b/>
          <w:noProof/>
          <w:snapToGrid w:val="0"/>
          <w:sz w:val="22"/>
          <w:szCs w:val="20"/>
          <w:lang w:val="en-GB"/>
        </w:rPr>
        <w:t>17.</w:t>
      </w:r>
      <w:r w:rsidRPr="00651C0D">
        <w:rPr>
          <w:b/>
          <w:noProof/>
          <w:snapToGrid w:val="0"/>
          <w:sz w:val="22"/>
          <w:szCs w:val="20"/>
          <w:lang w:val="en-GB"/>
        </w:rPr>
        <w:tab/>
        <w:t>UNIKALUS IDENTIFIKATORIUS – 2D BRŪKŠNINIS KODAS</w:t>
      </w:r>
    </w:p>
    <w:p w14:paraId="747B667C" w14:textId="77777777" w:rsidR="002B2D97" w:rsidRPr="00651C0D" w:rsidRDefault="002B2D97" w:rsidP="002B2D97">
      <w:pPr>
        <w:tabs>
          <w:tab w:val="left" w:pos="567"/>
        </w:tabs>
        <w:spacing w:line="260" w:lineRule="exact"/>
        <w:rPr>
          <w:noProof/>
          <w:snapToGrid w:val="0"/>
          <w:sz w:val="22"/>
          <w:szCs w:val="20"/>
          <w:lang w:val="en-GB"/>
        </w:rPr>
      </w:pPr>
    </w:p>
    <w:p w14:paraId="3D17A0A1" w14:textId="77777777" w:rsidR="002B2D97" w:rsidRPr="00651C0D" w:rsidRDefault="002B2D97" w:rsidP="002B2D97">
      <w:pPr>
        <w:tabs>
          <w:tab w:val="left" w:pos="567"/>
        </w:tabs>
        <w:spacing w:line="260" w:lineRule="exact"/>
        <w:rPr>
          <w:noProof/>
          <w:snapToGrid w:val="0"/>
          <w:sz w:val="22"/>
          <w:highlight w:val="lightGray"/>
          <w:lang w:val="en-GB"/>
        </w:rPr>
      </w:pPr>
      <w:r w:rsidRPr="00651C0D">
        <w:rPr>
          <w:noProof/>
          <w:snapToGrid w:val="0"/>
          <w:sz w:val="22"/>
          <w:szCs w:val="20"/>
          <w:highlight w:val="lightGray"/>
          <w:lang w:val="en-GB"/>
        </w:rPr>
        <w:t>Duomenys nebūtini.</w:t>
      </w:r>
    </w:p>
    <w:p w14:paraId="4E7A0473" w14:textId="77777777" w:rsidR="002B2D97" w:rsidRPr="00651C0D" w:rsidRDefault="002B2D97" w:rsidP="002B2D97">
      <w:pPr>
        <w:tabs>
          <w:tab w:val="left" w:pos="567"/>
        </w:tabs>
        <w:spacing w:line="260" w:lineRule="exact"/>
        <w:rPr>
          <w:noProof/>
          <w:snapToGrid w:val="0"/>
          <w:sz w:val="22"/>
          <w:szCs w:val="20"/>
          <w:lang w:val="en-GB"/>
        </w:rPr>
      </w:pPr>
    </w:p>
    <w:p w14:paraId="3A097FF4" w14:textId="77777777" w:rsidR="002B2D97" w:rsidRPr="00651C0D" w:rsidRDefault="002B2D97" w:rsidP="002B2D97">
      <w:pPr>
        <w:tabs>
          <w:tab w:val="left" w:pos="567"/>
        </w:tabs>
        <w:spacing w:line="260" w:lineRule="exact"/>
        <w:rPr>
          <w:noProof/>
          <w:snapToGrid w:val="0"/>
          <w:sz w:val="22"/>
          <w:szCs w:val="20"/>
          <w:lang w:val="en-GB"/>
        </w:rPr>
      </w:pPr>
    </w:p>
    <w:p w14:paraId="197E74C2" w14:textId="77777777" w:rsidR="002B2D97" w:rsidRPr="00651C0D" w:rsidRDefault="002B2D97" w:rsidP="002B2D9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651C0D">
        <w:rPr>
          <w:b/>
          <w:noProof/>
          <w:snapToGrid w:val="0"/>
          <w:sz w:val="22"/>
          <w:szCs w:val="20"/>
          <w:lang w:val="en-GB"/>
        </w:rPr>
        <w:t>18.</w:t>
      </w:r>
      <w:r w:rsidRPr="00651C0D">
        <w:rPr>
          <w:b/>
          <w:noProof/>
          <w:snapToGrid w:val="0"/>
          <w:sz w:val="22"/>
          <w:szCs w:val="20"/>
          <w:lang w:val="en-GB"/>
        </w:rPr>
        <w:tab/>
        <w:t>UNIKALUS IDENTIFIKATORIUS – ŽMONĖMS SUPRANTAMI DUOMENYS</w:t>
      </w:r>
    </w:p>
    <w:p w14:paraId="2351E409" w14:textId="77777777" w:rsidR="002B2D97" w:rsidRPr="00651C0D" w:rsidRDefault="002B2D97" w:rsidP="002B2D97">
      <w:pPr>
        <w:tabs>
          <w:tab w:val="left" w:pos="567"/>
        </w:tabs>
        <w:spacing w:line="260" w:lineRule="exact"/>
        <w:rPr>
          <w:noProof/>
          <w:snapToGrid w:val="0"/>
          <w:sz w:val="22"/>
          <w:szCs w:val="20"/>
          <w:lang w:val="en-GB"/>
        </w:rPr>
      </w:pPr>
    </w:p>
    <w:p w14:paraId="17A5F188" w14:textId="77777777" w:rsidR="002B2D97" w:rsidRPr="00651C0D" w:rsidRDefault="002B2D97" w:rsidP="002B2D97">
      <w:pPr>
        <w:tabs>
          <w:tab w:val="left" w:pos="567"/>
        </w:tabs>
        <w:spacing w:line="260" w:lineRule="exact"/>
        <w:rPr>
          <w:noProof/>
          <w:snapToGrid w:val="0"/>
          <w:vanish/>
          <w:sz w:val="22"/>
          <w:szCs w:val="22"/>
          <w:lang w:val="en-GB"/>
        </w:rPr>
      </w:pPr>
      <w:r w:rsidRPr="00651C0D">
        <w:rPr>
          <w:noProof/>
          <w:snapToGrid w:val="0"/>
          <w:sz w:val="22"/>
          <w:szCs w:val="20"/>
          <w:highlight w:val="lightGray"/>
          <w:shd w:val="clear" w:color="auto" w:fill="CCCCCC"/>
          <w:lang w:val="en-GB"/>
        </w:rPr>
        <w:t>Duomenys nebūtini.</w:t>
      </w:r>
    </w:p>
    <w:p w14:paraId="542FB417" w14:textId="77777777" w:rsidR="002B2D97" w:rsidRPr="00651C0D" w:rsidRDefault="002B2D97" w:rsidP="002B2D97">
      <w:pPr>
        <w:tabs>
          <w:tab w:val="left" w:pos="567"/>
        </w:tabs>
        <w:spacing w:line="260" w:lineRule="exact"/>
        <w:rPr>
          <w:noProof/>
          <w:snapToGrid w:val="0"/>
          <w:vanish/>
          <w:sz w:val="22"/>
          <w:szCs w:val="22"/>
          <w:lang w:val="en-GB"/>
        </w:rPr>
      </w:pPr>
    </w:p>
    <w:p w14:paraId="19313D78" w14:textId="30B46953" w:rsidR="00E7340C" w:rsidRDefault="00E7340C" w:rsidP="002B2D97"/>
    <w:p w14:paraId="782211F0" w14:textId="77777777" w:rsidR="002B2D97" w:rsidRDefault="002B2D97" w:rsidP="002B2D97"/>
    <w:p w14:paraId="7767F1A1" w14:textId="3DD66F02" w:rsidR="001F7FAC" w:rsidRPr="001F7FAC" w:rsidRDefault="001F7FAC" w:rsidP="00E739AF">
      <w:pPr>
        <w:tabs>
          <w:tab w:val="left" w:pos="567"/>
        </w:tabs>
        <w:snapToGrid w:val="0"/>
        <w:rPr>
          <w:sz w:val="22"/>
          <w:szCs w:val="20"/>
          <w:lang w:eastAsia="ar-SA"/>
        </w:rPr>
      </w:pPr>
      <w:r w:rsidRPr="001F7FAC">
        <w:rPr>
          <w:sz w:val="22"/>
          <w:szCs w:val="20"/>
          <w:lang w:eastAsia="ar-SA"/>
        </w:rPr>
        <w:t xml:space="preserve">Gamintojas: </w:t>
      </w:r>
      <w:proofErr w:type="spellStart"/>
      <w:r w:rsidR="00E739AF" w:rsidRPr="00E739AF">
        <w:rPr>
          <w:sz w:val="22"/>
          <w:szCs w:val="20"/>
          <w:lang w:eastAsia="ar-SA"/>
        </w:rPr>
        <w:t>Pharmaceutical</w:t>
      </w:r>
      <w:proofErr w:type="spellEnd"/>
      <w:r w:rsidR="00E739AF" w:rsidRPr="00E739AF">
        <w:rPr>
          <w:sz w:val="22"/>
          <w:szCs w:val="20"/>
          <w:lang w:eastAsia="ar-SA"/>
        </w:rPr>
        <w:t xml:space="preserve"> Works POLPHARMA SA</w:t>
      </w:r>
      <w:r w:rsidR="00E739AF">
        <w:rPr>
          <w:sz w:val="22"/>
          <w:szCs w:val="20"/>
          <w:lang w:eastAsia="ar-SA"/>
        </w:rPr>
        <w:t xml:space="preserve">, </w:t>
      </w:r>
      <w:r w:rsidR="00E739AF" w:rsidRPr="00E739AF">
        <w:rPr>
          <w:sz w:val="22"/>
          <w:szCs w:val="20"/>
          <w:lang w:eastAsia="ar-SA"/>
        </w:rPr>
        <w:t xml:space="preserve">19 </w:t>
      </w:r>
      <w:proofErr w:type="spellStart"/>
      <w:r w:rsidR="00E739AF" w:rsidRPr="00E739AF">
        <w:rPr>
          <w:sz w:val="22"/>
          <w:szCs w:val="20"/>
          <w:lang w:eastAsia="ar-SA"/>
        </w:rPr>
        <w:t>Pelplińska</w:t>
      </w:r>
      <w:proofErr w:type="spellEnd"/>
      <w:r w:rsidR="00E739AF" w:rsidRPr="00E739AF">
        <w:rPr>
          <w:sz w:val="22"/>
          <w:szCs w:val="20"/>
          <w:lang w:eastAsia="ar-SA"/>
        </w:rPr>
        <w:t xml:space="preserve"> </w:t>
      </w:r>
      <w:proofErr w:type="spellStart"/>
      <w:r w:rsidR="00E739AF" w:rsidRPr="00E739AF">
        <w:rPr>
          <w:sz w:val="22"/>
          <w:szCs w:val="20"/>
          <w:lang w:eastAsia="ar-SA"/>
        </w:rPr>
        <w:t>Street</w:t>
      </w:r>
      <w:proofErr w:type="spellEnd"/>
      <w:r w:rsidR="00E739AF">
        <w:rPr>
          <w:sz w:val="22"/>
          <w:szCs w:val="20"/>
          <w:lang w:eastAsia="ar-SA"/>
        </w:rPr>
        <w:t xml:space="preserve">, </w:t>
      </w:r>
      <w:r w:rsidR="00E739AF" w:rsidRPr="00E739AF">
        <w:rPr>
          <w:sz w:val="22"/>
          <w:szCs w:val="20"/>
          <w:lang w:eastAsia="ar-SA"/>
        </w:rPr>
        <w:t xml:space="preserve">83-200 </w:t>
      </w:r>
      <w:proofErr w:type="spellStart"/>
      <w:r w:rsidR="00E739AF" w:rsidRPr="00E739AF">
        <w:rPr>
          <w:sz w:val="22"/>
          <w:szCs w:val="20"/>
          <w:lang w:eastAsia="ar-SA"/>
        </w:rPr>
        <w:t>Starogard</w:t>
      </w:r>
      <w:proofErr w:type="spellEnd"/>
      <w:r w:rsidR="00E739AF" w:rsidRPr="00E739AF">
        <w:rPr>
          <w:sz w:val="22"/>
          <w:szCs w:val="20"/>
          <w:lang w:eastAsia="ar-SA"/>
        </w:rPr>
        <w:t xml:space="preserve"> </w:t>
      </w:r>
      <w:proofErr w:type="spellStart"/>
      <w:r w:rsidR="00E739AF" w:rsidRPr="00E739AF">
        <w:rPr>
          <w:sz w:val="22"/>
          <w:szCs w:val="20"/>
          <w:lang w:eastAsia="ar-SA"/>
        </w:rPr>
        <w:t>Gdański</w:t>
      </w:r>
      <w:proofErr w:type="spellEnd"/>
      <w:r w:rsidR="00E739AF">
        <w:rPr>
          <w:sz w:val="22"/>
          <w:szCs w:val="20"/>
          <w:lang w:eastAsia="ar-SA"/>
        </w:rPr>
        <w:t xml:space="preserve">, </w:t>
      </w:r>
      <w:r w:rsidR="00E739AF" w:rsidRPr="00E739AF">
        <w:rPr>
          <w:sz w:val="22"/>
          <w:szCs w:val="20"/>
          <w:lang w:eastAsia="ar-SA"/>
        </w:rPr>
        <w:t>Lenkija</w:t>
      </w:r>
      <w:r w:rsidR="00E739AF">
        <w:rPr>
          <w:sz w:val="22"/>
          <w:szCs w:val="20"/>
          <w:lang w:eastAsia="ar-SA"/>
        </w:rPr>
        <w:t xml:space="preserve"> </w:t>
      </w:r>
      <w:r w:rsidR="00E739AF" w:rsidRPr="00E739AF">
        <w:rPr>
          <w:sz w:val="22"/>
          <w:szCs w:val="20"/>
          <w:lang w:eastAsia="ar-SA"/>
        </w:rPr>
        <w:t>arba</w:t>
      </w:r>
      <w:r w:rsidR="00E739AF">
        <w:rPr>
          <w:sz w:val="22"/>
          <w:szCs w:val="20"/>
          <w:lang w:eastAsia="ar-SA"/>
        </w:rPr>
        <w:t xml:space="preserve"> </w:t>
      </w:r>
      <w:r w:rsidR="00E739AF" w:rsidRPr="00E739AF">
        <w:rPr>
          <w:sz w:val="22"/>
          <w:szCs w:val="20"/>
          <w:lang w:eastAsia="ar-SA"/>
        </w:rPr>
        <w:t>RONTIS HELLAS MEDICAL AND PHARMACEUTICAL PRODUCTS S.A.</w:t>
      </w:r>
      <w:r w:rsidR="00E739AF">
        <w:rPr>
          <w:sz w:val="22"/>
          <w:szCs w:val="20"/>
          <w:lang w:eastAsia="ar-SA"/>
        </w:rPr>
        <w:t xml:space="preserve">, </w:t>
      </w:r>
      <w:r w:rsidR="00E739AF" w:rsidRPr="00E739AF">
        <w:rPr>
          <w:sz w:val="22"/>
          <w:szCs w:val="20"/>
          <w:lang w:eastAsia="ar-SA"/>
        </w:rPr>
        <w:t xml:space="preserve">3012 Larisa </w:t>
      </w:r>
      <w:proofErr w:type="spellStart"/>
      <w:r w:rsidR="00E739AF" w:rsidRPr="00E739AF">
        <w:rPr>
          <w:sz w:val="22"/>
          <w:szCs w:val="20"/>
          <w:lang w:eastAsia="ar-SA"/>
        </w:rPr>
        <w:t>Industrial</w:t>
      </w:r>
      <w:proofErr w:type="spellEnd"/>
      <w:r w:rsidR="00E739AF" w:rsidRPr="00E739AF">
        <w:rPr>
          <w:sz w:val="22"/>
          <w:szCs w:val="20"/>
          <w:lang w:eastAsia="ar-SA"/>
        </w:rPr>
        <w:t xml:space="preserve"> </w:t>
      </w:r>
      <w:proofErr w:type="spellStart"/>
      <w:r w:rsidR="00E739AF" w:rsidRPr="00E739AF">
        <w:rPr>
          <w:sz w:val="22"/>
          <w:szCs w:val="20"/>
          <w:lang w:eastAsia="ar-SA"/>
        </w:rPr>
        <w:t>Area</w:t>
      </w:r>
      <w:proofErr w:type="spellEnd"/>
      <w:r w:rsidR="00E739AF" w:rsidRPr="00E739AF">
        <w:rPr>
          <w:sz w:val="22"/>
          <w:szCs w:val="20"/>
          <w:lang w:eastAsia="ar-SA"/>
        </w:rPr>
        <w:t>,</w:t>
      </w:r>
      <w:r w:rsidR="00E739AF">
        <w:rPr>
          <w:sz w:val="22"/>
          <w:szCs w:val="20"/>
          <w:lang w:eastAsia="ar-SA"/>
        </w:rPr>
        <w:t xml:space="preserve"> </w:t>
      </w:r>
      <w:r w:rsidR="00E739AF" w:rsidRPr="00E739AF">
        <w:rPr>
          <w:sz w:val="22"/>
          <w:szCs w:val="20"/>
          <w:lang w:eastAsia="ar-SA"/>
        </w:rPr>
        <w:t>Larisa, 41004</w:t>
      </w:r>
      <w:r w:rsidR="00E739AF">
        <w:rPr>
          <w:sz w:val="22"/>
          <w:szCs w:val="20"/>
          <w:lang w:eastAsia="ar-SA"/>
        </w:rPr>
        <w:t xml:space="preserve">, </w:t>
      </w:r>
      <w:r w:rsidR="00E739AF" w:rsidRPr="00E739AF">
        <w:rPr>
          <w:sz w:val="22"/>
          <w:szCs w:val="20"/>
          <w:lang w:eastAsia="ar-SA"/>
        </w:rPr>
        <w:t>Graikija</w:t>
      </w:r>
      <w:r w:rsidR="007914B6">
        <w:rPr>
          <w:sz w:val="22"/>
          <w:szCs w:val="20"/>
          <w:lang w:eastAsia="ar-SA"/>
        </w:rPr>
        <w:t>.</w:t>
      </w:r>
    </w:p>
    <w:p w14:paraId="69ADB3FB" w14:textId="77777777" w:rsidR="001F7FAC" w:rsidRPr="001F7FAC" w:rsidRDefault="001F7FAC" w:rsidP="001F7FAC">
      <w:pPr>
        <w:tabs>
          <w:tab w:val="left" w:pos="567"/>
        </w:tabs>
        <w:snapToGrid w:val="0"/>
        <w:rPr>
          <w:sz w:val="22"/>
          <w:szCs w:val="20"/>
          <w:lang w:eastAsia="ar-SA"/>
        </w:rPr>
      </w:pPr>
    </w:p>
    <w:p w14:paraId="47DEA62F" w14:textId="77777777" w:rsidR="001F7FAC" w:rsidRPr="001F7FAC" w:rsidRDefault="001F7FAC" w:rsidP="001F7FAC">
      <w:pPr>
        <w:tabs>
          <w:tab w:val="left" w:pos="567"/>
        </w:tabs>
        <w:snapToGrid w:val="0"/>
        <w:rPr>
          <w:sz w:val="22"/>
          <w:szCs w:val="20"/>
          <w:lang w:eastAsia="ar-SA"/>
        </w:rPr>
      </w:pPr>
      <w:r w:rsidRPr="001F7FAC">
        <w:rPr>
          <w:sz w:val="22"/>
          <w:szCs w:val="20"/>
          <w:lang w:eastAsia="ar-SA"/>
        </w:rPr>
        <w:lastRenderedPageBreak/>
        <w:t xml:space="preserve">Perpakavo: LABOR </w:t>
      </w:r>
      <w:proofErr w:type="spellStart"/>
      <w:r w:rsidRPr="001F7FAC">
        <w:rPr>
          <w:sz w:val="22"/>
          <w:szCs w:val="20"/>
          <w:lang w:eastAsia="ar-SA"/>
        </w:rPr>
        <w:t>Przedsiębiorstwo</w:t>
      </w:r>
      <w:proofErr w:type="spellEnd"/>
      <w:r w:rsidRPr="001F7FAC">
        <w:rPr>
          <w:sz w:val="22"/>
          <w:szCs w:val="20"/>
          <w:lang w:eastAsia="ar-SA"/>
        </w:rPr>
        <w:t xml:space="preserve"> </w:t>
      </w:r>
      <w:proofErr w:type="spellStart"/>
      <w:r w:rsidRPr="001F7FAC">
        <w:rPr>
          <w:sz w:val="22"/>
          <w:szCs w:val="20"/>
          <w:lang w:eastAsia="ar-SA"/>
        </w:rPr>
        <w:t>Farmaceutyczno-Chemiczne</w:t>
      </w:r>
      <w:proofErr w:type="spellEnd"/>
      <w:r w:rsidRPr="001F7FAC">
        <w:rPr>
          <w:sz w:val="22"/>
          <w:szCs w:val="20"/>
          <w:lang w:eastAsia="ar-SA"/>
        </w:rPr>
        <w:t xml:space="preserve"> sp. z </w:t>
      </w:r>
      <w:proofErr w:type="spellStart"/>
      <w:r w:rsidRPr="001F7FAC">
        <w:rPr>
          <w:sz w:val="22"/>
          <w:szCs w:val="20"/>
          <w:lang w:eastAsia="ar-SA"/>
        </w:rPr>
        <w:t>o.o</w:t>
      </w:r>
      <w:proofErr w:type="spellEnd"/>
      <w:r w:rsidRPr="001F7FAC">
        <w:rPr>
          <w:sz w:val="22"/>
          <w:szCs w:val="20"/>
          <w:lang w:eastAsia="ar-SA"/>
        </w:rPr>
        <w:t xml:space="preserve">., </w:t>
      </w:r>
      <w:proofErr w:type="spellStart"/>
      <w:r w:rsidRPr="001F7FAC">
        <w:rPr>
          <w:sz w:val="22"/>
          <w:szCs w:val="20"/>
          <w:lang w:eastAsia="ar-SA"/>
        </w:rPr>
        <w:t>Ul</w:t>
      </w:r>
      <w:proofErr w:type="spellEnd"/>
      <w:r w:rsidRPr="001F7FAC">
        <w:rPr>
          <w:sz w:val="22"/>
          <w:szCs w:val="20"/>
          <w:lang w:eastAsia="ar-SA"/>
        </w:rPr>
        <w:t xml:space="preserve">. </w:t>
      </w:r>
      <w:proofErr w:type="spellStart"/>
      <w:r w:rsidRPr="001F7FAC">
        <w:rPr>
          <w:sz w:val="22"/>
          <w:szCs w:val="20"/>
          <w:lang w:eastAsia="ar-SA"/>
        </w:rPr>
        <w:t>Długosza</w:t>
      </w:r>
      <w:proofErr w:type="spellEnd"/>
      <w:r w:rsidRPr="001F7FAC">
        <w:rPr>
          <w:sz w:val="22"/>
          <w:szCs w:val="20"/>
          <w:lang w:eastAsia="ar-SA"/>
        </w:rPr>
        <w:t xml:space="preserve"> 49, 51-162 </w:t>
      </w:r>
      <w:proofErr w:type="spellStart"/>
      <w:r w:rsidRPr="001F7FAC">
        <w:rPr>
          <w:sz w:val="22"/>
          <w:szCs w:val="20"/>
          <w:lang w:eastAsia="ar-SA"/>
        </w:rPr>
        <w:t>Wrocław</w:t>
      </w:r>
      <w:proofErr w:type="spellEnd"/>
      <w:r w:rsidRPr="001F7FAC">
        <w:rPr>
          <w:sz w:val="22"/>
          <w:szCs w:val="20"/>
          <w:lang w:eastAsia="ar-SA"/>
        </w:rPr>
        <w:t xml:space="preserve">, Lenkija arba UAB „Entafarma“, </w:t>
      </w:r>
      <w:proofErr w:type="spellStart"/>
      <w:r w:rsidRPr="001F7FAC">
        <w:rPr>
          <w:sz w:val="22"/>
          <w:szCs w:val="20"/>
          <w:lang w:eastAsia="ar-SA"/>
        </w:rPr>
        <w:t>Klonėnų</w:t>
      </w:r>
      <w:proofErr w:type="spellEnd"/>
      <w:r w:rsidRPr="001F7FAC">
        <w:rPr>
          <w:sz w:val="22"/>
          <w:szCs w:val="20"/>
          <w:lang w:eastAsia="ar-SA"/>
        </w:rPr>
        <w:t xml:space="preserve"> vs. 1, LT-19156 Širvintų r. sav., Lietuva.</w:t>
      </w:r>
    </w:p>
    <w:p w14:paraId="439A3888" w14:textId="77777777" w:rsidR="001F7FAC" w:rsidRPr="001F7FAC" w:rsidRDefault="001F7FAC" w:rsidP="001F7FAC">
      <w:pPr>
        <w:tabs>
          <w:tab w:val="left" w:pos="567"/>
        </w:tabs>
        <w:snapToGrid w:val="0"/>
        <w:rPr>
          <w:sz w:val="22"/>
          <w:szCs w:val="20"/>
          <w:lang w:eastAsia="ar-SA"/>
        </w:rPr>
      </w:pPr>
    </w:p>
    <w:p w14:paraId="6671DDCE" w14:textId="6BD28EBF" w:rsidR="002B2D97" w:rsidRPr="00E739AF" w:rsidRDefault="001F7FAC" w:rsidP="00E739AF">
      <w:pPr>
        <w:tabs>
          <w:tab w:val="left" w:pos="567"/>
        </w:tabs>
        <w:snapToGrid w:val="0"/>
        <w:rPr>
          <w:sz w:val="22"/>
          <w:szCs w:val="20"/>
          <w:lang w:eastAsia="ar-SA"/>
        </w:rPr>
      </w:pPr>
      <w:r w:rsidRPr="001F7FAC">
        <w:rPr>
          <w:sz w:val="22"/>
          <w:szCs w:val="20"/>
          <w:lang w:eastAsia="ar-SA"/>
        </w:rPr>
        <w:t>Perpakavimo serija</w:t>
      </w:r>
    </w:p>
    <w:sectPr w:rsidR="002B2D97" w:rsidRPr="00E739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A1610"/>
    <w:multiLevelType w:val="hybridMultilevel"/>
    <w:tmpl w:val="42122A3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90153"/>
    <w:multiLevelType w:val="hybridMultilevel"/>
    <w:tmpl w:val="056C5A12"/>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53A77C33"/>
    <w:multiLevelType w:val="hybridMultilevel"/>
    <w:tmpl w:val="E2FA27F6"/>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73DF7F69"/>
    <w:multiLevelType w:val="hybridMultilevel"/>
    <w:tmpl w:val="4DDAF6DA"/>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num w:numId="1" w16cid:durableId="1527527030">
    <w:abstractNumId w:val="0"/>
  </w:num>
  <w:num w:numId="2" w16cid:durableId="109589440">
    <w:abstractNumId w:val="2"/>
  </w:num>
  <w:num w:numId="3" w16cid:durableId="593560744">
    <w:abstractNumId w:val="3"/>
  </w:num>
  <w:num w:numId="4" w16cid:durableId="156182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9B"/>
    <w:rsid w:val="00093FB5"/>
    <w:rsid w:val="000F299B"/>
    <w:rsid w:val="001739C9"/>
    <w:rsid w:val="001A0ADC"/>
    <w:rsid w:val="001F7FAC"/>
    <w:rsid w:val="00222F92"/>
    <w:rsid w:val="002B2D97"/>
    <w:rsid w:val="002F2D2A"/>
    <w:rsid w:val="00344773"/>
    <w:rsid w:val="00375F79"/>
    <w:rsid w:val="004D7CC6"/>
    <w:rsid w:val="00542FD1"/>
    <w:rsid w:val="007914B6"/>
    <w:rsid w:val="00876326"/>
    <w:rsid w:val="00A03EC5"/>
    <w:rsid w:val="00B611C6"/>
    <w:rsid w:val="00B72E4B"/>
    <w:rsid w:val="00BA1455"/>
    <w:rsid w:val="00E7340C"/>
    <w:rsid w:val="00E739AF"/>
    <w:rsid w:val="00F839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39A9"/>
  <w15:chartTrackingRefBased/>
  <w15:docId w15:val="{9D71D65E-2FFF-4F2B-B6C1-C41AADB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D9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F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29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29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29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29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29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29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29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29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29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29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29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29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29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29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29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29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29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29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29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29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29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299B"/>
    <w:rPr>
      <w:i/>
      <w:iCs/>
      <w:color w:val="404040" w:themeColor="text1" w:themeTint="BF"/>
    </w:rPr>
  </w:style>
  <w:style w:type="paragraph" w:styleId="Sraopastraipa">
    <w:name w:val="List Paragraph"/>
    <w:basedOn w:val="prastasis"/>
    <w:uiPriority w:val="34"/>
    <w:qFormat/>
    <w:rsid w:val="000F299B"/>
    <w:pPr>
      <w:ind w:left="720"/>
      <w:contextualSpacing/>
    </w:pPr>
  </w:style>
  <w:style w:type="character" w:styleId="Rykuspabraukimas">
    <w:name w:val="Intense Emphasis"/>
    <w:basedOn w:val="Numatytasispastraiposriftas"/>
    <w:uiPriority w:val="21"/>
    <w:qFormat/>
    <w:rsid w:val="000F299B"/>
    <w:rPr>
      <w:i/>
      <w:iCs/>
      <w:color w:val="0F4761" w:themeColor="accent1" w:themeShade="BF"/>
    </w:rPr>
  </w:style>
  <w:style w:type="paragraph" w:styleId="Iskirtacitata">
    <w:name w:val="Intense Quote"/>
    <w:basedOn w:val="prastasis"/>
    <w:next w:val="prastasis"/>
    <w:link w:val="IskirtacitataDiagrama"/>
    <w:uiPriority w:val="30"/>
    <w:qFormat/>
    <w:rsid w:val="000F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299B"/>
    <w:rPr>
      <w:i/>
      <w:iCs/>
      <w:color w:val="0F4761" w:themeColor="accent1" w:themeShade="BF"/>
    </w:rPr>
  </w:style>
  <w:style w:type="character" w:styleId="Rykinuoroda">
    <w:name w:val="Intense Reference"/>
    <w:basedOn w:val="Numatytasispastraiposriftas"/>
    <w:uiPriority w:val="32"/>
    <w:qFormat/>
    <w:rsid w:val="000F299B"/>
    <w:rPr>
      <w:b/>
      <w:bCs/>
      <w:smallCaps/>
      <w:color w:val="0F4761" w:themeColor="accent1" w:themeShade="BF"/>
      <w:spacing w:val="5"/>
    </w:rPr>
  </w:style>
  <w:style w:type="character" w:customStyle="1" w:styleId="PI-1labEMEASMCAChar">
    <w:name w:val="PI-1_lab EMEA_SMCA Char"/>
    <w:link w:val="PI-1labEMEASMCA"/>
    <w:uiPriority w:val="99"/>
    <w:locked/>
    <w:rsid w:val="002B2D97"/>
    <w:rPr>
      <w:rFonts w:ascii="Times New Roman" w:eastAsia="Times New Roman" w:hAnsi="Times New Roman" w:cs="Times New Roman"/>
      <w:b/>
      <w:noProof/>
      <w:lang w:eastAsia="x-none"/>
    </w:rPr>
  </w:style>
  <w:style w:type="paragraph" w:customStyle="1" w:styleId="PI-1labEMEASMCA">
    <w:name w:val="PI-1_lab EMEA_SMCA"/>
    <w:basedOn w:val="prastasis"/>
    <w:link w:val="PI-1labEMEASMCAChar"/>
    <w:autoRedefine/>
    <w:uiPriority w:val="99"/>
    <w:rsid w:val="002B2D97"/>
    <w:pPr>
      <w:pBdr>
        <w:top w:val="single" w:sz="4" w:space="1" w:color="auto"/>
        <w:left w:val="single" w:sz="4" w:space="4" w:color="auto"/>
        <w:bottom w:val="single" w:sz="4" w:space="1" w:color="auto"/>
        <w:right w:val="single" w:sz="4" w:space="4" w:color="auto"/>
      </w:pBdr>
      <w:ind w:left="567" w:hanging="567"/>
    </w:pPr>
    <w:rPr>
      <w:b/>
      <w:noProof/>
      <w:kern w:val="2"/>
      <w:sz w:val="22"/>
      <w:szCs w:val="22"/>
      <w:lang w:eastAsia="x-none"/>
      <w14:ligatures w14:val="standardContextual"/>
    </w:rPr>
  </w:style>
  <w:style w:type="character" w:customStyle="1" w:styleId="BTEMEASMCAChar">
    <w:name w:val="BT EMEA_SMCA Char"/>
    <w:link w:val="BTEMEASMCA"/>
    <w:uiPriority w:val="99"/>
    <w:locked/>
    <w:rsid w:val="002B2D97"/>
    <w:rPr>
      <w:rFonts w:ascii="Times New Roman" w:eastAsia="Times New Roman" w:hAnsi="Times New Roman" w:cs="Times New Roman"/>
      <w:noProof/>
      <w:color w:val="000000"/>
      <w:bdr w:val="none" w:sz="0" w:space="0" w:color="auto" w:frame="1"/>
      <w:lang w:val="en-US" w:eastAsia="x-none"/>
    </w:rPr>
  </w:style>
  <w:style w:type="paragraph" w:customStyle="1" w:styleId="BTEMEASMCA">
    <w:name w:val="BT EMEA_SMCA"/>
    <w:basedOn w:val="prastasis"/>
    <w:link w:val="BTEMEASMCAChar"/>
    <w:autoRedefine/>
    <w:uiPriority w:val="99"/>
    <w:rsid w:val="002B2D97"/>
    <w:rPr>
      <w:noProof/>
      <w:color w:val="000000"/>
      <w:kern w:val="2"/>
      <w:sz w:val="22"/>
      <w:szCs w:val="22"/>
      <w:bdr w:val="none" w:sz="0" w:space="0" w:color="auto" w:frame="1"/>
      <w:lang w:val="en-US" w:eastAsia="x-none"/>
      <w14:ligatures w14:val="standardContextual"/>
    </w:rPr>
  </w:style>
  <w:style w:type="character" w:customStyle="1" w:styleId="TTEMEASMCAChar">
    <w:name w:val="TT EMEA_SMCA Char"/>
    <w:link w:val="TTEMEASMCA"/>
    <w:uiPriority w:val="99"/>
    <w:locked/>
    <w:rsid w:val="002B2D97"/>
    <w:rPr>
      <w:rFonts w:ascii="Times New Roman" w:eastAsia="Times New Roman" w:hAnsi="Times New Roman" w:cs="Times New Roman"/>
      <w:b/>
      <w:lang w:eastAsia="x-none"/>
    </w:rPr>
  </w:style>
  <w:style w:type="paragraph" w:customStyle="1" w:styleId="TTEMEASMCA">
    <w:name w:val="TT EMEA_SMCA"/>
    <w:basedOn w:val="Antrat1"/>
    <w:link w:val="TTEMEASMCAChar"/>
    <w:autoRedefine/>
    <w:uiPriority w:val="99"/>
    <w:rsid w:val="002B2D97"/>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eastAsia="x-none"/>
    </w:rPr>
  </w:style>
  <w:style w:type="paragraph" w:customStyle="1" w:styleId="Default">
    <w:name w:val="Default"/>
    <w:rsid w:val="002B2D9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2903</Words>
  <Characters>1655</Characters>
  <Application>Microsoft Office Word</Application>
  <DocSecurity>0</DocSecurity>
  <Lines>13</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2024-04-14T12:23:00Z</dcterms:created>
  <dcterms:modified xsi:type="dcterms:W3CDTF">2025-02-19T12:16:00Z</dcterms:modified>
</cp:coreProperties>
</file>