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983E" w14:textId="77777777" w:rsidR="00023BBF" w:rsidRDefault="00023BBF">
      <w:pPr>
        <w:pStyle w:val="Paprastasistekstas"/>
        <w:tabs>
          <w:tab w:val="left" w:pos="4962"/>
        </w:tabs>
        <w:rPr>
          <w:rFonts w:ascii="Times New Roman" w:hAnsi="Times New Roman"/>
          <w:snapToGrid w:val="0"/>
          <w:sz w:val="22"/>
          <w:szCs w:val="22"/>
          <w:lang w:val="lt-LT"/>
        </w:rPr>
      </w:pPr>
    </w:p>
    <w:p w14:paraId="5AE94090" w14:textId="77777777" w:rsidR="00023BBF" w:rsidRDefault="00023BBF">
      <w:pPr>
        <w:pStyle w:val="Paprastasistekstas"/>
        <w:tabs>
          <w:tab w:val="left" w:pos="4962"/>
        </w:tabs>
        <w:rPr>
          <w:rFonts w:ascii="Times New Roman" w:hAnsi="Times New Roman"/>
          <w:sz w:val="22"/>
          <w:szCs w:val="22"/>
          <w:lang w:val="lt-LT"/>
        </w:rPr>
      </w:pPr>
    </w:p>
    <w:p w14:paraId="415EBD70" w14:textId="77777777" w:rsidR="00023BBF" w:rsidRDefault="00023BBF">
      <w:pPr>
        <w:pStyle w:val="Paprastasistekstas"/>
        <w:rPr>
          <w:rFonts w:ascii="Times New Roman" w:hAnsi="Times New Roman"/>
          <w:sz w:val="22"/>
          <w:szCs w:val="22"/>
          <w:lang w:val="lt-LT"/>
        </w:rPr>
      </w:pPr>
    </w:p>
    <w:p w14:paraId="6A964574" w14:textId="77777777" w:rsidR="00023BBF" w:rsidRDefault="00023BBF">
      <w:pPr>
        <w:widowControl w:val="0"/>
        <w:rPr>
          <w:sz w:val="22"/>
          <w:szCs w:val="22"/>
        </w:rPr>
      </w:pPr>
    </w:p>
    <w:p w14:paraId="21F37631" w14:textId="77777777" w:rsidR="00023BBF" w:rsidRDefault="00023BBF">
      <w:pPr>
        <w:outlineLvl w:val="0"/>
        <w:rPr>
          <w:b/>
          <w:sz w:val="22"/>
          <w:szCs w:val="22"/>
        </w:rPr>
      </w:pPr>
    </w:p>
    <w:p w14:paraId="140A03BB" w14:textId="77777777" w:rsidR="00023BBF" w:rsidRDefault="00023BBF">
      <w:pPr>
        <w:outlineLvl w:val="0"/>
        <w:rPr>
          <w:b/>
          <w:sz w:val="22"/>
          <w:szCs w:val="22"/>
        </w:rPr>
      </w:pPr>
    </w:p>
    <w:p w14:paraId="5F3DCCD0" w14:textId="77777777" w:rsidR="00023BBF" w:rsidRDefault="00023BBF">
      <w:pPr>
        <w:outlineLvl w:val="0"/>
        <w:rPr>
          <w:b/>
          <w:sz w:val="22"/>
          <w:szCs w:val="22"/>
        </w:rPr>
      </w:pPr>
    </w:p>
    <w:p w14:paraId="60E72406" w14:textId="77777777" w:rsidR="00023BBF" w:rsidRDefault="00023BBF">
      <w:pPr>
        <w:outlineLvl w:val="0"/>
        <w:rPr>
          <w:b/>
          <w:sz w:val="22"/>
          <w:szCs w:val="22"/>
        </w:rPr>
      </w:pPr>
    </w:p>
    <w:p w14:paraId="1E5DD991" w14:textId="77777777" w:rsidR="00023BBF" w:rsidRDefault="00023BBF">
      <w:pPr>
        <w:tabs>
          <w:tab w:val="left" w:pos="-1440"/>
          <w:tab w:val="left" w:pos="-720"/>
        </w:tabs>
        <w:rPr>
          <w:b/>
          <w:sz w:val="22"/>
          <w:szCs w:val="22"/>
        </w:rPr>
      </w:pPr>
    </w:p>
    <w:p w14:paraId="11704BEC" w14:textId="77777777" w:rsidR="00023BBF" w:rsidRDefault="00023BBF">
      <w:pPr>
        <w:tabs>
          <w:tab w:val="left" w:pos="-1440"/>
          <w:tab w:val="left" w:pos="-720"/>
        </w:tabs>
        <w:rPr>
          <w:b/>
          <w:sz w:val="22"/>
          <w:szCs w:val="22"/>
        </w:rPr>
      </w:pPr>
    </w:p>
    <w:p w14:paraId="1C1D51B6" w14:textId="77777777" w:rsidR="00023BBF" w:rsidRDefault="00023BBF">
      <w:pPr>
        <w:tabs>
          <w:tab w:val="left" w:pos="-1440"/>
          <w:tab w:val="left" w:pos="-720"/>
        </w:tabs>
        <w:rPr>
          <w:b/>
          <w:sz w:val="22"/>
          <w:szCs w:val="22"/>
        </w:rPr>
      </w:pPr>
    </w:p>
    <w:p w14:paraId="2BD476B4" w14:textId="77777777" w:rsidR="00023BBF" w:rsidRDefault="00023BBF">
      <w:pPr>
        <w:tabs>
          <w:tab w:val="left" w:pos="-1440"/>
          <w:tab w:val="left" w:pos="-720"/>
        </w:tabs>
        <w:rPr>
          <w:b/>
          <w:sz w:val="22"/>
          <w:szCs w:val="22"/>
        </w:rPr>
      </w:pPr>
    </w:p>
    <w:p w14:paraId="10DAAB17" w14:textId="77777777" w:rsidR="00023BBF" w:rsidRDefault="00023BBF">
      <w:pPr>
        <w:tabs>
          <w:tab w:val="left" w:pos="-1440"/>
          <w:tab w:val="left" w:pos="-720"/>
        </w:tabs>
        <w:rPr>
          <w:b/>
          <w:sz w:val="22"/>
          <w:szCs w:val="22"/>
        </w:rPr>
      </w:pPr>
    </w:p>
    <w:p w14:paraId="2FE240B6" w14:textId="77777777" w:rsidR="00023BBF" w:rsidRDefault="00023BBF">
      <w:pPr>
        <w:tabs>
          <w:tab w:val="left" w:pos="-1440"/>
          <w:tab w:val="left" w:pos="-720"/>
        </w:tabs>
        <w:rPr>
          <w:b/>
          <w:sz w:val="22"/>
          <w:szCs w:val="22"/>
        </w:rPr>
      </w:pPr>
    </w:p>
    <w:p w14:paraId="15D9582B" w14:textId="77777777" w:rsidR="00023BBF" w:rsidRDefault="00023BBF">
      <w:pPr>
        <w:tabs>
          <w:tab w:val="left" w:pos="-1440"/>
          <w:tab w:val="left" w:pos="-720"/>
        </w:tabs>
        <w:rPr>
          <w:b/>
          <w:sz w:val="22"/>
          <w:szCs w:val="22"/>
        </w:rPr>
      </w:pPr>
    </w:p>
    <w:p w14:paraId="4E181920" w14:textId="77777777" w:rsidR="00023BBF" w:rsidRDefault="00023BBF">
      <w:pPr>
        <w:tabs>
          <w:tab w:val="left" w:pos="-1440"/>
          <w:tab w:val="left" w:pos="-720"/>
        </w:tabs>
        <w:rPr>
          <w:b/>
          <w:sz w:val="22"/>
          <w:szCs w:val="22"/>
        </w:rPr>
      </w:pPr>
    </w:p>
    <w:p w14:paraId="0D88C09D" w14:textId="77777777" w:rsidR="00023BBF" w:rsidRDefault="00023BBF">
      <w:pPr>
        <w:tabs>
          <w:tab w:val="left" w:pos="-1440"/>
          <w:tab w:val="left" w:pos="-720"/>
        </w:tabs>
        <w:rPr>
          <w:b/>
          <w:sz w:val="22"/>
          <w:szCs w:val="22"/>
        </w:rPr>
      </w:pPr>
    </w:p>
    <w:p w14:paraId="5251EE4C" w14:textId="77777777" w:rsidR="00023BBF" w:rsidRDefault="00023BBF">
      <w:pPr>
        <w:tabs>
          <w:tab w:val="left" w:pos="-1440"/>
          <w:tab w:val="left" w:pos="-720"/>
        </w:tabs>
        <w:rPr>
          <w:b/>
          <w:sz w:val="22"/>
          <w:szCs w:val="22"/>
        </w:rPr>
      </w:pPr>
    </w:p>
    <w:p w14:paraId="2C2FBA58" w14:textId="77777777" w:rsidR="00023BBF" w:rsidRDefault="00023BBF">
      <w:pPr>
        <w:tabs>
          <w:tab w:val="left" w:pos="-1440"/>
          <w:tab w:val="left" w:pos="-720"/>
        </w:tabs>
        <w:rPr>
          <w:b/>
          <w:sz w:val="22"/>
          <w:szCs w:val="22"/>
        </w:rPr>
      </w:pPr>
    </w:p>
    <w:p w14:paraId="3E0C888D" w14:textId="77777777" w:rsidR="00023BBF" w:rsidRDefault="00023BBF">
      <w:pPr>
        <w:tabs>
          <w:tab w:val="left" w:pos="-1440"/>
          <w:tab w:val="left" w:pos="-720"/>
        </w:tabs>
        <w:rPr>
          <w:b/>
          <w:sz w:val="22"/>
          <w:szCs w:val="22"/>
        </w:rPr>
      </w:pPr>
    </w:p>
    <w:p w14:paraId="01DF671D" w14:textId="77777777" w:rsidR="00023BBF" w:rsidRDefault="00023BBF">
      <w:pPr>
        <w:tabs>
          <w:tab w:val="left" w:pos="-1440"/>
          <w:tab w:val="left" w:pos="-720"/>
        </w:tabs>
        <w:rPr>
          <w:b/>
          <w:sz w:val="22"/>
          <w:szCs w:val="22"/>
        </w:rPr>
      </w:pPr>
    </w:p>
    <w:p w14:paraId="7283677F" w14:textId="77777777" w:rsidR="00023BBF" w:rsidRDefault="00023BBF">
      <w:pPr>
        <w:tabs>
          <w:tab w:val="left" w:pos="-1440"/>
          <w:tab w:val="left" w:pos="-720"/>
        </w:tabs>
        <w:rPr>
          <w:b/>
          <w:sz w:val="22"/>
          <w:szCs w:val="22"/>
        </w:rPr>
      </w:pPr>
    </w:p>
    <w:p w14:paraId="36267A89" w14:textId="77777777" w:rsidR="00023BBF" w:rsidRDefault="00023BBF">
      <w:pPr>
        <w:tabs>
          <w:tab w:val="left" w:pos="-1440"/>
          <w:tab w:val="left" w:pos="-720"/>
        </w:tabs>
        <w:rPr>
          <w:b/>
          <w:sz w:val="22"/>
          <w:szCs w:val="22"/>
        </w:rPr>
      </w:pPr>
    </w:p>
    <w:p w14:paraId="7D37ACDD" w14:textId="77777777" w:rsidR="00023BBF" w:rsidRDefault="00E17C37">
      <w:pPr>
        <w:pStyle w:val="Antrat2"/>
        <w:spacing w:before="0" w:after="0" w:line="240" w:lineRule="auto"/>
        <w:jc w:val="center"/>
        <w:rPr>
          <w:rFonts w:ascii="Times New Roman" w:hAnsi="Times New Roman"/>
          <w:bCs w:val="0"/>
          <w:i w:val="0"/>
          <w:iCs w:val="0"/>
          <w:sz w:val="22"/>
          <w:szCs w:val="22"/>
          <w:lang w:val="lt-LT"/>
        </w:rPr>
      </w:pPr>
      <w:r>
        <w:rPr>
          <w:rFonts w:ascii="Times New Roman" w:hAnsi="Times New Roman"/>
          <w:i w:val="0"/>
          <w:sz w:val="22"/>
          <w:szCs w:val="22"/>
          <w:lang w:val="lt-LT"/>
        </w:rPr>
        <w:t>I PRIEDAS</w:t>
      </w:r>
    </w:p>
    <w:p w14:paraId="5BEF84FB" w14:textId="77777777" w:rsidR="00023BBF" w:rsidRDefault="00023BBF">
      <w:pPr>
        <w:jc w:val="center"/>
        <w:rPr>
          <w:sz w:val="22"/>
          <w:szCs w:val="22"/>
        </w:rPr>
      </w:pPr>
    </w:p>
    <w:p w14:paraId="0ECD8434" w14:textId="77777777" w:rsidR="00023BBF" w:rsidRDefault="00E17C37">
      <w:pPr>
        <w:tabs>
          <w:tab w:val="left" w:pos="-1440"/>
          <w:tab w:val="left" w:pos="-720"/>
        </w:tabs>
        <w:jc w:val="center"/>
        <w:rPr>
          <w:b/>
          <w:sz w:val="22"/>
          <w:szCs w:val="22"/>
        </w:rPr>
      </w:pPr>
      <w:r>
        <w:rPr>
          <w:b/>
          <w:sz w:val="22"/>
          <w:szCs w:val="22"/>
        </w:rPr>
        <w:t>PREPARATO CHARAKTERISTIKŲ SANTRAUKA</w:t>
      </w:r>
    </w:p>
    <w:p w14:paraId="7D556B65" w14:textId="77777777" w:rsidR="00023BBF" w:rsidRDefault="00E17C37">
      <w:pPr>
        <w:tabs>
          <w:tab w:val="left" w:pos="-1440"/>
          <w:tab w:val="left" w:pos="-720"/>
        </w:tabs>
        <w:rPr>
          <w:sz w:val="22"/>
          <w:szCs w:val="22"/>
        </w:rPr>
      </w:pPr>
      <w:r>
        <w:rPr>
          <w:sz w:val="22"/>
          <w:szCs w:val="22"/>
          <w:lang w:eastAsia="zh-CN"/>
        </w:rPr>
        <w:br w:type="page"/>
      </w:r>
    </w:p>
    <w:p w14:paraId="5105FDD9" w14:textId="77777777" w:rsidR="00023BBF" w:rsidRDefault="00E17C37">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lastRenderedPageBreak/>
        <w:t>1.</w:t>
      </w:r>
      <w:r>
        <w:rPr>
          <w:rFonts w:ascii="Times New Roman" w:hAnsi="Times New Roman"/>
          <w:sz w:val="22"/>
          <w:szCs w:val="22"/>
          <w:lang w:val="lt-LT"/>
        </w:rPr>
        <w:tab/>
        <w:t>VAISTINIO PREPARATO PAVADINIMAS</w:t>
      </w:r>
    </w:p>
    <w:p w14:paraId="6DE846EB" w14:textId="77777777" w:rsidR="00023BBF" w:rsidRDefault="00023BBF">
      <w:pPr>
        <w:rPr>
          <w:sz w:val="22"/>
          <w:szCs w:val="22"/>
        </w:rPr>
      </w:pPr>
    </w:p>
    <w:p w14:paraId="02F5A474"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5 mg/850 mg plėvele dengtos tabletės</w:t>
      </w:r>
    </w:p>
    <w:p w14:paraId="24B2AC04" w14:textId="77777777" w:rsidR="00023BBF" w:rsidRDefault="00E17C37">
      <w:pPr>
        <w:rPr>
          <w:rFonts w:eastAsiaTheme="minorHAnsi"/>
          <w:color w:val="000000"/>
          <w:sz w:val="22"/>
          <w:szCs w:val="22"/>
          <w:lang w:eastAsia="en-US"/>
        </w:rPr>
      </w:pP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5 mg/1 000 mg plėvele dengtos tabletės</w:t>
      </w:r>
    </w:p>
    <w:p w14:paraId="757DDFEE" w14:textId="77777777" w:rsidR="00023BBF" w:rsidRDefault="00023BBF">
      <w:pPr>
        <w:rPr>
          <w:sz w:val="22"/>
          <w:szCs w:val="22"/>
        </w:rPr>
      </w:pPr>
    </w:p>
    <w:p w14:paraId="7904B36E" w14:textId="77777777" w:rsidR="00023BBF" w:rsidRDefault="00023BBF">
      <w:pPr>
        <w:rPr>
          <w:sz w:val="22"/>
          <w:szCs w:val="22"/>
        </w:rPr>
      </w:pPr>
    </w:p>
    <w:p w14:paraId="44647A79" w14:textId="77777777" w:rsidR="00023BBF" w:rsidRDefault="00E17C37">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2.</w:t>
      </w:r>
      <w:r>
        <w:rPr>
          <w:rFonts w:ascii="Times New Roman" w:hAnsi="Times New Roman"/>
          <w:sz w:val="22"/>
          <w:szCs w:val="22"/>
          <w:lang w:val="lt-LT"/>
        </w:rPr>
        <w:tab/>
        <w:t>KOKYBINĖ IR KIEKYBINĖ SUDĖTIS</w:t>
      </w:r>
    </w:p>
    <w:p w14:paraId="5DBB4301" w14:textId="77777777" w:rsidR="00023BBF" w:rsidRDefault="00023BBF">
      <w:pPr>
        <w:rPr>
          <w:sz w:val="22"/>
          <w:szCs w:val="22"/>
        </w:rPr>
      </w:pPr>
    </w:p>
    <w:p w14:paraId="74066F67" w14:textId="77777777" w:rsidR="00023BBF" w:rsidRDefault="00E17C37">
      <w:pPr>
        <w:autoSpaceDE w:val="0"/>
        <w:autoSpaceDN w:val="0"/>
        <w:adjustRightInd w:val="0"/>
        <w:rPr>
          <w:rFonts w:eastAsiaTheme="minorHAnsi"/>
          <w:color w:val="000000"/>
          <w:sz w:val="22"/>
          <w:szCs w:val="22"/>
          <w:u w:val="single"/>
          <w:lang w:eastAsia="en-US"/>
        </w:rPr>
      </w:pPr>
      <w:bookmarkStart w:id="0" w:name="_Hlk199932170"/>
      <w:proofErr w:type="spellStart"/>
      <w:r>
        <w:rPr>
          <w:rFonts w:eastAsiaTheme="minorHAnsi"/>
          <w:color w:val="000000"/>
          <w:sz w:val="22"/>
          <w:szCs w:val="22"/>
          <w:u w:val="single"/>
          <w:lang w:eastAsia="en-US"/>
        </w:rPr>
        <w:t>Mexdagry</w:t>
      </w:r>
      <w:proofErr w:type="spellEnd"/>
      <w:r>
        <w:rPr>
          <w:rFonts w:eastAsiaTheme="minorHAnsi"/>
          <w:color w:val="000000"/>
          <w:sz w:val="22"/>
          <w:szCs w:val="22"/>
          <w:u w:val="single"/>
          <w:lang w:eastAsia="en-US"/>
        </w:rPr>
        <w:t xml:space="preserve"> 5 mg/850 mg plėvele dengtos tabletės</w:t>
      </w:r>
    </w:p>
    <w:p w14:paraId="35ECADCB"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Kiekvienoje plėvele dengtoje tabletėje yra 5 mg dapagliflozino (dapagliflozino </w:t>
      </w:r>
      <w:proofErr w:type="spellStart"/>
      <w:r>
        <w:rPr>
          <w:rFonts w:eastAsiaTheme="minorHAnsi"/>
          <w:color w:val="000000"/>
          <w:sz w:val="22"/>
          <w:szCs w:val="22"/>
          <w:lang w:eastAsia="en-US"/>
        </w:rPr>
        <w:t>propanediolo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monohidrato</w:t>
      </w:r>
      <w:proofErr w:type="spellEnd"/>
      <w:r>
        <w:rPr>
          <w:rFonts w:eastAsiaTheme="minorHAnsi"/>
          <w:color w:val="000000"/>
          <w:sz w:val="22"/>
          <w:szCs w:val="22"/>
          <w:lang w:eastAsia="en-US"/>
        </w:rPr>
        <w:t xml:space="preserve"> forma) ir 850 mg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hidrochlorido.</w:t>
      </w:r>
    </w:p>
    <w:p w14:paraId="53D40376" w14:textId="77777777" w:rsidR="00023BBF" w:rsidRDefault="00023BBF">
      <w:pPr>
        <w:autoSpaceDE w:val="0"/>
        <w:autoSpaceDN w:val="0"/>
        <w:adjustRightInd w:val="0"/>
        <w:rPr>
          <w:rFonts w:eastAsiaTheme="minorHAnsi"/>
          <w:color w:val="000000"/>
          <w:sz w:val="22"/>
          <w:szCs w:val="22"/>
          <w:lang w:eastAsia="en-US"/>
        </w:rPr>
      </w:pPr>
    </w:p>
    <w:p w14:paraId="0795A0FC" w14:textId="77777777" w:rsidR="00023BBF" w:rsidRDefault="00E17C37">
      <w:pPr>
        <w:autoSpaceDE w:val="0"/>
        <w:autoSpaceDN w:val="0"/>
        <w:adjustRightInd w:val="0"/>
        <w:rPr>
          <w:rFonts w:eastAsiaTheme="minorHAnsi"/>
          <w:color w:val="000000"/>
          <w:sz w:val="22"/>
          <w:szCs w:val="22"/>
          <w:u w:val="single"/>
          <w:lang w:eastAsia="en-US"/>
        </w:rPr>
      </w:pPr>
      <w:proofErr w:type="spellStart"/>
      <w:r>
        <w:rPr>
          <w:rFonts w:eastAsiaTheme="minorHAnsi"/>
          <w:color w:val="000000"/>
          <w:sz w:val="22"/>
          <w:szCs w:val="22"/>
          <w:u w:val="single"/>
          <w:lang w:eastAsia="en-US"/>
        </w:rPr>
        <w:t>Mexdagry</w:t>
      </w:r>
      <w:proofErr w:type="spellEnd"/>
      <w:r>
        <w:rPr>
          <w:rFonts w:eastAsiaTheme="minorHAnsi"/>
          <w:color w:val="000000"/>
          <w:sz w:val="22"/>
          <w:szCs w:val="22"/>
          <w:u w:val="single"/>
          <w:lang w:eastAsia="en-US"/>
        </w:rPr>
        <w:t xml:space="preserve"> 5 mg/1 000 mg plėvele dengtos tabletės</w:t>
      </w:r>
    </w:p>
    <w:p w14:paraId="124D923B" w14:textId="77777777" w:rsidR="00023BBF" w:rsidRDefault="00E17C37">
      <w:pPr>
        <w:rPr>
          <w:rFonts w:eastAsiaTheme="minorHAnsi"/>
          <w:color w:val="000000"/>
          <w:sz w:val="22"/>
          <w:szCs w:val="22"/>
          <w:lang w:eastAsia="en-US"/>
        </w:rPr>
      </w:pPr>
      <w:r>
        <w:rPr>
          <w:rFonts w:eastAsiaTheme="minorHAnsi"/>
          <w:color w:val="000000"/>
          <w:sz w:val="22"/>
          <w:szCs w:val="22"/>
          <w:lang w:eastAsia="en-US"/>
        </w:rPr>
        <w:t xml:space="preserve">Kiekvienoje plėvele dengtoje tabletėje yra 5 mg dapagliflozino (dapagliflozino </w:t>
      </w:r>
      <w:proofErr w:type="spellStart"/>
      <w:r>
        <w:rPr>
          <w:rFonts w:eastAsiaTheme="minorHAnsi"/>
          <w:color w:val="000000"/>
          <w:sz w:val="22"/>
          <w:szCs w:val="22"/>
          <w:lang w:eastAsia="en-US"/>
        </w:rPr>
        <w:t>propanediolo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monohidrato</w:t>
      </w:r>
      <w:proofErr w:type="spellEnd"/>
      <w:r>
        <w:rPr>
          <w:rFonts w:eastAsiaTheme="minorHAnsi"/>
          <w:color w:val="000000"/>
          <w:sz w:val="22"/>
          <w:szCs w:val="22"/>
          <w:lang w:eastAsia="en-US"/>
        </w:rPr>
        <w:t xml:space="preserve"> forma) ir 1 000 mg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hidrochlorido.</w:t>
      </w:r>
    </w:p>
    <w:bookmarkEnd w:id="0"/>
    <w:p w14:paraId="44EF9B21" w14:textId="77777777" w:rsidR="00023BBF" w:rsidRDefault="00023BBF">
      <w:pPr>
        <w:rPr>
          <w:noProof/>
          <w:sz w:val="22"/>
          <w:szCs w:val="22"/>
        </w:rPr>
      </w:pPr>
    </w:p>
    <w:p w14:paraId="371F1595" w14:textId="77777777" w:rsidR="00023BBF" w:rsidRDefault="00E17C37">
      <w:pPr>
        <w:rPr>
          <w:sz w:val="22"/>
          <w:szCs w:val="22"/>
        </w:rPr>
      </w:pPr>
      <w:r>
        <w:rPr>
          <w:noProof/>
          <w:sz w:val="22"/>
          <w:szCs w:val="22"/>
        </w:rPr>
        <w:t>Visos pagalbinės medžiagos išvardytos 6.1 skyriuje.</w:t>
      </w:r>
    </w:p>
    <w:p w14:paraId="3E8BD1BE" w14:textId="77777777" w:rsidR="00023BBF" w:rsidRDefault="00023BBF">
      <w:pPr>
        <w:rPr>
          <w:sz w:val="22"/>
          <w:szCs w:val="22"/>
        </w:rPr>
      </w:pPr>
    </w:p>
    <w:p w14:paraId="14FA2CFC" w14:textId="77777777" w:rsidR="00023BBF" w:rsidRDefault="00023BBF">
      <w:pPr>
        <w:rPr>
          <w:sz w:val="22"/>
          <w:szCs w:val="22"/>
        </w:rPr>
      </w:pPr>
    </w:p>
    <w:p w14:paraId="5C9C738C" w14:textId="77777777" w:rsidR="00023BBF" w:rsidRDefault="00E17C37">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3.</w:t>
      </w:r>
      <w:r>
        <w:rPr>
          <w:rFonts w:ascii="Times New Roman" w:hAnsi="Times New Roman"/>
          <w:sz w:val="22"/>
          <w:szCs w:val="22"/>
          <w:lang w:val="lt-LT"/>
        </w:rPr>
        <w:tab/>
        <w:t>FARMACINĖ FORMA</w:t>
      </w:r>
    </w:p>
    <w:p w14:paraId="79099DF1" w14:textId="77777777" w:rsidR="00023BBF" w:rsidRDefault="00023BBF">
      <w:pPr>
        <w:rPr>
          <w:sz w:val="22"/>
          <w:szCs w:val="22"/>
        </w:rPr>
      </w:pPr>
    </w:p>
    <w:p w14:paraId="00FD2FD3" w14:textId="77777777" w:rsidR="00023BBF" w:rsidRDefault="00E17C37">
      <w:pPr>
        <w:rPr>
          <w:sz w:val="22"/>
          <w:szCs w:val="22"/>
        </w:rPr>
      </w:pPr>
      <w:r>
        <w:rPr>
          <w:sz w:val="22"/>
          <w:szCs w:val="22"/>
        </w:rPr>
        <w:t>Plėvele dengta tabletė (tabletė).</w:t>
      </w:r>
    </w:p>
    <w:p w14:paraId="0C205C24" w14:textId="77777777" w:rsidR="00023BBF" w:rsidRDefault="00023BBF">
      <w:pPr>
        <w:rPr>
          <w:noProof/>
          <w:sz w:val="22"/>
          <w:szCs w:val="22"/>
        </w:rPr>
      </w:pPr>
    </w:p>
    <w:p w14:paraId="507B842E" w14:textId="77777777" w:rsidR="00023BBF" w:rsidRDefault="00E17C37">
      <w:pPr>
        <w:autoSpaceDE w:val="0"/>
        <w:autoSpaceDN w:val="0"/>
        <w:adjustRightInd w:val="0"/>
        <w:rPr>
          <w:rFonts w:eastAsiaTheme="minorHAnsi"/>
          <w:color w:val="000000"/>
          <w:sz w:val="22"/>
          <w:szCs w:val="22"/>
          <w:u w:val="single"/>
          <w:lang w:eastAsia="en-US"/>
        </w:rPr>
      </w:pPr>
      <w:proofErr w:type="spellStart"/>
      <w:r>
        <w:rPr>
          <w:rFonts w:eastAsiaTheme="minorHAnsi"/>
          <w:color w:val="000000"/>
          <w:sz w:val="22"/>
          <w:szCs w:val="22"/>
          <w:u w:val="single"/>
          <w:lang w:eastAsia="en-US"/>
        </w:rPr>
        <w:t>Mexdagry</w:t>
      </w:r>
      <w:proofErr w:type="spellEnd"/>
      <w:r>
        <w:rPr>
          <w:rFonts w:eastAsiaTheme="minorHAnsi"/>
          <w:color w:val="000000"/>
          <w:sz w:val="22"/>
          <w:szCs w:val="22"/>
          <w:u w:val="single"/>
          <w:lang w:eastAsia="en-US"/>
        </w:rPr>
        <w:t xml:space="preserve"> 5 mg/850 mg plėvele dengtos tabletės</w:t>
      </w:r>
    </w:p>
    <w:p w14:paraId="2D8AB968"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Oranžinė, ovali, abipus išgaubta, plėvele dengta tabletė, kurios vienoje pusėje yra žyma „K1“. Tabletės matmenys: 20 x 10 mm.</w:t>
      </w:r>
    </w:p>
    <w:p w14:paraId="3DF7A119" w14:textId="77777777" w:rsidR="00023BBF" w:rsidRDefault="00023BBF">
      <w:pPr>
        <w:autoSpaceDE w:val="0"/>
        <w:autoSpaceDN w:val="0"/>
        <w:adjustRightInd w:val="0"/>
        <w:rPr>
          <w:rFonts w:eastAsiaTheme="minorHAnsi"/>
          <w:color w:val="000000"/>
          <w:sz w:val="22"/>
          <w:szCs w:val="22"/>
          <w:u w:val="single"/>
          <w:lang w:eastAsia="en-US"/>
        </w:rPr>
      </w:pPr>
    </w:p>
    <w:p w14:paraId="5FEC1F83" w14:textId="77777777" w:rsidR="00023BBF" w:rsidRDefault="00E17C37">
      <w:pPr>
        <w:rPr>
          <w:rFonts w:eastAsiaTheme="minorHAnsi"/>
          <w:color w:val="000000"/>
          <w:sz w:val="22"/>
          <w:szCs w:val="22"/>
          <w:u w:val="single"/>
          <w:lang w:eastAsia="en-US"/>
        </w:rPr>
      </w:pPr>
      <w:proofErr w:type="spellStart"/>
      <w:r>
        <w:rPr>
          <w:rFonts w:eastAsiaTheme="minorHAnsi"/>
          <w:color w:val="000000"/>
          <w:sz w:val="22"/>
          <w:szCs w:val="22"/>
          <w:u w:val="single"/>
          <w:lang w:eastAsia="en-US"/>
        </w:rPr>
        <w:t>Mexdagry</w:t>
      </w:r>
      <w:proofErr w:type="spellEnd"/>
      <w:r>
        <w:rPr>
          <w:rFonts w:eastAsiaTheme="minorHAnsi"/>
          <w:color w:val="000000"/>
          <w:sz w:val="22"/>
          <w:szCs w:val="22"/>
          <w:u w:val="single"/>
          <w:lang w:eastAsia="en-US"/>
        </w:rPr>
        <w:t xml:space="preserve"> 5 mg/1 000 mg plėvele dengtos tabletės</w:t>
      </w:r>
    </w:p>
    <w:p w14:paraId="0081BFDB" w14:textId="77777777" w:rsidR="00023BBF" w:rsidRDefault="00E17C37">
      <w:pPr>
        <w:rPr>
          <w:sz w:val="22"/>
          <w:szCs w:val="22"/>
        </w:rPr>
      </w:pPr>
      <w:r>
        <w:rPr>
          <w:sz w:val="22"/>
          <w:szCs w:val="22"/>
        </w:rPr>
        <w:t>Geltona, ovali, abipus išgaubta, plėvele dengta tabletė, kurios vienoje pusėje yra žyma „K2“. Tabletės matmenys: 22 x 11 mm.</w:t>
      </w:r>
    </w:p>
    <w:p w14:paraId="0CA9F12E" w14:textId="77777777" w:rsidR="00023BBF" w:rsidRDefault="00023BBF">
      <w:pPr>
        <w:rPr>
          <w:sz w:val="22"/>
          <w:szCs w:val="22"/>
        </w:rPr>
      </w:pPr>
    </w:p>
    <w:p w14:paraId="6E96232A" w14:textId="77777777" w:rsidR="00023BBF" w:rsidRDefault="00023BBF">
      <w:pPr>
        <w:rPr>
          <w:sz w:val="22"/>
          <w:szCs w:val="22"/>
        </w:rPr>
      </w:pPr>
    </w:p>
    <w:p w14:paraId="10CFE31B" w14:textId="77777777" w:rsidR="00023BBF" w:rsidRDefault="00E17C37">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4.</w:t>
      </w:r>
      <w:r>
        <w:rPr>
          <w:rFonts w:ascii="Times New Roman" w:hAnsi="Times New Roman"/>
          <w:sz w:val="22"/>
          <w:szCs w:val="22"/>
          <w:lang w:val="lt-LT"/>
        </w:rPr>
        <w:tab/>
        <w:t>KLINIKINĖ INFORMACIJA</w:t>
      </w:r>
    </w:p>
    <w:p w14:paraId="124840C7" w14:textId="77777777" w:rsidR="00023BBF" w:rsidRDefault="00023BBF">
      <w:pPr>
        <w:rPr>
          <w:sz w:val="22"/>
          <w:szCs w:val="22"/>
        </w:rPr>
      </w:pPr>
    </w:p>
    <w:p w14:paraId="78E9CE15" w14:textId="77777777" w:rsidR="00023BBF" w:rsidRDefault="00E17C37">
      <w:pPr>
        <w:pStyle w:val="Antrat4"/>
        <w:spacing w:line="240" w:lineRule="auto"/>
        <w:jc w:val="left"/>
        <w:rPr>
          <w:rFonts w:ascii="Times New Roman" w:hAnsi="Times New Roman"/>
          <w:sz w:val="22"/>
          <w:szCs w:val="22"/>
          <w:lang w:val="lt-LT"/>
        </w:rPr>
      </w:pPr>
      <w:r>
        <w:rPr>
          <w:rFonts w:ascii="Times New Roman" w:hAnsi="Times New Roman"/>
          <w:sz w:val="22"/>
          <w:szCs w:val="22"/>
          <w:lang w:val="lt-LT"/>
        </w:rPr>
        <w:t>4.1</w:t>
      </w:r>
      <w:r>
        <w:rPr>
          <w:rFonts w:ascii="Times New Roman" w:hAnsi="Times New Roman"/>
          <w:sz w:val="22"/>
          <w:szCs w:val="22"/>
          <w:lang w:val="lt-LT"/>
        </w:rPr>
        <w:tab/>
        <w:t>Terapinės indikacijos</w:t>
      </w:r>
    </w:p>
    <w:p w14:paraId="3C93F9E2" w14:textId="77777777" w:rsidR="00023BBF" w:rsidRDefault="00023BBF">
      <w:pPr>
        <w:rPr>
          <w:sz w:val="22"/>
          <w:szCs w:val="22"/>
        </w:rPr>
      </w:pPr>
    </w:p>
    <w:p w14:paraId="13E62F7E"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skiriama suaugusiųjų, sergančių 2 tipo cukriniu diabetu, gydymui (dietos ir fizinio krūvio poveikiui papildyti):</w:t>
      </w:r>
    </w:p>
    <w:p w14:paraId="00B8A6D4" w14:textId="77777777" w:rsidR="00023BBF" w:rsidRDefault="00E17C37">
      <w:pPr>
        <w:widowControl w:val="0"/>
        <w:numPr>
          <w:ilvl w:val="0"/>
          <w:numId w:val="21"/>
        </w:numPr>
        <w:spacing w:line="260" w:lineRule="exact"/>
        <w:rPr>
          <w:noProof/>
          <w:sz w:val="22"/>
          <w:szCs w:val="22"/>
          <w:lang w:eastAsia="sl-SI"/>
        </w:rPr>
      </w:pPr>
      <w:r>
        <w:rPr>
          <w:rFonts w:eastAsiaTheme="minorHAnsi"/>
          <w:color w:val="000000"/>
          <w:sz w:val="22"/>
          <w:szCs w:val="22"/>
          <w:lang w:eastAsia="en-US"/>
        </w:rPr>
        <w:t xml:space="preserve">jeigu vien didžiausia toleruojama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dozė tinkamai </w:t>
      </w:r>
      <w:proofErr w:type="spellStart"/>
      <w:r>
        <w:rPr>
          <w:rFonts w:eastAsiaTheme="minorHAnsi"/>
          <w:color w:val="000000"/>
          <w:sz w:val="22"/>
          <w:szCs w:val="22"/>
          <w:lang w:eastAsia="en-US"/>
        </w:rPr>
        <w:t>glikemijos</w:t>
      </w:r>
      <w:proofErr w:type="spellEnd"/>
      <w:r>
        <w:rPr>
          <w:rFonts w:eastAsiaTheme="minorHAnsi"/>
          <w:color w:val="000000"/>
          <w:sz w:val="22"/>
          <w:szCs w:val="22"/>
          <w:lang w:eastAsia="en-US"/>
        </w:rPr>
        <w:t xml:space="preserve"> nesureguliuoja;</w:t>
      </w:r>
    </w:p>
    <w:p w14:paraId="46E4D361" w14:textId="77777777" w:rsidR="00023BBF" w:rsidRDefault="00E17C37">
      <w:pPr>
        <w:widowControl w:val="0"/>
        <w:numPr>
          <w:ilvl w:val="0"/>
          <w:numId w:val="21"/>
        </w:numPr>
        <w:spacing w:line="260" w:lineRule="exact"/>
        <w:rPr>
          <w:noProof/>
          <w:sz w:val="22"/>
          <w:szCs w:val="22"/>
          <w:lang w:eastAsia="sl-SI"/>
        </w:rPr>
      </w:pPr>
      <w:r>
        <w:rPr>
          <w:rFonts w:eastAsiaTheme="minorHAnsi"/>
          <w:color w:val="000000"/>
          <w:sz w:val="22"/>
          <w:szCs w:val="22"/>
          <w:lang w:eastAsia="en-US"/>
        </w:rPr>
        <w:t xml:space="preserve">derinant su kitais cukriniam diabetui gydyti skirtais vaistiniais preparatais – jeigu </w:t>
      </w:r>
      <w:proofErr w:type="spellStart"/>
      <w:r>
        <w:rPr>
          <w:rFonts w:eastAsiaTheme="minorHAnsi"/>
          <w:color w:val="000000"/>
          <w:sz w:val="22"/>
          <w:szCs w:val="22"/>
          <w:lang w:eastAsia="en-US"/>
        </w:rPr>
        <w:t>metforminas</w:t>
      </w:r>
      <w:proofErr w:type="spellEnd"/>
      <w:r>
        <w:rPr>
          <w:rFonts w:eastAsiaTheme="minorHAnsi"/>
          <w:color w:val="000000"/>
          <w:sz w:val="22"/>
          <w:szCs w:val="22"/>
          <w:lang w:eastAsia="en-US"/>
        </w:rPr>
        <w:t xml:space="preserve"> ir šie vaistiniai preparatai tinkamai </w:t>
      </w:r>
      <w:proofErr w:type="spellStart"/>
      <w:r>
        <w:rPr>
          <w:rFonts w:eastAsiaTheme="minorHAnsi"/>
          <w:color w:val="000000"/>
          <w:sz w:val="22"/>
          <w:szCs w:val="22"/>
          <w:lang w:eastAsia="en-US"/>
        </w:rPr>
        <w:t>glikemijos</w:t>
      </w:r>
      <w:proofErr w:type="spellEnd"/>
      <w:r>
        <w:rPr>
          <w:rFonts w:eastAsiaTheme="minorHAnsi"/>
          <w:color w:val="000000"/>
          <w:sz w:val="22"/>
          <w:szCs w:val="22"/>
          <w:lang w:eastAsia="en-US"/>
        </w:rPr>
        <w:t xml:space="preserve"> nesureguliuoja;</w:t>
      </w:r>
    </w:p>
    <w:p w14:paraId="538E0B34" w14:textId="77777777" w:rsidR="00023BBF" w:rsidRDefault="00E17C37">
      <w:pPr>
        <w:widowControl w:val="0"/>
        <w:numPr>
          <w:ilvl w:val="0"/>
          <w:numId w:val="21"/>
        </w:numPr>
        <w:spacing w:line="260" w:lineRule="exact"/>
        <w:rPr>
          <w:noProof/>
          <w:sz w:val="22"/>
          <w:szCs w:val="22"/>
          <w:lang w:eastAsia="sl-SI"/>
        </w:rPr>
      </w:pPr>
      <w:r>
        <w:rPr>
          <w:rFonts w:eastAsiaTheme="minorHAnsi"/>
          <w:color w:val="000000"/>
          <w:sz w:val="22"/>
          <w:szCs w:val="22"/>
          <w:lang w:eastAsia="en-US"/>
        </w:rPr>
        <w:t xml:space="preserve">pacientams, kurie jau vartoja atskirų dapagliflozino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tablečių derinį.</w:t>
      </w:r>
    </w:p>
    <w:p w14:paraId="0B509C77" w14:textId="77777777" w:rsidR="00023BBF" w:rsidRDefault="00023BBF">
      <w:pPr>
        <w:autoSpaceDE w:val="0"/>
        <w:autoSpaceDN w:val="0"/>
        <w:adjustRightInd w:val="0"/>
        <w:rPr>
          <w:rFonts w:eastAsiaTheme="minorHAnsi"/>
          <w:color w:val="000000"/>
          <w:sz w:val="22"/>
          <w:szCs w:val="22"/>
          <w:lang w:eastAsia="en-US"/>
        </w:rPr>
      </w:pPr>
    </w:p>
    <w:p w14:paraId="2E8F3B27" w14:textId="77777777" w:rsidR="00023BBF" w:rsidRDefault="00E17C37">
      <w:pPr>
        <w:rPr>
          <w:rFonts w:eastAsiaTheme="minorHAnsi"/>
          <w:color w:val="000000"/>
          <w:sz w:val="22"/>
          <w:szCs w:val="22"/>
          <w:lang w:eastAsia="en-US"/>
        </w:rPr>
      </w:pPr>
      <w:r>
        <w:rPr>
          <w:rFonts w:eastAsiaTheme="minorHAnsi"/>
          <w:color w:val="000000"/>
          <w:sz w:val="22"/>
          <w:szCs w:val="22"/>
          <w:lang w:eastAsia="en-US"/>
        </w:rPr>
        <w:t xml:space="preserve">Sudėtinio gydymo tyrimų duomenis, poveikį </w:t>
      </w:r>
      <w:proofErr w:type="spellStart"/>
      <w:r>
        <w:rPr>
          <w:rFonts w:eastAsiaTheme="minorHAnsi"/>
          <w:color w:val="000000"/>
          <w:sz w:val="22"/>
          <w:szCs w:val="22"/>
          <w:lang w:eastAsia="en-US"/>
        </w:rPr>
        <w:t>glikemijos</w:t>
      </w:r>
      <w:proofErr w:type="spellEnd"/>
      <w:r>
        <w:rPr>
          <w:rFonts w:eastAsiaTheme="minorHAnsi"/>
          <w:color w:val="000000"/>
          <w:sz w:val="22"/>
          <w:szCs w:val="22"/>
          <w:lang w:eastAsia="en-US"/>
        </w:rPr>
        <w:t xml:space="preserve"> sureguliavimui, kardiovaskulinėms komplikacijoms ir tirtas populiacijas žr. 4.4, 4.5 ir 5.1 skyriuose.</w:t>
      </w:r>
    </w:p>
    <w:p w14:paraId="47DD0A4E" w14:textId="77777777" w:rsidR="00023BBF" w:rsidRDefault="00023BBF">
      <w:pPr>
        <w:rPr>
          <w:sz w:val="22"/>
          <w:szCs w:val="22"/>
        </w:rPr>
      </w:pPr>
    </w:p>
    <w:p w14:paraId="05E12297" w14:textId="77777777" w:rsidR="00023BBF" w:rsidRDefault="00E17C37">
      <w:pPr>
        <w:pStyle w:val="Antrat4"/>
        <w:spacing w:line="240" w:lineRule="auto"/>
        <w:jc w:val="left"/>
        <w:rPr>
          <w:rFonts w:ascii="Times New Roman" w:hAnsi="Times New Roman"/>
          <w:sz w:val="22"/>
          <w:szCs w:val="22"/>
          <w:lang w:val="lt-LT"/>
        </w:rPr>
      </w:pPr>
      <w:r>
        <w:rPr>
          <w:rFonts w:ascii="Times New Roman" w:hAnsi="Times New Roman"/>
          <w:sz w:val="22"/>
          <w:szCs w:val="22"/>
          <w:lang w:val="lt-LT"/>
        </w:rPr>
        <w:t>4.2</w:t>
      </w:r>
      <w:r>
        <w:rPr>
          <w:rFonts w:ascii="Times New Roman" w:hAnsi="Times New Roman"/>
          <w:sz w:val="22"/>
          <w:szCs w:val="22"/>
          <w:lang w:val="lt-LT"/>
        </w:rPr>
        <w:tab/>
        <w:t>Dozavimas ir vartojimo metodas</w:t>
      </w:r>
    </w:p>
    <w:p w14:paraId="28F89C93" w14:textId="77777777" w:rsidR="00023BBF" w:rsidRDefault="00023BBF">
      <w:pPr>
        <w:rPr>
          <w:sz w:val="22"/>
          <w:szCs w:val="22"/>
        </w:rPr>
      </w:pPr>
    </w:p>
    <w:p w14:paraId="649B8333" w14:textId="77777777" w:rsidR="00023BBF" w:rsidRDefault="00E17C37">
      <w:pPr>
        <w:pStyle w:val="Antrat4"/>
        <w:spacing w:line="240" w:lineRule="auto"/>
        <w:jc w:val="left"/>
        <w:rPr>
          <w:rFonts w:ascii="Times New Roman" w:hAnsi="Times New Roman"/>
          <w:b w:val="0"/>
          <w:bCs w:val="0"/>
          <w:iCs/>
          <w:sz w:val="22"/>
          <w:szCs w:val="22"/>
          <w:u w:val="single"/>
          <w:lang w:val="lt-LT"/>
        </w:rPr>
      </w:pPr>
      <w:r>
        <w:rPr>
          <w:rFonts w:ascii="Times New Roman" w:hAnsi="Times New Roman"/>
          <w:b w:val="0"/>
          <w:bCs w:val="0"/>
          <w:iCs/>
          <w:sz w:val="22"/>
          <w:szCs w:val="22"/>
          <w:u w:val="single"/>
          <w:lang w:val="lt-LT"/>
        </w:rPr>
        <w:t>Dozavimas</w:t>
      </w:r>
    </w:p>
    <w:p w14:paraId="3D052687" w14:textId="77777777" w:rsidR="00023BBF" w:rsidRDefault="00E17C37">
      <w:pPr>
        <w:autoSpaceDE w:val="0"/>
        <w:autoSpaceDN w:val="0"/>
        <w:adjustRightInd w:val="0"/>
        <w:rPr>
          <w:rFonts w:eastAsiaTheme="minorHAnsi"/>
          <w:i/>
          <w:iCs/>
          <w:color w:val="000000"/>
          <w:sz w:val="22"/>
          <w:szCs w:val="22"/>
          <w:u w:val="single"/>
          <w:lang w:eastAsia="en-US"/>
        </w:rPr>
      </w:pPr>
      <w:r>
        <w:rPr>
          <w:rFonts w:eastAsiaTheme="minorHAnsi"/>
          <w:i/>
          <w:iCs/>
          <w:color w:val="000000"/>
          <w:sz w:val="22"/>
          <w:szCs w:val="22"/>
          <w:u w:val="single"/>
          <w:lang w:eastAsia="en-US"/>
        </w:rPr>
        <w:t>Suaugusiesiems, kurių inkstų funkcija normali (</w:t>
      </w:r>
      <w:proofErr w:type="spellStart"/>
      <w:r>
        <w:rPr>
          <w:rFonts w:eastAsiaTheme="minorHAnsi"/>
          <w:i/>
          <w:iCs/>
          <w:color w:val="000000"/>
          <w:sz w:val="22"/>
          <w:szCs w:val="22"/>
          <w:u w:val="single"/>
          <w:lang w:eastAsia="en-US"/>
        </w:rPr>
        <w:t>glomerulų</w:t>
      </w:r>
      <w:proofErr w:type="spellEnd"/>
      <w:r>
        <w:rPr>
          <w:rFonts w:eastAsiaTheme="minorHAnsi"/>
          <w:i/>
          <w:iCs/>
          <w:color w:val="000000"/>
          <w:sz w:val="22"/>
          <w:szCs w:val="22"/>
          <w:u w:val="single"/>
          <w:lang w:eastAsia="en-US"/>
        </w:rPr>
        <w:t xml:space="preserve"> filtracijos greitis [GFG] ≥ 90 ml/min.)</w:t>
      </w:r>
    </w:p>
    <w:p w14:paraId="09A3CB35" w14:textId="77777777" w:rsidR="00023BBF" w:rsidRDefault="00023BBF">
      <w:pPr>
        <w:autoSpaceDE w:val="0"/>
        <w:autoSpaceDN w:val="0"/>
        <w:adjustRightInd w:val="0"/>
        <w:rPr>
          <w:rFonts w:eastAsiaTheme="minorHAnsi"/>
          <w:color w:val="000000"/>
          <w:sz w:val="22"/>
          <w:szCs w:val="22"/>
          <w:lang w:eastAsia="en-US"/>
        </w:rPr>
      </w:pPr>
    </w:p>
    <w:p w14:paraId="6BB772A3" w14:textId="77777777" w:rsidR="00023BBF" w:rsidRDefault="00E17C37">
      <w:pPr>
        <w:pStyle w:val="Antrat4"/>
        <w:spacing w:line="240" w:lineRule="auto"/>
        <w:jc w:val="left"/>
        <w:rPr>
          <w:rFonts w:ascii="Times New Roman" w:eastAsiaTheme="minorHAnsi" w:hAnsi="Times New Roman"/>
          <w:b w:val="0"/>
          <w:bCs w:val="0"/>
          <w:snapToGrid/>
          <w:color w:val="000000"/>
          <w:sz w:val="22"/>
          <w:szCs w:val="22"/>
          <w:lang w:val="lt-LT" w:eastAsia="en-US"/>
        </w:rPr>
      </w:pPr>
      <w:r>
        <w:rPr>
          <w:rFonts w:ascii="Times New Roman" w:eastAsiaTheme="minorHAnsi" w:hAnsi="Times New Roman"/>
          <w:b w:val="0"/>
          <w:bCs w:val="0"/>
          <w:snapToGrid/>
          <w:color w:val="000000"/>
          <w:sz w:val="22"/>
          <w:szCs w:val="22"/>
          <w:lang w:val="lt-LT" w:eastAsia="en-US"/>
        </w:rPr>
        <w:t xml:space="preserve">Rekomenduojama dozė yra po vieną tabletę 2 kartus per parą. Kiekvienoje tabletėje yra fiksuota dapagliflozino ir </w:t>
      </w:r>
      <w:proofErr w:type="spellStart"/>
      <w:r>
        <w:rPr>
          <w:rFonts w:ascii="Times New Roman" w:eastAsiaTheme="minorHAnsi" w:hAnsi="Times New Roman"/>
          <w:b w:val="0"/>
          <w:bCs w:val="0"/>
          <w:snapToGrid/>
          <w:color w:val="000000"/>
          <w:sz w:val="22"/>
          <w:szCs w:val="22"/>
          <w:lang w:val="lt-LT" w:eastAsia="en-US"/>
        </w:rPr>
        <w:t>metformino</w:t>
      </w:r>
      <w:proofErr w:type="spellEnd"/>
      <w:r>
        <w:rPr>
          <w:rFonts w:ascii="Times New Roman" w:eastAsiaTheme="minorHAnsi" w:hAnsi="Times New Roman"/>
          <w:b w:val="0"/>
          <w:bCs w:val="0"/>
          <w:snapToGrid/>
          <w:color w:val="000000"/>
          <w:sz w:val="22"/>
          <w:szCs w:val="22"/>
          <w:lang w:val="lt-LT" w:eastAsia="en-US"/>
        </w:rPr>
        <w:t xml:space="preserve"> dozė (žr. 2 skyrių).</w:t>
      </w:r>
    </w:p>
    <w:p w14:paraId="77B5D4DE" w14:textId="77777777" w:rsidR="00023BBF" w:rsidRDefault="00023BBF">
      <w:pPr>
        <w:rPr>
          <w:sz w:val="22"/>
          <w:szCs w:val="22"/>
          <w:lang w:eastAsia="en-US"/>
        </w:rPr>
      </w:pPr>
    </w:p>
    <w:p w14:paraId="15B43A05"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 xml:space="preserve">Pacientams, kuriems </w:t>
      </w:r>
      <w:proofErr w:type="spellStart"/>
      <w:r>
        <w:rPr>
          <w:rFonts w:eastAsiaTheme="minorHAnsi"/>
          <w:i/>
          <w:iCs/>
          <w:color w:val="000000"/>
          <w:sz w:val="22"/>
          <w:szCs w:val="22"/>
          <w:lang w:eastAsia="en-US"/>
        </w:rPr>
        <w:t>metforminas</w:t>
      </w:r>
      <w:proofErr w:type="spellEnd"/>
      <w:r>
        <w:rPr>
          <w:rFonts w:eastAsiaTheme="minorHAnsi"/>
          <w:i/>
          <w:iCs/>
          <w:color w:val="000000"/>
          <w:sz w:val="22"/>
          <w:szCs w:val="22"/>
          <w:lang w:eastAsia="en-US"/>
        </w:rPr>
        <w:t xml:space="preserve"> vienas arba kartu su kitais vaistiniais preparatais nuo diabeto, neužtikrina reikiamos </w:t>
      </w:r>
      <w:proofErr w:type="spellStart"/>
      <w:r>
        <w:rPr>
          <w:rFonts w:eastAsiaTheme="minorHAnsi"/>
          <w:i/>
          <w:iCs/>
          <w:color w:val="000000"/>
          <w:sz w:val="22"/>
          <w:szCs w:val="22"/>
          <w:lang w:eastAsia="en-US"/>
        </w:rPr>
        <w:t>glikemijos</w:t>
      </w:r>
      <w:proofErr w:type="spellEnd"/>
      <w:r>
        <w:rPr>
          <w:rFonts w:eastAsiaTheme="minorHAnsi"/>
          <w:i/>
          <w:iCs/>
          <w:color w:val="000000"/>
          <w:sz w:val="22"/>
          <w:szCs w:val="22"/>
          <w:lang w:eastAsia="en-US"/>
        </w:rPr>
        <w:t xml:space="preserve"> kontrolės</w:t>
      </w:r>
    </w:p>
    <w:p w14:paraId="3E227E8D"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lastRenderedPageBreak/>
        <w:t xml:space="preserve">Pacientams, kuriems </w:t>
      </w:r>
      <w:proofErr w:type="spellStart"/>
      <w:r>
        <w:rPr>
          <w:rFonts w:eastAsiaTheme="minorHAnsi"/>
          <w:color w:val="000000"/>
          <w:sz w:val="22"/>
          <w:szCs w:val="22"/>
          <w:lang w:eastAsia="en-US"/>
        </w:rPr>
        <w:t>metforminas</w:t>
      </w:r>
      <w:proofErr w:type="spellEnd"/>
      <w:r>
        <w:rPr>
          <w:rFonts w:eastAsiaTheme="minorHAnsi"/>
          <w:color w:val="000000"/>
          <w:sz w:val="22"/>
          <w:szCs w:val="22"/>
          <w:lang w:eastAsia="en-US"/>
        </w:rPr>
        <w:t xml:space="preserve"> vienas arba kartu su kitais diabetui gydyti skirtais vaistiniais preparatais neužtikrina reikiamos </w:t>
      </w:r>
      <w:proofErr w:type="spellStart"/>
      <w:r>
        <w:rPr>
          <w:rFonts w:eastAsiaTheme="minorHAnsi"/>
          <w:color w:val="000000"/>
          <w:sz w:val="22"/>
          <w:szCs w:val="22"/>
          <w:lang w:eastAsia="en-US"/>
        </w:rPr>
        <w:t>glikemijos</w:t>
      </w:r>
      <w:proofErr w:type="spellEnd"/>
      <w:r>
        <w:rPr>
          <w:rFonts w:eastAsiaTheme="minorHAnsi"/>
          <w:color w:val="000000"/>
          <w:sz w:val="22"/>
          <w:szCs w:val="22"/>
          <w:lang w:eastAsia="en-US"/>
        </w:rPr>
        <w:t xml:space="preserve"> kontrolės, reikia vartoti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paros dozę, atitinkančią 10 mg dapagliflozino ir tokią, kaip jau </w:t>
      </w:r>
      <w:proofErr w:type="spellStart"/>
      <w:r>
        <w:rPr>
          <w:rFonts w:eastAsiaTheme="minorHAnsi"/>
          <w:color w:val="000000"/>
          <w:sz w:val="22"/>
          <w:szCs w:val="22"/>
          <w:lang w:eastAsia="en-US"/>
        </w:rPr>
        <w:t>vartojama,arba</w:t>
      </w:r>
      <w:proofErr w:type="spellEnd"/>
      <w:r>
        <w:rPr>
          <w:rFonts w:eastAsiaTheme="minorHAnsi"/>
          <w:color w:val="000000"/>
          <w:sz w:val="22"/>
          <w:szCs w:val="22"/>
          <w:lang w:eastAsia="en-US"/>
        </w:rPr>
        <w:t xml:space="preserve"> jai artimiausią gydymui tinkamą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paros dozę.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vartojant kartu su insulinu arba jo sekreciją didinančiu vaistiniu preparatu (pvz., </w:t>
      </w:r>
      <w:proofErr w:type="spellStart"/>
      <w:r>
        <w:rPr>
          <w:rFonts w:eastAsiaTheme="minorHAnsi"/>
          <w:color w:val="000000"/>
          <w:sz w:val="22"/>
          <w:szCs w:val="22"/>
          <w:lang w:eastAsia="en-US"/>
        </w:rPr>
        <w:t>sulfonilkarbamidu</w:t>
      </w:r>
      <w:proofErr w:type="spellEnd"/>
      <w:r>
        <w:rPr>
          <w:rFonts w:eastAsiaTheme="minorHAnsi"/>
          <w:color w:val="000000"/>
          <w:sz w:val="22"/>
          <w:szCs w:val="22"/>
          <w:lang w:eastAsia="en-US"/>
        </w:rPr>
        <w:t xml:space="preserve">), galima svarstyti galimybę sumažinti insulino arba </w:t>
      </w:r>
      <w:proofErr w:type="spellStart"/>
      <w:r>
        <w:rPr>
          <w:rFonts w:eastAsiaTheme="minorHAnsi"/>
          <w:color w:val="000000"/>
          <w:sz w:val="22"/>
          <w:szCs w:val="22"/>
          <w:lang w:eastAsia="en-US"/>
        </w:rPr>
        <w:t>sulfonilkarbamido</w:t>
      </w:r>
      <w:proofErr w:type="spellEnd"/>
      <w:r>
        <w:rPr>
          <w:rFonts w:eastAsiaTheme="minorHAnsi"/>
          <w:color w:val="000000"/>
          <w:sz w:val="22"/>
          <w:szCs w:val="22"/>
          <w:lang w:eastAsia="en-US"/>
        </w:rPr>
        <w:t xml:space="preserve"> dozę, kad būtų mažesnė hipoglikemijos rizika (žr. 4.5 ir 4.8 skyrius).</w:t>
      </w:r>
    </w:p>
    <w:p w14:paraId="4C5DAB8F" w14:textId="77777777" w:rsidR="00023BBF" w:rsidRDefault="00023BBF">
      <w:pPr>
        <w:autoSpaceDE w:val="0"/>
        <w:autoSpaceDN w:val="0"/>
        <w:adjustRightInd w:val="0"/>
        <w:rPr>
          <w:rFonts w:eastAsiaTheme="minorHAnsi"/>
          <w:color w:val="000000"/>
          <w:sz w:val="22"/>
          <w:szCs w:val="22"/>
          <w:lang w:eastAsia="en-US"/>
        </w:rPr>
      </w:pPr>
    </w:p>
    <w:p w14:paraId="408B599A"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 xml:space="preserve">Pacientams, kuriems atskiros dapagliflozino ir </w:t>
      </w:r>
      <w:proofErr w:type="spellStart"/>
      <w:r>
        <w:rPr>
          <w:rFonts w:eastAsiaTheme="minorHAnsi"/>
          <w:i/>
          <w:iCs/>
          <w:color w:val="000000"/>
          <w:sz w:val="22"/>
          <w:szCs w:val="22"/>
          <w:lang w:eastAsia="en-US"/>
        </w:rPr>
        <w:t>metformino</w:t>
      </w:r>
      <w:proofErr w:type="spellEnd"/>
      <w:r>
        <w:rPr>
          <w:rFonts w:eastAsiaTheme="minorHAnsi"/>
          <w:i/>
          <w:iCs/>
          <w:color w:val="000000"/>
          <w:sz w:val="22"/>
          <w:szCs w:val="22"/>
          <w:lang w:eastAsia="en-US"/>
        </w:rPr>
        <w:t xml:space="preserve"> tabletės keičiamos šiuo vaistiniu preparatu</w:t>
      </w:r>
    </w:p>
    <w:p w14:paraId="3CF93BD1"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Pacientams, kuriems atskiros dapagliflozino (paros dozė – 10 mg)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tabletės keičiamos į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reikia vartoti tokią pačią dapagliflozino paros dozę ir tokią pačią arba jai artimiausią gydymui tinkamą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dozę.</w:t>
      </w:r>
    </w:p>
    <w:p w14:paraId="407896B8" w14:textId="77777777" w:rsidR="00023BBF" w:rsidRDefault="00023BBF">
      <w:pPr>
        <w:autoSpaceDE w:val="0"/>
        <w:autoSpaceDN w:val="0"/>
        <w:adjustRightInd w:val="0"/>
        <w:rPr>
          <w:rFonts w:eastAsiaTheme="minorHAnsi"/>
          <w:color w:val="000000"/>
          <w:sz w:val="22"/>
          <w:szCs w:val="22"/>
          <w:lang w:eastAsia="en-US"/>
        </w:rPr>
      </w:pPr>
    </w:p>
    <w:p w14:paraId="6D3AE9DB"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Ypatingos populiacijos</w:t>
      </w:r>
    </w:p>
    <w:p w14:paraId="082A6EAC"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Pacientams, kurių  inkstų funkcija sutrikusi</w:t>
      </w:r>
    </w:p>
    <w:p w14:paraId="5EE4768D"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Prieš pradedant gydymą vaistiniais preparatais, kurių sudėtyje yra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ir po to bent kasmet reikia tirti GFG. Jeigu inkstų funkcijos sutrikimo tolesnio progresavimo rizika padidėjusi arba pacientas senyvas, inkstų funkciją reikia tirti dažniau, pvz., kas 3 - 6 mėnesius.</w:t>
      </w:r>
    </w:p>
    <w:p w14:paraId="7DA4F6A8" w14:textId="77777777" w:rsidR="00023BBF" w:rsidRDefault="00023BBF">
      <w:pPr>
        <w:autoSpaceDE w:val="0"/>
        <w:autoSpaceDN w:val="0"/>
        <w:adjustRightInd w:val="0"/>
        <w:rPr>
          <w:rFonts w:eastAsiaTheme="minorHAnsi"/>
          <w:color w:val="000000"/>
          <w:sz w:val="22"/>
          <w:szCs w:val="22"/>
          <w:lang w:eastAsia="en-US"/>
        </w:rPr>
      </w:pPr>
    </w:p>
    <w:p w14:paraId="3C977967"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Didžiausią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paros dozę pageidautina padalinti į 2-3 vienkartines. Prieš pradedant </w:t>
      </w:r>
      <w:proofErr w:type="spellStart"/>
      <w:r>
        <w:rPr>
          <w:rFonts w:eastAsiaTheme="minorHAnsi"/>
          <w:color w:val="000000"/>
          <w:sz w:val="22"/>
          <w:szCs w:val="22"/>
          <w:lang w:eastAsia="en-US"/>
        </w:rPr>
        <w:t>metforminu</w:t>
      </w:r>
      <w:proofErr w:type="spellEnd"/>
      <w:r>
        <w:rPr>
          <w:rFonts w:eastAsiaTheme="minorHAnsi"/>
          <w:color w:val="000000"/>
          <w:sz w:val="22"/>
          <w:szCs w:val="22"/>
          <w:lang w:eastAsia="en-US"/>
        </w:rPr>
        <w:t xml:space="preserve"> gydyti pacientus, kurių GFG &lt; 60 ml/min., reikia įvertinti veiksnius, dėl kurių gali padidėti pieno rūgšties </w:t>
      </w:r>
      <w:proofErr w:type="spellStart"/>
      <w:r>
        <w:rPr>
          <w:rFonts w:eastAsiaTheme="minorHAnsi"/>
          <w:color w:val="000000"/>
          <w:sz w:val="22"/>
          <w:szCs w:val="22"/>
          <w:lang w:eastAsia="en-US"/>
        </w:rPr>
        <w:t>acidozės</w:t>
      </w:r>
      <w:proofErr w:type="spellEnd"/>
      <w:r>
        <w:rPr>
          <w:rFonts w:eastAsiaTheme="minorHAnsi"/>
          <w:color w:val="000000"/>
          <w:sz w:val="22"/>
          <w:szCs w:val="22"/>
          <w:lang w:eastAsia="en-US"/>
        </w:rPr>
        <w:t xml:space="preserve"> rizika (žr. 4.4 skyrių).</w:t>
      </w:r>
    </w:p>
    <w:p w14:paraId="1A192D53" w14:textId="77777777" w:rsidR="00023BBF" w:rsidRDefault="00023BBF">
      <w:pPr>
        <w:autoSpaceDE w:val="0"/>
        <w:autoSpaceDN w:val="0"/>
        <w:adjustRightInd w:val="0"/>
        <w:rPr>
          <w:rFonts w:eastAsiaTheme="minorHAnsi"/>
          <w:color w:val="000000"/>
          <w:sz w:val="22"/>
          <w:szCs w:val="22"/>
          <w:lang w:eastAsia="en-US"/>
        </w:rPr>
      </w:pPr>
    </w:p>
    <w:p w14:paraId="52EC98E0" w14:textId="77777777" w:rsidR="00023BBF" w:rsidRDefault="00E17C37">
      <w:pPr>
        <w:rPr>
          <w:rFonts w:eastAsiaTheme="minorHAnsi"/>
          <w:color w:val="000000"/>
          <w:sz w:val="22"/>
          <w:szCs w:val="22"/>
          <w:lang w:eastAsia="en-US"/>
        </w:rPr>
      </w:pPr>
      <w:r>
        <w:rPr>
          <w:rFonts w:eastAsiaTheme="minorHAnsi"/>
          <w:color w:val="000000"/>
          <w:sz w:val="22"/>
          <w:szCs w:val="22"/>
          <w:lang w:eastAsia="en-US"/>
        </w:rPr>
        <w:t xml:space="preserve">Jei nėra tinkamo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stiprumo, vietoj fiksuotų dozių derinio reikia vartoti atskirus vieną veikliąją medžiagą turinčius komponentus.</w:t>
      </w:r>
    </w:p>
    <w:p w14:paraId="59B1AD67" w14:textId="77777777" w:rsidR="00023BBF" w:rsidRDefault="00023BBF">
      <w:pPr>
        <w:rPr>
          <w:rFonts w:eastAsiaTheme="minorHAnsi"/>
          <w:color w:val="000000"/>
          <w:sz w:val="22"/>
          <w:szCs w:val="22"/>
          <w:lang w:eastAsia="en-US"/>
        </w:rPr>
      </w:pPr>
    </w:p>
    <w:p w14:paraId="10563511" w14:textId="77777777" w:rsidR="00023BBF" w:rsidRDefault="00E17C37">
      <w:pPr>
        <w:pStyle w:val="Antrat4"/>
        <w:spacing w:line="240" w:lineRule="auto"/>
        <w:jc w:val="left"/>
        <w:rPr>
          <w:rFonts w:ascii="Times New Roman" w:hAnsi="Times New Roman"/>
          <w:sz w:val="22"/>
          <w:szCs w:val="22"/>
          <w:lang w:val="lt-LT"/>
        </w:rPr>
      </w:pPr>
      <w:r>
        <w:rPr>
          <w:rFonts w:ascii="Times New Roman" w:hAnsi="Times New Roman"/>
          <w:sz w:val="22"/>
          <w:szCs w:val="22"/>
          <w:lang w:val="lt-LT"/>
        </w:rPr>
        <w:t>1 lentelė. Dozavimas pacientams, kurių inkstų funkcija sutrikusi</w:t>
      </w:r>
    </w:p>
    <w:tbl>
      <w:tblPr>
        <w:tblStyle w:val="Lentelstinklelis2"/>
        <w:tblW w:w="0" w:type="auto"/>
        <w:tblLook w:val="04A0" w:firstRow="1" w:lastRow="0" w:firstColumn="1" w:lastColumn="0" w:noHBand="0" w:noVBand="1"/>
      </w:tblPr>
      <w:tblGrid>
        <w:gridCol w:w="1555"/>
        <w:gridCol w:w="3827"/>
        <w:gridCol w:w="3679"/>
      </w:tblGrid>
      <w:tr w:rsidR="00023BBF" w14:paraId="3761FE33" w14:textId="77777777">
        <w:tc>
          <w:tcPr>
            <w:tcW w:w="1555" w:type="dxa"/>
          </w:tcPr>
          <w:p w14:paraId="563E8F30" w14:textId="77777777" w:rsidR="00023BBF" w:rsidRDefault="00E17C37">
            <w:pPr>
              <w:widowControl w:val="0"/>
              <w:tabs>
                <w:tab w:val="left" w:pos="567"/>
              </w:tabs>
              <w:rPr>
                <w:iCs/>
                <w:sz w:val="22"/>
                <w:szCs w:val="22"/>
                <w:lang w:val="en-GB" w:eastAsia="en-US"/>
              </w:rPr>
            </w:pPr>
            <w:r>
              <w:rPr>
                <w:iCs/>
                <w:sz w:val="22"/>
                <w:szCs w:val="22"/>
                <w:lang w:val="en-GB" w:eastAsia="en-US"/>
              </w:rPr>
              <w:t>GFR ml/min</w:t>
            </w:r>
          </w:p>
        </w:tc>
        <w:tc>
          <w:tcPr>
            <w:tcW w:w="3827" w:type="dxa"/>
          </w:tcPr>
          <w:p w14:paraId="3907FF40" w14:textId="77777777" w:rsidR="00023BBF" w:rsidRDefault="00E17C37">
            <w:pPr>
              <w:widowControl w:val="0"/>
              <w:tabs>
                <w:tab w:val="left" w:pos="567"/>
              </w:tabs>
              <w:rPr>
                <w:iCs/>
                <w:sz w:val="22"/>
                <w:szCs w:val="22"/>
                <w:lang w:val="en-GB" w:eastAsia="en-US"/>
              </w:rPr>
            </w:pPr>
            <w:proofErr w:type="spellStart"/>
            <w:r>
              <w:rPr>
                <w:iCs/>
                <w:sz w:val="22"/>
                <w:szCs w:val="22"/>
                <w:lang w:val="en-GB" w:eastAsia="en-US"/>
              </w:rPr>
              <w:t>Metforminas</w:t>
            </w:r>
            <w:proofErr w:type="spellEnd"/>
          </w:p>
        </w:tc>
        <w:tc>
          <w:tcPr>
            <w:tcW w:w="3679" w:type="dxa"/>
          </w:tcPr>
          <w:p w14:paraId="02D819CA" w14:textId="77777777" w:rsidR="00023BBF" w:rsidRDefault="00E17C37">
            <w:pPr>
              <w:widowControl w:val="0"/>
              <w:tabs>
                <w:tab w:val="left" w:pos="567"/>
              </w:tabs>
              <w:rPr>
                <w:iCs/>
                <w:sz w:val="22"/>
                <w:szCs w:val="22"/>
                <w:lang w:val="en-GB" w:eastAsia="en-US"/>
              </w:rPr>
            </w:pPr>
            <w:proofErr w:type="spellStart"/>
            <w:r>
              <w:rPr>
                <w:iCs/>
                <w:sz w:val="22"/>
                <w:szCs w:val="22"/>
                <w:lang w:val="en-GB" w:eastAsia="en-US"/>
              </w:rPr>
              <w:t>Dapagliflozinas</w:t>
            </w:r>
            <w:proofErr w:type="spellEnd"/>
          </w:p>
        </w:tc>
      </w:tr>
      <w:tr w:rsidR="00023BBF" w14:paraId="5C1843CD" w14:textId="77777777">
        <w:tc>
          <w:tcPr>
            <w:tcW w:w="1555" w:type="dxa"/>
          </w:tcPr>
          <w:p w14:paraId="4561BDA0" w14:textId="77777777" w:rsidR="00023BBF" w:rsidRDefault="00023BBF">
            <w:pPr>
              <w:widowControl w:val="0"/>
              <w:tabs>
                <w:tab w:val="left" w:pos="567"/>
              </w:tabs>
              <w:jc w:val="center"/>
              <w:rPr>
                <w:iCs/>
                <w:sz w:val="22"/>
                <w:szCs w:val="22"/>
                <w:lang w:val="en-GB" w:eastAsia="en-US"/>
              </w:rPr>
            </w:pPr>
          </w:p>
          <w:p w14:paraId="51B47E76" w14:textId="77777777" w:rsidR="00023BBF" w:rsidRDefault="00E17C37">
            <w:pPr>
              <w:widowControl w:val="0"/>
              <w:tabs>
                <w:tab w:val="left" w:pos="567"/>
              </w:tabs>
              <w:jc w:val="center"/>
              <w:rPr>
                <w:iCs/>
                <w:sz w:val="22"/>
                <w:szCs w:val="22"/>
                <w:lang w:val="en-GB" w:eastAsia="en-US"/>
              </w:rPr>
            </w:pPr>
            <w:r>
              <w:rPr>
                <w:iCs/>
                <w:sz w:val="22"/>
                <w:szCs w:val="22"/>
                <w:lang w:val="en-GB" w:eastAsia="en-US"/>
              </w:rPr>
              <w:t>60-89</w:t>
            </w:r>
          </w:p>
        </w:tc>
        <w:tc>
          <w:tcPr>
            <w:tcW w:w="3827" w:type="dxa"/>
          </w:tcPr>
          <w:p w14:paraId="14645ED2" w14:textId="77777777" w:rsidR="00023BBF" w:rsidRDefault="00E17C37">
            <w:pPr>
              <w:widowControl w:val="0"/>
              <w:tabs>
                <w:tab w:val="left" w:pos="567"/>
              </w:tabs>
              <w:rPr>
                <w:iCs/>
                <w:sz w:val="22"/>
                <w:szCs w:val="22"/>
                <w:lang w:val="en-GB" w:eastAsia="en-US"/>
              </w:rPr>
            </w:pPr>
            <w:proofErr w:type="spellStart"/>
            <w:r>
              <w:rPr>
                <w:iCs/>
                <w:sz w:val="22"/>
                <w:szCs w:val="22"/>
                <w:lang w:val="en-GB" w:eastAsia="en-US"/>
              </w:rPr>
              <w:t>Didžiausia</w:t>
            </w:r>
            <w:proofErr w:type="spellEnd"/>
            <w:r>
              <w:rPr>
                <w:iCs/>
                <w:sz w:val="22"/>
                <w:szCs w:val="22"/>
                <w:lang w:val="en-GB" w:eastAsia="en-US"/>
              </w:rPr>
              <w:t xml:space="preserve"> </w:t>
            </w:r>
            <w:proofErr w:type="spellStart"/>
            <w:r>
              <w:rPr>
                <w:iCs/>
                <w:sz w:val="22"/>
                <w:szCs w:val="22"/>
                <w:lang w:val="en-GB" w:eastAsia="en-US"/>
              </w:rPr>
              <w:t>paros</w:t>
            </w:r>
            <w:proofErr w:type="spellEnd"/>
            <w:r>
              <w:rPr>
                <w:iCs/>
                <w:sz w:val="22"/>
                <w:szCs w:val="22"/>
                <w:lang w:val="en-GB" w:eastAsia="en-US"/>
              </w:rPr>
              <w:t xml:space="preserve"> </w:t>
            </w:r>
            <w:proofErr w:type="spellStart"/>
            <w:r>
              <w:rPr>
                <w:iCs/>
                <w:sz w:val="22"/>
                <w:szCs w:val="22"/>
                <w:lang w:val="en-GB" w:eastAsia="en-US"/>
              </w:rPr>
              <w:t>dozė</w:t>
            </w:r>
            <w:proofErr w:type="spellEnd"/>
            <w:r>
              <w:rPr>
                <w:iCs/>
                <w:sz w:val="22"/>
                <w:szCs w:val="22"/>
                <w:lang w:val="en-GB" w:eastAsia="en-US"/>
              </w:rPr>
              <w:t xml:space="preserve"> – 3 000 mg.</w:t>
            </w:r>
          </w:p>
          <w:p w14:paraId="69964B9E" w14:textId="77777777" w:rsidR="00023BBF" w:rsidRDefault="00E17C37">
            <w:pPr>
              <w:widowControl w:val="0"/>
              <w:tabs>
                <w:tab w:val="left" w:pos="567"/>
              </w:tabs>
              <w:rPr>
                <w:iCs/>
                <w:sz w:val="22"/>
                <w:szCs w:val="22"/>
                <w:lang w:val="en-GB" w:eastAsia="en-US"/>
              </w:rPr>
            </w:pPr>
            <w:proofErr w:type="spellStart"/>
            <w:r>
              <w:rPr>
                <w:iCs/>
                <w:sz w:val="22"/>
                <w:szCs w:val="22"/>
                <w:lang w:val="en-GB" w:eastAsia="en-US"/>
              </w:rPr>
              <w:t>Atsižvelgiant</w:t>
            </w:r>
            <w:proofErr w:type="spellEnd"/>
            <w:r>
              <w:rPr>
                <w:iCs/>
                <w:sz w:val="22"/>
                <w:szCs w:val="22"/>
                <w:lang w:val="en-GB" w:eastAsia="en-US"/>
              </w:rPr>
              <w:t xml:space="preserve"> į </w:t>
            </w:r>
            <w:proofErr w:type="spellStart"/>
            <w:r>
              <w:rPr>
                <w:iCs/>
                <w:sz w:val="22"/>
                <w:szCs w:val="22"/>
                <w:lang w:val="en-GB" w:eastAsia="en-US"/>
              </w:rPr>
              <w:t>inkstų</w:t>
            </w:r>
            <w:proofErr w:type="spellEnd"/>
            <w:r>
              <w:rPr>
                <w:iCs/>
                <w:sz w:val="22"/>
                <w:szCs w:val="22"/>
                <w:lang w:val="en-GB" w:eastAsia="en-US"/>
              </w:rPr>
              <w:t xml:space="preserve"> </w:t>
            </w:r>
            <w:proofErr w:type="spellStart"/>
            <w:r>
              <w:rPr>
                <w:iCs/>
                <w:sz w:val="22"/>
                <w:szCs w:val="22"/>
                <w:lang w:val="en-GB" w:eastAsia="en-US"/>
              </w:rPr>
              <w:t>funkcijos</w:t>
            </w:r>
            <w:proofErr w:type="spellEnd"/>
            <w:r>
              <w:rPr>
                <w:iCs/>
                <w:sz w:val="22"/>
                <w:szCs w:val="22"/>
                <w:lang w:val="en-GB" w:eastAsia="en-US"/>
              </w:rPr>
              <w:t xml:space="preserve"> </w:t>
            </w:r>
            <w:proofErr w:type="spellStart"/>
            <w:r>
              <w:rPr>
                <w:iCs/>
                <w:sz w:val="22"/>
                <w:szCs w:val="22"/>
                <w:lang w:val="en-GB" w:eastAsia="en-US"/>
              </w:rPr>
              <w:t>silpnėjimą</w:t>
            </w:r>
            <w:proofErr w:type="spellEnd"/>
            <w:r>
              <w:rPr>
                <w:iCs/>
                <w:sz w:val="22"/>
                <w:szCs w:val="22"/>
                <w:lang w:val="en-GB" w:eastAsia="en-US"/>
              </w:rPr>
              <w:t xml:space="preserve">, </w:t>
            </w:r>
            <w:proofErr w:type="spellStart"/>
            <w:r>
              <w:rPr>
                <w:iCs/>
                <w:sz w:val="22"/>
                <w:szCs w:val="22"/>
                <w:lang w:val="en-GB" w:eastAsia="en-US"/>
              </w:rPr>
              <w:t>galima</w:t>
            </w:r>
            <w:proofErr w:type="spellEnd"/>
            <w:r>
              <w:rPr>
                <w:iCs/>
                <w:sz w:val="22"/>
                <w:szCs w:val="22"/>
                <w:lang w:val="en-GB" w:eastAsia="en-US"/>
              </w:rPr>
              <w:t xml:space="preserve"> </w:t>
            </w:r>
            <w:proofErr w:type="spellStart"/>
            <w:r>
              <w:rPr>
                <w:iCs/>
                <w:sz w:val="22"/>
                <w:szCs w:val="22"/>
                <w:lang w:val="en-GB" w:eastAsia="en-US"/>
              </w:rPr>
              <w:t>apsvarstyti</w:t>
            </w:r>
            <w:proofErr w:type="spellEnd"/>
            <w:r>
              <w:rPr>
                <w:iCs/>
                <w:sz w:val="22"/>
                <w:szCs w:val="22"/>
                <w:lang w:val="en-GB" w:eastAsia="en-US"/>
              </w:rPr>
              <w:t xml:space="preserve"> </w:t>
            </w:r>
            <w:proofErr w:type="spellStart"/>
            <w:r>
              <w:rPr>
                <w:iCs/>
                <w:sz w:val="22"/>
                <w:szCs w:val="22"/>
                <w:lang w:val="en-GB" w:eastAsia="en-US"/>
              </w:rPr>
              <w:t>dozės</w:t>
            </w:r>
            <w:proofErr w:type="spellEnd"/>
            <w:r>
              <w:rPr>
                <w:iCs/>
                <w:sz w:val="22"/>
                <w:szCs w:val="22"/>
                <w:lang w:val="en-GB" w:eastAsia="en-US"/>
              </w:rPr>
              <w:t xml:space="preserve"> </w:t>
            </w:r>
            <w:proofErr w:type="spellStart"/>
            <w:r>
              <w:rPr>
                <w:iCs/>
                <w:sz w:val="22"/>
                <w:szCs w:val="22"/>
                <w:lang w:val="en-GB" w:eastAsia="en-US"/>
              </w:rPr>
              <w:t>mažinimo</w:t>
            </w:r>
            <w:proofErr w:type="spellEnd"/>
            <w:r>
              <w:rPr>
                <w:iCs/>
                <w:sz w:val="22"/>
                <w:szCs w:val="22"/>
                <w:lang w:val="en-GB" w:eastAsia="en-US"/>
              </w:rPr>
              <w:t xml:space="preserve"> </w:t>
            </w:r>
            <w:proofErr w:type="spellStart"/>
            <w:r>
              <w:rPr>
                <w:iCs/>
                <w:sz w:val="22"/>
                <w:szCs w:val="22"/>
                <w:lang w:val="en-GB" w:eastAsia="en-US"/>
              </w:rPr>
              <w:t>galimybę</w:t>
            </w:r>
            <w:proofErr w:type="spellEnd"/>
            <w:r>
              <w:rPr>
                <w:iCs/>
                <w:sz w:val="22"/>
                <w:szCs w:val="22"/>
                <w:lang w:val="en-GB" w:eastAsia="en-US"/>
              </w:rPr>
              <w:t>.</w:t>
            </w:r>
          </w:p>
        </w:tc>
        <w:tc>
          <w:tcPr>
            <w:tcW w:w="3679" w:type="dxa"/>
          </w:tcPr>
          <w:p w14:paraId="45DFE87B" w14:textId="77777777" w:rsidR="00023BBF" w:rsidRDefault="00E17C37">
            <w:pPr>
              <w:widowControl w:val="0"/>
              <w:tabs>
                <w:tab w:val="left" w:pos="567"/>
              </w:tabs>
              <w:rPr>
                <w:iCs/>
                <w:sz w:val="22"/>
                <w:szCs w:val="22"/>
                <w:lang w:val="en-GB" w:eastAsia="en-US"/>
              </w:rPr>
            </w:pPr>
            <w:proofErr w:type="spellStart"/>
            <w:r>
              <w:rPr>
                <w:iCs/>
                <w:sz w:val="22"/>
                <w:szCs w:val="22"/>
                <w:lang w:val="en-GB" w:eastAsia="en-US"/>
              </w:rPr>
              <w:t>Didžiausia</w:t>
            </w:r>
            <w:proofErr w:type="spellEnd"/>
            <w:r>
              <w:rPr>
                <w:iCs/>
                <w:sz w:val="22"/>
                <w:szCs w:val="22"/>
                <w:lang w:val="en-GB" w:eastAsia="en-US"/>
              </w:rPr>
              <w:t xml:space="preserve"> </w:t>
            </w:r>
            <w:proofErr w:type="spellStart"/>
            <w:r>
              <w:rPr>
                <w:iCs/>
                <w:sz w:val="22"/>
                <w:szCs w:val="22"/>
                <w:lang w:val="en-GB" w:eastAsia="en-US"/>
              </w:rPr>
              <w:t>paros</w:t>
            </w:r>
            <w:proofErr w:type="spellEnd"/>
            <w:r>
              <w:rPr>
                <w:iCs/>
                <w:sz w:val="22"/>
                <w:szCs w:val="22"/>
                <w:lang w:val="en-GB" w:eastAsia="en-US"/>
              </w:rPr>
              <w:t xml:space="preserve"> </w:t>
            </w:r>
            <w:proofErr w:type="spellStart"/>
            <w:r>
              <w:rPr>
                <w:iCs/>
                <w:sz w:val="22"/>
                <w:szCs w:val="22"/>
                <w:lang w:val="en-GB" w:eastAsia="en-US"/>
              </w:rPr>
              <w:t>dozė</w:t>
            </w:r>
            <w:proofErr w:type="spellEnd"/>
            <w:r>
              <w:rPr>
                <w:iCs/>
                <w:sz w:val="22"/>
                <w:szCs w:val="22"/>
                <w:lang w:val="en-GB" w:eastAsia="en-US"/>
              </w:rPr>
              <w:t xml:space="preserve"> – 10</w:t>
            </w:r>
            <w:r>
              <w:rPr>
                <w:sz w:val="22"/>
                <w:szCs w:val="22"/>
                <w:lang w:val="en-GB" w:eastAsia="sl-SI"/>
              </w:rPr>
              <w:t> </w:t>
            </w:r>
            <w:r>
              <w:rPr>
                <w:iCs/>
                <w:sz w:val="22"/>
                <w:szCs w:val="22"/>
                <w:lang w:val="en-GB" w:eastAsia="en-US"/>
              </w:rPr>
              <w:t>mg.</w:t>
            </w:r>
          </w:p>
          <w:p w14:paraId="39E688BB" w14:textId="77777777" w:rsidR="00023BBF" w:rsidRDefault="00023BBF">
            <w:pPr>
              <w:widowControl w:val="0"/>
              <w:tabs>
                <w:tab w:val="left" w:pos="567"/>
              </w:tabs>
              <w:rPr>
                <w:iCs/>
                <w:sz w:val="22"/>
                <w:szCs w:val="22"/>
                <w:lang w:val="en-GB" w:eastAsia="en-US"/>
              </w:rPr>
            </w:pPr>
          </w:p>
        </w:tc>
      </w:tr>
      <w:tr w:rsidR="00023BBF" w14:paraId="7B152264" w14:textId="77777777">
        <w:tc>
          <w:tcPr>
            <w:tcW w:w="1555" w:type="dxa"/>
          </w:tcPr>
          <w:p w14:paraId="29EDEF75" w14:textId="77777777" w:rsidR="00023BBF" w:rsidRDefault="00023BBF">
            <w:pPr>
              <w:widowControl w:val="0"/>
              <w:tabs>
                <w:tab w:val="left" w:pos="567"/>
              </w:tabs>
              <w:jc w:val="center"/>
              <w:rPr>
                <w:iCs/>
                <w:sz w:val="22"/>
                <w:szCs w:val="22"/>
                <w:lang w:val="en-GB" w:eastAsia="en-US"/>
              </w:rPr>
            </w:pPr>
          </w:p>
          <w:p w14:paraId="28082922" w14:textId="77777777" w:rsidR="00023BBF" w:rsidRDefault="00E17C37">
            <w:pPr>
              <w:widowControl w:val="0"/>
              <w:tabs>
                <w:tab w:val="left" w:pos="567"/>
              </w:tabs>
              <w:jc w:val="center"/>
              <w:rPr>
                <w:iCs/>
                <w:sz w:val="22"/>
                <w:szCs w:val="22"/>
                <w:lang w:val="en-GB" w:eastAsia="en-US"/>
              </w:rPr>
            </w:pPr>
            <w:r>
              <w:rPr>
                <w:iCs/>
                <w:sz w:val="22"/>
                <w:szCs w:val="22"/>
                <w:lang w:val="en-GB" w:eastAsia="en-US"/>
              </w:rPr>
              <w:t>45-59</w:t>
            </w:r>
          </w:p>
        </w:tc>
        <w:tc>
          <w:tcPr>
            <w:tcW w:w="3827" w:type="dxa"/>
          </w:tcPr>
          <w:p w14:paraId="5C1EB7B8" w14:textId="77777777" w:rsidR="00023BBF" w:rsidRDefault="00E17C37">
            <w:pPr>
              <w:widowControl w:val="0"/>
              <w:tabs>
                <w:tab w:val="left" w:pos="567"/>
              </w:tabs>
              <w:rPr>
                <w:iCs/>
                <w:sz w:val="22"/>
                <w:szCs w:val="22"/>
                <w:lang w:val="en-GB" w:eastAsia="en-US"/>
              </w:rPr>
            </w:pPr>
            <w:proofErr w:type="spellStart"/>
            <w:r>
              <w:rPr>
                <w:iCs/>
                <w:sz w:val="22"/>
                <w:szCs w:val="22"/>
                <w:lang w:val="en-GB" w:eastAsia="en-US"/>
              </w:rPr>
              <w:t>Didžiausia</w:t>
            </w:r>
            <w:proofErr w:type="spellEnd"/>
            <w:r>
              <w:rPr>
                <w:iCs/>
                <w:sz w:val="22"/>
                <w:szCs w:val="22"/>
                <w:lang w:val="en-GB" w:eastAsia="en-US"/>
              </w:rPr>
              <w:t xml:space="preserve"> </w:t>
            </w:r>
            <w:proofErr w:type="spellStart"/>
            <w:r>
              <w:rPr>
                <w:iCs/>
                <w:sz w:val="22"/>
                <w:szCs w:val="22"/>
                <w:lang w:val="en-GB" w:eastAsia="en-US"/>
              </w:rPr>
              <w:t>paros</w:t>
            </w:r>
            <w:proofErr w:type="spellEnd"/>
            <w:r>
              <w:rPr>
                <w:iCs/>
                <w:sz w:val="22"/>
                <w:szCs w:val="22"/>
                <w:lang w:val="en-GB" w:eastAsia="en-US"/>
              </w:rPr>
              <w:t xml:space="preserve"> </w:t>
            </w:r>
            <w:proofErr w:type="spellStart"/>
            <w:r>
              <w:rPr>
                <w:iCs/>
                <w:sz w:val="22"/>
                <w:szCs w:val="22"/>
                <w:lang w:val="en-GB" w:eastAsia="en-US"/>
              </w:rPr>
              <w:t>dozė</w:t>
            </w:r>
            <w:proofErr w:type="spellEnd"/>
            <w:r>
              <w:rPr>
                <w:iCs/>
                <w:sz w:val="22"/>
                <w:szCs w:val="22"/>
                <w:lang w:val="en-GB" w:eastAsia="en-US"/>
              </w:rPr>
              <w:t xml:space="preserve"> – 2 000 mg.</w:t>
            </w:r>
          </w:p>
          <w:p w14:paraId="217AFACB" w14:textId="77777777" w:rsidR="00023BBF" w:rsidRDefault="00E17C37">
            <w:pPr>
              <w:widowControl w:val="0"/>
              <w:tabs>
                <w:tab w:val="left" w:pos="567"/>
              </w:tabs>
              <w:rPr>
                <w:iCs/>
                <w:sz w:val="22"/>
                <w:szCs w:val="22"/>
                <w:lang w:val="en-GB" w:eastAsia="en-US"/>
              </w:rPr>
            </w:pPr>
            <w:proofErr w:type="spellStart"/>
            <w:r>
              <w:rPr>
                <w:iCs/>
                <w:sz w:val="22"/>
                <w:szCs w:val="22"/>
                <w:lang w:val="en-GB" w:eastAsia="en-US"/>
              </w:rPr>
              <w:t>Pradinė</w:t>
            </w:r>
            <w:proofErr w:type="spellEnd"/>
            <w:r>
              <w:rPr>
                <w:iCs/>
                <w:sz w:val="22"/>
                <w:szCs w:val="22"/>
                <w:lang w:val="en-GB" w:eastAsia="en-US"/>
              </w:rPr>
              <w:t xml:space="preserve"> </w:t>
            </w:r>
            <w:proofErr w:type="spellStart"/>
            <w:r>
              <w:rPr>
                <w:iCs/>
                <w:sz w:val="22"/>
                <w:szCs w:val="22"/>
                <w:lang w:val="en-GB" w:eastAsia="en-US"/>
              </w:rPr>
              <w:t>dozė</w:t>
            </w:r>
            <w:proofErr w:type="spellEnd"/>
            <w:r>
              <w:rPr>
                <w:iCs/>
                <w:sz w:val="22"/>
                <w:szCs w:val="22"/>
                <w:lang w:val="en-GB" w:eastAsia="en-US"/>
              </w:rPr>
              <w:t xml:space="preserve"> </w:t>
            </w:r>
            <w:proofErr w:type="spellStart"/>
            <w:r>
              <w:rPr>
                <w:iCs/>
                <w:sz w:val="22"/>
                <w:szCs w:val="22"/>
                <w:lang w:val="en-GB" w:eastAsia="en-US"/>
              </w:rPr>
              <w:t>turi</w:t>
            </w:r>
            <w:proofErr w:type="spellEnd"/>
            <w:r>
              <w:rPr>
                <w:iCs/>
                <w:sz w:val="22"/>
                <w:szCs w:val="22"/>
                <w:lang w:val="en-GB" w:eastAsia="en-US"/>
              </w:rPr>
              <w:t xml:space="preserve"> </w:t>
            </w:r>
            <w:proofErr w:type="spellStart"/>
            <w:r>
              <w:rPr>
                <w:iCs/>
                <w:sz w:val="22"/>
                <w:szCs w:val="22"/>
                <w:lang w:val="en-GB" w:eastAsia="en-US"/>
              </w:rPr>
              <w:t>neviršyti</w:t>
            </w:r>
            <w:proofErr w:type="spellEnd"/>
            <w:r>
              <w:rPr>
                <w:iCs/>
                <w:sz w:val="22"/>
                <w:szCs w:val="22"/>
                <w:lang w:val="en-GB" w:eastAsia="en-US"/>
              </w:rPr>
              <w:t xml:space="preserve"> </w:t>
            </w:r>
            <w:proofErr w:type="spellStart"/>
            <w:r>
              <w:rPr>
                <w:iCs/>
                <w:sz w:val="22"/>
                <w:szCs w:val="22"/>
                <w:lang w:val="en-GB" w:eastAsia="en-US"/>
              </w:rPr>
              <w:t>pusės</w:t>
            </w:r>
            <w:proofErr w:type="spellEnd"/>
            <w:r>
              <w:rPr>
                <w:iCs/>
                <w:sz w:val="22"/>
                <w:szCs w:val="22"/>
                <w:lang w:val="en-GB" w:eastAsia="en-US"/>
              </w:rPr>
              <w:t xml:space="preserve"> </w:t>
            </w:r>
            <w:proofErr w:type="spellStart"/>
            <w:r>
              <w:rPr>
                <w:iCs/>
                <w:sz w:val="22"/>
                <w:szCs w:val="22"/>
                <w:lang w:val="en-GB" w:eastAsia="en-US"/>
              </w:rPr>
              <w:t>didžiausiosios</w:t>
            </w:r>
            <w:proofErr w:type="spellEnd"/>
            <w:r>
              <w:rPr>
                <w:iCs/>
                <w:sz w:val="22"/>
                <w:szCs w:val="22"/>
                <w:lang w:val="en-GB" w:eastAsia="en-US"/>
              </w:rPr>
              <w:t xml:space="preserve"> </w:t>
            </w:r>
            <w:proofErr w:type="spellStart"/>
            <w:r>
              <w:rPr>
                <w:iCs/>
                <w:sz w:val="22"/>
                <w:szCs w:val="22"/>
                <w:lang w:val="en-GB" w:eastAsia="en-US"/>
              </w:rPr>
              <w:t>dozės</w:t>
            </w:r>
            <w:proofErr w:type="spellEnd"/>
            <w:r>
              <w:rPr>
                <w:iCs/>
                <w:sz w:val="22"/>
                <w:szCs w:val="22"/>
                <w:lang w:val="en-GB" w:eastAsia="en-US"/>
              </w:rPr>
              <w:t>.</w:t>
            </w:r>
          </w:p>
        </w:tc>
        <w:tc>
          <w:tcPr>
            <w:tcW w:w="3679" w:type="dxa"/>
          </w:tcPr>
          <w:p w14:paraId="05F3F546" w14:textId="77777777" w:rsidR="00023BBF" w:rsidRDefault="00E17C37">
            <w:pPr>
              <w:widowControl w:val="0"/>
              <w:tabs>
                <w:tab w:val="left" w:pos="567"/>
              </w:tabs>
              <w:rPr>
                <w:iCs/>
                <w:sz w:val="22"/>
                <w:szCs w:val="22"/>
                <w:lang w:val="en-GB" w:eastAsia="en-US"/>
              </w:rPr>
            </w:pPr>
            <w:proofErr w:type="spellStart"/>
            <w:r>
              <w:rPr>
                <w:iCs/>
                <w:sz w:val="22"/>
                <w:szCs w:val="22"/>
                <w:lang w:val="en-GB" w:eastAsia="en-US"/>
              </w:rPr>
              <w:t>Didžiausia</w:t>
            </w:r>
            <w:proofErr w:type="spellEnd"/>
            <w:r>
              <w:rPr>
                <w:iCs/>
                <w:sz w:val="22"/>
                <w:szCs w:val="22"/>
                <w:lang w:val="en-GB" w:eastAsia="en-US"/>
              </w:rPr>
              <w:t xml:space="preserve"> </w:t>
            </w:r>
            <w:proofErr w:type="spellStart"/>
            <w:r>
              <w:rPr>
                <w:iCs/>
                <w:sz w:val="22"/>
                <w:szCs w:val="22"/>
                <w:lang w:val="en-GB" w:eastAsia="en-US"/>
              </w:rPr>
              <w:t>paros</w:t>
            </w:r>
            <w:proofErr w:type="spellEnd"/>
            <w:r>
              <w:rPr>
                <w:iCs/>
                <w:sz w:val="22"/>
                <w:szCs w:val="22"/>
                <w:lang w:val="en-GB" w:eastAsia="en-US"/>
              </w:rPr>
              <w:t xml:space="preserve"> </w:t>
            </w:r>
            <w:proofErr w:type="spellStart"/>
            <w:r>
              <w:rPr>
                <w:iCs/>
                <w:sz w:val="22"/>
                <w:szCs w:val="22"/>
                <w:lang w:val="en-GB" w:eastAsia="en-US"/>
              </w:rPr>
              <w:t>dozė</w:t>
            </w:r>
            <w:proofErr w:type="spellEnd"/>
            <w:r>
              <w:rPr>
                <w:iCs/>
                <w:sz w:val="22"/>
                <w:szCs w:val="22"/>
                <w:lang w:val="en-GB" w:eastAsia="en-US"/>
              </w:rPr>
              <w:t xml:space="preserve"> – 10 mg.</w:t>
            </w:r>
          </w:p>
        </w:tc>
      </w:tr>
      <w:tr w:rsidR="00023BBF" w14:paraId="366E24A2" w14:textId="77777777">
        <w:tc>
          <w:tcPr>
            <w:tcW w:w="1555" w:type="dxa"/>
          </w:tcPr>
          <w:p w14:paraId="74D55DB8" w14:textId="77777777" w:rsidR="00023BBF" w:rsidRDefault="00023BBF">
            <w:pPr>
              <w:widowControl w:val="0"/>
              <w:tabs>
                <w:tab w:val="left" w:pos="567"/>
              </w:tabs>
              <w:jc w:val="center"/>
              <w:rPr>
                <w:iCs/>
                <w:sz w:val="22"/>
                <w:szCs w:val="22"/>
                <w:lang w:val="en-GB" w:eastAsia="en-US"/>
              </w:rPr>
            </w:pPr>
          </w:p>
          <w:p w14:paraId="387964BD" w14:textId="77777777" w:rsidR="00023BBF" w:rsidRDefault="00E17C37">
            <w:pPr>
              <w:widowControl w:val="0"/>
              <w:tabs>
                <w:tab w:val="left" w:pos="567"/>
              </w:tabs>
              <w:jc w:val="center"/>
              <w:rPr>
                <w:iCs/>
                <w:sz w:val="22"/>
                <w:szCs w:val="22"/>
                <w:lang w:val="en-GB" w:eastAsia="en-US"/>
              </w:rPr>
            </w:pPr>
            <w:r>
              <w:rPr>
                <w:iCs/>
                <w:sz w:val="22"/>
                <w:szCs w:val="22"/>
                <w:lang w:val="en-GB" w:eastAsia="en-US"/>
              </w:rPr>
              <w:t>30-44</w:t>
            </w:r>
          </w:p>
          <w:p w14:paraId="241A7B1B" w14:textId="77777777" w:rsidR="00023BBF" w:rsidRDefault="00023BBF">
            <w:pPr>
              <w:widowControl w:val="0"/>
              <w:tabs>
                <w:tab w:val="left" w:pos="567"/>
              </w:tabs>
              <w:jc w:val="center"/>
              <w:rPr>
                <w:iCs/>
                <w:sz w:val="22"/>
                <w:szCs w:val="22"/>
                <w:lang w:val="en-GB" w:eastAsia="en-US"/>
              </w:rPr>
            </w:pPr>
          </w:p>
        </w:tc>
        <w:tc>
          <w:tcPr>
            <w:tcW w:w="3827" w:type="dxa"/>
          </w:tcPr>
          <w:p w14:paraId="26F1897C" w14:textId="77777777" w:rsidR="00023BBF" w:rsidRDefault="00E17C37">
            <w:pPr>
              <w:widowControl w:val="0"/>
              <w:tabs>
                <w:tab w:val="left" w:pos="567"/>
              </w:tabs>
              <w:rPr>
                <w:iCs/>
                <w:sz w:val="22"/>
                <w:szCs w:val="22"/>
                <w:lang w:val="en-GB" w:eastAsia="en-US"/>
              </w:rPr>
            </w:pPr>
            <w:proofErr w:type="spellStart"/>
            <w:r>
              <w:rPr>
                <w:iCs/>
                <w:sz w:val="22"/>
                <w:szCs w:val="22"/>
                <w:lang w:val="en-GB" w:eastAsia="en-US"/>
              </w:rPr>
              <w:t>Didžiausia</w:t>
            </w:r>
            <w:proofErr w:type="spellEnd"/>
            <w:r>
              <w:rPr>
                <w:iCs/>
                <w:sz w:val="22"/>
                <w:szCs w:val="22"/>
                <w:lang w:val="en-GB" w:eastAsia="en-US"/>
              </w:rPr>
              <w:t xml:space="preserve"> </w:t>
            </w:r>
            <w:proofErr w:type="spellStart"/>
            <w:r>
              <w:rPr>
                <w:iCs/>
                <w:sz w:val="22"/>
                <w:szCs w:val="22"/>
                <w:lang w:val="en-GB" w:eastAsia="en-US"/>
              </w:rPr>
              <w:t>paros</w:t>
            </w:r>
            <w:proofErr w:type="spellEnd"/>
            <w:r>
              <w:rPr>
                <w:iCs/>
                <w:sz w:val="22"/>
                <w:szCs w:val="22"/>
                <w:lang w:val="en-GB" w:eastAsia="en-US"/>
              </w:rPr>
              <w:t xml:space="preserve"> </w:t>
            </w:r>
            <w:proofErr w:type="spellStart"/>
            <w:r>
              <w:rPr>
                <w:iCs/>
                <w:sz w:val="22"/>
                <w:szCs w:val="22"/>
                <w:lang w:val="en-GB" w:eastAsia="en-US"/>
              </w:rPr>
              <w:t>dozė</w:t>
            </w:r>
            <w:proofErr w:type="spellEnd"/>
            <w:r>
              <w:rPr>
                <w:iCs/>
                <w:sz w:val="22"/>
                <w:szCs w:val="22"/>
                <w:lang w:val="en-GB" w:eastAsia="en-US"/>
              </w:rPr>
              <w:t xml:space="preserve"> – 1 000 mg.</w:t>
            </w:r>
          </w:p>
          <w:p w14:paraId="1B342940" w14:textId="77777777" w:rsidR="00023BBF" w:rsidRDefault="00E17C37">
            <w:pPr>
              <w:widowControl w:val="0"/>
              <w:tabs>
                <w:tab w:val="left" w:pos="567"/>
              </w:tabs>
              <w:rPr>
                <w:iCs/>
                <w:sz w:val="22"/>
                <w:szCs w:val="22"/>
                <w:lang w:val="en-GB" w:eastAsia="en-US"/>
              </w:rPr>
            </w:pPr>
            <w:proofErr w:type="spellStart"/>
            <w:r>
              <w:rPr>
                <w:iCs/>
                <w:sz w:val="22"/>
                <w:szCs w:val="22"/>
                <w:lang w:val="en-GB" w:eastAsia="en-US"/>
              </w:rPr>
              <w:t>Pradinė</w:t>
            </w:r>
            <w:proofErr w:type="spellEnd"/>
            <w:r>
              <w:rPr>
                <w:iCs/>
                <w:sz w:val="22"/>
                <w:szCs w:val="22"/>
                <w:lang w:val="en-GB" w:eastAsia="en-US"/>
              </w:rPr>
              <w:t xml:space="preserve"> </w:t>
            </w:r>
            <w:proofErr w:type="spellStart"/>
            <w:r>
              <w:rPr>
                <w:iCs/>
                <w:sz w:val="22"/>
                <w:szCs w:val="22"/>
                <w:lang w:val="en-GB" w:eastAsia="en-US"/>
              </w:rPr>
              <w:t>dozė</w:t>
            </w:r>
            <w:proofErr w:type="spellEnd"/>
            <w:r>
              <w:rPr>
                <w:iCs/>
                <w:sz w:val="22"/>
                <w:szCs w:val="22"/>
                <w:lang w:val="en-GB" w:eastAsia="en-US"/>
              </w:rPr>
              <w:t xml:space="preserve"> </w:t>
            </w:r>
            <w:proofErr w:type="spellStart"/>
            <w:r>
              <w:rPr>
                <w:iCs/>
                <w:sz w:val="22"/>
                <w:szCs w:val="22"/>
                <w:lang w:val="en-GB" w:eastAsia="en-US"/>
              </w:rPr>
              <w:t>turi</w:t>
            </w:r>
            <w:proofErr w:type="spellEnd"/>
            <w:r>
              <w:rPr>
                <w:iCs/>
                <w:sz w:val="22"/>
                <w:szCs w:val="22"/>
                <w:lang w:val="en-GB" w:eastAsia="en-US"/>
              </w:rPr>
              <w:t xml:space="preserve"> </w:t>
            </w:r>
            <w:proofErr w:type="spellStart"/>
            <w:r>
              <w:rPr>
                <w:iCs/>
                <w:sz w:val="22"/>
                <w:szCs w:val="22"/>
                <w:lang w:val="en-GB" w:eastAsia="en-US"/>
              </w:rPr>
              <w:t>neviršyti</w:t>
            </w:r>
            <w:proofErr w:type="spellEnd"/>
            <w:r>
              <w:rPr>
                <w:iCs/>
                <w:sz w:val="22"/>
                <w:szCs w:val="22"/>
                <w:lang w:val="en-GB" w:eastAsia="en-US"/>
              </w:rPr>
              <w:t xml:space="preserve"> </w:t>
            </w:r>
            <w:proofErr w:type="spellStart"/>
            <w:r>
              <w:rPr>
                <w:iCs/>
                <w:sz w:val="22"/>
                <w:szCs w:val="22"/>
                <w:lang w:val="en-GB" w:eastAsia="en-US"/>
              </w:rPr>
              <w:t>pusės</w:t>
            </w:r>
            <w:proofErr w:type="spellEnd"/>
            <w:r>
              <w:rPr>
                <w:iCs/>
                <w:sz w:val="22"/>
                <w:szCs w:val="22"/>
                <w:lang w:val="en-GB" w:eastAsia="en-US"/>
              </w:rPr>
              <w:t xml:space="preserve"> </w:t>
            </w:r>
            <w:proofErr w:type="spellStart"/>
            <w:r>
              <w:rPr>
                <w:iCs/>
                <w:sz w:val="22"/>
                <w:szCs w:val="22"/>
                <w:lang w:val="en-GB" w:eastAsia="en-US"/>
              </w:rPr>
              <w:t>didžiausiosios</w:t>
            </w:r>
            <w:proofErr w:type="spellEnd"/>
            <w:r>
              <w:rPr>
                <w:iCs/>
                <w:sz w:val="22"/>
                <w:szCs w:val="22"/>
                <w:lang w:val="en-GB" w:eastAsia="en-US"/>
              </w:rPr>
              <w:t xml:space="preserve"> </w:t>
            </w:r>
            <w:proofErr w:type="spellStart"/>
            <w:r>
              <w:rPr>
                <w:iCs/>
                <w:sz w:val="22"/>
                <w:szCs w:val="22"/>
                <w:lang w:val="en-GB" w:eastAsia="en-US"/>
              </w:rPr>
              <w:t>dozės</w:t>
            </w:r>
            <w:proofErr w:type="spellEnd"/>
            <w:r>
              <w:rPr>
                <w:iCs/>
                <w:sz w:val="22"/>
                <w:szCs w:val="22"/>
                <w:lang w:val="en-GB" w:eastAsia="en-US"/>
              </w:rPr>
              <w:t>.</w:t>
            </w:r>
          </w:p>
        </w:tc>
        <w:tc>
          <w:tcPr>
            <w:tcW w:w="3679" w:type="dxa"/>
          </w:tcPr>
          <w:p w14:paraId="3B1F2F80" w14:textId="77777777" w:rsidR="00023BBF" w:rsidRDefault="00E17C37">
            <w:pPr>
              <w:widowControl w:val="0"/>
              <w:tabs>
                <w:tab w:val="left" w:pos="567"/>
              </w:tabs>
              <w:rPr>
                <w:iCs/>
                <w:sz w:val="22"/>
                <w:szCs w:val="22"/>
                <w:lang w:val="en-GB" w:eastAsia="en-US"/>
              </w:rPr>
            </w:pPr>
            <w:proofErr w:type="spellStart"/>
            <w:r>
              <w:rPr>
                <w:iCs/>
                <w:sz w:val="22"/>
                <w:szCs w:val="22"/>
                <w:lang w:val="en-GB" w:eastAsia="en-US"/>
              </w:rPr>
              <w:t>Didžiausia</w:t>
            </w:r>
            <w:proofErr w:type="spellEnd"/>
            <w:r>
              <w:rPr>
                <w:iCs/>
                <w:sz w:val="22"/>
                <w:szCs w:val="22"/>
                <w:lang w:val="en-GB" w:eastAsia="en-US"/>
              </w:rPr>
              <w:t xml:space="preserve"> </w:t>
            </w:r>
            <w:proofErr w:type="spellStart"/>
            <w:r>
              <w:rPr>
                <w:iCs/>
                <w:sz w:val="22"/>
                <w:szCs w:val="22"/>
                <w:lang w:val="en-GB" w:eastAsia="en-US"/>
              </w:rPr>
              <w:t>paros</w:t>
            </w:r>
            <w:proofErr w:type="spellEnd"/>
            <w:r>
              <w:rPr>
                <w:iCs/>
                <w:sz w:val="22"/>
                <w:szCs w:val="22"/>
                <w:lang w:val="en-GB" w:eastAsia="en-US"/>
              </w:rPr>
              <w:t xml:space="preserve"> </w:t>
            </w:r>
            <w:proofErr w:type="spellStart"/>
            <w:r>
              <w:rPr>
                <w:iCs/>
                <w:sz w:val="22"/>
                <w:szCs w:val="22"/>
                <w:lang w:val="en-GB" w:eastAsia="en-US"/>
              </w:rPr>
              <w:t>dozė</w:t>
            </w:r>
            <w:proofErr w:type="spellEnd"/>
            <w:r>
              <w:rPr>
                <w:iCs/>
                <w:sz w:val="22"/>
                <w:szCs w:val="22"/>
                <w:lang w:val="en-GB" w:eastAsia="en-US"/>
              </w:rPr>
              <w:t xml:space="preserve"> – 10 mg. </w:t>
            </w:r>
            <w:proofErr w:type="spellStart"/>
            <w:r>
              <w:rPr>
                <w:iCs/>
                <w:sz w:val="22"/>
                <w:szCs w:val="22"/>
                <w:lang w:val="en-GB" w:eastAsia="en-US"/>
              </w:rPr>
              <w:t>Gliukozės</w:t>
            </w:r>
            <w:proofErr w:type="spellEnd"/>
            <w:r>
              <w:rPr>
                <w:iCs/>
                <w:sz w:val="22"/>
                <w:szCs w:val="22"/>
                <w:lang w:val="en-GB" w:eastAsia="en-US"/>
              </w:rPr>
              <w:t xml:space="preserve"> </w:t>
            </w:r>
            <w:proofErr w:type="spellStart"/>
            <w:r>
              <w:rPr>
                <w:iCs/>
                <w:sz w:val="22"/>
                <w:szCs w:val="22"/>
                <w:lang w:val="en-GB" w:eastAsia="en-US"/>
              </w:rPr>
              <w:t>koncentraciją</w:t>
            </w:r>
            <w:proofErr w:type="spellEnd"/>
            <w:r>
              <w:rPr>
                <w:iCs/>
                <w:sz w:val="22"/>
                <w:szCs w:val="22"/>
                <w:lang w:val="en-GB" w:eastAsia="en-US"/>
              </w:rPr>
              <w:t xml:space="preserve"> </w:t>
            </w:r>
            <w:proofErr w:type="spellStart"/>
            <w:r>
              <w:rPr>
                <w:iCs/>
                <w:sz w:val="22"/>
                <w:szCs w:val="22"/>
                <w:lang w:val="en-GB" w:eastAsia="en-US"/>
              </w:rPr>
              <w:t>mažinantis</w:t>
            </w:r>
            <w:proofErr w:type="spellEnd"/>
            <w:r>
              <w:rPr>
                <w:iCs/>
                <w:sz w:val="22"/>
                <w:szCs w:val="22"/>
                <w:lang w:val="en-GB" w:eastAsia="en-US"/>
              </w:rPr>
              <w:t xml:space="preserve"> </w:t>
            </w:r>
            <w:proofErr w:type="spellStart"/>
            <w:r>
              <w:rPr>
                <w:iCs/>
                <w:sz w:val="22"/>
                <w:szCs w:val="22"/>
                <w:lang w:val="en-GB" w:eastAsia="en-US"/>
              </w:rPr>
              <w:t>dapagliflozino</w:t>
            </w:r>
            <w:proofErr w:type="spellEnd"/>
            <w:r>
              <w:rPr>
                <w:iCs/>
                <w:sz w:val="22"/>
                <w:szCs w:val="22"/>
                <w:lang w:val="en-GB" w:eastAsia="en-US"/>
              </w:rPr>
              <w:t xml:space="preserve"> </w:t>
            </w:r>
            <w:proofErr w:type="spellStart"/>
            <w:r>
              <w:rPr>
                <w:iCs/>
                <w:sz w:val="22"/>
                <w:szCs w:val="22"/>
                <w:lang w:val="en-GB" w:eastAsia="en-US"/>
              </w:rPr>
              <w:t>poveikis</w:t>
            </w:r>
            <w:proofErr w:type="spellEnd"/>
            <w:r>
              <w:rPr>
                <w:iCs/>
                <w:sz w:val="22"/>
                <w:szCs w:val="22"/>
                <w:lang w:val="en-GB" w:eastAsia="en-US"/>
              </w:rPr>
              <w:t xml:space="preserve"> yra </w:t>
            </w:r>
            <w:proofErr w:type="spellStart"/>
            <w:r>
              <w:rPr>
                <w:iCs/>
                <w:sz w:val="22"/>
                <w:szCs w:val="22"/>
                <w:lang w:val="en-GB" w:eastAsia="en-US"/>
              </w:rPr>
              <w:t>silpnesnis</w:t>
            </w:r>
            <w:proofErr w:type="spellEnd"/>
            <w:r>
              <w:rPr>
                <w:iCs/>
                <w:sz w:val="22"/>
                <w:szCs w:val="22"/>
                <w:lang w:val="en-GB" w:eastAsia="en-US"/>
              </w:rPr>
              <w:t>.</w:t>
            </w:r>
          </w:p>
        </w:tc>
      </w:tr>
      <w:tr w:rsidR="00023BBF" w14:paraId="102D22F1" w14:textId="77777777">
        <w:tc>
          <w:tcPr>
            <w:tcW w:w="1555" w:type="dxa"/>
          </w:tcPr>
          <w:p w14:paraId="3A801A3E" w14:textId="77777777" w:rsidR="00023BBF" w:rsidRDefault="00023BBF">
            <w:pPr>
              <w:widowControl w:val="0"/>
              <w:tabs>
                <w:tab w:val="left" w:pos="567"/>
              </w:tabs>
              <w:jc w:val="center"/>
              <w:rPr>
                <w:iCs/>
                <w:sz w:val="22"/>
                <w:szCs w:val="22"/>
                <w:lang w:val="en-GB" w:eastAsia="en-US"/>
              </w:rPr>
            </w:pPr>
          </w:p>
          <w:p w14:paraId="5F7B89A0" w14:textId="77777777" w:rsidR="00023BBF" w:rsidRDefault="00023BBF">
            <w:pPr>
              <w:widowControl w:val="0"/>
              <w:tabs>
                <w:tab w:val="left" w:pos="567"/>
              </w:tabs>
              <w:jc w:val="center"/>
              <w:rPr>
                <w:iCs/>
                <w:sz w:val="22"/>
                <w:szCs w:val="22"/>
                <w:lang w:val="en-GB" w:eastAsia="en-US"/>
              </w:rPr>
            </w:pPr>
          </w:p>
          <w:p w14:paraId="215B9572" w14:textId="77777777" w:rsidR="00023BBF" w:rsidRDefault="00023BBF">
            <w:pPr>
              <w:widowControl w:val="0"/>
              <w:tabs>
                <w:tab w:val="left" w:pos="567"/>
              </w:tabs>
              <w:jc w:val="center"/>
              <w:rPr>
                <w:iCs/>
                <w:sz w:val="22"/>
                <w:szCs w:val="22"/>
                <w:lang w:val="en-GB" w:eastAsia="en-US"/>
              </w:rPr>
            </w:pPr>
          </w:p>
          <w:p w14:paraId="5180F37B" w14:textId="77777777" w:rsidR="00023BBF" w:rsidRDefault="00E17C37">
            <w:pPr>
              <w:widowControl w:val="0"/>
              <w:tabs>
                <w:tab w:val="left" w:pos="567"/>
              </w:tabs>
              <w:jc w:val="center"/>
              <w:rPr>
                <w:iCs/>
                <w:sz w:val="22"/>
                <w:szCs w:val="22"/>
                <w:lang w:val="en-GB" w:eastAsia="en-US"/>
              </w:rPr>
            </w:pPr>
            <w:r>
              <w:rPr>
                <w:iCs/>
                <w:sz w:val="22"/>
                <w:szCs w:val="22"/>
                <w:lang w:val="en-GB" w:eastAsia="en-US"/>
              </w:rPr>
              <w:t>&lt; 30</w:t>
            </w:r>
          </w:p>
        </w:tc>
        <w:tc>
          <w:tcPr>
            <w:tcW w:w="3827" w:type="dxa"/>
          </w:tcPr>
          <w:p w14:paraId="5B0990F2" w14:textId="77777777" w:rsidR="00023BBF" w:rsidRDefault="00023BBF">
            <w:pPr>
              <w:widowControl w:val="0"/>
              <w:tabs>
                <w:tab w:val="left" w:pos="567"/>
              </w:tabs>
              <w:rPr>
                <w:iCs/>
                <w:sz w:val="22"/>
                <w:szCs w:val="22"/>
                <w:lang w:val="en-GB" w:eastAsia="en-US"/>
              </w:rPr>
            </w:pPr>
          </w:p>
          <w:p w14:paraId="190A76E6" w14:textId="77777777" w:rsidR="00023BBF" w:rsidRDefault="00023BBF">
            <w:pPr>
              <w:widowControl w:val="0"/>
              <w:tabs>
                <w:tab w:val="left" w:pos="567"/>
              </w:tabs>
              <w:rPr>
                <w:iCs/>
                <w:sz w:val="22"/>
                <w:szCs w:val="22"/>
                <w:lang w:val="en-GB" w:eastAsia="en-US"/>
              </w:rPr>
            </w:pPr>
          </w:p>
          <w:p w14:paraId="41800702" w14:textId="77777777" w:rsidR="00023BBF" w:rsidRDefault="00023BBF">
            <w:pPr>
              <w:widowControl w:val="0"/>
              <w:tabs>
                <w:tab w:val="left" w:pos="567"/>
              </w:tabs>
              <w:rPr>
                <w:iCs/>
                <w:sz w:val="22"/>
                <w:szCs w:val="22"/>
                <w:lang w:val="en-GB" w:eastAsia="en-US"/>
              </w:rPr>
            </w:pPr>
          </w:p>
          <w:p w14:paraId="6799AD11" w14:textId="77777777" w:rsidR="00023BBF" w:rsidRDefault="00E17C37">
            <w:pPr>
              <w:widowControl w:val="0"/>
              <w:tabs>
                <w:tab w:val="left" w:pos="567"/>
              </w:tabs>
              <w:rPr>
                <w:iCs/>
                <w:sz w:val="22"/>
                <w:szCs w:val="22"/>
                <w:lang w:val="en-GB" w:eastAsia="en-US"/>
              </w:rPr>
            </w:pPr>
            <w:proofErr w:type="spellStart"/>
            <w:r>
              <w:rPr>
                <w:iCs/>
                <w:sz w:val="22"/>
                <w:szCs w:val="22"/>
                <w:lang w:val="en-GB" w:eastAsia="en-US"/>
              </w:rPr>
              <w:t>Metformino</w:t>
            </w:r>
            <w:proofErr w:type="spellEnd"/>
            <w:r>
              <w:rPr>
                <w:iCs/>
                <w:sz w:val="22"/>
                <w:szCs w:val="22"/>
                <w:lang w:val="en-GB" w:eastAsia="en-US"/>
              </w:rPr>
              <w:t xml:space="preserve"> </w:t>
            </w:r>
            <w:proofErr w:type="spellStart"/>
            <w:r>
              <w:rPr>
                <w:iCs/>
                <w:sz w:val="22"/>
                <w:szCs w:val="22"/>
                <w:lang w:val="en-GB" w:eastAsia="en-US"/>
              </w:rPr>
              <w:t>vartoti</w:t>
            </w:r>
            <w:proofErr w:type="spellEnd"/>
            <w:r>
              <w:rPr>
                <w:iCs/>
                <w:sz w:val="22"/>
                <w:szCs w:val="22"/>
                <w:lang w:val="en-GB" w:eastAsia="en-US"/>
              </w:rPr>
              <w:t xml:space="preserve"> </w:t>
            </w:r>
            <w:proofErr w:type="spellStart"/>
            <w:r>
              <w:rPr>
                <w:iCs/>
                <w:sz w:val="22"/>
                <w:szCs w:val="22"/>
                <w:lang w:val="en-GB" w:eastAsia="en-US"/>
              </w:rPr>
              <w:t>negalima</w:t>
            </w:r>
            <w:proofErr w:type="spellEnd"/>
            <w:r>
              <w:rPr>
                <w:iCs/>
                <w:sz w:val="22"/>
                <w:szCs w:val="22"/>
                <w:lang w:val="en-GB" w:eastAsia="en-US"/>
              </w:rPr>
              <w:t>.</w:t>
            </w:r>
          </w:p>
        </w:tc>
        <w:tc>
          <w:tcPr>
            <w:tcW w:w="3679" w:type="dxa"/>
          </w:tcPr>
          <w:p w14:paraId="0D91611C" w14:textId="77777777" w:rsidR="00023BBF" w:rsidRDefault="00E17C37">
            <w:pPr>
              <w:widowControl w:val="0"/>
              <w:tabs>
                <w:tab w:val="left" w:pos="567"/>
              </w:tabs>
              <w:rPr>
                <w:iCs/>
                <w:sz w:val="22"/>
                <w:szCs w:val="22"/>
                <w:lang w:val="en-GB" w:eastAsia="en-US"/>
              </w:rPr>
            </w:pPr>
            <w:proofErr w:type="spellStart"/>
            <w:r>
              <w:rPr>
                <w:iCs/>
                <w:sz w:val="22"/>
                <w:szCs w:val="22"/>
                <w:lang w:val="en-GB" w:eastAsia="en-US"/>
              </w:rPr>
              <w:t>Didžiausia</w:t>
            </w:r>
            <w:proofErr w:type="spellEnd"/>
            <w:r>
              <w:rPr>
                <w:iCs/>
                <w:sz w:val="22"/>
                <w:szCs w:val="22"/>
                <w:lang w:val="en-GB" w:eastAsia="en-US"/>
              </w:rPr>
              <w:t xml:space="preserve"> </w:t>
            </w:r>
            <w:proofErr w:type="spellStart"/>
            <w:r>
              <w:rPr>
                <w:iCs/>
                <w:sz w:val="22"/>
                <w:szCs w:val="22"/>
                <w:lang w:val="en-GB" w:eastAsia="en-US"/>
              </w:rPr>
              <w:t>paros</w:t>
            </w:r>
            <w:proofErr w:type="spellEnd"/>
            <w:r>
              <w:rPr>
                <w:iCs/>
                <w:sz w:val="22"/>
                <w:szCs w:val="22"/>
                <w:lang w:val="en-GB" w:eastAsia="en-US"/>
              </w:rPr>
              <w:t xml:space="preserve"> </w:t>
            </w:r>
            <w:proofErr w:type="spellStart"/>
            <w:r>
              <w:rPr>
                <w:iCs/>
                <w:sz w:val="22"/>
                <w:szCs w:val="22"/>
                <w:lang w:val="en-GB" w:eastAsia="en-US"/>
              </w:rPr>
              <w:t>dozė</w:t>
            </w:r>
            <w:proofErr w:type="spellEnd"/>
            <w:r>
              <w:rPr>
                <w:iCs/>
                <w:sz w:val="22"/>
                <w:szCs w:val="22"/>
                <w:lang w:val="en-GB" w:eastAsia="en-US"/>
              </w:rPr>
              <w:t xml:space="preserve"> – 10 mg.</w:t>
            </w:r>
          </w:p>
          <w:p w14:paraId="1D473349" w14:textId="77777777" w:rsidR="00023BBF" w:rsidRDefault="00E17C37">
            <w:pPr>
              <w:widowControl w:val="0"/>
              <w:tabs>
                <w:tab w:val="left" w:pos="567"/>
              </w:tabs>
              <w:rPr>
                <w:iCs/>
                <w:sz w:val="22"/>
                <w:szCs w:val="22"/>
                <w:lang w:val="en-GB" w:eastAsia="en-US"/>
              </w:rPr>
            </w:pPr>
            <w:proofErr w:type="spellStart"/>
            <w:r>
              <w:rPr>
                <w:iCs/>
                <w:sz w:val="22"/>
                <w:szCs w:val="22"/>
                <w:lang w:val="en-GB" w:eastAsia="en-US"/>
              </w:rPr>
              <w:t>Patirties</w:t>
            </w:r>
            <w:proofErr w:type="spellEnd"/>
            <w:r>
              <w:rPr>
                <w:iCs/>
                <w:sz w:val="22"/>
                <w:szCs w:val="22"/>
                <w:lang w:val="en-GB" w:eastAsia="en-US"/>
              </w:rPr>
              <w:t xml:space="preserve"> </w:t>
            </w:r>
            <w:proofErr w:type="spellStart"/>
            <w:r>
              <w:rPr>
                <w:iCs/>
                <w:sz w:val="22"/>
                <w:szCs w:val="22"/>
                <w:lang w:val="en-GB" w:eastAsia="en-US"/>
              </w:rPr>
              <w:t>yra</w:t>
            </w:r>
            <w:proofErr w:type="spellEnd"/>
            <w:r>
              <w:rPr>
                <w:iCs/>
                <w:sz w:val="22"/>
                <w:szCs w:val="22"/>
                <w:lang w:val="en-GB" w:eastAsia="en-US"/>
              </w:rPr>
              <w:t xml:space="preserve"> </w:t>
            </w:r>
            <w:proofErr w:type="spellStart"/>
            <w:r>
              <w:rPr>
                <w:iCs/>
                <w:sz w:val="22"/>
                <w:szCs w:val="22"/>
                <w:lang w:val="en-GB" w:eastAsia="en-US"/>
              </w:rPr>
              <w:t>nedaug</w:t>
            </w:r>
            <w:proofErr w:type="spellEnd"/>
            <w:r>
              <w:rPr>
                <w:iCs/>
                <w:sz w:val="22"/>
                <w:szCs w:val="22"/>
                <w:lang w:val="en-GB" w:eastAsia="en-US"/>
              </w:rPr>
              <w:t xml:space="preserve">, </w:t>
            </w:r>
            <w:proofErr w:type="spellStart"/>
            <w:r>
              <w:rPr>
                <w:iCs/>
                <w:sz w:val="22"/>
                <w:szCs w:val="22"/>
                <w:lang w:val="en-GB" w:eastAsia="en-US"/>
              </w:rPr>
              <w:t>todėl</w:t>
            </w:r>
            <w:proofErr w:type="spellEnd"/>
            <w:r>
              <w:rPr>
                <w:iCs/>
                <w:sz w:val="22"/>
                <w:szCs w:val="22"/>
                <w:lang w:val="en-GB" w:eastAsia="en-US"/>
              </w:rPr>
              <w:t xml:space="preserve"> </w:t>
            </w:r>
            <w:proofErr w:type="spellStart"/>
            <w:r>
              <w:rPr>
                <w:iCs/>
                <w:sz w:val="22"/>
                <w:szCs w:val="22"/>
                <w:lang w:val="en-GB" w:eastAsia="en-US"/>
              </w:rPr>
              <w:t>dapagliflozino</w:t>
            </w:r>
            <w:proofErr w:type="spellEnd"/>
            <w:r>
              <w:rPr>
                <w:iCs/>
                <w:sz w:val="22"/>
                <w:szCs w:val="22"/>
                <w:lang w:val="en-GB" w:eastAsia="en-US"/>
              </w:rPr>
              <w:t xml:space="preserve"> </w:t>
            </w:r>
            <w:proofErr w:type="spellStart"/>
            <w:r>
              <w:rPr>
                <w:iCs/>
                <w:sz w:val="22"/>
                <w:szCs w:val="22"/>
                <w:lang w:val="en-GB" w:eastAsia="en-US"/>
              </w:rPr>
              <w:t>nerekomenduojama</w:t>
            </w:r>
            <w:proofErr w:type="spellEnd"/>
            <w:r>
              <w:rPr>
                <w:iCs/>
                <w:sz w:val="22"/>
                <w:szCs w:val="22"/>
                <w:lang w:val="en-GB" w:eastAsia="en-US"/>
              </w:rPr>
              <w:t xml:space="preserve"> </w:t>
            </w:r>
            <w:proofErr w:type="spellStart"/>
            <w:r>
              <w:rPr>
                <w:iCs/>
                <w:sz w:val="22"/>
                <w:szCs w:val="22"/>
                <w:lang w:val="en-GB" w:eastAsia="en-US"/>
              </w:rPr>
              <w:t>pradėti</w:t>
            </w:r>
            <w:proofErr w:type="spellEnd"/>
            <w:r>
              <w:rPr>
                <w:iCs/>
                <w:sz w:val="22"/>
                <w:szCs w:val="22"/>
                <w:lang w:val="en-GB" w:eastAsia="en-US"/>
              </w:rPr>
              <w:t xml:space="preserve"> </w:t>
            </w:r>
            <w:proofErr w:type="spellStart"/>
            <w:r>
              <w:rPr>
                <w:iCs/>
                <w:sz w:val="22"/>
                <w:szCs w:val="22"/>
                <w:lang w:val="en-GB" w:eastAsia="en-US"/>
              </w:rPr>
              <w:t>vartoti</w:t>
            </w:r>
            <w:proofErr w:type="spellEnd"/>
            <w:r>
              <w:rPr>
                <w:iCs/>
                <w:sz w:val="22"/>
                <w:szCs w:val="22"/>
                <w:lang w:val="en-GB" w:eastAsia="en-US"/>
              </w:rPr>
              <w:t xml:space="preserve"> </w:t>
            </w:r>
            <w:proofErr w:type="spellStart"/>
            <w:r>
              <w:rPr>
                <w:iCs/>
                <w:sz w:val="22"/>
                <w:szCs w:val="22"/>
                <w:lang w:val="en-GB" w:eastAsia="en-US"/>
              </w:rPr>
              <w:t>pacientams</w:t>
            </w:r>
            <w:proofErr w:type="spellEnd"/>
            <w:r>
              <w:rPr>
                <w:iCs/>
                <w:sz w:val="22"/>
                <w:szCs w:val="22"/>
                <w:lang w:val="en-GB" w:eastAsia="en-US"/>
              </w:rPr>
              <w:t xml:space="preserve">, </w:t>
            </w:r>
            <w:proofErr w:type="spellStart"/>
            <w:r>
              <w:rPr>
                <w:iCs/>
                <w:sz w:val="22"/>
                <w:szCs w:val="22"/>
                <w:lang w:val="en-GB" w:eastAsia="en-US"/>
              </w:rPr>
              <w:t>kurių</w:t>
            </w:r>
            <w:proofErr w:type="spellEnd"/>
            <w:r>
              <w:rPr>
                <w:iCs/>
                <w:sz w:val="22"/>
                <w:szCs w:val="22"/>
                <w:lang w:val="en-GB" w:eastAsia="en-US"/>
              </w:rPr>
              <w:t xml:space="preserve"> GFG &lt; 25 ml/min.</w:t>
            </w:r>
          </w:p>
          <w:p w14:paraId="4F872F44" w14:textId="77777777" w:rsidR="00023BBF" w:rsidRDefault="00E17C37">
            <w:pPr>
              <w:widowControl w:val="0"/>
              <w:tabs>
                <w:tab w:val="left" w:pos="567"/>
              </w:tabs>
              <w:rPr>
                <w:iCs/>
                <w:sz w:val="22"/>
                <w:szCs w:val="22"/>
                <w:lang w:val="pt-PT" w:eastAsia="en-US"/>
              </w:rPr>
            </w:pPr>
            <w:r>
              <w:rPr>
                <w:iCs/>
                <w:sz w:val="22"/>
                <w:szCs w:val="22"/>
                <w:lang w:val="pt-PT" w:eastAsia="en-US"/>
              </w:rPr>
              <w:t>Gliukozės koncentracijos dapagliflozinas neturėtų mažinti.</w:t>
            </w:r>
          </w:p>
        </w:tc>
      </w:tr>
    </w:tbl>
    <w:p w14:paraId="2EA225DC" w14:textId="77777777" w:rsidR="00023BBF" w:rsidRDefault="00023BBF">
      <w:pPr>
        <w:pStyle w:val="Antrat4"/>
        <w:spacing w:line="240" w:lineRule="auto"/>
        <w:jc w:val="left"/>
        <w:rPr>
          <w:rFonts w:ascii="Times New Roman" w:hAnsi="Times New Roman"/>
          <w:sz w:val="22"/>
          <w:szCs w:val="22"/>
          <w:lang w:val="lt-LT"/>
        </w:rPr>
      </w:pPr>
    </w:p>
    <w:p w14:paraId="1D932624" w14:textId="77777777" w:rsidR="00023BBF" w:rsidRDefault="00E17C37">
      <w:pPr>
        <w:rPr>
          <w:i/>
          <w:iCs/>
          <w:sz w:val="22"/>
          <w:szCs w:val="22"/>
        </w:rPr>
      </w:pPr>
      <w:r>
        <w:rPr>
          <w:i/>
          <w:iCs/>
          <w:sz w:val="22"/>
          <w:szCs w:val="22"/>
        </w:rPr>
        <w:t>Pacientams, kurių kepenų funkcija sutrikusi</w:t>
      </w:r>
    </w:p>
    <w:p w14:paraId="312AF5EA" w14:textId="77777777" w:rsidR="00023BBF" w:rsidRDefault="00E17C37">
      <w:pPr>
        <w:rPr>
          <w:sz w:val="22"/>
          <w:szCs w:val="22"/>
        </w:rPr>
      </w:pPr>
      <w:r>
        <w:rPr>
          <w:sz w:val="22"/>
          <w:szCs w:val="22"/>
        </w:rPr>
        <w:t>Pacientams, kurių kepenų funkcija sutrikusi, šio vaistinio preparato vartoti negalima (žr. 4.3, 4.4 ir 5.2 skyrius).</w:t>
      </w:r>
    </w:p>
    <w:p w14:paraId="5828ECBF" w14:textId="77777777" w:rsidR="00023BBF" w:rsidRDefault="00023BBF">
      <w:pPr>
        <w:rPr>
          <w:sz w:val="22"/>
          <w:szCs w:val="22"/>
        </w:rPr>
      </w:pPr>
    </w:p>
    <w:p w14:paraId="350F33F4" w14:textId="77777777" w:rsidR="00023BBF" w:rsidRDefault="00E17C37">
      <w:pPr>
        <w:rPr>
          <w:i/>
          <w:iCs/>
          <w:sz w:val="22"/>
          <w:szCs w:val="22"/>
        </w:rPr>
      </w:pPr>
      <w:r>
        <w:rPr>
          <w:i/>
          <w:iCs/>
          <w:sz w:val="22"/>
          <w:szCs w:val="22"/>
        </w:rPr>
        <w:t>Senyviems (65 metų ir vyresniems) pacientams</w:t>
      </w:r>
    </w:p>
    <w:p w14:paraId="2348E5F1" w14:textId="77777777" w:rsidR="00023BBF" w:rsidRDefault="00E17C37">
      <w:pPr>
        <w:rPr>
          <w:sz w:val="22"/>
          <w:szCs w:val="22"/>
        </w:rPr>
      </w:pPr>
      <w:r>
        <w:rPr>
          <w:sz w:val="22"/>
          <w:szCs w:val="22"/>
        </w:rPr>
        <w:t xml:space="preserve">Dalis </w:t>
      </w:r>
      <w:proofErr w:type="spellStart"/>
      <w:r>
        <w:rPr>
          <w:sz w:val="22"/>
          <w:szCs w:val="22"/>
        </w:rPr>
        <w:t>metformino</w:t>
      </w:r>
      <w:proofErr w:type="spellEnd"/>
      <w:r>
        <w:rPr>
          <w:sz w:val="22"/>
          <w:szCs w:val="22"/>
        </w:rPr>
        <w:t xml:space="preserve"> eliminuojama per inkstus, o senyviems pacientams sutrikusios inkstų funkcijos tikimybė yra didesnė, todėl jiems šio vaistinio preparato skiriama atsargiai. Būtina stebėti inkstų funkciją norint išvengti su </w:t>
      </w:r>
      <w:proofErr w:type="spellStart"/>
      <w:r>
        <w:rPr>
          <w:sz w:val="22"/>
          <w:szCs w:val="22"/>
        </w:rPr>
        <w:t>metforminu</w:t>
      </w:r>
      <w:proofErr w:type="spellEnd"/>
      <w:r>
        <w:rPr>
          <w:sz w:val="22"/>
          <w:szCs w:val="22"/>
        </w:rPr>
        <w:t xml:space="preserve"> susijusios pieno rūgšties </w:t>
      </w:r>
      <w:proofErr w:type="spellStart"/>
      <w:r>
        <w:rPr>
          <w:sz w:val="22"/>
          <w:szCs w:val="22"/>
        </w:rPr>
        <w:t>acidozės</w:t>
      </w:r>
      <w:proofErr w:type="spellEnd"/>
      <w:r>
        <w:rPr>
          <w:sz w:val="22"/>
          <w:szCs w:val="22"/>
        </w:rPr>
        <w:t>, ypač senyviems pacientams (žr. 4.3 ir 4.4 skyrius).</w:t>
      </w:r>
    </w:p>
    <w:p w14:paraId="3EAA2146" w14:textId="77777777" w:rsidR="00023BBF" w:rsidRDefault="00023BBF">
      <w:pPr>
        <w:rPr>
          <w:sz w:val="22"/>
          <w:szCs w:val="22"/>
        </w:rPr>
      </w:pPr>
    </w:p>
    <w:p w14:paraId="1FCB424A"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Vaikų populiacija</w:t>
      </w:r>
    </w:p>
    <w:p w14:paraId="53BACBC7"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saugumas ir veiksmingumas vaikams ir paaugliams iki 18 metų dar neištirti. Duomenų nėra.</w:t>
      </w:r>
    </w:p>
    <w:p w14:paraId="4028624A" w14:textId="77777777" w:rsidR="00023BBF" w:rsidRDefault="00023BBF">
      <w:pPr>
        <w:autoSpaceDE w:val="0"/>
        <w:autoSpaceDN w:val="0"/>
        <w:adjustRightInd w:val="0"/>
        <w:rPr>
          <w:rFonts w:eastAsiaTheme="minorHAnsi"/>
          <w:color w:val="000000"/>
          <w:sz w:val="22"/>
          <w:szCs w:val="22"/>
          <w:lang w:eastAsia="en-US"/>
        </w:rPr>
      </w:pPr>
    </w:p>
    <w:p w14:paraId="684F9848"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lastRenderedPageBreak/>
        <w:t>Vartojimo metodas</w:t>
      </w:r>
    </w:p>
    <w:p w14:paraId="5091F578" w14:textId="77777777" w:rsidR="00023BBF" w:rsidRDefault="00E17C37">
      <w:pPr>
        <w:rPr>
          <w:sz w:val="22"/>
          <w:szCs w:val="22"/>
        </w:rPr>
      </w:pP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reikia vartoti 2 kartus per parą valgio metu, kad su </w:t>
      </w:r>
      <w:proofErr w:type="spellStart"/>
      <w:r>
        <w:rPr>
          <w:rFonts w:eastAsiaTheme="minorHAnsi"/>
          <w:color w:val="000000"/>
          <w:sz w:val="22"/>
          <w:szCs w:val="22"/>
          <w:lang w:eastAsia="en-US"/>
        </w:rPr>
        <w:t>metforminu</w:t>
      </w:r>
      <w:proofErr w:type="spellEnd"/>
      <w:r>
        <w:rPr>
          <w:rFonts w:eastAsiaTheme="minorHAnsi"/>
          <w:color w:val="000000"/>
          <w:sz w:val="22"/>
          <w:szCs w:val="22"/>
          <w:lang w:eastAsia="en-US"/>
        </w:rPr>
        <w:t xml:space="preserve"> susijusių virškinimo trakto nepageidaujamų reakcijų rizika būtų mažesnė.</w:t>
      </w:r>
    </w:p>
    <w:p w14:paraId="0A82EB57" w14:textId="77777777" w:rsidR="00023BBF" w:rsidRDefault="00023BBF"/>
    <w:p w14:paraId="5B8B2DEA" w14:textId="77777777" w:rsidR="00023BBF" w:rsidRDefault="00E17C37">
      <w:pPr>
        <w:pStyle w:val="Antrat4"/>
        <w:spacing w:line="240" w:lineRule="auto"/>
        <w:jc w:val="left"/>
        <w:rPr>
          <w:rFonts w:ascii="Times New Roman" w:hAnsi="Times New Roman"/>
          <w:sz w:val="22"/>
          <w:szCs w:val="22"/>
          <w:lang w:val="lt-LT"/>
        </w:rPr>
      </w:pPr>
      <w:r>
        <w:rPr>
          <w:rFonts w:ascii="Times New Roman" w:hAnsi="Times New Roman"/>
          <w:sz w:val="22"/>
          <w:szCs w:val="22"/>
          <w:lang w:val="lt-LT"/>
        </w:rPr>
        <w:t>4.3</w:t>
      </w:r>
      <w:r>
        <w:rPr>
          <w:rFonts w:ascii="Times New Roman" w:hAnsi="Times New Roman"/>
          <w:sz w:val="22"/>
          <w:szCs w:val="22"/>
          <w:lang w:val="lt-LT"/>
        </w:rPr>
        <w:tab/>
        <w:t>Kontraindikacijos</w:t>
      </w:r>
    </w:p>
    <w:p w14:paraId="056D4486" w14:textId="77777777" w:rsidR="00023BBF" w:rsidRDefault="00023BBF">
      <w:pPr>
        <w:rPr>
          <w:sz w:val="22"/>
          <w:szCs w:val="22"/>
        </w:rPr>
      </w:pPr>
    </w:p>
    <w:p w14:paraId="4BEA8C57" w14:textId="77777777" w:rsidR="00023BBF" w:rsidRDefault="00E17C37">
      <w:pPr>
        <w:rPr>
          <w:sz w:val="22"/>
          <w:szCs w:val="22"/>
        </w:rPr>
      </w:pPr>
      <w:proofErr w:type="spellStart"/>
      <w:r>
        <w:rPr>
          <w:sz w:val="22"/>
          <w:szCs w:val="22"/>
        </w:rPr>
        <w:t>Mexdagry</w:t>
      </w:r>
      <w:proofErr w:type="spellEnd"/>
      <w:r>
        <w:rPr>
          <w:sz w:val="22"/>
          <w:szCs w:val="22"/>
        </w:rPr>
        <w:t xml:space="preserve"> vartoti negalima, jeigu yra:</w:t>
      </w:r>
    </w:p>
    <w:p w14:paraId="0016C046" w14:textId="77777777" w:rsidR="00023BBF" w:rsidRDefault="00E17C37">
      <w:pPr>
        <w:widowControl w:val="0"/>
        <w:numPr>
          <w:ilvl w:val="0"/>
          <w:numId w:val="21"/>
        </w:numPr>
        <w:tabs>
          <w:tab w:val="left" w:pos="567"/>
        </w:tabs>
        <w:contextualSpacing/>
        <w:rPr>
          <w:sz w:val="22"/>
          <w:szCs w:val="22"/>
          <w:lang w:eastAsia="en-US"/>
        </w:rPr>
      </w:pPr>
      <w:r>
        <w:rPr>
          <w:sz w:val="22"/>
          <w:szCs w:val="22"/>
        </w:rPr>
        <w:t>padidėjęs jautrumas veikliajai arba bet kuriai 6.1 skyriuje nurodytai pagalbinei medžiagai;</w:t>
      </w:r>
    </w:p>
    <w:p w14:paraId="03DAE8AB" w14:textId="77777777" w:rsidR="00023BBF" w:rsidRDefault="00E17C37">
      <w:pPr>
        <w:widowControl w:val="0"/>
        <w:numPr>
          <w:ilvl w:val="0"/>
          <w:numId w:val="21"/>
        </w:numPr>
        <w:tabs>
          <w:tab w:val="left" w:pos="567"/>
        </w:tabs>
        <w:contextualSpacing/>
        <w:rPr>
          <w:sz w:val="22"/>
          <w:szCs w:val="22"/>
          <w:lang w:eastAsia="en-US"/>
        </w:rPr>
      </w:pPr>
      <w:r>
        <w:rPr>
          <w:sz w:val="22"/>
          <w:szCs w:val="22"/>
        </w:rPr>
        <w:t xml:space="preserve">bet kokio tipo ūminė </w:t>
      </w:r>
      <w:proofErr w:type="spellStart"/>
      <w:r>
        <w:rPr>
          <w:sz w:val="22"/>
          <w:szCs w:val="22"/>
        </w:rPr>
        <w:t>metabolinė</w:t>
      </w:r>
      <w:proofErr w:type="spellEnd"/>
      <w:r>
        <w:rPr>
          <w:sz w:val="22"/>
          <w:szCs w:val="22"/>
        </w:rPr>
        <w:t xml:space="preserve"> </w:t>
      </w:r>
      <w:proofErr w:type="spellStart"/>
      <w:r>
        <w:rPr>
          <w:sz w:val="22"/>
          <w:szCs w:val="22"/>
        </w:rPr>
        <w:t>acidozė</w:t>
      </w:r>
      <w:proofErr w:type="spellEnd"/>
      <w:r>
        <w:rPr>
          <w:sz w:val="22"/>
          <w:szCs w:val="22"/>
        </w:rPr>
        <w:t xml:space="preserve"> (pvz., pieno rūgšties </w:t>
      </w:r>
      <w:proofErr w:type="spellStart"/>
      <w:r>
        <w:rPr>
          <w:sz w:val="22"/>
          <w:szCs w:val="22"/>
        </w:rPr>
        <w:t>acidozė</w:t>
      </w:r>
      <w:proofErr w:type="spellEnd"/>
      <w:r>
        <w:rPr>
          <w:sz w:val="22"/>
          <w:szCs w:val="22"/>
        </w:rPr>
        <w:t xml:space="preserve">, diabetinė </w:t>
      </w:r>
      <w:proofErr w:type="spellStart"/>
      <w:r>
        <w:rPr>
          <w:sz w:val="22"/>
          <w:szCs w:val="22"/>
        </w:rPr>
        <w:t>ketoacidozė</w:t>
      </w:r>
      <w:proofErr w:type="spellEnd"/>
      <w:r>
        <w:rPr>
          <w:sz w:val="22"/>
          <w:szCs w:val="22"/>
        </w:rPr>
        <w:t>);</w:t>
      </w:r>
    </w:p>
    <w:p w14:paraId="001C942F" w14:textId="77777777" w:rsidR="00023BBF" w:rsidRDefault="00E17C37">
      <w:pPr>
        <w:widowControl w:val="0"/>
        <w:numPr>
          <w:ilvl w:val="0"/>
          <w:numId w:val="21"/>
        </w:numPr>
        <w:tabs>
          <w:tab w:val="left" w:pos="567"/>
        </w:tabs>
        <w:contextualSpacing/>
        <w:rPr>
          <w:sz w:val="22"/>
          <w:szCs w:val="22"/>
          <w:lang w:val="en-GB" w:eastAsia="en-US"/>
        </w:rPr>
      </w:pPr>
      <w:r>
        <w:rPr>
          <w:sz w:val="22"/>
          <w:szCs w:val="22"/>
        </w:rPr>
        <w:t xml:space="preserve">diabetinė </w:t>
      </w:r>
      <w:proofErr w:type="spellStart"/>
      <w:r>
        <w:rPr>
          <w:sz w:val="22"/>
          <w:szCs w:val="22"/>
        </w:rPr>
        <w:t>prekoma</w:t>
      </w:r>
      <w:proofErr w:type="spellEnd"/>
      <w:r>
        <w:rPr>
          <w:sz w:val="22"/>
          <w:szCs w:val="22"/>
        </w:rPr>
        <w:t>;</w:t>
      </w:r>
    </w:p>
    <w:p w14:paraId="636D88B6" w14:textId="77777777" w:rsidR="00023BBF" w:rsidRDefault="00E17C37">
      <w:pPr>
        <w:widowControl w:val="0"/>
        <w:numPr>
          <w:ilvl w:val="0"/>
          <w:numId w:val="21"/>
        </w:numPr>
        <w:tabs>
          <w:tab w:val="left" w:pos="567"/>
        </w:tabs>
        <w:contextualSpacing/>
        <w:rPr>
          <w:sz w:val="22"/>
          <w:szCs w:val="22"/>
          <w:lang w:val="en-GB" w:eastAsia="en-US"/>
        </w:rPr>
      </w:pPr>
      <w:bookmarkStart w:id="1" w:name="_Hlk199838498"/>
      <w:r>
        <w:rPr>
          <w:sz w:val="22"/>
          <w:szCs w:val="22"/>
        </w:rPr>
        <w:t>sunkus inkstų nepakankamumas (GFG &lt; 30 ml/min.) (žr. 4.2, 4.4 ir 5.2 skyrius);</w:t>
      </w:r>
    </w:p>
    <w:p w14:paraId="7C229A41" w14:textId="77777777" w:rsidR="00023BBF" w:rsidRDefault="00E17C37">
      <w:pPr>
        <w:widowControl w:val="0"/>
        <w:numPr>
          <w:ilvl w:val="0"/>
          <w:numId w:val="21"/>
        </w:numPr>
        <w:tabs>
          <w:tab w:val="left" w:pos="567"/>
        </w:tabs>
        <w:contextualSpacing/>
        <w:rPr>
          <w:sz w:val="22"/>
          <w:szCs w:val="22"/>
          <w:lang w:val="en-GB" w:eastAsia="en-US"/>
        </w:rPr>
      </w:pPr>
      <w:r>
        <w:rPr>
          <w:sz w:val="22"/>
          <w:szCs w:val="22"/>
        </w:rPr>
        <w:t>ūminė būklė, dėl kurios gali pakisti inkstų funkcija, pvz.:</w:t>
      </w:r>
    </w:p>
    <w:bookmarkEnd w:id="1"/>
    <w:p w14:paraId="5684BA74" w14:textId="77777777" w:rsidR="00023BBF" w:rsidRDefault="00E17C37">
      <w:pPr>
        <w:pStyle w:val="Sraopastraipa"/>
        <w:widowControl w:val="0"/>
        <w:numPr>
          <w:ilvl w:val="1"/>
          <w:numId w:val="22"/>
        </w:numPr>
        <w:spacing w:after="0" w:line="240" w:lineRule="auto"/>
        <w:rPr>
          <w:rFonts w:ascii="Times New Roman" w:hAnsi="Times New Roman"/>
          <w:lang w:val="en-GB"/>
        </w:rPr>
      </w:pPr>
      <w:r>
        <w:rPr>
          <w:rFonts w:ascii="Times New Roman" w:hAnsi="Times New Roman"/>
        </w:rPr>
        <w:t>dehidratacija;</w:t>
      </w:r>
    </w:p>
    <w:p w14:paraId="3CF1E44F" w14:textId="77777777" w:rsidR="00023BBF" w:rsidRDefault="00E17C37">
      <w:pPr>
        <w:pStyle w:val="Sraopastraipa"/>
        <w:widowControl w:val="0"/>
        <w:numPr>
          <w:ilvl w:val="1"/>
          <w:numId w:val="22"/>
        </w:numPr>
        <w:spacing w:after="0" w:line="240" w:lineRule="auto"/>
        <w:rPr>
          <w:rFonts w:ascii="Times New Roman" w:hAnsi="Times New Roman"/>
          <w:lang w:val="en-GB"/>
        </w:rPr>
      </w:pPr>
      <w:r>
        <w:rPr>
          <w:rFonts w:ascii="Times New Roman" w:hAnsi="Times New Roman"/>
        </w:rPr>
        <w:t>sunki infekcija;</w:t>
      </w:r>
    </w:p>
    <w:p w14:paraId="26D08151" w14:textId="77777777" w:rsidR="00023BBF" w:rsidRDefault="00E17C37">
      <w:pPr>
        <w:pStyle w:val="Sraopastraipa"/>
        <w:widowControl w:val="0"/>
        <w:numPr>
          <w:ilvl w:val="1"/>
          <w:numId w:val="22"/>
        </w:numPr>
        <w:spacing w:after="0" w:line="240" w:lineRule="auto"/>
        <w:rPr>
          <w:rFonts w:ascii="Times New Roman" w:hAnsi="Times New Roman"/>
          <w:lang w:val="en-GB"/>
        </w:rPr>
      </w:pPr>
      <w:r>
        <w:rPr>
          <w:rFonts w:ascii="Times New Roman" w:hAnsi="Times New Roman"/>
        </w:rPr>
        <w:t>šokas;</w:t>
      </w:r>
    </w:p>
    <w:p w14:paraId="27FDD95E" w14:textId="77777777" w:rsidR="00023BBF" w:rsidRDefault="00E17C37">
      <w:pPr>
        <w:widowControl w:val="0"/>
        <w:numPr>
          <w:ilvl w:val="0"/>
          <w:numId w:val="22"/>
        </w:numPr>
        <w:contextualSpacing/>
        <w:rPr>
          <w:sz w:val="22"/>
          <w:szCs w:val="22"/>
          <w:lang w:val="en-GB" w:eastAsia="en-US"/>
        </w:rPr>
      </w:pPr>
      <w:r>
        <w:rPr>
          <w:sz w:val="22"/>
          <w:szCs w:val="22"/>
        </w:rPr>
        <w:t>ūminė arba lėtinė liga, kuri gali sukelti audinių hipoksiją:</w:t>
      </w:r>
    </w:p>
    <w:p w14:paraId="5088B5ED" w14:textId="77777777" w:rsidR="00023BBF" w:rsidRDefault="00E17C37">
      <w:pPr>
        <w:pStyle w:val="Sraopastraipa"/>
        <w:widowControl w:val="0"/>
        <w:numPr>
          <w:ilvl w:val="1"/>
          <w:numId w:val="22"/>
        </w:numPr>
        <w:spacing w:after="0" w:line="240" w:lineRule="auto"/>
        <w:rPr>
          <w:rFonts w:ascii="Times New Roman" w:hAnsi="Times New Roman"/>
          <w:lang w:val="en-GB"/>
        </w:rPr>
      </w:pPr>
      <w:r>
        <w:rPr>
          <w:rFonts w:ascii="Times New Roman" w:hAnsi="Times New Roman"/>
        </w:rPr>
        <w:t>širdies ar kvėpavimo nepakankamumas;</w:t>
      </w:r>
    </w:p>
    <w:p w14:paraId="27B82994" w14:textId="77777777" w:rsidR="00023BBF" w:rsidRDefault="00E17C37">
      <w:pPr>
        <w:pStyle w:val="Sraopastraipa"/>
        <w:widowControl w:val="0"/>
        <w:numPr>
          <w:ilvl w:val="1"/>
          <w:numId w:val="22"/>
        </w:numPr>
        <w:spacing w:after="0" w:line="240" w:lineRule="auto"/>
        <w:rPr>
          <w:rFonts w:ascii="Times New Roman" w:hAnsi="Times New Roman"/>
          <w:lang w:val="en-GB"/>
        </w:rPr>
      </w:pPr>
      <w:r>
        <w:rPr>
          <w:rFonts w:ascii="Times New Roman" w:hAnsi="Times New Roman"/>
        </w:rPr>
        <w:t>neseniai ištikęs miokardo infarktas;</w:t>
      </w:r>
    </w:p>
    <w:p w14:paraId="5F1FDC7E" w14:textId="77777777" w:rsidR="00023BBF" w:rsidRDefault="00E17C37">
      <w:pPr>
        <w:pStyle w:val="Sraopastraipa"/>
        <w:widowControl w:val="0"/>
        <w:numPr>
          <w:ilvl w:val="1"/>
          <w:numId w:val="22"/>
        </w:numPr>
        <w:spacing w:after="0" w:line="240" w:lineRule="auto"/>
        <w:rPr>
          <w:rFonts w:ascii="Times New Roman" w:hAnsi="Times New Roman"/>
          <w:lang w:val="en-GB"/>
        </w:rPr>
      </w:pPr>
      <w:r>
        <w:rPr>
          <w:rFonts w:ascii="Times New Roman" w:hAnsi="Times New Roman"/>
        </w:rPr>
        <w:t>šokas;</w:t>
      </w:r>
    </w:p>
    <w:p w14:paraId="645AC3C9" w14:textId="77777777" w:rsidR="00023BBF" w:rsidRDefault="00E17C37">
      <w:pPr>
        <w:widowControl w:val="0"/>
        <w:numPr>
          <w:ilvl w:val="0"/>
          <w:numId w:val="22"/>
        </w:numPr>
        <w:contextualSpacing/>
        <w:rPr>
          <w:sz w:val="22"/>
          <w:szCs w:val="22"/>
          <w:lang w:val="en-GB" w:eastAsia="en-US"/>
        </w:rPr>
      </w:pPr>
      <w:r>
        <w:rPr>
          <w:sz w:val="22"/>
          <w:szCs w:val="22"/>
        </w:rPr>
        <w:t>sutrikusi kepenų funkcija (žr. 4.2, 4.4 ir 5.2 skyrius);</w:t>
      </w:r>
    </w:p>
    <w:p w14:paraId="0915D316" w14:textId="77777777" w:rsidR="00023BBF" w:rsidRDefault="00E17C37">
      <w:pPr>
        <w:widowControl w:val="0"/>
        <w:numPr>
          <w:ilvl w:val="0"/>
          <w:numId w:val="22"/>
        </w:numPr>
        <w:contextualSpacing/>
        <w:rPr>
          <w:sz w:val="22"/>
          <w:szCs w:val="22"/>
          <w:lang w:val="en-GB" w:eastAsia="en-US"/>
        </w:rPr>
      </w:pPr>
      <w:r>
        <w:rPr>
          <w:sz w:val="22"/>
          <w:szCs w:val="22"/>
        </w:rPr>
        <w:t>ūminis apsinuodijimas alkoholiu arba alkoholizmas (žr. 4.5 skyrių).</w:t>
      </w:r>
    </w:p>
    <w:p w14:paraId="254F9709" w14:textId="77777777" w:rsidR="00023BBF" w:rsidRDefault="00023BBF">
      <w:pPr>
        <w:widowControl w:val="0"/>
        <w:contextualSpacing/>
        <w:rPr>
          <w:sz w:val="22"/>
          <w:szCs w:val="22"/>
          <w:lang w:val="en-GB" w:eastAsia="en-US"/>
        </w:rPr>
      </w:pPr>
    </w:p>
    <w:p w14:paraId="7961F5E7" w14:textId="77777777" w:rsidR="00023BBF" w:rsidRDefault="00E17C37">
      <w:pPr>
        <w:pStyle w:val="Antrat4"/>
        <w:spacing w:line="240" w:lineRule="auto"/>
        <w:jc w:val="left"/>
        <w:rPr>
          <w:rFonts w:ascii="Times New Roman" w:hAnsi="Times New Roman"/>
          <w:sz w:val="22"/>
          <w:szCs w:val="22"/>
          <w:lang w:val="lt-LT"/>
        </w:rPr>
      </w:pPr>
      <w:r>
        <w:rPr>
          <w:rFonts w:ascii="Times New Roman" w:hAnsi="Times New Roman"/>
          <w:sz w:val="22"/>
          <w:szCs w:val="22"/>
          <w:lang w:val="lt-LT"/>
        </w:rPr>
        <w:t>4.4</w:t>
      </w:r>
      <w:r>
        <w:rPr>
          <w:rFonts w:ascii="Times New Roman" w:hAnsi="Times New Roman"/>
          <w:sz w:val="22"/>
          <w:szCs w:val="22"/>
          <w:lang w:val="lt-LT"/>
        </w:rPr>
        <w:tab/>
        <w:t>Specialūs įspėjimai ir atsargumo priemonės</w:t>
      </w:r>
    </w:p>
    <w:p w14:paraId="3E23A39E" w14:textId="77777777" w:rsidR="00023BBF" w:rsidRDefault="00023BBF">
      <w:pPr>
        <w:rPr>
          <w:sz w:val="22"/>
          <w:szCs w:val="22"/>
        </w:rPr>
      </w:pPr>
    </w:p>
    <w:p w14:paraId="7848B23F"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 xml:space="preserve">Pieno rūgšties </w:t>
      </w:r>
      <w:proofErr w:type="spellStart"/>
      <w:r>
        <w:rPr>
          <w:rFonts w:eastAsiaTheme="minorHAnsi"/>
          <w:color w:val="000000"/>
          <w:sz w:val="22"/>
          <w:szCs w:val="22"/>
          <w:u w:val="single"/>
          <w:lang w:eastAsia="en-US"/>
        </w:rPr>
        <w:t>acidozė</w:t>
      </w:r>
      <w:proofErr w:type="spellEnd"/>
    </w:p>
    <w:p w14:paraId="17EB1087"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Pieno rūgšties </w:t>
      </w:r>
      <w:proofErr w:type="spellStart"/>
      <w:r>
        <w:rPr>
          <w:rFonts w:eastAsiaTheme="minorHAnsi"/>
          <w:color w:val="000000"/>
          <w:sz w:val="22"/>
          <w:szCs w:val="22"/>
          <w:lang w:eastAsia="en-US"/>
        </w:rPr>
        <w:t>acidozė</w:t>
      </w:r>
      <w:proofErr w:type="spellEnd"/>
      <w:r>
        <w:rPr>
          <w:rFonts w:eastAsiaTheme="minorHAnsi"/>
          <w:color w:val="000000"/>
          <w:sz w:val="22"/>
          <w:szCs w:val="22"/>
          <w:lang w:eastAsia="en-US"/>
        </w:rPr>
        <w:t xml:space="preserve"> yra labai reta, bet sunki </w:t>
      </w:r>
      <w:proofErr w:type="spellStart"/>
      <w:r>
        <w:rPr>
          <w:rFonts w:eastAsiaTheme="minorHAnsi"/>
          <w:color w:val="000000"/>
          <w:sz w:val="22"/>
          <w:szCs w:val="22"/>
          <w:lang w:eastAsia="en-US"/>
        </w:rPr>
        <w:t>metabolinė</w:t>
      </w:r>
      <w:proofErr w:type="spellEnd"/>
      <w:r>
        <w:rPr>
          <w:rFonts w:eastAsiaTheme="minorHAnsi"/>
          <w:color w:val="000000"/>
          <w:sz w:val="22"/>
          <w:szCs w:val="22"/>
          <w:lang w:eastAsia="en-US"/>
        </w:rPr>
        <w:t xml:space="preserve"> komplikacija, dažniausiai pasireiškia esant ūminiam inkstų funkcijos sutrikimui, širdies ir plaučių ligai arba sepsiui. Esant ūminiam inkstų funkcijos sutrikimui, </w:t>
      </w:r>
      <w:proofErr w:type="spellStart"/>
      <w:r>
        <w:rPr>
          <w:rFonts w:eastAsiaTheme="minorHAnsi"/>
          <w:color w:val="000000"/>
          <w:sz w:val="22"/>
          <w:szCs w:val="22"/>
          <w:lang w:eastAsia="en-US"/>
        </w:rPr>
        <w:t>metforminas</w:t>
      </w:r>
      <w:proofErr w:type="spellEnd"/>
      <w:r>
        <w:rPr>
          <w:rFonts w:eastAsiaTheme="minorHAnsi"/>
          <w:color w:val="000000"/>
          <w:sz w:val="22"/>
          <w:szCs w:val="22"/>
          <w:lang w:eastAsia="en-US"/>
        </w:rPr>
        <w:t xml:space="preserve"> kaupiasi ir didina pieno rūgšties </w:t>
      </w:r>
      <w:proofErr w:type="spellStart"/>
      <w:r>
        <w:rPr>
          <w:rFonts w:eastAsiaTheme="minorHAnsi"/>
          <w:color w:val="000000"/>
          <w:sz w:val="22"/>
          <w:szCs w:val="22"/>
          <w:lang w:eastAsia="en-US"/>
        </w:rPr>
        <w:t>acidozės</w:t>
      </w:r>
      <w:proofErr w:type="spellEnd"/>
      <w:r>
        <w:rPr>
          <w:rFonts w:eastAsiaTheme="minorHAnsi"/>
          <w:color w:val="000000"/>
          <w:sz w:val="22"/>
          <w:szCs w:val="22"/>
          <w:lang w:eastAsia="en-US"/>
        </w:rPr>
        <w:t xml:space="preserve"> riziką.</w:t>
      </w:r>
    </w:p>
    <w:p w14:paraId="2FE5C56A" w14:textId="77777777" w:rsidR="00023BBF" w:rsidRDefault="00023BBF">
      <w:pPr>
        <w:autoSpaceDE w:val="0"/>
        <w:autoSpaceDN w:val="0"/>
        <w:adjustRightInd w:val="0"/>
        <w:rPr>
          <w:rFonts w:eastAsiaTheme="minorHAnsi"/>
          <w:color w:val="000000"/>
          <w:sz w:val="22"/>
          <w:szCs w:val="22"/>
          <w:lang w:eastAsia="en-US"/>
        </w:rPr>
      </w:pPr>
    </w:p>
    <w:p w14:paraId="1CD33A18"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Esant dehidratacijai (sunkiam viduriavimui ar vėmimui, karščiavimui ar sumažėjusiam skysčių vartojimui), reikia laikinai nutraukti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vartojimą ir rekomenduojama kreiptis į sveikatos priežiūros specialistą.</w:t>
      </w:r>
    </w:p>
    <w:p w14:paraId="6E68623D" w14:textId="77777777" w:rsidR="00023BBF" w:rsidRDefault="00023BBF">
      <w:pPr>
        <w:autoSpaceDE w:val="0"/>
        <w:autoSpaceDN w:val="0"/>
        <w:adjustRightInd w:val="0"/>
        <w:rPr>
          <w:rFonts w:eastAsiaTheme="minorHAnsi"/>
          <w:color w:val="000000"/>
          <w:sz w:val="22"/>
          <w:szCs w:val="22"/>
          <w:lang w:eastAsia="en-US"/>
        </w:rPr>
      </w:pPr>
    </w:p>
    <w:p w14:paraId="358DAEDA"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Gydymą vaistiniais preparatais, kurie gali ūmiai sutrikdyti inkstų funkciją (pvz., </w:t>
      </w:r>
      <w:proofErr w:type="spellStart"/>
      <w:r>
        <w:rPr>
          <w:rFonts w:eastAsiaTheme="minorHAnsi"/>
          <w:color w:val="000000"/>
          <w:sz w:val="22"/>
          <w:szCs w:val="22"/>
          <w:lang w:eastAsia="en-US"/>
        </w:rPr>
        <w:t>antihipertenziniais</w:t>
      </w:r>
      <w:proofErr w:type="spellEnd"/>
      <w:r>
        <w:rPr>
          <w:rFonts w:eastAsiaTheme="minorHAnsi"/>
          <w:color w:val="000000"/>
          <w:sz w:val="22"/>
          <w:szCs w:val="22"/>
          <w:lang w:eastAsia="en-US"/>
        </w:rPr>
        <w:t xml:space="preserve">, diuretikais ir nesteroidiniais vaistiniais preparatais nuo uždegimo [NVPNU]),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vartojantiems pacientams reikia pradėti atsargiai. Kiti pieno rūgšties </w:t>
      </w:r>
      <w:proofErr w:type="spellStart"/>
      <w:r>
        <w:rPr>
          <w:rFonts w:eastAsiaTheme="minorHAnsi"/>
          <w:color w:val="000000"/>
          <w:sz w:val="22"/>
          <w:szCs w:val="22"/>
          <w:lang w:eastAsia="en-US"/>
        </w:rPr>
        <w:t>acidozės</w:t>
      </w:r>
      <w:proofErr w:type="spellEnd"/>
      <w:r>
        <w:rPr>
          <w:rFonts w:eastAsiaTheme="minorHAnsi"/>
          <w:color w:val="000000"/>
          <w:sz w:val="22"/>
          <w:szCs w:val="22"/>
          <w:lang w:eastAsia="en-US"/>
        </w:rPr>
        <w:t xml:space="preserve"> rizikos veiksniai yra piktnaudžiavimas alkoholiu, kepenų nepakankamumas, nepakankamai kontroliuojamas diabetas, </w:t>
      </w:r>
      <w:proofErr w:type="spellStart"/>
      <w:r>
        <w:rPr>
          <w:rFonts w:eastAsiaTheme="minorHAnsi"/>
          <w:color w:val="000000"/>
          <w:sz w:val="22"/>
          <w:szCs w:val="22"/>
          <w:lang w:eastAsia="en-US"/>
        </w:rPr>
        <w:t>ketonemija</w:t>
      </w:r>
      <w:proofErr w:type="spellEnd"/>
      <w:r>
        <w:rPr>
          <w:rFonts w:eastAsiaTheme="minorHAnsi"/>
          <w:color w:val="000000"/>
          <w:sz w:val="22"/>
          <w:szCs w:val="22"/>
          <w:lang w:eastAsia="en-US"/>
        </w:rPr>
        <w:t xml:space="preserve">, ilgalaikis badavimas ir su hipoksija susijusios būklės, taip pat vaistinių preparatų, kurie gali sukelti pieno rūgšties </w:t>
      </w:r>
      <w:proofErr w:type="spellStart"/>
      <w:r>
        <w:rPr>
          <w:rFonts w:eastAsiaTheme="minorHAnsi"/>
          <w:color w:val="000000"/>
          <w:sz w:val="22"/>
          <w:szCs w:val="22"/>
          <w:lang w:eastAsia="en-US"/>
        </w:rPr>
        <w:t>acidozę</w:t>
      </w:r>
      <w:proofErr w:type="spellEnd"/>
      <w:r>
        <w:rPr>
          <w:rFonts w:eastAsiaTheme="minorHAnsi"/>
          <w:color w:val="000000"/>
          <w:sz w:val="22"/>
          <w:szCs w:val="22"/>
          <w:lang w:eastAsia="en-US"/>
        </w:rPr>
        <w:t>, vartojimas kartu (žr. 4.3 ir 4.5 skyrius).</w:t>
      </w:r>
    </w:p>
    <w:p w14:paraId="1779C23B" w14:textId="77777777" w:rsidR="00023BBF" w:rsidRDefault="00023BBF">
      <w:pPr>
        <w:autoSpaceDE w:val="0"/>
        <w:autoSpaceDN w:val="0"/>
        <w:adjustRightInd w:val="0"/>
        <w:rPr>
          <w:rFonts w:eastAsiaTheme="minorHAnsi"/>
          <w:color w:val="000000"/>
          <w:sz w:val="22"/>
          <w:szCs w:val="22"/>
          <w:lang w:eastAsia="en-US"/>
        </w:rPr>
      </w:pPr>
    </w:p>
    <w:p w14:paraId="351D0D87"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Pacientus ir (arba) globėjus reikia informuoti apie pieno rūgšties </w:t>
      </w:r>
      <w:proofErr w:type="spellStart"/>
      <w:r>
        <w:rPr>
          <w:rFonts w:eastAsiaTheme="minorHAnsi"/>
          <w:color w:val="000000"/>
          <w:sz w:val="22"/>
          <w:szCs w:val="22"/>
          <w:lang w:eastAsia="en-US"/>
        </w:rPr>
        <w:t>acidozės</w:t>
      </w:r>
      <w:proofErr w:type="spellEnd"/>
      <w:r>
        <w:rPr>
          <w:rFonts w:eastAsiaTheme="minorHAnsi"/>
          <w:color w:val="000000"/>
          <w:sz w:val="22"/>
          <w:szCs w:val="22"/>
          <w:lang w:eastAsia="en-US"/>
        </w:rPr>
        <w:t xml:space="preserve"> riziką. Pieno rūgšties </w:t>
      </w:r>
      <w:proofErr w:type="spellStart"/>
      <w:r>
        <w:rPr>
          <w:rFonts w:eastAsiaTheme="minorHAnsi"/>
          <w:color w:val="000000"/>
          <w:sz w:val="22"/>
          <w:szCs w:val="22"/>
          <w:lang w:eastAsia="en-US"/>
        </w:rPr>
        <w:t>acidozei</w:t>
      </w:r>
      <w:proofErr w:type="spellEnd"/>
      <w:r>
        <w:rPr>
          <w:rFonts w:eastAsiaTheme="minorHAnsi"/>
          <w:color w:val="000000"/>
          <w:sz w:val="22"/>
          <w:szCs w:val="22"/>
          <w:lang w:eastAsia="en-US"/>
        </w:rPr>
        <w:t xml:space="preserve"> būdingas </w:t>
      </w:r>
      <w:proofErr w:type="spellStart"/>
      <w:r>
        <w:rPr>
          <w:rFonts w:eastAsiaTheme="minorHAnsi"/>
          <w:color w:val="000000"/>
          <w:sz w:val="22"/>
          <w:szCs w:val="22"/>
          <w:lang w:eastAsia="en-US"/>
        </w:rPr>
        <w:t>acidozinis</w:t>
      </w:r>
      <w:proofErr w:type="spellEnd"/>
      <w:r>
        <w:rPr>
          <w:rFonts w:eastAsiaTheme="minorHAnsi"/>
          <w:color w:val="000000"/>
          <w:sz w:val="22"/>
          <w:szCs w:val="22"/>
          <w:lang w:eastAsia="en-US"/>
        </w:rPr>
        <w:t xml:space="preserve"> dusulys, pilvo skausmas, raumenų mėšlungis, </w:t>
      </w:r>
      <w:proofErr w:type="spellStart"/>
      <w:r>
        <w:rPr>
          <w:rFonts w:eastAsiaTheme="minorHAnsi"/>
          <w:color w:val="000000"/>
          <w:sz w:val="22"/>
          <w:szCs w:val="22"/>
          <w:lang w:eastAsia="en-US"/>
        </w:rPr>
        <w:t>astenija</w:t>
      </w:r>
      <w:proofErr w:type="spellEnd"/>
      <w:r>
        <w:rPr>
          <w:rFonts w:eastAsiaTheme="minorHAnsi"/>
          <w:color w:val="000000"/>
          <w:sz w:val="22"/>
          <w:szCs w:val="22"/>
          <w:lang w:eastAsia="en-US"/>
        </w:rPr>
        <w:t xml:space="preserve"> ir hipotermija, po kurių ištinka koma. Įtarus simptomus, pacientas turi nutraukti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vartojimą ir nedelsdamas kreiptis pagalbos į medikus. Diagnostiniai laboratoriniai duomenys yra sumažėjęs kraujo pH (&lt; 7,35), padidėjusi laktatų koncentracija plazmoje (&gt; 5 </w:t>
      </w:r>
      <w:proofErr w:type="spellStart"/>
      <w:r>
        <w:rPr>
          <w:rFonts w:eastAsiaTheme="minorHAnsi"/>
          <w:color w:val="000000"/>
          <w:sz w:val="22"/>
          <w:szCs w:val="22"/>
          <w:lang w:eastAsia="en-US"/>
        </w:rPr>
        <w:t>mmol</w:t>
      </w:r>
      <w:proofErr w:type="spellEnd"/>
      <w:r>
        <w:rPr>
          <w:rFonts w:eastAsiaTheme="minorHAnsi"/>
          <w:color w:val="000000"/>
          <w:sz w:val="22"/>
          <w:szCs w:val="22"/>
          <w:lang w:eastAsia="en-US"/>
        </w:rPr>
        <w:t xml:space="preserve">/l) ir padidėjęs anijoninis tarpas bei laktatų / </w:t>
      </w:r>
      <w:proofErr w:type="spellStart"/>
      <w:r>
        <w:rPr>
          <w:rFonts w:eastAsiaTheme="minorHAnsi"/>
          <w:color w:val="000000"/>
          <w:sz w:val="22"/>
          <w:szCs w:val="22"/>
          <w:lang w:eastAsia="en-US"/>
        </w:rPr>
        <w:t>piruvatų</w:t>
      </w:r>
      <w:proofErr w:type="spellEnd"/>
      <w:r>
        <w:rPr>
          <w:rFonts w:eastAsiaTheme="minorHAnsi"/>
          <w:color w:val="000000"/>
          <w:sz w:val="22"/>
          <w:szCs w:val="22"/>
          <w:lang w:eastAsia="en-US"/>
        </w:rPr>
        <w:t xml:space="preserve"> santykis.</w:t>
      </w:r>
    </w:p>
    <w:p w14:paraId="369CC172" w14:textId="77777777" w:rsidR="00023BBF" w:rsidRDefault="00023BBF">
      <w:pPr>
        <w:autoSpaceDE w:val="0"/>
        <w:autoSpaceDN w:val="0"/>
        <w:adjustRightInd w:val="0"/>
        <w:rPr>
          <w:rFonts w:eastAsiaTheme="minorHAnsi"/>
          <w:i/>
          <w:iCs/>
          <w:color w:val="000000"/>
          <w:sz w:val="22"/>
          <w:szCs w:val="22"/>
          <w:lang w:eastAsia="en-US"/>
        </w:rPr>
      </w:pPr>
    </w:p>
    <w:p w14:paraId="36B5FE3E"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 xml:space="preserve">Pacientai, kuriems diagnozuotos arba įtariamos </w:t>
      </w:r>
      <w:proofErr w:type="spellStart"/>
      <w:r>
        <w:rPr>
          <w:rFonts w:eastAsiaTheme="minorHAnsi"/>
          <w:i/>
          <w:iCs/>
          <w:color w:val="000000"/>
          <w:sz w:val="22"/>
          <w:szCs w:val="22"/>
          <w:lang w:eastAsia="en-US"/>
        </w:rPr>
        <w:t>mitochondrinės</w:t>
      </w:r>
      <w:proofErr w:type="spellEnd"/>
      <w:r>
        <w:rPr>
          <w:rFonts w:eastAsiaTheme="minorHAnsi"/>
          <w:i/>
          <w:iCs/>
          <w:color w:val="000000"/>
          <w:sz w:val="22"/>
          <w:szCs w:val="22"/>
          <w:lang w:eastAsia="en-US"/>
        </w:rPr>
        <w:t xml:space="preserve"> ligos</w:t>
      </w:r>
    </w:p>
    <w:p w14:paraId="7EE76377" w14:textId="77777777" w:rsidR="00023BBF" w:rsidRDefault="00E17C37">
      <w:pPr>
        <w:pStyle w:val="Default"/>
        <w:rPr>
          <w:rFonts w:eastAsiaTheme="minorHAnsi"/>
          <w:sz w:val="22"/>
          <w:szCs w:val="22"/>
          <w:lang w:val="lt-LT" w:eastAsia="en-US"/>
        </w:rPr>
      </w:pPr>
      <w:r>
        <w:rPr>
          <w:rFonts w:eastAsiaTheme="minorHAnsi"/>
          <w:sz w:val="22"/>
          <w:szCs w:val="22"/>
          <w:lang w:val="lt-LT" w:eastAsia="en-US"/>
        </w:rPr>
        <w:t xml:space="preserve">Pacientams, kuriems diagnozuotos </w:t>
      </w:r>
      <w:proofErr w:type="spellStart"/>
      <w:r>
        <w:rPr>
          <w:rFonts w:eastAsiaTheme="minorHAnsi"/>
          <w:sz w:val="22"/>
          <w:szCs w:val="22"/>
          <w:lang w:val="lt-LT" w:eastAsia="en-US"/>
        </w:rPr>
        <w:t>mitochondrinės</w:t>
      </w:r>
      <w:proofErr w:type="spellEnd"/>
      <w:r>
        <w:rPr>
          <w:rFonts w:eastAsiaTheme="minorHAnsi"/>
          <w:sz w:val="22"/>
          <w:szCs w:val="22"/>
          <w:lang w:val="lt-LT" w:eastAsia="en-US"/>
        </w:rPr>
        <w:t xml:space="preserve"> ligos, pvz., </w:t>
      </w:r>
      <w:proofErr w:type="spellStart"/>
      <w:r>
        <w:rPr>
          <w:rFonts w:eastAsiaTheme="minorHAnsi"/>
          <w:sz w:val="22"/>
          <w:szCs w:val="22"/>
          <w:lang w:val="lt-LT" w:eastAsia="en-US"/>
        </w:rPr>
        <w:t>mitochondrinės</w:t>
      </w:r>
      <w:proofErr w:type="spellEnd"/>
      <w:r>
        <w:rPr>
          <w:rFonts w:eastAsiaTheme="minorHAnsi"/>
          <w:sz w:val="22"/>
          <w:szCs w:val="22"/>
          <w:lang w:val="lt-LT" w:eastAsia="en-US"/>
        </w:rPr>
        <w:t xml:space="preserve"> </w:t>
      </w:r>
      <w:proofErr w:type="spellStart"/>
      <w:r>
        <w:rPr>
          <w:rFonts w:eastAsiaTheme="minorHAnsi"/>
          <w:sz w:val="22"/>
          <w:szCs w:val="22"/>
          <w:lang w:val="lt-LT" w:eastAsia="en-US"/>
        </w:rPr>
        <w:t>encefalopatijos</w:t>
      </w:r>
      <w:proofErr w:type="spellEnd"/>
      <w:r>
        <w:rPr>
          <w:rFonts w:eastAsiaTheme="minorHAnsi"/>
          <w:sz w:val="22"/>
          <w:szCs w:val="22"/>
          <w:lang w:val="lt-LT" w:eastAsia="en-US"/>
        </w:rPr>
        <w:t xml:space="preserve"> su pieno rūgšties </w:t>
      </w:r>
      <w:proofErr w:type="spellStart"/>
      <w:r>
        <w:rPr>
          <w:rFonts w:eastAsiaTheme="minorHAnsi"/>
          <w:sz w:val="22"/>
          <w:szCs w:val="22"/>
          <w:lang w:val="lt-LT" w:eastAsia="en-US"/>
        </w:rPr>
        <w:t>acidoze</w:t>
      </w:r>
      <w:proofErr w:type="spellEnd"/>
      <w:r>
        <w:rPr>
          <w:rFonts w:eastAsiaTheme="minorHAnsi"/>
          <w:sz w:val="22"/>
          <w:szCs w:val="22"/>
          <w:lang w:val="lt-LT" w:eastAsia="en-US"/>
        </w:rPr>
        <w:t xml:space="preserve"> ir į insultą panašiais epizodais (angl. </w:t>
      </w:r>
      <w:proofErr w:type="spellStart"/>
      <w:r>
        <w:rPr>
          <w:rFonts w:eastAsiaTheme="minorHAnsi"/>
          <w:i/>
          <w:iCs/>
          <w:sz w:val="22"/>
          <w:szCs w:val="22"/>
          <w:lang w:val="lt-LT" w:eastAsia="en-US"/>
        </w:rPr>
        <w:t>Mitochondrial</w:t>
      </w:r>
      <w:proofErr w:type="spellEnd"/>
      <w:r>
        <w:rPr>
          <w:rFonts w:eastAsiaTheme="minorHAnsi"/>
          <w:i/>
          <w:iCs/>
          <w:sz w:val="22"/>
          <w:szCs w:val="22"/>
          <w:lang w:val="lt-LT" w:eastAsia="en-US"/>
        </w:rPr>
        <w:t xml:space="preserve"> </w:t>
      </w:r>
      <w:proofErr w:type="spellStart"/>
      <w:r>
        <w:rPr>
          <w:rFonts w:eastAsiaTheme="minorHAnsi"/>
          <w:i/>
          <w:iCs/>
          <w:sz w:val="22"/>
          <w:szCs w:val="22"/>
          <w:lang w:val="lt-LT" w:eastAsia="en-US"/>
        </w:rPr>
        <w:t>Encephalomyopathy</w:t>
      </w:r>
      <w:proofErr w:type="spellEnd"/>
      <w:r>
        <w:rPr>
          <w:rFonts w:eastAsiaTheme="minorHAnsi"/>
          <w:i/>
          <w:iCs/>
          <w:sz w:val="22"/>
          <w:szCs w:val="22"/>
          <w:lang w:val="lt-LT" w:eastAsia="en-US"/>
        </w:rPr>
        <w:t xml:space="preserve"> </w:t>
      </w:r>
      <w:proofErr w:type="spellStart"/>
      <w:r>
        <w:rPr>
          <w:rFonts w:eastAsiaTheme="minorHAnsi"/>
          <w:i/>
          <w:iCs/>
          <w:sz w:val="22"/>
          <w:szCs w:val="22"/>
          <w:lang w:val="lt-LT" w:eastAsia="en-US"/>
        </w:rPr>
        <w:t>with</w:t>
      </w:r>
      <w:proofErr w:type="spellEnd"/>
      <w:r>
        <w:rPr>
          <w:rFonts w:eastAsiaTheme="minorHAnsi"/>
          <w:i/>
          <w:iCs/>
          <w:sz w:val="22"/>
          <w:szCs w:val="22"/>
          <w:lang w:val="lt-LT" w:eastAsia="en-US"/>
        </w:rPr>
        <w:t xml:space="preserve"> </w:t>
      </w:r>
      <w:proofErr w:type="spellStart"/>
      <w:r>
        <w:rPr>
          <w:rFonts w:eastAsiaTheme="minorHAnsi"/>
          <w:i/>
          <w:iCs/>
          <w:sz w:val="22"/>
          <w:szCs w:val="22"/>
          <w:lang w:val="lt-LT" w:eastAsia="en-US"/>
        </w:rPr>
        <w:t>Lactic</w:t>
      </w:r>
      <w:proofErr w:type="spellEnd"/>
      <w:r>
        <w:rPr>
          <w:rFonts w:eastAsiaTheme="minorHAnsi"/>
          <w:i/>
          <w:iCs/>
          <w:sz w:val="22"/>
          <w:szCs w:val="22"/>
          <w:lang w:val="lt-LT" w:eastAsia="en-US"/>
        </w:rPr>
        <w:t xml:space="preserve"> </w:t>
      </w:r>
      <w:proofErr w:type="spellStart"/>
      <w:r>
        <w:rPr>
          <w:rFonts w:eastAsiaTheme="minorHAnsi"/>
          <w:i/>
          <w:iCs/>
          <w:sz w:val="22"/>
          <w:szCs w:val="22"/>
          <w:lang w:val="lt-LT" w:eastAsia="en-US"/>
        </w:rPr>
        <w:t>Acidosis</w:t>
      </w:r>
      <w:proofErr w:type="spellEnd"/>
      <w:r>
        <w:rPr>
          <w:rFonts w:eastAsiaTheme="minorHAnsi"/>
          <w:i/>
          <w:iCs/>
          <w:sz w:val="22"/>
          <w:szCs w:val="22"/>
          <w:lang w:val="lt-LT" w:eastAsia="en-US"/>
        </w:rPr>
        <w:t xml:space="preserve"> </w:t>
      </w:r>
      <w:proofErr w:type="spellStart"/>
      <w:r>
        <w:rPr>
          <w:rFonts w:eastAsiaTheme="minorHAnsi"/>
          <w:i/>
          <w:iCs/>
          <w:sz w:val="22"/>
          <w:szCs w:val="22"/>
          <w:lang w:val="lt-LT" w:eastAsia="en-US"/>
        </w:rPr>
        <w:t>and</w:t>
      </w:r>
      <w:proofErr w:type="spellEnd"/>
      <w:r>
        <w:rPr>
          <w:rFonts w:eastAsiaTheme="minorHAnsi"/>
          <w:i/>
          <w:iCs/>
          <w:sz w:val="22"/>
          <w:szCs w:val="22"/>
          <w:lang w:val="lt-LT" w:eastAsia="en-US"/>
        </w:rPr>
        <w:t xml:space="preserve"> </w:t>
      </w:r>
      <w:proofErr w:type="spellStart"/>
      <w:r>
        <w:rPr>
          <w:rFonts w:eastAsiaTheme="minorHAnsi"/>
          <w:i/>
          <w:iCs/>
          <w:sz w:val="22"/>
          <w:szCs w:val="22"/>
          <w:lang w:val="lt-LT" w:eastAsia="en-US"/>
        </w:rPr>
        <w:t>Stroke-like</w:t>
      </w:r>
      <w:proofErr w:type="spellEnd"/>
      <w:r>
        <w:rPr>
          <w:rFonts w:eastAsiaTheme="minorHAnsi"/>
          <w:i/>
          <w:iCs/>
          <w:sz w:val="22"/>
          <w:szCs w:val="22"/>
          <w:lang w:val="lt-LT" w:eastAsia="en-US"/>
        </w:rPr>
        <w:t xml:space="preserve"> </w:t>
      </w:r>
      <w:proofErr w:type="spellStart"/>
      <w:r>
        <w:rPr>
          <w:rFonts w:eastAsiaTheme="minorHAnsi"/>
          <w:i/>
          <w:iCs/>
          <w:sz w:val="22"/>
          <w:szCs w:val="22"/>
          <w:lang w:val="lt-LT" w:eastAsia="en-US"/>
        </w:rPr>
        <w:t>Episodes</w:t>
      </w:r>
      <w:proofErr w:type="spellEnd"/>
      <w:r>
        <w:rPr>
          <w:rFonts w:eastAsiaTheme="minorHAnsi"/>
          <w:i/>
          <w:iCs/>
          <w:sz w:val="22"/>
          <w:szCs w:val="22"/>
          <w:lang w:val="lt-LT" w:eastAsia="en-US"/>
        </w:rPr>
        <w:t>, MELAS</w:t>
      </w:r>
      <w:r>
        <w:rPr>
          <w:rFonts w:eastAsiaTheme="minorHAnsi"/>
          <w:sz w:val="22"/>
          <w:szCs w:val="22"/>
          <w:lang w:val="lt-LT" w:eastAsia="en-US"/>
        </w:rPr>
        <w:t xml:space="preserve">) sindromas ir iš motinos paveldėtas diabetas bei kurtumas (angl. </w:t>
      </w:r>
      <w:proofErr w:type="spellStart"/>
      <w:r>
        <w:rPr>
          <w:rFonts w:eastAsiaTheme="minorHAnsi"/>
          <w:i/>
          <w:iCs/>
          <w:sz w:val="22"/>
          <w:szCs w:val="22"/>
          <w:lang w:val="lt-LT" w:eastAsia="en-US"/>
        </w:rPr>
        <w:t>Maternally</w:t>
      </w:r>
      <w:proofErr w:type="spellEnd"/>
      <w:r>
        <w:rPr>
          <w:rFonts w:eastAsiaTheme="minorHAnsi"/>
          <w:i/>
          <w:iCs/>
          <w:sz w:val="22"/>
          <w:szCs w:val="22"/>
          <w:lang w:val="lt-LT" w:eastAsia="en-US"/>
        </w:rPr>
        <w:t xml:space="preserve"> </w:t>
      </w:r>
      <w:proofErr w:type="spellStart"/>
      <w:r>
        <w:rPr>
          <w:rFonts w:eastAsiaTheme="minorHAnsi"/>
          <w:i/>
          <w:iCs/>
          <w:sz w:val="22"/>
          <w:szCs w:val="22"/>
          <w:lang w:val="lt-LT" w:eastAsia="en-US"/>
        </w:rPr>
        <w:t>Inherited</w:t>
      </w:r>
      <w:proofErr w:type="spellEnd"/>
      <w:r>
        <w:rPr>
          <w:rFonts w:eastAsiaTheme="minorHAnsi"/>
          <w:i/>
          <w:iCs/>
          <w:sz w:val="22"/>
          <w:szCs w:val="22"/>
          <w:lang w:val="lt-LT" w:eastAsia="en-US"/>
        </w:rPr>
        <w:t xml:space="preserve"> </w:t>
      </w:r>
      <w:proofErr w:type="spellStart"/>
      <w:r>
        <w:rPr>
          <w:rFonts w:eastAsiaTheme="minorHAnsi"/>
          <w:i/>
          <w:iCs/>
          <w:sz w:val="22"/>
          <w:szCs w:val="22"/>
          <w:lang w:val="lt-LT" w:eastAsia="en-US"/>
        </w:rPr>
        <w:t>Diabetes</w:t>
      </w:r>
      <w:proofErr w:type="spellEnd"/>
      <w:r>
        <w:rPr>
          <w:rFonts w:eastAsiaTheme="minorHAnsi"/>
          <w:i/>
          <w:iCs/>
          <w:sz w:val="22"/>
          <w:szCs w:val="22"/>
          <w:lang w:val="lt-LT" w:eastAsia="en-US"/>
        </w:rPr>
        <w:t xml:space="preserve"> </w:t>
      </w:r>
      <w:proofErr w:type="spellStart"/>
      <w:r>
        <w:rPr>
          <w:rFonts w:eastAsiaTheme="minorHAnsi"/>
          <w:i/>
          <w:iCs/>
          <w:sz w:val="22"/>
          <w:szCs w:val="22"/>
          <w:lang w:val="lt-LT" w:eastAsia="en-US"/>
        </w:rPr>
        <w:t>and</w:t>
      </w:r>
      <w:proofErr w:type="spellEnd"/>
      <w:r>
        <w:rPr>
          <w:rFonts w:eastAsiaTheme="minorHAnsi"/>
          <w:i/>
          <w:iCs/>
          <w:sz w:val="22"/>
          <w:szCs w:val="22"/>
          <w:lang w:val="lt-LT" w:eastAsia="en-US"/>
        </w:rPr>
        <w:t xml:space="preserve"> </w:t>
      </w:r>
      <w:proofErr w:type="spellStart"/>
      <w:r>
        <w:rPr>
          <w:rFonts w:eastAsiaTheme="minorHAnsi"/>
          <w:i/>
          <w:iCs/>
          <w:sz w:val="22"/>
          <w:szCs w:val="22"/>
          <w:lang w:val="lt-LT" w:eastAsia="en-US"/>
        </w:rPr>
        <w:t>Deafness</w:t>
      </w:r>
      <w:proofErr w:type="spellEnd"/>
      <w:r>
        <w:rPr>
          <w:rFonts w:eastAsiaTheme="minorHAnsi"/>
          <w:i/>
          <w:iCs/>
          <w:sz w:val="22"/>
          <w:szCs w:val="22"/>
          <w:lang w:val="lt-LT" w:eastAsia="en-US"/>
        </w:rPr>
        <w:t>, MIDD</w:t>
      </w:r>
      <w:r>
        <w:rPr>
          <w:rFonts w:eastAsiaTheme="minorHAnsi"/>
          <w:sz w:val="22"/>
          <w:szCs w:val="22"/>
          <w:lang w:val="lt-LT" w:eastAsia="en-US"/>
        </w:rPr>
        <w:t xml:space="preserve">), </w:t>
      </w:r>
      <w:proofErr w:type="spellStart"/>
      <w:r>
        <w:rPr>
          <w:rFonts w:eastAsiaTheme="minorHAnsi"/>
          <w:sz w:val="22"/>
          <w:szCs w:val="22"/>
          <w:lang w:val="lt-LT" w:eastAsia="en-US"/>
        </w:rPr>
        <w:t>metformino</w:t>
      </w:r>
      <w:proofErr w:type="spellEnd"/>
      <w:r>
        <w:rPr>
          <w:rFonts w:eastAsiaTheme="minorHAnsi"/>
          <w:sz w:val="22"/>
          <w:szCs w:val="22"/>
          <w:lang w:val="lt-LT" w:eastAsia="en-US"/>
        </w:rPr>
        <w:t xml:space="preserve"> vartoti nerekomenduojama dėl pieno rūgšties </w:t>
      </w:r>
      <w:proofErr w:type="spellStart"/>
      <w:r>
        <w:rPr>
          <w:rFonts w:eastAsiaTheme="minorHAnsi"/>
          <w:sz w:val="22"/>
          <w:szCs w:val="22"/>
          <w:lang w:val="lt-LT" w:eastAsia="en-US"/>
        </w:rPr>
        <w:t>acidozės</w:t>
      </w:r>
      <w:proofErr w:type="spellEnd"/>
      <w:r>
        <w:rPr>
          <w:rFonts w:eastAsiaTheme="minorHAnsi"/>
          <w:sz w:val="22"/>
          <w:szCs w:val="22"/>
          <w:lang w:val="lt-LT" w:eastAsia="en-US"/>
        </w:rPr>
        <w:t xml:space="preserve"> paūmėjimo ir neurologinių komplikacijų, dėl kurių gali pasunkėti liga, rizikos. Jei pavartojus </w:t>
      </w:r>
      <w:proofErr w:type="spellStart"/>
      <w:r>
        <w:rPr>
          <w:rFonts w:eastAsiaTheme="minorHAnsi"/>
          <w:sz w:val="22"/>
          <w:szCs w:val="22"/>
          <w:lang w:val="lt-LT" w:eastAsia="en-US"/>
        </w:rPr>
        <w:t>metformino</w:t>
      </w:r>
      <w:proofErr w:type="spellEnd"/>
      <w:r>
        <w:rPr>
          <w:rFonts w:eastAsiaTheme="minorHAnsi"/>
          <w:sz w:val="22"/>
          <w:szCs w:val="22"/>
          <w:lang w:val="lt-LT" w:eastAsia="en-US"/>
        </w:rPr>
        <w:t xml:space="preserve"> atsiranda požymių ir simptomų, būdingų </w:t>
      </w:r>
      <w:r>
        <w:rPr>
          <w:rFonts w:eastAsiaTheme="minorHAnsi"/>
          <w:i/>
          <w:iCs/>
          <w:sz w:val="22"/>
          <w:szCs w:val="22"/>
          <w:lang w:val="lt-LT" w:eastAsia="en-US"/>
        </w:rPr>
        <w:t xml:space="preserve">MELAS </w:t>
      </w:r>
      <w:r>
        <w:rPr>
          <w:rFonts w:eastAsiaTheme="minorHAnsi"/>
          <w:sz w:val="22"/>
          <w:szCs w:val="22"/>
          <w:lang w:val="lt-LT" w:eastAsia="en-US"/>
        </w:rPr>
        <w:t xml:space="preserve">sindromui arba </w:t>
      </w:r>
      <w:r>
        <w:rPr>
          <w:rFonts w:eastAsiaTheme="minorHAnsi"/>
          <w:i/>
          <w:iCs/>
          <w:sz w:val="22"/>
          <w:szCs w:val="22"/>
          <w:lang w:val="lt-LT" w:eastAsia="en-US"/>
        </w:rPr>
        <w:t>MIDD</w:t>
      </w:r>
      <w:r>
        <w:rPr>
          <w:rFonts w:eastAsiaTheme="minorHAnsi"/>
          <w:sz w:val="22"/>
          <w:szCs w:val="22"/>
          <w:lang w:val="lt-LT" w:eastAsia="en-US"/>
        </w:rPr>
        <w:t xml:space="preserve">, reikia nedelsiant nutraukti gydymą </w:t>
      </w:r>
      <w:proofErr w:type="spellStart"/>
      <w:r>
        <w:rPr>
          <w:rFonts w:eastAsiaTheme="minorHAnsi"/>
          <w:sz w:val="22"/>
          <w:szCs w:val="22"/>
          <w:lang w:val="lt-LT" w:eastAsia="en-US"/>
        </w:rPr>
        <w:t>metforminu</w:t>
      </w:r>
      <w:proofErr w:type="spellEnd"/>
      <w:r>
        <w:rPr>
          <w:rFonts w:eastAsiaTheme="minorHAnsi"/>
          <w:sz w:val="22"/>
          <w:szCs w:val="22"/>
          <w:lang w:val="lt-LT" w:eastAsia="en-US"/>
        </w:rPr>
        <w:t xml:space="preserve"> ir greitai atlikti diagnostinį įvertinimą.</w:t>
      </w:r>
    </w:p>
    <w:p w14:paraId="0DDFCF5C" w14:textId="77777777" w:rsidR="00023BBF" w:rsidRDefault="00023BBF">
      <w:pPr>
        <w:pStyle w:val="Default"/>
        <w:rPr>
          <w:rFonts w:eastAsiaTheme="minorHAnsi"/>
          <w:sz w:val="22"/>
          <w:szCs w:val="22"/>
          <w:lang w:val="lt-LT" w:eastAsia="en-US"/>
        </w:rPr>
      </w:pPr>
    </w:p>
    <w:p w14:paraId="5E22AB1A"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Inkstų funkcija</w:t>
      </w:r>
    </w:p>
    <w:p w14:paraId="730AE480"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lastRenderedPageBreak/>
        <w:t>Gliukozės koncentraciją mažinantis dapagliflozino veiksmingumas priklauso nuo inkstų funkcijos – jis būna mažesnis, kai GFG &lt; 45 ml/min. ir turėtų išnykti pacientams, kurių inkstų funkcijos sutrikimas sunkus (žr. 4.2, 5.1 ir 5.2 skyrius).</w:t>
      </w:r>
    </w:p>
    <w:p w14:paraId="03ECFD76"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Metforminas</w:t>
      </w:r>
      <w:proofErr w:type="spellEnd"/>
      <w:r>
        <w:rPr>
          <w:rFonts w:eastAsiaTheme="minorHAnsi"/>
          <w:color w:val="000000"/>
          <w:sz w:val="22"/>
          <w:szCs w:val="22"/>
          <w:lang w:eastAsia="en-US"/>
        </w:rPr>
        <w:t xml:space="preserve"> išskiriamas per inkstus, todėl vidutiniškai arba sunkiai sutrikus inkstų funkcijai padidėja pieno rūgšties </w:t>
      </w:r>
      <w:proofErr w:type="spellStart"/>
      <w:r>
        <w:rPr>
          <w:rFonts w:eastAsiaTheme="minorHAnsi"/>
          <w:color w:val="000000"/>
          <w:sz w:val="22"/>
          <w:szCs w:val="22"/>
          <w:lang w:eastAsia="en-US"/>
        </w:rPr>
        <w:t>acidozės</w:t>
      </w:r>
      <w:proofErr w:type="spellEnd"/>
      <w:r>
        <w:rPr>
          <w:rFonts w:eastAsiaTheme="minorHAnsi"/>
          <w:color w:val="000000"/>
          <w:sz w:val="22"/>
          <w:szCs w:val="22"/>
          <w:lang w:eastAsia="en-US"/>
        </w:rPr>
        <w:t xml:space="preserve"> rizika (žr. 4.4 skyrių).</w:t>
      </w:r>
    </w:p>
    <w:p w14:paraId="35C44E31"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Inkstų funkciją reikia tirti prieš pradedant gydymą ir paskui reguliariai (žr. 4.2 skyrių).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negalima vartoti pacientams, kurių GFG &lt; 30 ml/min., jo vartojimą reikia laikinai nutraukti, esant būklėms, kurios sutrikdo inkstų funkciją (žr. 4.3 skyrių).</w:t>
      </w:r>
    </w:p>
    <w:p w14:paraId="46F87BBA" w14:textId="77777777" w:rsidR="00023BBF" w:rsidRDefault="00023BBF">
      <w:pPr>
        <w:autoSpaceDE w:val="0"/>
        <w:autoSpaceDN w:val="0"/>
        <w:adjustRightInd w:val="0"/>
        <w:rPr>
          <w:rFonts w:eastAsiaTheme="minorHAnsi"/>
          <w:color w:val="000000"/>
          <w:sz w:val="22"/>
          <w:szCs w:val="22"/>
          <w:lang w:eastAsia="en-US"/>
        </w:rPr>
      </w:pPr>
    </w:p>
    <w:p w14:paraId="45AF64D0"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Senyviems pacientams sutrikusi inkstų funkcija pasitaiko dažnai ir nesukelia simptomų. Kai ji gali sutrikti, pvz., pradedant vartoti </w:t>
      </w:r>
      <w:proofErr w:type="spellStart"/>
      <w:r>
        <w:rPr>
          <w:rFonts w:eastAsiaTheme="minorHAnsi"/>
          <w:color w:val="000000"/>
          <w:sz w:val="22"/>
          <w:szCs w:val="22"/>
          <w:lang w:eastAsia="en-US"/>
        </w:rPr>
        <w:t>antihipertenzinių</w:t>
      </w:r>
      <w:proofErr w:type="spellEnd"/>
      <w:r>
        <w:rPr>
          <w:rFonts w:eastAsiaTheme="minorHAnsi"/>
          <w:color w:val="000000"/>
          <w:sz w:val="22"/>
          <w:szCs w:val="22"/>
          <w:lang w:eastAsia="en-US"/>
        </w:rPr>
        <w:t xml:space="preserve"> vaistinių preparatų, diuretikų arba NVNU, reikia specialių atsargumo priemonių.</w:t>
      </w:r>
    </w:p>
    <w:p w14:paraId="74BB5C05" w14:textId="77777777" w:rsidR="00023BBF" w:rsidRDefault="00023BBF">
      <w:pPr>
        <w:autoSpaceDE w:val="0"/>
        <w:autoSpaceDN w:val="0"/>
        <w:adjustRightInd w:val="0"/>
        <w:rPr>
          <w:rFonts w:eastAsiaTheme="minorHAnsi"/>
          <w:color w:val="000000"/>
          <w:sz w:val="22"/>
          <w:szCs w:val="22"/>
          <w:lang w:eastAsia="en-US"/>
        </w:rPr>
      </w:pPr>
    </w:p>
    <w:p w14:paraId="52C63190"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 xml:space="preserve">Vartojimas esant kraujo tūrio sumažėjimo ir (arba) </w:t>
      </w:r>
      <w:proofErr w:type="spellStart"/>
      <w:r>
        <w:rPr>
          <w:rFonts w:eastAsiaTheme="minorHAnsi"/>
          <w:color w:val="000000"/>
          <w:sz w:val="22"/>
          <w:szCs w:val="22"/>
          <w:u w:val="single"/>
          <w:lang w:eastAsia="en-US"/>
        </w:rPr>
        <w:t>hipotenzijos</w:t>
      </w:r>
      <w:proofErr w:type="spellEnd"/>
      <w:r>
        <w:rPr>
          <w:rFonts w:eastAsiaTheme="minorHAnsi"/>
          <w:color w:val="000000"/>
          <w:sz w:val="22"/>
          <w:szCs w:val="22"/>
          <w:u w:val="single"/>
          <w:lang w:eastAsia="en-US"/>
        </w:rPr>
        <w:t xml:space="preserve"> pavojui</w:t>
      </w:r>
    </w:p>
    <w:p w14:paraId="186843FF"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Dėl savo veikimo mechanizmo dapagliflozinas didina diurezę, todėl gali sukelti nedidelį kraujospūdžio sumažėjimą, nustatytą klinikinių tyrimų metu (žr. 5.1 skyrių). Šis poveikis gali būti ryškesnis pacientams, kurių kraujyje gliukozės koncentracija yra labai didelė.</w:t>
      </w:r>
    </w:p>
    <w:p w14:paraId="73054994" w14:textId="77777777" w:rsidR="00023BBF" w:rsidRDefault="00023BBF">
      <w:pPr>
        <w:autoSpaceDE w:val="0"/>
        <w:autoSpaceDN w:val="0"/>
        <w:adjustRightInd w:val="0"/>
        <w:rPr>
          <w:rFonts w:eastAsiaTheme="minorHAnsi"/>
          <w:color w:val="000000"/>
          <w:sz w:val="22"/>
          <w:szCs w:val="22"/>
          <w:lang w:eastAsia="en-US"/>
        </w:rPr>
      </w:pPr>
    </w:p>
    <w:p w14:paraId="2CE49898"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Jeigu dapagliflozino sukeltas kraujospūdžio sumažėjimas gali būti pavojingas (pvz., jeigu </w:t>
      </w:r>
      <w:proofErr w:type="spellStart"/>
      <w:r>
        <w:rPr>
          <w:rFonts w:eastAsiaTheme="minorHAnsi"/>
          <w:color w:val="000000"/>
          <w:sz w:val="22"/>
          <w:szCs w:val="22"/>
          <w:lang w:eastAsia="en-US"/>
        </w:rPr>
        <w:t>antihipertenzinių</w:t>
      </w:r>
      <w:proofErr w:type="spellEnd"/>
      <w:r>
        <w:rPr>
          <w:rFonts w:eastAsiaTheme="minorHAnsi"/>
          <w:color w:val="000000"/>
          <w:sz w:val="22"/>
          <w:szCs w:val="22"/>
          <w:lang w:eastAsia="en-US"/>
        </w:rPr>
        <w:t xml:space="preserve"> vaistinių preparatų vartojančiam pacientui yra buvusi </w:t>
      </w:r>
      <w:proofErr w:type="spellStart"/>
      <w:r>
        <w:rPr>
          <w:rFonts w:eastAsiaTheme="minorHAnsi"/>
          <w:color w:val="000000"/>
          <w:sz w:val="22"/>
          <w:szCs w:val="22"/>
          <w:lang w:eastAsia="en-US"/>
        </w:rPr>
        <w:t>hipotenzija</w:t>
      </w:r>
      <w:proofErr w:type="spellEnd"/>
      <w:r>
        <w:rPr>
          <w:rFonts w:eastAsiaTheme="minorHAnsi"/>
          <w:color w:val="000000"/>
          <w:sz w:val="22"/>
          <w:szCs w:val="22"/>
          <w:lang w:eastAsia="en-US"/>
        </w:rPr>
        <w:t xml:space="preserve"> arba pacientas senyvo amžiaus), reikia imtis atsargumo priemonių.</w:t>
      </w:r>
    </w:p>
    <w:p w14:paraId="58BED35D" w14:textId="77777777" w:rsidR="00023BBF" w:rsidRDefault="00023BBF">
      <w:pPr>
        <w:autoSpaceDE w:val="0"/>
        <w:autoSpaceDN w:val="0"/>
        <w:adjustRightInd w:val="0"/>
        <w:rPr>
          <w:rFonts w:eastAsiaTheme="minorHAnsi"/>
          <w:color w:val="000000"/>
          <w:sz w:val="22"/>
          <w:szCs w:val="22"/>
          <w:lang w:eastAsia="en-US"/>
        </w:rPr>
      </w:pPr>
    </w:p>
    <w:p w14:paraId="2BBF6FF4"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Jeigu pacientas serga gretutine (pvz., virškinimo trakto) liga, dėl kurios gali sumažėti kraujo tūris, tai rekomenduojama jį kruopščiai stebėti (pvz., atlikti medicininę apžiūrą, matuoti kraujospūdį, daryti laboratorinius tyrimus, įskaitant </w:t>
      </w:r>
      <w:proofErr w:type="spellStart"/>
      <w:r>
        <w:rPr>
          <w:rFonts w:eastAsiaTheme="minorHAnsi"/>
          <w:color w:val="000000"/>
          <w:sz w:val="22"/>
          <w:szCs w:val="22"/>
          <w:lang w:eastAsia="en-US"/>
        </w:rPr>
        <w:t>hematokrito</w:t>
      </w:r>
      <w:proofErr w:type="spellEnd"/>
      <w:r>
        <w:rPr>
          <w:rFonts w:eastAsiaTheme="minorHAnsi"/>
          <w:color w:val="000000"/>
          <w:sz w:val="22"/>
          <w:szCs w:val="22"/>
          <w:lang w:eastAsia="en-US"/>
        </w:rPr>
        <w:t xml:space="preserve"> ir elektrolitų koncentracijas). Sumažėjus skysčio tūriui rekomenduojama laikinai (kol jis bus sureguliuotas) nutraukti šio vaistinio preparato vartojimą (žr. 4.8 skyrių).</w:t>
      </w:r>
    </w:p>
    <w:p w14:paraId="6A369CF5" w14:textId="77777777" w:rsidR="00023BBF" w:rsidRDefault="00023BBF">
      <w:pPr>
        <w:autoSpaceDE w:val="0"/>
        <w:autoSpaceDN w:val="0"/>
        <w:adjustRightInd w:val="0"/>
        <w:rPr>
          <w:rFonts w:eastAsiaTheme="minorHAnsi"/>
          <w:color w:val="000000"/>
          <w:sz w:val="22"/>
          <w:szCs w:val="22"/>
          <w:lang w:eastAsia="en-US"/>
        </w:rPr>
      </w:pPr>
    </w:p>
    <w:p w14:paraId="4C30617C"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 xml:space="preserve">Diabetinė </w:t>
      </w:r>
      <w:proofErr w:type="spellStart"/>
      <w:r>
        <w:rPr>
          <w:rFonts w:eastAsiaTheme="minorHAnsi"/>
          <w:color w:val="000000"/>
          <w:sz w:val="22"/>
          <w:szCs w:val="22"/>
          <w:u w:val="single"/>
          <w:lang w:eastAsia="en-US"/>
        </w:rPr>
        <w:t>ketoacidozė</w:t>
      </w:r>
      <w:proofErr w:type="spellEnd"/>
    </w:p>
    <w:p w14:paraId="77189CE6"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Vartojant natrio ir gliukozės vienkrypčio nešiklio 2 (angl. </w:t>
      </w:r>
      <w:proofErr w:type="spellStart"/>
      <w:r>
        <w:rPr>
          <w:rFonts w:eastAsiaTheme="minorHAnsi"/>
          <w:i/>
          <w:iCs/>
          <w:color w:val="000000"/>
          <w:sz w:val="22"/>
          <w:szCs w:val="22"/>
          <w:lang w:eastAsia="en-US"/>
        </w:rPr>
        <w:t>sodium</w:t>
      </w:r>
      <w:proofErr w:type="spellEnd"/>
      <w:r>
        <w:rPr>
          <w:rFonts w:eastAsiaTheme="minorHAnsi"/>
          <w:i/>
          <w:iCs/>
          <w:color w:val="000000"/>
          <w:sz w:val="22"/>
          <w:szCs w:val="22"/>
          <w:lang w:eastAsia="en-US"/>
        </w:rPr>
        <w:t xml:space="preserve"> </w:t>
      </w:r>
      <w:proofErr w:type="spellStart"/>
      <w:r>
        <w:rPr>
          <w:rFonts w:eastAsiaTheme="minorHAnsi"/>
          <w:i/>
          <w:iCs/>
          <w:color w:val="000000"/>
          <w:sz w:val="22"/>
          <w:szCs w:val="22"/>
          <w:lang w:eastAsia="en-US"/>
        </w:rPr>
        <w:t>glucose</w:t>
      </w:r>
      <w:proofErr w:type="spellEnd"/>
      <w:r>
        <w:rPr>
          <w:rFonts w:eastAsiaTheme="minorHAnsi"/>
          <w:i/>
          <w:iCs/>
          <w:color w:val="000000"/>
          <w:sz w:val="22"/>
          <w:szCs w:val="22"/>
          <w:lang w:eastAsia="en-US"/>
        </w:rPr>
        <w:t xml:space="preserve"> </w:t>
      </w:r>
      <w:proofErr w:type="spellStart"/>
      <w:r>
        <w:rPr>
          <w:rFonts w:eastAsiaTheme="minorHAnsi"/>
          <w:i/>
          <w:iCs/>
          <w:color w:val="000000"/>
          <w:sz w:val="22"/>
          <w:szCs w:val="22"/>
          <w:lang w:eastAsia="en-US"/>
        </w:rPr>
        <w:t>co-transporter</w:t>
      </w:r>
      <w:proofErr w:type="spellEnd"/>
      <w:r>
        <w:rPr>
          <w:rFonts w:eastAsiaTheme="minorHAnsi"/>
          <w:i/>
          <w:iCs/>
          <w:color w:val="000000"/>
          <w:sz w:val="22"/>
          <w:szCs w:val="22"/>
          <w:lang w:eastAsia="en-US"/>
        </w:rPr>
        <w:t xml:space="preserve"> </w:t>
      </w:r>
      <w:r>
        <w:rPr>
          <w:rFonts w:eastAsiaTheme="minorHAnsi"/>
          <w:color w:val="000000"/>
          <w:sz w:val="22"/>
          <w:szCs w:val="22"/>
          <w:lang w:eastAsia="en-US"/>
        </w:rPr>
        <w:t xml:space="preserve">2, SGLT2) inhibitorių, įskaitant dapagliflozino, užfiksuota retų diabetinės </w:t>
      </w:r>
      <w:proofErr w:type="spellStart"/>
      <w:r>
        <w:rPr>
          <w:rFonts w:eastAsiaTheme="minorHAnsi"/>
          <w:color w:val="000000"/>
          <w:sz w:val="22"/>
          <w:szCs w:val="22"/>
          <w:lang w:eastAsia="en-US"/>
        </w:rPr>
        <w:t>ketoacidozės</w:t>
      </w:r>
      <w:proofErr w:type="spellEnd"/>
      <w:r>
        <w:rPr>
          <w:rFonts w:eastAsiaTheme="minorHAnsi"/>
          <w:color w:val="000000"/>
          <w:sz w:val="22"/>
          <w:szCs w:val="22"/>
          <w:lang w:eastAsia="en-US"/>
        </w:rPr>
        <w:t xml:space="preserve"> (DKA) atvejų, tarp kurių buvo pavojingų gyvybei ir mirtinų. Kartais ši būklė pasireiškė netipiškai, o gliukozės koncentracija kraujyje buvo padidėjusi tik vidutiniškai (nesiekė 14 </w:t>
      </w:r>
      <w:proofErr w:type="spellStart"/>
      <w:r>
        <w:rPr>
          <w:rFonts w:eastAsiaTheme="minorHAnsi"/>
          <w:color w:val="000000"/>
          <w:sz w:val="22"/>
          <w:szCs w:val="22"/>
          <w:lang w:eastAsia="en-US"/>
        </w:rPr>
        <w:t>mmol</w:t>
      </w:r>
      <w:proofErr w:type="spellEnd"/>
      <w:r>
        <w:rPr>
          <w:rFonts w:eastAsiaTheme="minorHAnsi"/>
          <w:color w:val="000000"/>
          <w:sz w:val="22"/>
          <w:szCs w:val="22"/>
          <w:lang w:eastAsia="en-US"/>
        </w:rPr>
        <w:t>/l, t. y. 250 mg/dl). Ar DKA rizika būna didesnė vartojant didesnes dapagliflozino dozes, nežinoma.</w:t>
      </w:r>
    </w:p>
    <w:p w14:paraId="06480F01" w14:textId="77777777" w:rsidR="00023BBF" w:rsidRDefault="00023BBF">
      <w:pPr>
        <w:autoSpaceDE w:val="0"/>
        <w:autoSpaceDN w:val="0"/>
        <w:adjustRightInd w:val="0"/>
        <w:rPr>
          <w:rFonts w:eastAsiaTheme="minorHAnsi"/>
          <w:color w:val="000000"/>
          <w:sz w:val="22"/>
          <w:szCs w:val="22"/>
          <w:lang w:eastAsia="en-US"/>
        </w:rPr>
      </w:pPr>
    </w:p>
    <w:p w14:paraId="15745F20"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Į galimą DKA reikia atsižvelgti pasireiškus nespecifinių simptomų, pvz., pykinimui, vėmimui, anoreksijai, pilvo skausmui, dideliam troškuliui, pasunkėjus kvėpavimui, atsiradus sumišimui, atsiradus neįprastam nuovargiui ar mieguistumui. Tuomet reikia nedelsiant ištirti, ar nėra </w:t>
      </w:r>
      <w:proofErr w:type="spellStart"/>
      <w:r>
        <w:rPr>
          <w:rFonts w:eastAsiaTheme="minorHAnsi"/>
          <w:color w:val="000000"/>
          <w:sz w:val="22"/>
          <w:szCs w:val="22"/>
          <w:lang w:eastAsia="en-US"/>
        </w:rPr>
        <w:t>ketoacidozės</w:t>
      </w:r>
      <w:proofErr w:type="spellEnd"/>
      <w:r>
        <w:rPr>
          <w:rFonts w:eastAsiaTheme="minorHAnsi"/>
          <w:color w:val="000000"/>
          <w:sz w:val="22"/>
          <w:szCs w:val="22"/>
          <w:lang w:eastAsia="en-US"/>
        </w:rPr>
        <w:t xml:space="preserve"> (neatsižvelgiant į gliukozės koncentraciją kraujyje).</w:t>
      </w:r>
    </w:p>
    <w:p w14:paraId="2C720639" w14:textId="77777777" w:rsidR="00023BBF" w:rsidRDefault="00023BBF">
      <w:pPr>
        <w:autoSpaceDE w:val="0"/>
        <w:autoSpaceDN w:val="0"/>
        <w:adjustRightInd w:val="0"/>
        <w:rPr>
          <w:rFonts w:eastAsiaTheme="minorHAnsi"/>
          <w:color w:val="000000"/>
          <w:sz w:val="22"/>
          <w:szCs w:val="22"/>
          <w:lang w:eastAsia="en-US"/>
        </w:rPr>
      </w:pPr>
    </w:p>
    <w:p w14:paraId="2D658A01"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Įtarus arba nustačius DKA, reikia nedelsiant nutraukti dapagliflozino vartojimą.</w:t>
      </w:r>
    </w:p>
    <w:p w14:paraId="2B6C2547" w14:textId="77777777" w:rsidR="00023BBF" w:rsidRDefault="00023BBF">
      <w:pPr>
        <w:autoSpaceDE w:val="0"/>
        <w:autoSpaceDN w:val="0"/>
        <w:adjustRightInd w:val="0"/>
        <w:rPr>
          <w:rFonts w:eastAsiaTheme="minorHAnsi"/>
          <w:color w:val="000000"/>
          <w:sz w:val="22"/>
          <w:szCs w:val="22"/>
          <w:lang w:eastAsia="en-US"/>
        </w:rPr>
      </w:pPr>
    </w:p>
    <w:p w14:paraId="6EDED142"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Šio vaistinio preparato vartojimą reikia laikinai nutraukti hospitalizavus pacientą didelės apimties operacijai arba jam susirgus sunkia ūmine liga. Šiems pacientams rekomenduojama stebėti ketonų kiekį. Ketonų kiekį pageidaujama nustatyti šlapime. Dapagliflozino galima vėl vartoti tik tada, kai ketonų kiekis tampa normalus ir kai paciento sveikatos būklė stabilizuojasi.</w:t>
      </w:r>
    </w:p>
    <w:p w14:paraId="750EC137" w14:textId="77777777" w:rsidR="00023BBF" w:rsidRDefault="00023BBF">
      <w:pPr>
        <w:autoSpaceDE w:val="0"/>
        <w:autoSpaceDN w:val="0"/>
        <w:adjustRightInd w:val="0"/>
        <w:rPr>
          <w:rFonts w:eastAsiaTheme="minorHAnsi"/>
          <w:color w:val="000000"/>
          <w:sz w:val="22"/>
          <w:szCs w:val="22"/>
          <w:lang w:eastAsia="en-US"/>
        </w:rPr>
      </w:pPr>
    </w:p>
    <w:p w14:paraId="52175F14" w14:textId="77777777" w:rsidR="00023BBF" w:rsidRDefault="00E17C37">
      <w:pPr>
        <w:rPr>
          <w:rFonts w:eastAsiaTheme="minorHAnsi"/>
          <w:color w:val="000000"/>
          <w:sz w:val="22"/>
          <w:szCs w:val="22"/>
          <w:lang w:eastAsia="en-US"/>
        </w:rPr>
      </w:pPr>
      <w:r>
        <w:rPr>
          <w:rFonts w:eastAsiaTheme="minorHAnsi"/>
          <w:color w:val="000000"/>
          <w:sz w:val="22"/>
          <w:szCs w:val="22"/>
          <w:lang w:eastAsia="en-US"/>
        </w:rPr>
        <w:t xml:space="preserve">Prieš skiriant dapagliflozino, reikia įvertinti anamnezės faktorius, galinčius skatinti </w:t>
      </w:r>
      <w:proofErr w:type="spellStart"/>
      <w:r>
        <w:rPr>
          <w:rFonts w:eastAsiaTheme="minorHAnsi"/>
          <w:color w:val="000000"/>
          <w:sz w:val="22"/>
          <w:szCs w:val="22"/>
          <w:lang w:eastAsia="en-US"/>
        </w:rPr>
        <w:t>ketoacidozę</w:t>
      </w:r>
      <w:proofErr w:type="spellEnd"/>
      <w:r>
        <w:rPr>
          <w:rFonts w:eastAsiaTheme="minorHAnsi"/>
          <w:color w:val="000000"/>
          <w:sz w:val="22"/>
          <w:szCs w:val="22"/>
          <w:lang w:eastAsia="en-US"/>
        </w:rPr>
        <w:t>.</w:t>
      </w:r>
    </w:p>
    <w:p w14:paraId="65A76518" w14:textId="77777777" w:rsidR="00023BBF" w:rsidRDefault="00023BBF">
      <w:pPr>
        <w:rPr>
          <w:rFonts w:eastAsiaTheme="minorHAnsi"/>
          <w:color w:val="000000"/>
          <w:sz w:val="22"/>
          <w:szCs w:val="22"/>
          <w:lang w:eastAsia="en-US"/>
        </w:rPr>
      </w:pPr>
    </w:p>
    <w:p w14:paraId="61DE39F6"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DKA rizika gali būti didesnė, kai mažas beta ląstelių funkcijos rezervas (pvz., kai yra 2 tipo diabetas ir mažai C peptido, latentiniu autoimuniniu diabetu sergantiems suaugusiesiems bei sergant ar sirgus pankreatitu), sergant ligomis, dėl kurių ribojamas maisto kiekis arba pasireiškia sunki dehidratacija, sumažinus insulino dozę arba padidėjus jo poreikiui dėl ūminės ligos, operacijos arba piktnaudžiavimo alkoholiu. Tokiems pacientams vartojant SGLT2 inhibitorių, būtinos atsargumo priemonės.</w:t>
      </w:r>
    </w:p>
    <w:p w14:paraId="25626FF4" w14:textId="77777777" w:rsidR="00023BBF" w:rsidRDefault="00023BBF">
      <w:pPr>
        <w:autoSpaceDE w:val="0"/>
        <w:autoSpaceDN w:val="0"/>
        <w:adjustRightInd w:val="0"/>
        <w:rPr>
          <w:rFonts w:eastAsiaTheme="minorHAnsi"/>
          <w:color w:val="000000"/>
          <w:sz w:val="22"/>
          <w:szCs w:val="22"/>
          <w:lang w:eastAsia="en-US"/>
        </w:rPr>
      </w:pPr>
    </w:p>
    <w:p w14:paraId="4C6DB876"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Jei buvo pasireiškusi DKA vartojant SGLT2 inhibitorių, vėl jų skirti nerekomenduojama, nebent nustatoma ir pašalinama kita jos priežastis.</w:t>
      </w:r>
    </w:p>
    <w:p w14:paraId="284A5206"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lastRenderedPageBreak/>
        <w:t>Mexdagry</w:t>
      </w:r>
      <w:proofErr w:type="spellEnd"/>
      <w:r>
        <w:rPr>
          <w:rFonts w:eastAsiaTheme="minorHAnsi"/>
          <w:color w:val="000000"/>
          <w:sz w:val="22"/>
          <w:szCs w:val="22"/>
          <w:lang w:eastAsia="en-US"/>
        </w:rPr>
        <w:t xml:space="preserve"> saugumas ir veiksmingumas 1 tipo diabetu sergantiems pacientams neištirti, todėl jiems šio vaistinio preparato vartoti negalima. 1 tipo diabeto tyrimų metu DKA užfiksuota dažnai.</w:t>
      </w:r>
    </w:p>
    <w:p w14:paraId="46396AC6" w14:textId="77777777" w:rsidR="00023BBF" w:rsidRDefault="00023BBF">
      <w:pPr>
        <w:autoSpaceDE w:val="0"/>
        <w:autoSpaceDN w:val="0"/>
        <w:adjustRightInd w:val="0"/>
        <w:rPr>
          <w:rFonts w:eastAsiaTheme="minorHAnsi"/>
          <w:color w:val="000000"/>
          <w:sz w:val="22"/>
          <w:szCs w:val="22"/>
          <w:lang w:eastAsia="en-US"/>
        </w:rPr>
      </w:pPr>
    </w:p>
    <w:p w14:paraId="23C2096B" w14:textId="77777777" w:rsidR="00023BBF" w:rsidRDefault="00E17C37">
      <w:pPr>
        <w:autoSpaceDE w:val="0"/>
        <w:autoSpaceDN w:val="0"/>
        <w:adjustRightInd w:val="0"/>
        <w:rPr>
          <w:rFonts w:eastAsiaTheme="minorHAnsi"/>
          <w:color w:val="000000"/>
          <w:sz w:val="22"/>
          <w:szCs w:val="22"/>
          <w:u w:val="single"/>
          <w:lang w:eastAsia="en-US"/>
        </w:rPr>
      </w:pPr>
      <w:proofErr w:type="spellStart"/>
      <w:r>
        <w:rPr>
          <w:rFonts w:eastAsiaTheme="minorHAnsi"/>
          <w:color w:val="000000"/>
          <w:sz w:val="22"/>
          <w:szCs w:val="22"/>
          <w:u w:val="single"/>
          <w:lang w:eastAsia="en-US"/>
        </w:rPr>
        <w:t>Tarpvietės</w:t>
      </w:r>
      <w:proofErr w:type="spellEnd"/>
      <w:r>
        <w:rPr>
          <w:rFonts w:eastAsiaTheme="minorHAnsi"/>
          <w:color w:val="000000"/>
          <w:sz w:val="22"/>
          <w:szCs w:val="22"/>
          <w:u w:val="single"/>
          <w:lang w:eastAsia="en-US"/>
        </w:rPr>
        <w:t xml:space="preserve"> </w:t>
      </w:r>
      <w:proofErr w:type="spellStart"/>
      <w:r>
        <w:rPr>
          <w:rFonts w:eastAsiaTheme="minorHAnsi"/>
          <w:color w:val="000000"/>
          <w:sz w:val="22"/>
          <w:szCs w:val="22"/>
          <w:u w:val="single"/>
          <w:lang w:eastAsia="en-US"/>
        </w:rPr>
        <w:t>nekrozuojantis</w:t>
      </w:r>
      <w:proofErr w:type="spellEnd"/>
      <w:r>
        <w:rPr>
          <w:rFonts w:eastAsiaTheme="minorHAnsi"/>
          <w:color w:val="000000"/>
          <w:sz w:val="22"/>
          <w:szCs w:val="22"/>
          <w:u w:val="single"/>
          <w:lang w:eastAsia="en-US"/>
        </w:rPr>
        <w:t xml:space="preserve"> </w:t>
      </w:r>
      <w:proofErr w:type="spellStart"/>
      <w:r>
        <w:rPr>
          <w:rFonts w:eastAsiaTheme="minorHAnsi"/>
          <w:color w:val="000000"/>
          <w:sz w:val="22"/>
          <w:szCs w:val="22"/>
          <w:u w:val="single"/>
          <w:lang w:eastAsia="en-US"/>
        </w:rPr>
        <w:t>fascitas</w:t>
      </w:r>
      <w:proofErr w:type="spellEnd"/>
      <w:r>
        <w:rPr>
          <w:rFonts w:eastAsiaTheme="minorHAnsi"/>
          <w:color w:val="000000"/>
          <w:sz w:val="22"/>
          <w:szCs w:val="22"/>
          <w:u w:val="single"/>
          <w:lang w:eastAsia="en-US"/>
        </w:rPr>
        <w:t xml:space="preserve"> (</w:t>
      </w:r>
      <w:proofErr w:type="spellStart"/>
      <w:r>
        <w:rPr>
          <w:rFonts w:eastAsiaTheme="minorHAnsi"/>
          <w:i/>
          <w:iCs/>
          <w:color w:val="000000"/>
          <w:sz w:val="22"/>
          <w:szCs w:val="22"/>
          <w:u w:val="single"/>
          <w:lang w:eastAsia="en-US"/>
        </w:rPr>
        <w:t>Fournier</w:t>
      </w:r>
      <w:proofErr w:type="spellEnd"/>
      <w:r>
        <w:rPr>
          <w:rFonts w:eastAsiaTheme="minorHAnsi"/>
          <w:i/>
          <w:iCs/>
          <w:color w:val="000000"/>
          <w:sz w:val="22"/>
          <w:szCs w:val="22"/>
          <w:u w:val="single"/>
          <w:lang w:eastAsia="en-US"/>
        </w:rPr>
        <w:t xml:space="preserve"> </w:t>
      </w:r>
      <w:r>
        <w:rPr>
          <w:rFonts w:eastAsiaTheme="minorHAnsi"/>
          <w:color w:val="000000"/>
          <w:sz w:val="22"/>
          <w:szCs w:val="22"/>
          <w:u w:val="single"/>
          <w:lang w:eastAsia="en-US"/>
        </w:rPr>
        <w:t>gangrena)</w:t>
      </w:r>
    </w:p>
    <w:p w14:paraId="65F01F64"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 vaistinio preparato pateikimo rinkai gauta pranešimų apie SGLT2 inhibitorių vartojančioms moterims ir vyrams nustatyto </w:t>
      </w:r>
      <w:proofErr w:type="spellStart"/>
      <w:r>
        <w:rPr>
          <w:rFonts w:eastAsiaTheme="minorHAnsi"/>
          <w:color w:val="000000"/>
          <w:sz w:val="22"/>
          <w:szCs w:val="22"/>
          <w:lang w:eastAsia="en-US"/>
        </w:rPr>
        <w:t>tarpvietės</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nekrozuojančio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fascito</w:t>
      </w:r>
      <w:proofErr w:type="spellEnd"/>
      <w:r>
        <w:rPr>
          <w:rFonts w:eastAsiaTheme="minorHAnsi"/>
          <w:color w:val="000000"/>
          <w:sz w:val="22"/>
          <w:szCs w:val="22"/>
          <w:lang w:eastAsia="en-US"/>
        </w:rPr>
        <w:t xml:space="preserve"> (dar vadinamo </w:t>
      </w:r>
      <w:proofErr w:type="spellStart"/>
      <w:r>
        <w:rPr>
          <w:rFonts w:eastAsiaTheme="minorHAnsi"/>
          <w:i/>
          <w:iCs/>
          <w:color w:val="000000"/>
          <w:sz w:val="22"/>
          <w:szCs w:val="22"/>
          <w:lang w:eastAsia="en-US"/>
        </w:rPr>
        <w:t>Fournier</w:t>
      </w:r>
      <w:proofErr w:type="spellEnd"/>
      <w:r>
        <w:rPr>
          <w:rFonts w:eastAsiaTheme="minorHAnsi"/>
          <w:i/>
          <w:iCs/>
          <w:color w:val="000000"/>
          <w:sz w:val="22"/>
          <w:szCs w:val="22"/>
          <w:lang w:eastAsia="en-US"/>
        </w:rPr>
        <w:t xml:space="preserve"> </w:t>
      </w:r>
      <w:r>
        <w:rPr>
          <w:rFonts w:eastAsiaTheme="minorHAnsi"/>
          <w:color w:val="000000"/>
          <w:sz w:val="22"/>
          <w:szCs w:val="22"/>
          <w:lang w:eastAsia="en-US"/>
        </w:rPr>
        <w:t>gangrena) atvejus (žr. 4.8 skyrių). Tai yra retas, bet rimtas grėsmę paciento gyvybei galintis kelti reiškinys, kuriam pasireiškus būtina skubiai imtis chirurginių intervencinių priemonių ir taikyti gydymą antibiotikais.</w:t>
      </w:r>
    </w:p>
    <w:p w14:paraId="47F13125" w14:textId="77777777" w:rsidR="00023BBF" w:rsidRDefault="00023BBF">
      <w:pPr>
        <w:autoSpaceDE w:val="0"/>
        <w:autoSpaceDN w:val="0"/>
        <w:adjustRightInd w:val="0"/>
        <w:rPr>
          <w:rFonts w:eastAsiaTheme="minorHAnsi"/>
          <w:color w:val="000000"/>
          <w:sz w:val="22"/>
          <w:szCs w:val="22"/>
          <w:lang w:eastAsia="en-US"/>
        </w:rPr>
      </w:pPr>
    </w:p>
    <w:p w14:paraId="0AF72EEA"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Pacientus reikėtų informuoti, kad tuo pat metu pasireiškus skausmui, jautrumui, </w:t>
      </w:r>
      <w:proofErr w:type="spellStart"/>
      <w:r>
        <w:rPr>
          <w:rFonts w:eastAsiaTheme="minorHAnsi"/>
          <w:color w:val="000000"/>
          <w:sz w:val="22"/>
          <w:szCs w:val="22"/>
          <w:lang w:eastAsia="en-US"/>
        </w:rPr>
        <w:t>eritemai</w:t>
      </w:r>
      <w:proofErr w:type="spellEnd"/>
      <w:r>
        <w:rPr>
          <w:rFonts w:eastAsiaTheme="minorHAnsi"/>
          <w:color w:val="000000"/>
          <w:sz w:val="22"/>
          <w:szCs w:val="22"/>
          <w:lang w:eastAsia="en-US"/>
        </w:rPr>
        <w:t xml:space="preserve"> arba patinimui lyties organų arba </w:t>
      </w:r>
      <w:proofErr w:type="spellStart"/>
      <w:r>
        <w:rPr>
          <w:rFonts w:eastAsiaTheme="minorHAnsi"/>
          <w:color w:val="000000"/>
          <w:sz w:val="22"/>
          <w:szCs w:val="22"/>
          <w:lang w:eastAsia="en-US"/>
        </w:rPr>
        <w:t>tarpvietės</w:t>
      </w:r>
      <w:proofErr w:type="spellEnd"/>
      <w:r>
        <w:rPr>
          <w:rFonts w:eastAsiaTheme="minorHAnsi"/>
          <w:color w:val="000000"/>
          <w:sz w:val="22"/>
          <w:szCs w:val="22"/>
          <w:lang w:eastAsia="en-US"/>
        </w:rPr>
        <w:t xml:space="preserve"> srityje, taip pat pradėjus karščiuoti arba sunegalavus, reikia kreiptis į gydytoją. Turite žinoti, kad </w:t>
      </w:r>
      <w:proofErr w:type="spellStart"/>
      <w:r>
        <w:rPr>
          <w:rFonts w:eastAsiaTheme="minorHAnsi"/>
          <w:color w:val="000000"/>
          <w:sz w:val="22"/>
          <w:szCs w:val="22"/>
          <w:lang w:eastAsia="en-US"/>
        </w:rPr>
        <w:t>nekrozuojantis</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fascitas</w:t>
      </w:r>
      <w:proofErr w:type="spellEnd"/>
      <w:r>
        <w:rPr>
          <w:rFonts w:eastAsiaTheme="minorHAnsi"/>
          <w:color w:val="000000"/>
          <w:sz w:val="22"/>
          <w:szCs w:val="22"/>
          <w:lang w:eastAsia="en-US"/>
        </w:rPr>
        <w:t xml:space="preserve"> gali išsivystyti po </w:t>
      </w:r>
      <w:proofErr w:type="spellStart"/>
      <w:r>
        <w:rPr>
          <w:rFonts w:eastAsiaTheme="minorHAnsi"/>
          <w:color w:val="000000"/>
          <w:sz w:val="22"/>
          <w:szCs w:val="22"/>
          <w:lang w:eastAsia="en-US"/>
        </w:rPr>
        <w:t>urogenitalinės</w:t>
      </w:r>
      <w:proofErr w:type="spellEnd"/>
      <w:r>
        <w:rPr>
          <w:rFonts w:eastAsiaTheme="minorHAnsi"/>
          <w:color w:val="000000"/>
          <w:sz w:val="22"/>
          <w:szCs w:val="22"/>
          <w:lang w:eastAsia="en-US"/>
        </w:rPr>
        <w:t xml:space="preserve"> infekcijos arba susiformavus </w:t>
      </w:r>
      <w:proofErr w:type="spellStart"/>
      <w:r>
        <w:rPr>
          <w:rFonts w:eastAsiaTheme="minorHAnsi"/>
          <w:color w:val="000000"/>
          <w:sz w:val="22"/>
          <w:szCs w:val="22"/>
          <w:lang w:eastAsia="en-US"/>
        </w:rPr>
        <w:t>abscesui</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tarpvietės</w:t>
      </w:r>
      <w:proofErr w:type="spellEnd"/>
      <w:r>
        <w:rPr>
          <w:rFonts w:eastAsiaTheme="minorHAnsi"/>
          <w:color w:val="000000"/>
          <w:sz w:val="22"/>
          <w:szCs w:val="22"/>
          <w:lang w:eastAsia="en-US"/>
        </w:rPr>
        <w:t xml:space="preserve"> srityje. Įtarus </w:t>
      </w:r>
      <w:proofErr w:type="spellStart"/>
      <w:r>
        <w:rPr>
          <w:rFonts w:eastAsiaTheme="minorHAnsi"/>
          <w:i/>
          <w:iCs/>
          <w:color w:val="000000"/>
          <w:sz w:val="22"/>
          <w:szCs w:val="22"/>
          <w:lang w:eastAsia="en-US"/>
        </w:rPr>
        <w:t>Fournier</w:t>
      </w:r>
      <w:proofErr w:type="spellEnd"/>
      <w:r>
        <w:rPr>
          <w:rFonts w:eastAsiaTheme="minorHAnsi"/>
          <w:i/>
          <w:iCs/>
          <w:color w:val="000000"/>
          <w:sz w:val="22"/>
          <w:szCs w:val="22"/>
          <w:lang w:eastAsia="en-US"/>
        </w:rPr>
        <w:t xml:space="preserve"> </w:t>
      </w:r>
      <w:r>
        <w:rPr>
          <w:rFonts w:eastAsiaTheme="minorHAnsi"/>
          <w:color w:val="000000"/>
          <w:sz w:val="22"/>
          <w:szCs w:val="22"/>
          <w:lang w:eastAsia="en-US"/>
        </w:rPr>
        <w:t xml:space="preserve">gangreną, reikia nutraukti gydymą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ir kuo skubiau pradėti gydymą (įskaitant gydymą antibiotikais ir negyvų audinių pašalinimą chirurginiu būdu).</w:t>
      </w:r>
    </w:p>
    <w:p w14:paraId="47CF6BA6" w14:textId="77777777" w:rsidR="00023BBF" w:rsidRDefault="00023BBF">
      <w:pPr>
        <w:autoSpaceDE w:val="0"/>
        <w:autoSpaceDN w:val="0"/>
        <w:adjustRightInd w:val="0"/>
        <w:rPr>
          <w:rFonts w:eastAsiaTheme="minorHAnsi"/>
          <w:color w:val="000000"/>
          <w:sz w:val="22"/>
          <w:szCs w:val="22"/>
          <w:lang w:eastAsia="en-US"/>
        </w:rPr>
      </w:pPr>
    </w:p>
    <w:p w14:paraId="7B619252"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Šlapimo takų infekcijos</w:t>
      </w:r>
    </w:p>
    <w:p w14:paraId="69375DE1"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Gliukozės išskyrimas su šlapimu gali būti susijęs su padidėjusia šlapimo takų infekcijos rizika, todėl gydant </w:t>
      </w:r>
      <w:proofErr w:type="spellStart"/>
      <w:r>
        <w:rPr>
          <w:rFonts w:eastAsiaTheme="minorHAnsi"/>
          <w:color w:val="000000"/>
          <w:sz w:val="22"/>
          <w:szCs w:val="22"/>
          <w:lang w:eastAsia="en-US"/>
        </w:rPr>
        <w:t>pielonefritą</w:t>
      </w:r>
      <w:proofErr w:type="spellEnd"/>
      <w:r>
        <w:rPr>
          <w:rFonts w:eastAsiaTheme="minorHAnsi"/>
          <w:color w:val="000000"/>
          <w:sz w:val="22"/>
          <w:szCs w:val="22"/>
          <w:lang w:eastAsia="en-US"/>
        </w:rPr>
        <w:t xml:space="preserve"> ar </w:t>
      </w:r>
      <w:proofErr w:type="spellStart"/>
      <w:r>
        <w:rPr>
          <w:rFonts w:eastAsiaTheme="minorHAnsi"/>
          <w:color w:val="000000"/>
          <w:sz w:val="22"/>
          <w:szCs w:val="22"/>
          <w:lang w:eastAsia="en-US"/>
        </w:rPr>
        <w:t>urosepsį</w:t>
      </w:r>
      <w:proofErr w:type="spellEnd"/>
      <w:r>
        <w:rPr>
          <w:rFonts w:eastAsiaTheme="minorHAnsi"/>
          <w:color w:val="000000"/>
          <w:sz w:val="22"/>
          <w:szCs w:val="22"/>
          <w:lang w:eastAsia="en-US"/>
        </w:rPr>
        <w:t xml:space="preserve"> svarstytinas tikslingumas laikinai nutraukti šio vaistinio preparato vartojimą.</w:t>
      </w:r>
    </w:p>
    <w:p w14:paraId="0C1977F4" w14:textId="77777777" w:rsidR="00023BBF" w:rsidRDefault="00023BBF">
      <w:pPr>
        <w:autoSpaceDE w:val="0"/>
        <w:autoSpaceDN w:val="0"/>
        <w:adjustRightInd w:val="0"/>
        <w:rPr>
          <w:rFonts w:eastAsiaTheme="minorHAnsi"/>
          <w:color w:val="000000"/>
          <w:sz w:val="22"/>
          <w:szCs w:val="22"/>
          <w:lang w:eastAsia="en-US"/>
        </w:rPr>
      </w:pPr>
    </w:p>
    <w:p w14:paraId="481B7EBE"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Senyvi (65 metų ir vyresni) žmonės</w:t>
      </w:r>
    </w:p>
    <w:p w14:paraId="61DA1437"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Senyviems pacientams gali kilti didesnis kraujo tūrio sumažėjimo pavojus ir yra didesnė diuretikų vartojimo tikimybė.</w:t>
      </w:r>
    </w:p>
    <w:p w14:paraId="06466FFB" w14:textId="77777777" w:rsidR="00023BBF" w:rsidRDefault="00023BBF">
      <w:pPr>
        <w:autoSpaceDE w:val="0"/>
        <w:autoSpaceDN w:val="0"/>
        <w:adjustRightInd w:val="0"/>
        <w:rPr>
          <w:rFonts w:eastAsiaTheme="minorHAnsi"/>
          <w:color w:val="000000"/>
          <w:sz w:val="22"/>
          <w:szCs w:val="22"/>
          <w:lang w:eastAsia="en-US"/>
        </w:rPr>
      </w:pPr>
    </w:p>
    <w:p w14:paraId="5742962C"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Senyvų pacientų inkstų funkcijos sutrikimo tikimybė yra didesnė, jie dažniau vartoja </w:t>
      </w:r>
      <w:proofErr w:type="spellStart"/>
      <w:r>
        <w:rPr>
          <w:rFonts w:eastAsiaTheme="minorHAnsi"/>
          <w:color w:val="000000"/>
          <w:sz w:val="22"/>
          <w:szCs w:val="22"/>
          <w:lang w:eastAsia="en-US"/>
        </w:rPr>
        <w:t>antihipertenzinių</w:t>
      </w:r>
      <w:proofErr w:type="spellEnd"/>
      <w:r>
        <w:rPr>
          <w:rFonts w:eastAsiaTheme="minorHAnsi"/>
          <w:color w:val="000000"/>
          <w:sz w:val="22"/>
          <w:szCs w:val="22"/>
          <w:lang w:eastAsia="en-US"/>
        </w:rPr>
        <w:t xml:space="preserve"> vaistinių preparatų (pvz., </w:t>
      </w:r>
      <w:proofErr w:type="spellStart"/>
      <w:r>
        <w:rPr>
          <w:rFonts w:eastAsiaTheme="minorHAnsi"/>
          <w:color w:val="000000"/>
          <w:sz w:val="22"/>
          <w:szCs w:val="22"/>
          <w:lang w:eastAsia="en-US"/>
        </w:rPr>
        <w:t>angiotenziną</w:t>
      </w:r>
      <w:proofErr w:type="spellEnd"/>
      <w:r>
        <w:rPr>
          <w:rFonts w:eastAsiaTheme="minorHAnsi"/>
          <w:color w:val="000000"/>
          <w:sz w:val="22"/>
          <w:szCs w:val="22"/>
          <w:lang w:eastAsia="en-US"/>
        </w:rPr>
        <w:t xml:space="preserve"> konvertuojančio fermento inhibitorių, </w:t>
      </w:r>
      <w:proofErr w:type="spellStart"/>
      <w:r>
        <w:rPr>
          <w:rFonts w:eastAsiaTheme="minorHAnsi"/>
          <w:color w:val="000000"/>
          <w:sz w:val="22"/>
          <w:szCs w:val="22"/>
          <w:lang w:eastAsia="en-US"/>
        </w:rPr>
        <w:t>angiotenzino</w:t>
      </w:r>
      <w:proofErr w:type="spellEnd"/>
      <w:r>
        <w:rPr>
          <w:rFonts w:eastAsiaTheme="minorHAnsi"/>
          <w:color w:val="000000"/>
          <w:sz w:val="22"/>
          <w:szCs w:val="22"/>
          <w:lang w:eastAsia="en-US"/>
        </w:rPr>
        <w:t>-II 1 tipo receptorių blokatorių), kurie gali sukelti inkstų funkcijos sutrikimų. Senyviems pacientams taikomos tokios pačios rekomendacijos dėl inkstų funkcijos kaip ir visiems kitiems (žr. 4.2, 4.4, 4.8 ir 5.1 skyrius).</w:t>
      </w:r>
    </w:p>
    <w:p w14:paraId="3087F359" w14:textId="77777777" w:rsidR="00023BBF" w:rsidRDefault="00023BBF">
      <w:pPr>
        <w:autoSpaceDE w:val="0"/>
        <w:autoSpaceDN w:val="0"/>
        <w:adjustRightInd w:val="0"/>
        <w:rPr>
          <w:rFonts w:eastAsiaTheme="minorHAnsi"/>
          <w:color w:val="000000"/>
          <w:sz w:val="22"/>
          <w:szCs w:val="22"/>
          <w:lang w:eastAsia="en-US"/>
        </w:rPr>
      </w:pPr>
    </w:p>
    <w:p w14:paraId="6A8F5D3E"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Širdies nepakankamumas</w:t>
      </w:r>
    </w:p>
    <w:p w14:paraId="18F91168"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Dapagliflozino vartojimo IV klasės pagal Niujorko širdies asociacijos (angl. </w:t>
      </w:r>
      <w:proofErr w:type="spellStart"/>
      <w:r>
        <w:rPr>
          <w:rFonts w:eastAsiaTheme="minorHAnsi"/>
          <w:i/>
          <w:iCs/>
          <w:color w:val="000000"/>
          <w:sz w:val="22"/>
          <w:szCs w:val="22"/>
          <w:lang w:eastAsia="en-US"/>
        </w:rPr>
        <w:t>New</w:t>
      </w:r>
      <w:proofErr w:type="spellEnd"/>
      <w:r>
        <w:rPr>
          <w:rFonts w:eastAsiaTheme="minorHAnsi"/>
          <w:i/>
          <w:iCs/>
          <w:color w:val="000000"/>
          <w:sz w:val="22"/>
          <w:szCs w:val="22"/>
          <w:lang w:eastAsia="en-US"/>
        </w:rPr>
        <w:t xml:space="preserve"> York </w:t>
      </w:r>
      <w:proofErr w:type="spellStart"/>
      <w:r>
        <w:rPr>
          <w:rFonts w:eastAsiaTheme="minorHAnsi"/>
          <w:i/>
          <w:iCs/>
          <w:color w:val="000000"/>
          <w:sz w:val="22"/>
          <w:szCs w:val="22"/>
          <w:lang w:eastAsia="en-US"/>
        </w:rPr>
        <w:t>Heart</w:t>
      </w:r>
      <w:proofErr w:type="spellEnd"/>
      <w:r>
        <w:rPr>
          <w:rFonts w:eastAsiaTheme="minorHAnsi"/>
          <w:i/>
          <w:iCs/>
          <w:color w:val="000000"/>
          <w:sz w:val="22"/>
          <w:szCs w:val="22"/>
          <w:lang w:eastAsia="en-US"/>
        </w:rPr>
        <w:t xml:space="preserve"> </w:t>
      </w:r>
      <w:proofErr w:type="spellStart"/>
      <w:r>
        <w:rPr>
          <w:rFonts w:eastAsiaTheme="minorHAnsi"/>
          <w:i/>
          <w:iCs/>
          <w:color w:val="000000"/>
          <w:sz w:val="22"/>
          <w:szCs w:val="22"/>
          <w:lang w:eastAsia="en-US"/>
        </w:rPr>
        <w:t>Association</w:t>
      </w:r>
      <w:proofErr w:type="spellEnd"/>
      <w:r>
        <w:rPr>
          <w:rFonts w:eastAsiaTheme="minorHAnsi"/>
          <w:i/>
          <w:iCs/>
          <w:color w:val="000000"/>
          <w:sz w:val="22"/>
          <w:szCs w:val="22"/>
          <w:lang w:eastAsia="en-US"/>
        </w:rPr>
        <w:t>, NYHA</w:t>
      </w:r>
      <w:r>
        <w:rPr>
          <w:rFonts w:eastAsiaTheme="minorHAnsi"/>
          <w:color w:val="000000"/>
          <w:sz w:val="22"/>
          <w:szCs w:val="22"/>
          <w:lang w:eastAsia="en-US"/>
        </w:rPr>
        <w:t>) klasifikaciją širdies nepakankamumu sergantiems pacientams patirties yra nedaug.</w:t>
      </w:r>
    </w:p>
    <w:p w14:paraId="261D7C41" w14:textId="77777777" w:rsidR="00023BBF" w:rsidRDefault="00023BBF">
      <w:pPr>
        <w:autoSpaceDE w:val="0"/>
        <w:autoSpaceDN w:val="0"/>
        <w:adjustRightInd w:val="0"/>
        <w:rPr>
          <w:rFonts w:eastAsiaTheme="minorHAnsi"/>
          <w:color w:val="000000"/>
          <w:sz w:val="22"/>
          <w:szCs w:val="22"/>
          <w:lang w:eastAsia="en-US"/>
        </w:rPr>
      </w:pPr>
    </w:p>
    <w:p w14:paraId="5434894D"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 xml:space="preserve">Padidėjęs </w:t>
      </w:r>
      <w:proofErr w:type="spellStart"/>
      <w:r>
        <w:rPr>
          <w:rFonts w:eastAsiaTheme="minorHAnsi"/>
          <w:color w:val="000000"/>
          <w:sz w:val="22"/>
          <w:szCs w:val="22"/>
          <w:u w:val="single"/>
          <w:lang w:eastAsia="en-US"/>
        </w:rPr>
        <w:t>hematokritas</w:t>
      </w:r>
      <w:proofErr w:type="spellEnd"/>
    </w:p>
    <w:p w14:paraId="7E8437F2"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Buvo pastebėta, kad gydant dapagliflozinu, padidėja </w:t>
      </w:r>
      <w:proofErr w:type="spellStart"/>
      <w:r>
        <w:rPr>
          <w:rFonts w:eastAsiaTheme="minorHAnsi"/>
          <w:color w:val="000000"/>
          <w:sz w:val="22"/>
          <w:szCs w:val="22"/>
          <w:lang w:eastAsia="en-US"/>
        </w:rPr>
        <w:t>hematokritas</w:t>
      </w:r>
      <w:proofErr w:type="spellEnd"/>
      <w:r>
        <w:rPr>
          <w:rFonts w:eastAsiaTheme="minorHAnsi"/>
          <w:color w:val="000000"/>
          <w:sz w:val="22"/>
          <w:szCs w:val="22"/>
          <w:lang w:eastAsia="en-US"/>
        </w:rPr>
        <w:t xml:space="preserve"> (žr. 4.8 skyrių). Pacientus, kurių </w:t>
      </w:r>
      <w:proofErr w:type="spellStart"/>
      <w:r>
        <w:rPr>
          <w:rFonts w:eastAsiaTheme="minorHAnsi"/>
          <w:color w:val="000000"/>
          <w:sz w:val="22"/>
          <w:szCs w:val="22"/>
          <w:lang w:eastAsia="en-US"/>
        </w:rPr>
        <w:t>hematokrito</w:t>
      </w:r>
      <w:proofErr w:type="spellEnd"/>
      <w:r>
        <w:rPr>
          <w:rFonts w:eastAsiaTheme="minorHAnsi"/>
          <w:color w:val="000000"/>
          <w:sz w:val="22"/>
          <w:szCs w:val="22"/>
          <w:lang w:eastAsia="en-US"/>
        </w:rPr>
        <w:t xml:space="preserve"> padidėjimas labai ryškus, reikia stebėti ir tirti dėl galimų kraujo ligų.</w:t>
      </w:r>
    </w:p>
    <w:p w14:paraId="31632B1D" w14:textId="77777777" w:rsidR="00023BBF" w:rsidRDefault="00023BBF">
      <w:pPr>
        <w:autoSpaceDE w:val="0"/>
        <w:autoSpaceDN w:val="0"/>
        <w:adjustRightInd w:val="0"/>
        <w:rPr>
          <w:rFonts w:eastAsiaTheme="minorHAnsi"/>
          <w:color w:val="000000"/>
          <w:sz w:val="22"/>
          <w:szCs w:val="22"/>
          <w:lang w:eastAsia="en-US"/>
        </w:rPr>
      </w:pPr>
    </w:p>
    <w:p w14:paraId="4479B61A"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Kojų amputacijos</w:t>
      </w:r>
    </w:p>
    <w:p w14:paraId="0C4BD0A0"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Tęsiamų ilgalaikių kito SGLT2 inhibitoriaus klinikinių tyrimų metu teko dažniau amputuoti kojas ar jų dalis, ypač pirštus. Ar toks poveikis yra būdingas visai šių vaistinių preparatų grupei, nėra žinoma. Šio vaistinio preparato vartojančius pacientus (kaip ir visus kitus sergančius diabetu) svarbu konsultuoti dėl įprastinės profilaktinės pėdų priežiūros.</w:t>
      </w:r>
    </w:p>
    <w:p w14:paraId="538F410C" w14:textId="77777777" w:rsidR="00023BBF" w:rsidRDefault="00023BBF">
      <w:pPr>
        <w:autoSpaceDE w:val="0"/>
        <w:autoSpaceDN w:val="0"/>
        <w:adjustRightInd w:val="0"/>
        <w:rPr>
          <w:rFonts w:eastAsiaTheme="minorHAnsi"/>
          <w:color w:val="000000"/>
          <w:sz w:val="22"/>
          <w:szCs w:val="22"/>
          <w:lang w:eastAsia="en-US"/>
        </w:rPr>
      </w:pPr>
    </w:p>
    <w:p w14:paraId="39BF48AB"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Laboratoriniai šlapimo tyrimai</w:t>
      </w:r>
    </w:p>
    <w:p w14:paraId="7A53A3C1"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Dėl šio vaistinio preparato veikimo mechanizmo gliukozės mėginys jį vartojančių pacientų šlapime būna teigiamas.</w:t>
      </w:r>
    </w:p>
    <w:p w14:paraId="75BE28EF" w14:textId="77777777" w:rsidR="00023BBF" w:rsidRDefault="00023BBF">
      <w:pPr>
        <w:autoSpaceDE w:val="0"/>
        <w:autoSpaceDN w:val="0"/>
        <w:adjustRightInd w:val="0"/>
        <w:rPr>
          <w:rFonts w:eastAsiaTheme="minorHAnsi"/>
          <w:color w:val="000000"/>
          <w:sz w:val="22"/>
          <w:szCs w:val="22"/>
          <w:lang w:eastAsia="en-US"/>
        </w:rPr>
      </w:pPr>
    </w:p>
    <w:p w14:paraId="1B35428D" w14:textId="77777777" w:rsidR="00023BBF" w:rsidRDefault="00E17C37">
      <w:pPr>
        <w:rPr>
          <w:rFonts w:eastAsiaTheme="minorHAnsi"/>
          <w:color w:val="000000"/>
          <w:sz w:val="22"/>
          <w:szCs w:val="22"/>
          <w:u w:val="single"/>
          <w:lang w:eastAsia="en-US"/>
        </w:rPr>
      </w:pPr>
      <w:r>
        <w:rPr>
          <w:rFonts w:eastAsiaTheme="minorHAnsi"/>
          <w:color w:val="000000"/>
          <w:sz w:val="22"/>
          <w:szCs w:val="22"/>
          <w:u w:val="single"/>
          <w:lang w:eastAsia="en-US"/>
        </w:rPr>
        <w:t>Jodo turinčių kontrastinių medžiagų skyrimas</w:t>
      </w:r>
    </w:p>
    <w:p w14:paraId="6546DA16"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Jodo turinčių kontrastinių medžiagų suleidus į kraujagysles, gali pasireikšti kontrastinių medžiagų sukeliama </w:t>
      </w:r>
      <w:proofErr w:type="spellStart"/>
      <w:r>
        <w:rPr>
          <w:rFonts w:eastAsiaTheme="minorHAnsi"/>
          <w:color w:val="000000"/>
          <w:sz w:val="22"/>
          <w:szCs w:val="22"/>
          <w:lang w:eastAsia="en-US"/>
        </w:rPr>
        <w:t>nefropatija</w:t>
      </w:r>
      <w:proofErr w:type="spellEnd"/>
      <w:r>
        <w:rPr>
          <w:rFonts w:eastAsiaTheme="minorHAnsi"/>
          <w:color w:val="000000"/>
          <w:sz w:val="22"/>
          <w:szCs w:val="22"/>
          <w:lang w:eastAsia="en-US"/>
        </w:rPr>
        <w:t xml:space="preserve">, dėl to gali kauptis </w:t>
      </w:r>
      <w:proofErr w:type="spellStart"/>
      <w:r>
        <w:rPr>
          <w:rFonts w:eastAsiaTheme="minorHAnsi"/>
          <w:color w:val="000000"/>
          <w:sz w:val="22"/>
          <w:szCs w:val="22"/>
          <w:lang w:eastAsia="en-US"/>
        </w:rPr>
        <w:t>metforminas</w:t>
      </w:r>
      <w:proofErr w:type="spellEnd"/>
      <w:r>
        <w:rPr>
          <w:rFonts w:eastAsiaTheme="minorHAnsi"/>
          <w:color w:val="000000"/>
          <w:sz w:val="22"/>
          <w:szCs w:val="22"/>
          <w:lang w:eastAsia="en-US"/>
        </w:rPr>
        <w:t xml:space="preserve"> ir padidėti pieno rūgšties </w:t>
      </w:r>
      <w:proofErr w:type="spellStart"/>
      <w:r>
        <w:rPr>
          <w:rFonts w:eastAsiaTheme="minorHAnsi"/>
          <w:color w:val="000000"/>
          <w:sz w:val="22"/>
          <w:szCs w:val="22"/>
          <w:lang w:eastAsia="en-US"/>
        </w:rPr>
        <w:t>acidozės</w:t>
      </w:r>
      <w:proofErr w:type="spellEnd"/>
      <w:r>
        <w:rPr>
          <w:rFonts w:eastAsiaTheme="minorHAnsi"/>
          <w:color w:val="000000"/>
          <w:sz w:val="22"/>
          <w:szCs w:val="22"/>
          <w:lang w:eastAsia="en-US"/>
        </w:rPr>
        <w:t xml:space="preserve"> rizika. Prieš vizualizacijos procedūrą arba jos metu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vartojimą reikia nutraukti. Vėl vartoti galima tik praėjus ne mažiau kaip 48 valandoms po procedūros ir tik jei buvo atlikti tyrimai, kurie parodė stabilią inkstų funkciją (žr. 4.2 ir 4.5 skyrių).</w:t>
      </w:r>
    </w:p>
    <w:p w14:paraId="6A29670A" w14:textId="77777777" w:rsidR="00023BBF" w:rsidRDefault="00023BBF">
      <w:pPr>
        <w:autoSpaceDE w:val="0"/>
        <w:autoSpaceDN w:val="0"/>
        <w:adjustRightInd w:val="0"/>
        <w:rPr>
          <w:rFonts w:eastAsiaTheme="minorHAnsi"/>
          <w:color w:val="000000"/>
          <w:sz w:val="22"/>
          <w:szCs w:val="22"/>
          <w:lang w:eastAsia="en-US"/>
        </w:rPr>
      </w:pPr>
    </w:p>
    <w:p w14:paraId="5162DDCC"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Operacijos</w:t>
      </w:r>
    </w:p>
    <w:p w14:paraId="58E3BBEA"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Operacijos metu taikant bendrąją, </w:t>
      </w:r>
      <w:proofErr w:type="spellStart"/>
      <w:r>
        <w:rPr>
          <w:rFonts w:eastAsiaTheme="minorHAnsi"/>
          <w:color w:val="000000"/>
          <w:sz w:val="22"/>
          <w:szCs w:val="22"/>
          <w:lang w:eastAsia="en-US"/>
        </w:rPr>
        <w:t>spinalinę</w:t>
      </w:r>
      <w:proofErr w:type="spellEnd"/>
      <w:r>
        <w:rPr>
          <w:rFonts w:eastAsiaTheme="minorHAnsi"/>
          <w:color w:val="000000"/>
          <w:sz w:val="22"/>
          <w:szCs w:val="22"/>
          <w:lang w:eastAsia="en-US"/>
        </w:rPr>
        <w:t xml:space="preserve"> arba </w:t>
      </w:r>
      <w:proofErr w:type="spellStart"/>
      <w:r>
        <w:rPr>
          <w:rFonts w:eastAsiaTheme="minorHAnsi"/>
          <w:color w:val="000000"/>
          <w:sz w:val="22"/>
          <w:szCs w:val="22"/>
          <w:lang w:eastAsia="en-US"/>
        </w:rPr>
        <w:t>epidurinę</w:t>
      </w:r>
      <w:proofErr w:type="spellEnd"/>
      <w:r>
        <w:rPr>
          <w:rFonts w:eastAsiaTheme="minorHAnsi"/>
          <w:color w:val="000000"/>
          <w:sz w:val="22"/>
          <w:szCs w:val="22"/>
          <w:lang w:eastAsia="en-US"/>
        </w:rPr>
        <w:t xml:space="preserve"> nejautrą,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vartojimą reikia nutraukti. Gydymą galima atnaujinti praėjus ne mažiau kaip 48 valandoms po operacijos arba po maitinimo per burną atnaujinimo ir tik jei buvo atlikti tyrimai, kurie parodė stabilią inkstų funkciją.</w:t>
      </w:r>
    </w:p>
    <w:p w14:paraId="33ACF3EC" w14:textId="77777777" w:rsidR="00023BBF" w:rsidRDefault="00023BBF">
      <w:pPr>
        <w:autoSpaceDE w:val="0"/>
        <w:autoSpaceDN w:val="0"/>
        <w:adjustRightInd w:val="0"/>
        <w:rPr>
          <w:rFonts w:eastAsiaTheme="minorHAnsi"/>
          <w:color w:val="000000"/>
          <w:sz w:val="22"/>
          <w:szCs w:val="22"/>
          <w:lang w:eastAsia="en-US"/>
        </w:rPr>
      </w:pPr>
    </w:p>
    <w:p w14:paraId="0D167E80"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Pacientų, sergančių 2 tipo cukriniu diabetu, anksčiau sureguliuotos klinikinės būklės pokyčiai</w:t>
      </w:r>
    </w:p>
    <w:p w14:paraId="32FFBF34"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Šio vaistinio preparato sudėtyje yra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todėl jeigu 2 tipo cukriniu diabetu sergančiam pacientui, kurio būklė buvo gerai juo kontroliuojama, atsiranda laboratorinių sutrikimų arba klinikinių negalavimų (ypač jeigu jie neaiškūs), reikia skubiai patikrinti, ar nepasireiškė </w:t>
      </w:r>
      <w:proofErr w:type="spellStart"/>
      <w:r>
        <w:rPr>
          <w:rFonts w:eastAsiaTheme="minorHAnsi"/>
          <w:color w:val="000000"/>
          <w:sz w:val="22"/>
          <w:szCs w:val="22"/>
          <w:lang w:eastAsia="en-US"/>
        </w:rPr>
        <w:t>ketoacidozė</w:t>
      </w:r>
      <w:proofErr w:type="spellEnd"/>
      <w:r>
        <w:rPr>
          <w:rFonts w:eastAsiaTheme="minorHAnsi"/>
          <w:color w:val="000000"/>
          <w:sz w:val="22"/>
          <w:szCs w:val="22"/>
          <w:lang w:eastAsia="en-US"/>
        </w:rPr>
        <w:t xml:space="preserve"> arba pieno rūgšties </w:t>
      </w:r>
      <w:proofErr w:type="spellStart"/>
      <w:r>
        <w:rPr>
          <w:rFonts w:eastAsiaTheme="minorHAnsi"/>
          <w:color w:val="000000"/>
          <w:sz w:val="22"/>
          <w:szCs w:val="22"/>
          <w:lang w:eastAsia="en-US"/>
        </w:rPr>
        <w:t>acidozė</w:t>
      </w:r>
      <w:proofErr w:type="spellEnd"/>
      <w:r>
        <w:rPr>
          <w:rFonts w:eastAsiaTheme="minorHAnsi"/>
          <w:color w:val="000000"/>
          <w:sz w:val="22"/>
          <w:szCs w:val="22"/>
          <w:lang w:eastAsia="en-US"/>
        </w:rPr>
        <w:t>.</w:t>
      </w:r>
    </w:p>
    <w:p w14:paraId="18570B67"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Būtina ištirti elektrolitų ir ketonų koncentracijas serume, gliukozės koncentraciją kraujyje, o prireikus taip pat kraujo pH bei laktato, </w:t>
      </w:r>
      <w:proofErr w:type="spellStart"/>
      <w:r>
        <w:rPr>
          <w:rFonts w:eastAsiaTheme="minorHAnsi"/>
          <w:color w:val="000000"/>
          <w:sz w:val="22"/>
          <w:szCs w:val="22"/>
          <w:lang w:eastAsia="en-US"/>
        </w:rPr>
        <w:t>piruvato</w:t>
      </w:r>
      <w:proofErr w:type="spellEnd"/>
      <w:r>
        <w:rPr>
          <w:rFonts w:eastAsiaTheme="minorHAnsi"/>
          <w:color w:val="000000"/>
          <w:sz w:val="22"/>
          <w:szCs w:val="22"/>
          <w:lang w:eastAsia="en-US"/>
        </w:rPr>
        <w:t xml:space="preserve">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koncentracijas. Nustačius kurios nors formos </w:t>
      </w:r>
      <w:proofErr w:type="spellStart"/>
      <w:r>
        <w:rPr>
          <w:rFonts w:eastAsiaTheme="minorHAnsi"/>
          <w:color w:val="000000"/>
          <w:sz w:val="22"/>
          <w:szCs w:val="22"/>
          <w:lang w:eastAsia="en-US"/>
        </w:rPr>
        <w:t>acidozę</w:t>
      </w:r>
      <w:proofErr w:type="spellEnd"/>
      <w:r>
        <w:rPr>
          <w:rFonts w:eastAsiaTheme="minorHAnsi"/>
          <w:color w:val="000000"/>
          <w:sz w:val="22"/>
          <w:szCs w:val="22"/>
          <w:lang w:eastAsia="en-US"/>
        </w:rPr>
        <w:t>, reikia nedelsiant nutraukti šio vaistinio preparato vartojimą ir imtis kitų tinkamų koregavimo priemonių.</w:t>
      </w:r>
    </w:p>
    <w:p w14:paraId="5E5D3C44" w14:textId="77777777" w:rsidR="00023BBF" w:rsidRDefault="00023BBF">
      <w:pPr>
        <w:autoSpaceDE w:val="0"/>
        <w:autoSpaceDN w:val="0"/>
        <w:adjustRightInd w:val="0"/>
        <w:rPr>
          <w:rFonts w:eastAsiaTheme="minorHAnsi"/>
          <w:color w:val="000000"/>
          <w:sz w:val="22"/>
          <w:szCs w:val="22"/>
          <w:lang w:eastAsia="en-US"/>
        </w:rPr>
      </w:pPr>
    </w:p>
    <w:p w14:paraId="39DDF257"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Vitamino B</w:t>
      </w:r>
      <w:r>
        <w:rPr>
          <w:rFonts w:eastAsiaTheme="minorHAnsi"/>
          <w:color w:val="000000"/>
          <w:sz w:val="14"/>
          <w:szCs w:val="14"/>
          <w:u w:val="single"/>
          <w:lang w:eastAsia="en-US"/>
        </w:rPr>
        <w:t xml:space="preserve">12 </w:t>
      </w:r>
      <w:r>
        <w:rPr>
          <w:rFonts w:eastAsiaTheme="minorHAnsi"/>
          <w:color w:val="000000"/>
          <w:sz w:val="22"/>
          <w:szCs w:val="22"/>
          <w:u w:val="single"/>
          <w:lang w:eastAsia="en-US"/>
        </w:rPr>
        <w:t>koncentracijos sumažėjimas / stoka</w:t>
      </w:r>
    </w:p>
    <w:p w14:paraId="12A6D431"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Metforminas</w:t>
      </w:r>
      <w:proofErr w:type="spellEnd"/>
      <w:r>
        <w:rPr>
          <w:rFonts w:eastAsiaTheme="minorHAnsi"/>
          <w:color w:val="000000"/>
          <w:sz w:val="22"/>
          <w:szCs w:val="22"/>
          <w:lang w:eastAsia="en-US"/>
        </w:rPr>
        <w:t xml:space="preserve"> gali sumažinti vitamino B</w:t>
      </w:r>
      <w:r>
        <w:rPr>
          <w:rFonts w:eastAsiaTheme="minorHAnsi"/>
          <w:color w:val="000000"/>
          <w:sz w:val="14"/>
          <w:szCs w:val="14"/>
          <w:lang w:eastAsia="en-US"/>
        </w:rPr>
        <w:t xml:space="preserve">12 </w:t>
      </w:r>
      <w:r>
        <w:rPr>
          <w:rFonts w:eastAsiaTheme="minorHAnsi"/>
          <w:color w:val="000000"/>
          <w:sz w:val="22"/>
          <w:szCs w:val="22"/>
          <w:lang w:eastAsia="en-US"/>
        </w:rPr>
        <w:t>koncentraciją serume. Vitamino B</w:t>
      </w:r>
      <w:r>
        <w:rPr>
          <w:rFonts w:eastAsiaTheme="minorHAnsi"/>
          <w:color w:val="000000"/>
          <w:sz w:val="14"/>
          <w:szCs w:val="14"/>
          <w:lang w:eastAsia="en-US"/>
        </w:rPr>
        <w:t xml:space="preserve">12 </w:t>
      </w:r>
      <w:r>
        <w:rPr>
          <w:rFonts w:eastAsiaTheme="minorHAnsi"/>
          <w:color w:val="000000"/>
          <w:sz w:val="22"/>
          <w:szCs w:val="22"/>
          <w:lang w:eastAsia="en-US"/>
        </w:rPr>
        <w:t xml:space="preserve">koncentracijos sumažėjimo rizika didėja, vartojant didesnę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dozę, ilgėjant gydymo trukmei ir (arba) pacientams, turintiems rizikos veiksnių, dėl kurių gali pasireikšti vitamino B</w:t>
      </w:r>
      <w:r>
        <w:rPr>
          <w:rFonts w:eastAsiaTheme="minorHAnsi"/>
          <w:color w:val="000000"/>
          <w:sz w:val="14"/>
          <w:szCs w:val="14"/>
          <w:lang w:eastAsia="en-US"/>
        </w:rPr>
        <w:t xml:space="preserve">12 </w:t>
      </w:r>
      <w:r>
        <w:rPr>
          <w:rFonts w:eastAsiaTheme="minorHAnsi"/>
          <w:color w:val="000000"/>
          <w:sz w:val="22"/>
          <w:szCs w:val="22"/>
          <w:lang w:eastAsia="en-US"/>
        </w:rPr>
        <w:t>stoka. Įtarus vitamino B</w:t>
      </w:r>
      <w:r>
        <w:rPr>
          <w:rFonts w:eastAsiaTheme="minorHAnsi"/>
          <w:color w:val="000000"/>
          <w:sz w:val="14"/>
          <w:szCs w:val="14"/>
          <w:lang w:eastAsia="en-US"/>
        </w:rPr>
        <w:t xml:space="preserve">12 </w:t>
      </w:r>
      <w:r>
        <w:rPr>
          <w:rFonts w:eastAsiaTheme="minorHAnsi"/>
          <w:color w:val="000000"/>
          <w:sz w:val="22"/>
          <w:szCs w:val="22"/>
          <w:lang w:eastAsia="en-US"/>
        </w:rPr>
        <w:t>stoką (pvz., anemijos ar neuropatijos atveju), reikia tirti vitamino B</w:t>
      </w:r>
      <w:r>
        <w:rPr>
          <w:rFonts w:eastAsiaTheme="minorHAnsi"/>
          <w:color w:val="000000"/>
          <w:sz w:val="14"/>
          <w:szCs w:val="14"/>
          <w:lang w:eastAsia="en-US"/>
        </w:rPr>
        <w:t xml:space="preserve">12 </w:t>
      </w:r>
      <w:r>
        <w:rPr>
          <w:rFonts w:eastAsiaTheme="minorHAnsi"/>
          <w:color w:val="000000"/>
          <w:sz w:val="22"/>
          <w:szCs w:val="22"/>
          <w:lang w:eastAsia="en-US"/>
        </w:rPr>
        <w:t>koncentraciją serume. Pacientams, turintiems vitamino B</w:t>
      </w:r>
      <w:r>
        <w:rPr>
          <w:rFonts w:eastAsiaTheme="minorHAnsi"/>
          <w:color w:val="000000"/>
          <w:sz w:val="14"/>
          <w:szCs w:val="14"/>
          <w:lang w:eastAsia="en-US"/>
        </w:rPr>
        <w:t xml:space="preserve">12 </w:t>
      </w:r>
      <w:r>
        <w:rPr>
          <w:rFonts w:eastAsiaTheme="minorHAnsi"/>
          <w:color w:val="000000"/>
          <w:sz w:val="22"/>
          <w:szCs w:val="22"/>
          <w:lang w:eastAsia="en-US"/>
        </w:rPr>
        <w:t>stokos rizikos veiksnių, gali prireikti periodiškai tirti vitamino B</w:t>
      </w:r>
      <w:r>
        <w:rPr>
          <w:rFonts w:eastAsiaTheme="minorHAnsi"/>
          <w:color w:val="000000"/>
          <w:sz w:val="14"/>
          <w:szCs w:val="14"/>
          <w:lang w:eastAsia="en-US"/>
        </w:rPr>
        <w:t xml:space="preserve">12 </w:t>
      </w:r>
      <w:r>
        <w:rPr>
          <w:rFonts w:eastAsiaTheme="minorHAnsi"/>
          <w:color w:val="000000"/>
          <w:sz w:val="22"/>
          <w:szCs w:val="22"/>
          <w:lang w:eastAsia="en-US"/>
        </w:rPr>
        <w:t xml:space="preserve">koncentraciją. Gydymą </w:t>
      </w:r>
      <w:proofErr w:type="spellStart"/>
      <w:r>
        <w:rPr>
          <w:rFonts w:eastAsiaTheme="minorHAnsi"/>
          <w:color w:val="000000"/>
          <w:sz w:val="22"/>
          <w:szCs w:val="22"/>
          <w:lang w:eastAsia="en-US"/>
        </w:rPr>
        <w:t>metforminu</w:t>
      </w:r>
      <w:proofErr w:type="spellEnd"/>
      <w:r>
        <w:rPr>
          <w:rFonts w:eastAsiaTheme="minorHAnsi"/>
          <w:color w:val="000000"/>
          <w:sz w:val="22"/>
          <w:szCs w:val="22"/>
          <w:lang w:eastAsia="en-US"/>
        </w:rPr>
        <w:t xml:space="preserve"> reikia tęsti tol, kol jis toleruojamas ir nėra kontraindikacijų, ir turėtų būti skiriamas tinkamas vitamino B</w:t>
      </w:r>
      <w:r>
        <w:rPr>
          <w:rFonts w:eastAsiaTheme="minorHAnsi"/>
          <w:color w:val="000000"/>
          <w:sz w:val="14"/>
          <w:szCs w:val="14"/>
          <w:lang w:eastAsia="en-US"/>
        </w:rPr>
        <w:t xml:space="preserve">12 </w:t>
      </w:r>
      <w:r>
        <w:rPr>
          <w:rFonts w:eastAsiaTheme="minorHAnsi"/>
          <w:color w:val="000000"/>
          <w:sz w:val="22"/>
          <w:szCs w:val="22"/>
          <w:lang w:eastAsia="en-US"/>
        </w:rPr>
        <w:t>stoką koreguojantis gydymas pagal dabartines klinikines rekomendacijas.</w:t>
      </w:r>
    </w:p>
    <w:p w14:paraId="25271473" w14:textId="77777777" w:rsidR="00023BBF" w:rsidRDefault="00023BBF">
      <w:pPr>
        <w:autoSpaceDE w:val="0"/>
        <w:autoSpaceDN w:val="0"/>
        <w:adjustRightInd w:val="0"/>
        <w:rPr>
          <w:rFonts w:eastAsiaTheme="minorHAnsi"/>
          <w:color w:val="000000"/>
          <w:sz w:val="22"/>
          <w:szCs w:val="22"/>
          <w:lang w:eastAsia="en-US"/>
        </w:rPr>
      </w:pPr>
    </w:p>
    <w:p w14:paraId="67483F8A"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Natris</w:t>
      </w:r>
    </w:p>
    <w:p w14:paraId="59BA8113" w14:textId="77777777" w:rsidR="00023BBF" w:rsidRDefault="00E17C37">
      <w:pPr>
        <w:rPr>
          <w:rFonts w:eastAsiaTheme="minorHAnsi"/>
          <w:color w:val="000000"/>
          <w:sz w:val="22"/>
          <w:szCs w:val="22"/>
          <w:lang w:eastAsia="en-US"/>
        </w:rPr>
      </w:pPr>
      <w:r>
        <w:rPr>
          <w:rFonts w:eastAsiaTheme="minorHAnsi"/>
          <w:color w:val="000000"/>
          <w:sz w:val="22"/>
          <w:szCs w:val="22"/>
          <w:lang w:eastAsia="en-US"/>
        </w:rPr>
        <w:t>Šio vaistinio preparato kiekvienoje dozėje yra mažiau kaip 1 </w:t>
      </w:r>
      <w:proofErr w:type="spellStart"/>
      <w:r>
        <w:rPr>
          <w:rFonts w:eastAsiaTheme="minorHAnsi"/>
          <w:color w:val="000000"/>
          <w:sz w:val="22"/>
          <w:szCs w:val="22"/>
          <w:lang w:eastAsia="en-US"/>
        </w:rPr>
        <w:t>mmol</w:t>
      </w:r>
      <w:proofErr w:type="spellEnd"/>
      <w:r>
        <w:rPr>
          <w:rFonts w:eastAsiaTheme="minorHAnsi"/>
          <w:color w:val="000000"/>
          <w:sz w:val="22"/>
          <w:szCs w:val="22"/>
          <w:lang w:eastAsia="en-US"/>
        </w:rPr>
        <w:t xml:space="preserve"> (23 mg) natrio, t. y. jis beveik neturi reikšmės.</w:t>
      </w:r>
    </w:p>
    <w:p w14:paraId="62F69DFA" w14:textId="77777777" w:rsidR="00023BBF" w:rsidRDefault="00023BBF">
      <w:pPr>
        <w:rPr>
          <w:sz w:val="22"/>
          <w:szCs w:val="22"/>
        </w:rPr>
      </w:pPr>
    </w:p>
    <w:p w14:paraId="2A176520" w14:textId="77777777" w:rsidR="00023BBF" w:rsidRDefault="00E17C37">
      <w:pPr>
        <w:pStyle w:val="Antrat4"/>
        <w:spacing w:line="240" w:lineRule="auto"/>
        <w:jc w:val="left"/>
        <w:rPr>
          <w:rFonts w:ascii="Times New Roman" w:hAnsi="Times New Roman"/>
          <w:sz w:val="22"/>
          <w:szCs w:val="22"/>
          <w:lang w:val="lt-LT"/>
        </w:rPr>
      </w:pPr>
      <w:r>
        <w:rPr>
          <w:rFonts w:ascii="Times New Roman" w:hAnsi="Times New Roman"/>
          <w:sz w:val="22"/>
          <w:szCs w:val="22"/>
          <w:lang w:val="lt-LT"/>
        </w:rPr>
        <w:t>4.5</w:t>
      </w:r>
      <w:r>
        <w:rPr>
          <w:rFonts w:ascii="Times New Roman" w:hAnsi="Times New Roman"/>
          <w:sz w:val="22"/>
          <w:szCs w:val="22"/>
          <w:lang w:val="lt-LT"/>
        </w:rPr>
        <w:tab/>
        <w:t>Sąveika su kitais vaistiniais preparatais ir kitokia sąveika</w:t>
      </w:r>
    </w:p>
    <w:p w14:paraId="5E8F4647" w14:textId="77777777" w:rsidR="00023BBF" w:rsidRDefault="00023BBF">
      <w:pPr>
        <w:rPr>
          <w:sz w:val="22"/>
          <w:szCs w:val="22"/>
        </w:rPr>
      </w:pPr>
    </w:p>
    <w:p w14:paraId="398800D6"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Daugkartines dapagliflozino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dozes vartojant kartu, sveikų žmonių organizme dapagliflozino ar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farmakokinetika reikšmingai nekito.</w:t>
      </w:r>
    </w:p>
    <w:p w14:paraId="3194F2ED" w14:textId="77777777" w:rsidR="00023BBF" w:rsidRDefault="00023BBF">
      <w:pPr>
        <w:autoSpaceDE w:val="0"/>
        <w:autoSpaceDN w:val="0"/>
        <w:adjustRightInd w:val="0"/>
        <w:rPr>
          <w:rFonts w:eastAsiaTheme="minorHAnsi"/>
          <w:color w:val="000000"/>
          <w:sz w:val="22"/>
          <w:szCs w:val="22"/>
          <w:lang w:eastAsia="en-US"/>
        </w:rPr>
      </w:pPr>
    </w:p>
    <w:p w14:paraId="3A383821"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sąveikos tyrimų neatlikta. Žemiau pateikiama informacija apie jo sudėtines veikliąsias medžiagas.</w:t>
      </w:r>
    </w:p>
    <w:p w14:paraId="19CE0F26" w14:textId="77777777" w:rsidR="00023BBF" w:rsidRDefault="00023BBF">
      <w:pPr>
        <w:autoSpaceDE w:val="0"/>
        <w:autoSpaceDN w:val="0"/>
        <w:adjustRightInd w:val="0"/>
        <w:rPr>
          <w:rFonts w:eastAsiaTheme="minorHAnsi"/>
          <w:color w:val="000000"/>
          <w:sz w:val="22"/>
          <w:szCs w:val="22"/>
          <w:lang w:eastAsia="en-US"/>
        </w:rPr>
      </w:pPr>
    </w:p>
    <w:p w14:paraId="1127F162"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Dapagliflozinas</w:t>
      </w:r>
    </w:p>
    <w:p w14:paraId="44640881"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Farmakodinaminė</w:t>
      </w:r>
      <w:proofErr w:type="spellEnd"/>
      <w:r>
        <w:rPr>
          <w:rFonts w:eastAsiaTheme="minorHAnsi"/>
          <w:color w:val="000000"/>
          <w:sz w:val="22"/>
          <w:szCs w:val="22"/>
          <w:lang w:eastAsia="en-US"/>
        </w:rPr>
        <w:t xml:space="preserve"> sąveika</w:t>
      </w:r>
    </w:p>
    <w:p w14:paraId="4CA716C7"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Diuretikai</w:t>
      </w:r>
    </w:p>
    <w:p w14:paraId="4121A8EF"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Šio vaistinio preparato ir </w:t>
      </w:r>
      <w:proofErr w:type="spellStart"/>
      <w:r>
        <w:rPr>
          <w:rFonts w:eastAsiaTheme="minorHAnsi"/>
          <w:color w:val="000000"/>
          <w:sz w:val="22"/>
          <w:szCs w:val="22"/>
          <w:lang w:eastAsia="en-US"/>
        </w:rPr>
        <w:t>tiazidinių</w:t>
      </w:r>
      <w:proofErr w:type="spellEnd"/>
      <w:r>
        <w:rPr>
          <w:rFonts w:eastAsiaTheme="minorHAnsi"/>
          <w:color w:val="000000"/>
          <w:sz w:val="22"/>
          <w:szCs w:val="22"/>
          <w:lang w:eastAsia="en-US"/>
        </w:rPr>
        <w:t xml:space="preserve"> bei kilpinių diuretikų </w:t>
      </w:r>
      <w:proofErr w:type="spellStart"/>
      <w:r>
        <w:rPr>
          <w:rFonts w:eastAsiaTheme="minorHAnsi"/>
          <w:color w:val="000000"/>
          <w:sz w:val="22"/>
          <w:szCs w:val="22"/>
          <w:lang w:eastAsia="en-US"/>
        </w:rPr>
        <w:t>diurezinis</w:t>
      </w:r>
      <w:proofErr w:type="spellEnd"/>
      <w:r>
        <w:rPr>
          <w:rFonts w:eastAsiaTheme="minorHAnsi"/>
          <w:color w:val="000000"/>
          <w:sz w:val="22"/>
          <w:szCs w:val="22"/>
          <w:lang w:eastAsia="en-US"/>
        </w:rPr>
        <w:t xml:space="preserve"> poveikis gali stiprėti, todėl gali padidėti dehidratacijos ir </w:t>
      </w:r>
      <w:proofErr w:type="spellStart"/>
      <w:r>
        <w:rPr>
          <w:rFonts w:eastAsiaTheme="minorHAnsi"/>
          <w:color w:val="000000"/>
          <w:sz w:val="22"/>
          <w:szCs w:val="22"/>
          <w:lang w:eastAsia="en-US"/>
        </w:rPr>
        <w:t>hipotenzijos</w:t>
      </w:r>
      <w:proofErr w:type="spellEnd"/>
      <w:r>
        <w:rPr>
          <w:rFonts w:eastAsiaTheme="minorHAnsi"/>
          <w:color w:val="000000"/>
          <w:sz w:val="22"/>
          <w:szCs w:val="22"/>
          <w:lang w:eastAsia="en-US"/>
        </w:rPr>
        <w:t xml:space="preserve"> rizika (žr. 4.4 skyrių).</w:t>
      </w:r>
    </w:p>
    <w:p w14:paraId="435AAE18" w14:textId="77777777" w:rsidR="00023BBF" w:rsidRDefault="00023BBF">
      <w:pPr>
        <w:autoSpaceDE w:val="0"/>
        <w:autoSpaceDN w:val="0"/>
        <w:adjustRightInd w:val="0"/>
        <w:rPr>
          <w:rFonts w:eastAsiaTheme="minorHAnsi"/>
          <w:color w:val="000000"/>
          <w:sz w:val="22"/>
          <w:szCs w:val="22"/>
          <w:lang w:eastAsia="en-US"/>
        </w:rPr>
      </w:pPr>
    </w:p>
    <w:p w14:paraId="08D59D52"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Insulinas ir jo sekreciją skatinantys vaistiniai preparatai</w:t>
      </w:r>
    </w:p>
    <w:p w14:paraId="06011B06"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Insulinas ir jo sekreciją skatinantys vaistiniai preparatai, pvz., </w:t>
      </w:r>
      <w:proofErr w:type="spellStart"/>
      <w:r>
        <w:rPr>
          <w:rFonts w:eastAsiaTheme="minorHAnsi"/>
          <w:color w:val="000000"/>
          <w:sz w:val="22"/>
          <w:szCs w:val="22"/>
          <w:lang w:eastAsia="en-US"/>
        </w:rPr>
        <w:t>sulfonilkarbamidai</w:t>
      </w:r>
      <w:proofErr w:type="spellEnd"/>
      <w:r>
        <w:rPr>
          <w:rFonts w:eastAsiaTheme="minorHAnsi"/>
          <w:color w:val="000000"/>
          <w:sz w:val="22"/>
          <w:szCs w:val="22"/>
          <w:lang w:eastAsia="en-US"/>
        </w:rPr>
        <w:t>, sukelia hipoglikemiją. Dėl to norint sumažinti jos riziką, gali tekti sumažinti kartu su dapagliflozinu vartojamo insulino ar jo sekreciją skatinančio vaistinio preparato dozę (žr. 4.2 ir 4.8 skyrius).</w:t>
      </w:r>
    </w:p>
    <w:p w14:paraId="73766C8D" w14:textId="77777777" w:rsidR="00023BBF" w:rsidRDefault="00023BBF">
      <w:pPr>
        <w:autoSpaceDE w:val="0"/>
        <w:autoSpaceDN w:val="0"/>
        <w:adjustRightInd w:val="0"/>
        <w:rPr>
          <w:rFonts w:eastAsiaTheme="minorHAnsi"/>
          <w:color w:val="000000"/>
          <w:sz w:val="22"/>
          <w:szCs w:val="22"/>
          <w:lang w:eastAsia="en-US"/>
        </w:rPr>
      </w:pPr>
    </w:p>
    <w:p w14:paraId="212F3FFB" w14:textId="77777777" w:rsidR="00023BBF" w:rsidRDefault="00E17C37">
      <w:pPr>
        <w:autoSpaceDE w:val="0"/>
        <w:autoSpaceDN w:val="0"/>
        <w:adjustRightInd w:val="0"/>
        <w:rPr>
          <w:rFonts w:eastAsiaTheme="minorHAnsi"/>
          <w:color w:val="000000"/>
          <w:sz w:val="22"/>
          <w:szCs w:val="22"/>
          <w:u w:val="single"/>
          <w:lang w:eastAsia="en-US"/>
        </w:rPr>
      </w:pPr>
      <w:proofErr w:type="spellStart"/>
      <w:r>
        <w:rPr>
          <w:rFonts w:eastAsiaTheme="minorHAnsi"/>
          <w:i/>
          <w:iCs/>
          <w:color w:val="000000"/>
          <w:sz w:val="22"/>
          <w:szCs w:val="22"/>
          <w:u w:val="single"/>
          <w:lang w:eastAsia="en-US"/>
        </w:rPr>
        <w:t>Farmakokinetinė</w:t>
      </w:r>
      <w:proofErr w:type="spellEnd"/>
      <w:r>
        <w:rPr>
          <w:rFonts w:eastAsiaTheme="minorHAnsi"/>
          <w:i/>
          <w:iCs/>
          <w:color w:val="000000"/>
          <w:sz w:val="22"/>
          <w:szCs w:val="22"/>
          <w:u w:val="single"/>
          <w:lang w:eastAsia="en-US"/>
        </w:rPr>
        <w:t xml:space="preserve"> sąveika</w:t>
      </w:r>
    </w:p>
    <w:p w14:paraId="2CB6433F"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Pagrindinis dapagliflozino metabolizmo būdas – </w:t>
      </w:r>
      <w:proofErr w:type="spellStart"/>
      <w:r>
        <w:rPr>
          <w:rFonts w:eastAsiaTheme="minorHAnsi"/>
          <w:color w:val="000000"/>
          <w:sz w:val="22"/>
          <w:szCs w:val="22"/>
          <w:lang w:eastAsia="en-US"/>
        </w:rPr>
        <w:t>konjugacija</w:t>
      </w:r>
      <w:proofErr w:type="spellEnd"/>
      <w:r>
        <w:rPr>
          <w:rFonts w:eastAsiaTheme="minorHAnsi"/>
          <w:color w:val="000000"/>
          <w:sz w:val="22"/>
          <w:szCs w:val="22"/>
          <w:lang w:eastAsia="en-US"/>
        </w:rPr>
        <w:t xml:space="preserve"> su </w:t>
      </w:r>
      <w:proofErr w:type="spellStart"/>
      <w:r>
        <w:rPr>
          <w:rFonts w:eastAsiaTheme="minorHAnsi"/>
          <w:color w:val="000000"/>
          <w:sz w:val="22"/>
          <w:szCs w:val="22"/>
          <w:lang w:eastAsia="en-US"/>
        </w:rPr>
        <w:t>glukuronidu</w:t>
      </w:r>
      <w:proofErr w:type="spellEnd"/>
      <w:r>
        <w:rPr>
          <w:rFonts w:eastAsiaTheme="minorHAnsi"/>
          <w:color w:val="000000"/>
          <w:sz w:val="22"/>
          <w:szCs w:val="22"/>
          <w:lang w:eastAsia="en-US"/>
        </w:rPr>
        <w:t xml:space="preserve">, kurią katalizuoja UDF </w:t>
      </w:r>
      <w:proofErr w:type="spellStart"/>
      <w:r>
        <w:rPr>
          <w:rFonts w:eastAsiaTheme="minorHAnsi"/>
          <w:color w:val="000000"/>
          <w:sz w:val="22"/>
          <w:szCs w:val="22"/>
          <w:lang w:eastAsia="en-US"/>
        </w:rPr>
        <w:t>glukuronoziltransferazė</w:t>
      </w:r>
      <w:proofErr w:type="spellEnd"/>
      <w:r>
        <w:rPr>
          <w:rFonts w:eastAsiaTheme="minorHAnsi"/>
          <w:color w:val="000000"/>
          <w:sz w:val="22"/>
          <w:szCs w:val="22"/>
          <w:lang w:eastAsia="en-US"/>
        </w:rPr>
        <w:t xml:space="preserve"> 1A9 (UGT1A9).</w:t>
      </w:r>
    </w:p>
    <w:p w14:paraId="673E912A" w14:textId="77777777" w:rsidR="00023BBF" w:rsidRDefault="00023BBF">
      <w:pPr>
        <w:autoSpaceDE w:val="0"/>
        <w:autoSpaceDN w:val="0"/>
        <w:adjustRightInd w:val="0"/>
        <w:rPr>
          <w:rFonts w:eastAsiaTheme="minorHAnsi"/>
          <w:color w:val="000000"/>
          <w:sz w:val="22"/>
          <w:szCs w:val="22"/>
          <w:lang w:eastAsia="en-US"/>
        </w:rPr>
      </w:pPr>
    </w:p>
    <w:p w14:paraId="6653EAD2" w14:textId="77777777" w:rsidR="00023BBF" w:rsidRDefault="00E17C37">
      <w:pPr>
        <w:rPr>
          <w:rFonts w:eastAsiaTheme="minorHAnsi"/>
          <w:color w:val="000000"/>
          <w:sz w:val="22"/>
          <w:szCs w:val="22"/>
          <w:lang w:eastAsia="en-US"/>
        </w:rPr>
      </w:pPr>
      <w:proofErr w:type="spellStart"/>
      <w:r>
        <w:rPr>
          <w:rFonts w:eastAsiaTheme="minorHAnsi"/>
          <w:i/>
          <w:iCs/>
          <w:color w:val="000000"/>
          <w:sz w:val="22"/>
          <w:szCs w:val="22"/>
          <w:lang w:eastAsia="en-US"/>
        </w:rPr>
        <w:t>In</w:t>
      </w:r>
      <w:proofErr w:type="spellEnd"/>
      <w:r>
        <w:rPr>
          <w:rFonts w:eastAsiaTheme="minorHAnsi"/>
          <w:i/>
          <w:iCs/>
          <w:color w:val="000000"/>
          <w:sz w:val="22"/>
          <w:szCs w:val="22"/>
          <w:lang w:eastAsia="en-US"/>
        </w:rPr>
        <w:t xml:space="preserve"> </w:t>
      </w:r>
      <w:proofErr w:type="spellStart"/>
      <w:r>
        <w:rPr>
          <w:rFonts w:eastAsiaTheme="minorHAnsi"/>
          <w:i/>
          <w:iCs/>
          <w:color w:val="000000"/>
          <w:sz w:val="22"/>
          <w:szCs w:val="22"/>
          <w:lang w:eastAsia="en-US"/>
        </w:rPr>
        <w:t>vitro</w:t>
      </w:r>
      <w:proofErr w:type="spellEnd"/>
      <w:r>
        <w:rPr>
          <w:rFonts w:eastAsiaTheme="minorHAnsi"/>
          <w:i/>
          <w:iCs/>
          <w:color w:val="000000"/>
          <w:sz w:val="22"/>
          <w:szCs w:val="22"/>
          <w:lang w:eastAsia="en-US"/>
        </w:rPr>
        <w:t xml:space="preserve"> </w:t>
      </w:r>
      <w:r>
        <w:rPr>
          <w:rFonts w:eastAsiaTheme="minorHAnsi"/>
          <w:color w:val="000000"/>
          <w:sz w:val="22"/>
          <w:szCs w:val="22"/>
          <w:lang w:eastAsia="en-US"/>
        </w:rPr>
        <w:t xml:space="preserve">atliktų tyrimų metu dapagliflozinas neslopino </w:t>
      </w:r>
      <w:proofErr w:type="spellStart"/>
      <w:r>
        <w:rPr>
          <w:rFonts w:eastAsiaTheme="minorHAnsi"/>
          <w:color w:val="000000"/>
          <w:sz w:val="22"/>
          <w:szCs w:val="22"/>
          <w:lang w:eastAsia="en-US"/>
        </w:rPr>
        <w:t>citochromo</w:t>
      </w:r>
      <w:proofErr w:type="spellEnd"/>
      <w:r>
        <w:rPr>
          <w:rFonts w:eastAsiaTheme="minorHAnsi"/>
          <w:color w:val="000000"/>
          <w:sz w:val="22"/>
          <w:szCs w:val="22"/>
          <w:lang w:eastAsia="en-US"/>
        </w:rPr>
        <w:t xml:space="preserve"> P450 (CYP) 1A2, CYP2A6, CYP2B6, CYP2C8, CYP2C9, CYP2C19 ar CYP2D6, CYP3A4 bei neindukavo CYP1A2, CYP2B6 ar CYP3A4. Dėl to šis vaistinis preparatas neturėtų daryti įtakos kartu vartojamų šių fermentų </w:t>
      </w:r>
      <w:proofErr w:type="spellStart"/>
      <w:r>
        <w:rPr>
          <w:rFonts w:eastAsiaTheme="minorHAnsi"/>
          <w:color w:val="000000"/>
          <w:sz w:val="22"/>
          <w:szCs w:val="22"/>
          <w:lang w:eastAsia="en-US"/>
        </w:rPr>
        <w:t>metabolizuojamų</w:t>
      </w:r>
      <w:proofErr w:type="spellEnd"/>
      <w:r>
        <w:rPr>
          <w:rFonts w:eastAsiaTheme="minorHAnsi"/>
          <w:color w:val="000000"/>
          <w:sz w:val="22"/>
          <w:szCs w:val="22"/>
          <w:lang w:eastAsia="en-US"/>
        </w:rPr>
        <w:t xml:space="preserve"> vaistinių preparatų </w:t>
      </w:r>
      <w:proofErr w:type="spellStart"/>
      <w:r>
        <w:rPr>
          <w:rFonts w:eastAsiaTheme="minorHAnsi"/>
          <w:color w:val="000000"/>
          <w:sz w:val="22"/>
          <w:szCs w:val="22"/>
          <w:lang w:eastAsia="en-US"/>
        </w:rPr>
        <w:t>metabolinio</w:t>
      </w:r>
      <w:proofErr w:type="spellEnd"/>
      <w:r>
        <w:rPr>
          <w:rFonts w:eastAsiaTheme="minorHAnsi"/>
          <w:color w:val="000000"/>
          <w:sz w:val="22"/>
          <w:szCs w:val="22"/>
          <w:lang w:eastAsia="en-US"/>
        </w:rPr>
        <w:t xml:space="preserve"> klirenso.</w:t>
      </w:r>
    </w:p>
    <w:p w14:paraId="3C647014" w14:textId="77777777" w:rsidR="00023BBF" w:rsidRDefault="00023BBF">
      <w:pPr>
        <w:rPr>
          <w:rFonts w:eastAsiaTheme="minorHAnsi"/>
          <w:color w:val="000000"/>
          <w:sz w:val="22"/>
          <w:szCs w:val="22"/>
          <w:lang w:eastAsia="en-US"/>
        </w:rPr>
      </w:pPr>
    </w:p>
    <w:p w14:paraId="742C776B"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Kitų vaistinių preparatų poveikis dapagliflozinui</w:t>
      </w:r>
    </w:p>
    <w:p w14:paraId="68EE4100"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Atliktų sąveikos sveikų žmonių organizme tyrimų, </w:t>
      </w:r>
      <w:proofErr w:type="spellStart"/>
      <w:r>
        <w:rPr>
          <w:rFonts w:eastAsiaTheme="minorHAnsi"/>
          <w:color w:val="000000"/>
          <w:sz w:val="22"/>
          <w:szCs w:val="22"/>
          <w:lang w:eastAsia="en-US"/>
        </w:rPr>
        <w:t>daugumiausia</w:t>
      </w:r>
      <w:proofErr w:type="spellEnd"/>
      <w:r>
        <w:rPr>
          <w:rFonts w:eastAsiaTheme="minorHAnsi"/>
          <w:color w:val="000000"/>
          <w:sz w:val="22"/>
          <w:szCs w:val="22"/>
          <w:lang w:eastAsia="en-US"/>
        </w:rPr>
        <w:t xml:space="preserve"> naudojant vienos dozės modelį, duomenimis, </w:t>
      </w:r>
      <w:proofErr w:type="spellStart"/>
      <w:r>
        <w:rPr>
          <w:rFonts w:eastAsiaTheme="minorHAnsi"/>
          <w:color w:val="000000"/>
          <w:sz w:val="22"/>
          <w:szCs w:val="22"/>
          <w:lang w:eastAsia="en-US"/>
        </w:rPr>
        <w:t>pioglitazonas</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sitagliptinas</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glimepiridas</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voglibozė</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hidrochlorotiazidas</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bumetanidas</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valsartanas</w:t>
      </w:r>
      <w:proofErr w:type="spellEnd"/>
      <w:r>
        <w:rPr>
          <w:rFonts w:eastAsiaTheme="minorHAnsi"/>
          <w:color w:val="000000"/>
          <w:sz w:val="22"/>
          <w:szCs w:val="22"/>
          <w:lang w:eastAsia="en-US"/>
        </w:rPr>
        <w:t xml:space="preserve"> ir </w:t>
      </w:r>
      <w:proofErr w:type="spellStart"/>
      <w:r>
        <w:rPr>
          <w:rFonts w:eastAsiaTheme="minorHAnsi"/>
          <w:color w:val="000000"/>
          <w:sz w:val="22"/>
          <w:szCs w:val="22"/>
          <w:lang w:eastAsia="en-US"/>
        </w:rPr>
        <w:t>simvastatinas</w:t>
      </w:r>
      <w:proofErr w:type="spellEnd"/>
      <w:r>
        <w:rPr>
          <w:rFonts w:eastAsiaTheme="minorHAnsi"/>
          <w:color w:val="000000"/>
          <w:sz w:val="22"/>
          <w:szCs w:val="22"/>
          <w:lang w:eastAsia="en-US"/>
        </w:rPr>
        <w:t xml:space="preserve"> įtakos dapagliflozino farmakokinetikai neturi.</w:t>
      </w:r>
    </w:p>
    <w:p w14:paraId="17408407" w14:textId="77777777" w:rsidR="00023BBF" w:rsidRDefault="00023BBF">
      <w:pPr>
        <w:autoSpaceDE w:val="0"/>
        <w:autoSpaceDN w:val="0"/>
        <w:adjustRightInd w:val="0"/>
        <w:rPr>
          <w:rFonts w:eastAsiaTheme="minorHAnsi"/>
          <w:color w:val="000000"/>
          <w:sz w:val="22"/>
          <w:szCs w:val="22"/>
          <w:lang w:eastAsia="en-US"/>
        </w:rPr>
      </w:pPr>
    </w:p>
    <w:p w14:paraId="2115D105"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Kartu vartojant </w:t>
      </w:r>
      <w:proofErr w:type="spellStart"/>
      <w:r>
        <w:rPr>
          <w:rFonts w:eastAsiaTheme="minorHAnsi"/>
          <w:color w:val="000000"/>
          <w:sz w:val="22"/>
          <w:szCs w:val="22"/>
          <w:lang w:eastAsia="en-US"/>
        </w:rPr>
        <w:t>rifampicino</w:t>
      </w:r>
      <w:proofErr w:type="spellEnd"/>
      <w:r>
        <w:rPr>
          <w:rFonts w:eastAsiaTheme="minorHAnsi"/>
          <w:color w:val="000000"/>
          <w:sz w:val="22"/>
          <w:szCs w:val="22"/>
          <w:lang w:eastAsia="en-US"/>
        </w:rPr>
        <w:t xml:space="preserve">, kuris aktyvina įvairius nešiklius ir vaistinių preparatų metabolizmo fermentus, nustatyta 22 % sumažėjusi dapagliflozino sisteminė ekspozicija (AUC), tačiau nebuvo kliniškai reikšmingo </w:t>
      </w:r>
      <w:r>
        <w:rPr>
          <w:rFonts w:eastAsiaTheme="minorHAnsi"/>
          <w:color w:val="000000"/>
          <w:sz w:val="22"/>
          <w:szCs w:val="22"/>
          <w:lang w:eastAsia="en-US"/>
        </w:rPr>
        <w:lastRenderedPageBreak/>
        <w:t xml:space="preserve">poveikio gliukozės kiekiui, išskiriamam su šlapimu per 24 val. Dozės koreguoti nerekomenduojama. Kliniškai reikšmingo kitų </w:t>
      </w:r>
      <w:proofErr w:type="spellStart"/>
      <w:r>
        <w:rPr>
          <w:rFonts w:eastAsiaTheme="minorHAnsi"/>
          <w:color w:val="000000"/>
          <w:sz w:val="22"/>
          <w:szCs w:val="22"/>
          <w:lang w:eastAsia="en-US"/>
        </w:rPr>
        <w:t>induktorių</w:t>
      </w:r>
      <w:proofErr w:type="spellEnd"/>
      <w:r>
        <w:rPr>
          <w:rFonts w:eastAsiaTheme="minorHAnsi"/>
          <w:color w:val="000000"/>
          <w:sz w:val="22"/>
          <w:szCs w:val="22"/>
          <w:lang w:eastAsia="en-US"/>
        </w:rPr>
        <w:t xml:space="preserve"> (pvz., </w:t>
      </w:r>
      <w:proofErr w:type="spellStart"/>
      <w:r>
        <w:rPr>
          <w:rFonts w:eastAsiaTheme="minorHAnsi"/>
          <w:color w:val="000000"/>
          <w:sz w:val="22"/>
          <w:szCs w:val="22"/>
          <w:lang w:eastAsia="en-US"/>
        </w:rPr>
        <w:t>karbamazepino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fenitoino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fenobarbitalio</w:t>
      </w:r>
      <w:proofErr w:type="spellEnd"/>
      <w:r>
        <w:rPr>
          <w:rFonts w:eastAsiaTheme="minorHAnsi"/>
          <w:color w:val="000000"/>
          <w:sz w:val="22"/>
          <w:szCs w:val="22"/>
          <w:lang w:eastAsia="en-US"/>
        </w:rPr>
        <w:t>) poveikio nesitikima.</w:t>
      </w:r>
    </w:p>
    <w:p w14:paraId="5D006370" w14:textId="77777777" w:rsidR="00023BBF" w:rsidRDefault="00023BBF">
      <w:pPr>
        <w:autoSpaceDE w:val="0"/>
        <w:autoSpaceDN w:val="0"/>
        <w:adjustRightInd w:val="0"/>
        <w:rPr>
          <w:rFonts w:eastAsiaTheme="minorHAnsi"/>
          <w:color w:val="000000"/>
          <w:sz w:val="22"/>
          <w:szCs w:val="22"/>
          <w:lang w:eastAsia="en-US"/>
        </w:rPr>
      </w:pPr>
    </w:p>
    <w:p w14:paraId="72F3A97C"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Kartu vartojant </w:t>
      </w:r>
      <w:proofErr w:type="spellStart"/>
      <w:r>
        <w:rPr>
          <w:rFonts w:eastAsiaTheme="minorHAnsi"/>
          <w:color w:val="000000"/>
          <w:sz w:val="22"/>
          <w:szCs w:val="22"/>
          <w:lang w:eastAsia="en-US"/>
        </w:rPr>
        <w:t>mefenamo</w:t>
      </w:r>
      <w:proofErr w:type="spellEnd"/>
      <w:r>
        <w:rPr>
          <w:rFonts w:eastAsiaTheme="minorHAnsi"/>
          <w:color w:val="000000"/>
          <w:sz w:val="22"/>
          <w:szCs w:val="22"/>
          <w:lang w:eastAsia="en-US"/>
        </w:rPr>
        <w:t xml:space="preserve"> rūgšties, kuri slopina UGT1A9, nustatyta 55 % padidėjusi dapagliflozino sisteminė ekspozicija, tačiau nebuvo klinikai reikšmingo poveikio gliukozės kiekiui, išskiriamam su šlapimu per 24 val. Dozės koreguoti nerekomenduojama.</w:t>
      </w:r>
    </w:p>
    <w:p w14:paraId="08B9E62C" w14:textId="77777777" w:rsidR="00023BBF" w:rsidRDefault="00023BBF">
      <w:pPr>
        <w:autoSpaceDE w:val="0"/>
        <w:autoSpaceDN w:val="0"/>
        <w:adjustRightInd w:val="0"/>
        <w:rPr>
          <w:rFonts w:eastAsiaTheme="minorHAnsi"/>
          <w:color w:val="000000"/>
          <w:sz w:val="22"/>
          <w:szCs w:val="22"/>
          <w:lang w:eastAsia="en-US"/>
        </w:rPr>
      </w:pPr>
    </w:p>
    <w:p w14:paraId="5EBFDDA8"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Dapagliflozino poveikis kitiems vaistiniams preparatams</w:t>
      </w:r>
    </w:p>
    <w:p w14:paraId="01A74E4D"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Dapagliflozinas gali didinti ličio šalinimą per inkstus, todėl gali sumažėti ličio koncentracija kraujyje. Pradėjus vartoti dapagliflozino, ličio koncentraciją serume reikia stebėti dažniau. Nukreipkite pacientą pas ličio preparatą paskyrusį gydytoją, kad būtų stebima ličio koncentracija serume.</w:t>
      </w:r>
    </w:p>
    <w:p w14:paraId="0A739267" w14:textId="77777777" w:rsidR="00023BBF" w:rsidRDefault="00023BBF">
      <w:pPr>
        <w:autoSpaceDE w:val="0"/>
        <w:autoSpaceDN w:val="0"/>
        <w:adjustRightInd w:val="0"/>
        <w:rPr>
          <w:rFonts w:eastAsiaTheme="minorHAnsi"/>
          <w:color w:val="000000"/>
          <w:sz w:val="22"/>
          <w:szCs w:val="22"/>
          <w:lang w:eastAsia="en-US"/>
        </w:rPr>
      </w:pPr>
    </w:p>
    <w:p w14:paraId="0EC43644"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Sąveikos sveikų žmonių organizme tyrimų, kurių metu daugiausia buvo taikomas vienos dozės modelis, metu dapagliflozinas nedarė įtakos </w:t>
      </w:r>
      <w:proofErr w:type="spellStart"/>
      <w:r>
        <w:rPr>
          <w:rFonts w:eastAsiaTheme="minorHAnsi"/>
          <w:color w:val="000000"/>
          <w:sz w:val="22"/>
          <w:szCs w:val="22"/>
          <w:lang w:eastAsia="en-US"/>
        </w:rPr>
        <w:t>pioglitazono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sitagliptino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glimepirido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hidrochlorotiazido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bumetanido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valsartano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digoksino</w:t>
      </w:r>
      <w:proofErr w:type="spellEnd"/>
      <w:r>
        <w:rPr>
          <w:rFonts w:eastAsiaTheme="minorHAnsi"/>
          <w:color w:val="000000"/>
          <w:sz w:val="22"/>
          <w:szCs w:val="22"/>
          <w:lang w:eastAsia="en-US"/>
        </w:rPr>
        <w:t xml:space="preserve"> (P-</w:t>
      </w:r>
      <w:proofErr w:type="spellStart"/>
      <w:r>
        <w:rPr>
          <w:rFonts w:eastAsiaTheme="minorHAnsi"/>
          <w:color w:val="000000"/>
          <w:sz w:val="22"/>
          <w:szCs w:val="22"/>
          <w:lang w:eastAsia="en-US"/>
        </w:rPr>
        <w:t>gp</w:t>
      </w:r>
      <w:proofErr w:type="spellEnd"/>
      <w:r>
        <w:rPr>
          <w:rFonts w:eastAsiaTheme="minorHAnsi"/>
          <w:color w:val="000000"/>
          <w:sz w:val="22"/>
          <w:szCs w:val="22"/>
          <w:lang w:eastAsia="en-US"/>
        </w:rPr>
        <w:t xml:space="preserve"> substrato) ir varfarino (S-varfarino, CYP2C9 substrato) farmakokinetikos bei nekeitė </w:t>
      </w:r>
      <w:proofErr w:type="spellStart"/>
      <w:r>
        <w:rPr>
          <w:rFonts w:eastAsiaTheme="minorHAnsi"/>
          <w:color w:val="000000"/>
          <w:sz w:val="22"/>
          <w:szCs w:val="22"/>
          <w:lang w:eastAsia="en-US"/>
        </w:rPr>
        <w:t>koaguliaciją</w:t>
      </w:r>
      <w:proofErr w:type="spellEnd"/>
      <w:r>
        <w:rPr>
          <w:rFonts w:eastAsiaTheme="minorHAnsi"/>
          <w:color w:val="000000"/>
          <w:sz w:val="22"/>
          <w:szCs w:val="22"/>
          <w:lang w:eastAsia="en-US"/>
        </w:rPr>
        <w:t xml:space="preserve"> slopinančio varfarino poveikio (vertinant pagal tarptautinį normalizuotą santykį). Kartu pavartojus vieną 20 mg dapagliflozino dozę, CYP3A4 substrato </w:t>
      </w:r>
      <w:proofErr w:type="spellStart"/>
      <w:r>
        <w:rPr>
          <w:rFonts w:eastAsiaTheme="minorHAnsi"/>
          <w:color w:val="000000"/>
          <w:sz w:val="22"/>
          <w:szCs w:val="22"/>
          <w:lang w:eastAsia="en-US"/>
        </w:rPr>
        <w:t>simvastatino</w:t>
      </w:r>
      <w:proofErr w:type="spellEnd"/>
      <w:r>
        <w:rPr>
          <w:rFonts w:eastAsiaTheme="minorHAnsi"/>
          <w:color w:val="000000"/>
          <w:sz w:val="22"/>
          <w:szCs w:val="22"/>
          <w:lang w:eastAsia="en-US"/>
        </w:rPr>
        <w:t xml:space="preserve"> AUC padidėjo 19 %, o </w:t>
      </w:r>
      <w:proofErr w:type="spellStart"/>
      <w:r>
        <w:rPr>
          <w:rFonts w:eastAsiaTheme="minorHAnsi"/>
          <w:color w:val="000000"/>
          <w:sz w:val="22"/>
          <w:szCs w:val="22"/>
          <w:lang w:eastAsia="en-US"/>
        </w:rPr>
        <w:t>simvastatino</w:t>
      </w:r>
      <w:proofErr w:type="spellEnd"/>
      <w:r>
        <w:rPr>
          <w:rFonts w:eastAsiaTheme="minorHAnsi"/>
          <w:color w:val="000000"/>
          <w:sz w:val="22"/>
          <w:szCs w:val="22"/>
          <w:lang w:eastAsia="en-US"/>
        </w:rPr>
        <w:t xml:space="preserve"> rūgšties AUC – 31 %. Šis </w:t>
      </w:r>
      <w:proofErr w:type="spellStart"/>
      <w:r>
        <w:rPr>
          <w:rFonts w:eastAsiaTheme="minorHAnsi"/>
          <w:color w:val="000000"/>
          <w:sz w:val="22"/>
          <w:szCs w:val="22"/>
          <w:lang w:eastAsia="en-US"/>
        </w:rPr>
        <w:t>simvastatino</w:t>
      </w:r>
      <w:proofErr w:type="spellEnd"/>
      <w:r>
        <w:rPr>
          <w:rFonts w:eastAsiaTheme="minorHAnsi"/>
          <w:color w:val="000000"/>
          <w:sz w:val="22"/>
          <w:szCs w:val="22"/>
          <w:lang w:eastAsia="en-US"/>
        </w:rPr>
        <w:t xml:space="preserve"> ir </w:t>
      </w:r>
      <w:proofErr w:type="spellStart"/>
      <w:r>
        <w:rPr>
          <w:rFonts w:eastAsiaTheme="minorHAnsi"/>
          <w:color w:val="000000"/>
          <w:sz w:val="22"/>
          <w:szCs w:val="22"/>
          <w:lang w:eastAsia="en-US"/>
        </w:rPr>
        <w:t>simvastatino</w:t>
      </w:r>
      <w:proofErr w:type="spellEnd"/>
      <w:r>
        <w:rPr>
          <w:rFonts w:eastAsiaTheme="minorHAnsi"/>
          <w:color w:val="000000"/>
          <w:sz w:val="22"/>
          <w:szCs w:val="22"/>
          <w:lang w:eastAsia="en-US"/>
        </w:rPr>
        <w:t xml:space="preserve"> rūgšties ekspozicijos padidėjimas kliniškai reikšmingu nelaikomas.</w:t>
      </w:r>
    </w:p>
    <w:p w14:paraId="18627A34" w14:textId="77777777" w:rsidR="00023BBF" w:rsidRDefault="00023BBF">
      <w:pPr>
        <w:autoSpaceDE w:val="0"/>
        <w:autoSpaceDN w:val="0"/>
        <w:adjustRightInd w:val="0"/>
        <w:rPr>
          <w:rFonts w:eastAsiaTheme="minorHAnsi"/>
          <w:color w:val="000000"/>
          <w:sz w:val="22"/>
          <w:szCs w:val="22"/>
          <w:lang w:eastAsia="en-US"/>
        </w:rPr>
      </w:pPr>
    </w:p>
    <w:p w14:paraId="14F6CE29"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1,5-anhidrogliucitolio (1,5-AG) mėginio duomenų iškraipymas</w:t>
      </w:r>
    </w:p>
    <w:p w14:paraId="5B4FABA2"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1,5-AG mėginys </w:t>
      </w:r>
      <w:proofErr w:type="spellStart"/>
      <w:r>
        <w:rPr>
          <w:rFonts w:eastAsiaTheme="minorHAnsi"/>
          <w:color w:val="000000"/>
          <w:sz w:val="22"/>
          <w:szCs w:val="22"/>
          <w:lang w:eastAsia="en-US"/>
        </w:rPr>
        <w:t>glikemijos</w:t>
      </w:r>
      <w:proofErr w:type="spellEnd"/>
      <w:r>
        <w:rPr>
          <w:rFonts w:eastAsiaTheme="minorHAnsi"/>
          <w:color w:val="000000"/>
          <w:sz w:val="22"/>
          <w:szCs w:val="22"/>
          <w:lang w:eastAsia="en-US"/>
        </w:rPr>
        <w:t xml:space="preserve"> reguliacijai tirti nerekomenduojamas, nes jis neduoda patikimų duomenų, kai vartojama SGLT2 inhibitorių. </w:t>
      </w:r>
      <w:proofErr w:type="spellStart"/>
      <w:r>
        <w:rPr>
          <w:rFonts w:eastAsiaTheme="minorHAnsi"/>
          <w:color w:val="000000"/>
          <w:sz w:val="22"/>
          <w:szCs w:val="22"/>
          <w:lang w:eastAsia="en-US"/>
        </w:rPr>
        <w:t>Glikemijos</w:t>
      </w:r>
      <w:proofErr w:type="spellEnd"/>
      <w:r>
        <w:rPr>
          <w:rFonts w:eastAsiaTheme="minorHAnsi"/>
          <w:color w:val="000000"/>
          <w:sz w:val="22"/>
          <w:szCs w:val="22"/>
          <w:lang w:eastAsia="en-US"/>
        </w:rPr>
        <w:t xml:space="preserve"> reguliaciją patartina tirti kitais būdais.</w:t>
      </w:r>
    </w:p>
    <w:p w14:paraId="1A7858E8" w14:textId="77777777" w:rsidR="00023BBF" w:rsidRDefault="00023BBF">
      <w:pPr>
        <w:autoSpaceDE w:val="0"/>
        <w:autoSpaceDN w:val="0"/>
        <w:adjustRightInd w:val="0"/>
        <w:rPr>
          <w:rFonts w:eastAsiaTheme="minorHAnsi"/>
          <w:color w:val="000000"/>
          <w:sz w:val="22"/>
          <w:szCs w:val="22"/>
          <w:lang w:eastAsia="en-US"/>
        </w:rPr>
      </w:pPr>
    </w:p>
    <w:p w14:paraId="15F77F6B"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Vaikų populiacija</w:t>
      </w:r>
    </w:p>
    <w:p w14:paraId="52DFFC1E"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Sąveikos tyrimai atlikti tik suaugusiesiems.</w:t>
      </w:r>
    </w:p>
    <w:p w14:paraId="75D7F957" w14:textId="77777777" w:rsidR="00023BBF" w:rsidRDefault="00023BBF">
      <w:pPr>
        <w:autoSpaceDE w:val="0"/>
        <w:autoSpaceDN w:val="0"/>
        <w:adjustRightInd w:val="0"/>
        <w:rPr>
          <w:rFonts w:eastAsiaTheme="minorHAnsi"/>
          <w:color w:val="000000"/>
          <w:sz w:val="22"/>
          <w:szCs w:val="22"/>
          <w:lang w:eastAsia="en-US"/>
        </w:rPr>
      </w:pPr>
    </w:p>
    <w:p w14:paraId="798574C4" w14:textId="77777777" w:rsidR="00023BBF" w:rsidRDefault="00E17C37">
      <w:pPr>
        <w:autoSpaceDE w:val="0"/>
        <w:autoSpaceDN w:val="0"/>
        <w:adjustRightInd w:val="0"/>
        <w:rPr>
          <w:rFonts w:eastAsiaTheme="minorHAnsi"/>
          <w:color w:val="000000"/>
          <w:sz w:val="22"/>
          <w:szCs w:val="22"/>
          <w:u w:val="single"/>
          <w:lang w:eastAsia="en-US"/>
        </w:rPr>
      </w:pPr>
      <w:proofErr w:type="spellStart"/>
      <w:r>
        <w:rPr>
          <w:rFonts w:eastAsiaTheme="minorHAnsi"/>
          <w:color w:val="000000"/>
          <w:sz w:val="22"/>
          <w:szCs w:val="22"/>
          <w:u w:val="single"/>
          <w:lang w:eastAsia="en-US"/>
        </w:rPr>
        <w:t>Metforminas</w:t>
      </w:r>
      <w:proofErr w:type="spellEnd"/>
    </w:p>
    <w:p w14:paraId="0FDD6E47"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Nerekomenduojami deriniai</w:t>
      </w:r>
    </w:p>
    <w:p w14:paraId="3CDC6300"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Katijoninės</w:t>
      </w:r>
      <w:proofErr w:type="spellEnd"/>
      <w:r>
        <w:rPr>
          <w:rFonts w:eastAsiaTheme="minorHAnsi"/>
          <w:color w:val="000000"/>
          <w:sz w:val="22"/>
          <w:szCs w:val="22"/>
          <w:lang w:eastAsia="en-US"/>
        </w:rPr>
        <w:t xml:space="preserve"> medžiagos, eliminuojamos inkstų kanalėlių sekrecijos būdu (pvz., </w:t>
      </w:r>
      <w:proofErr w:type="spellStart"/>
      <w:r>
        <w:rPr>
          <w:rFonts w:eastAsiaTheme="minorHAnsi"/>
          <w:color w:val="000000"/>
          <w:sz w:val="22"/>
          <w:szCs w:val="22"/>
          <w:lang w:eastAsia="en-US"/>
        </w:rPr>
        <w:t>cimetidinas</w:t>
      </w:r>
      <w:proofErr w:type="spellEnd"/>
      <w:r>
        <w:rPr>
          <w:rFonts w:eastAsiaTheme="minorHAnsi"/>
          <w:color w:val="000000"/>
          <w:sz w:val="22"/>
          <w:szCs w:val="22"/>
          <w:lang w:eastAsia="en-US"/>
        </w:rPr>
        <w:t xml:space="preserve">), gali sąveikauti su </w:t>
      </w:r>
      <w:proofErr w:type="spellStart"/>
      <w:r>
        <w:rPr>
          <w:rFonts w:eastAsiaTheme="minorHAnsi"/>
          <w:color w:val="000000"/>
          <w:sz w:val="22"/>
          <w:szCs w:val="22"/>
          <w:lang w:eastAsia="en-US"/>
        </w:rPr>
        <w:t>metforminu</w:t>
      </w:r>
      <w:proofErr w:type="spellEnd"/>
      <w:r>
        <w:rPr>
          <w:rFonts w:eastAsiaTheme="minorHAnsi"/>
          <w:color w:val="000000"/>
          <w:sz w:val="22"/>
          <w:szCs w:val="22"/>
          <w:lang w:eastAsia="en-US"/>
        </w:rPr>
        <w:t xml:space="preserve">, konkuruodamos dėl bendrų nešiklių inkstų kanalėliuose. Tyrimo metu 7 sveikiems savanoriams vartojant po 400 mg </w:t>
      </w:r>
      <w:proofErr w:type="spellStart"/>
      <w:r>
        <w:rPr>
          <w:rFonts w:eastAsiaTheme="minorHAnsi"/>
          <w:color w:val="000000"/>
          <w:sz w:val="22"/>
          <w:szCs w:val="22"/>
          <w:lang w:eastAsia="en-US"/>
        </w:rPr>
        <w:t>cimetidino</w:t>
      </w:r>
      <w:proofErr w:type="spellEnd"/>
      <w:r>
        <w:rPr>
          <w:rFonts w:eastAsiaTheme="minorHAnsi"/>
          <w:color w:val="000000"/>
          <w:sz w:val="22"/>
          <w:szCs w:val="22"/>
          <w:lang w:eastAsia="en-US"/>
        </w:rPr>
        <w:t xml:space="preserve"> 2 kartus per parą,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sisteminė ekspozicija (AUC) padidėjo 50 %, o </w:t>
      </w:r>
      <w:proofErr w:type="spellStart"/>
      <w:r>
        <w:rPr>
          <w:rFonts w:eastAsiaTheme="minorHAnsi"/>
          <w:color w:val="000000"/>
          <w:sz w:val="22"/>
          <w:szCs w:val="22"/>
          <w:lang w:eastAsia="en-US"/>
        </w:rPr>
        <w:t>C</w:t>
      </w:r>
      <w:r>
        <w:rPr>
          <w:rFonts w:eastAsiaTheme="minorHAnsi"/>
          <w:color w:val="000000"/>
          <w:sz w:val="14"/>
          <w:szCs w:val="14"/>
          <w:lang w:eastAsia="en-US"/>
        </w:rPr>
        <w:t>max</w:t>
      </w:r>
      <w:proofErr w:type="spellEnd"/>
      <w:r>
        <w:rPr>
          <w:rFonts w:eastAsiaTheme="minorHAnsi"/>
          <w:color w:val="000000"/>
          <w:sz w:val="14"/>
          <w:szCs w:val="14"/>
          <w:lang w:eastAsia="en-US"/>
        </w:rPr>
        <w:t xml:space="preserve"> </w:t>
      </w:r>
      <w:r>
        <w:rPr>
          <w:rFonts w:eastAsiaTheme="minorHAnsi"/>
          <w:color w:val="000000"/>
          <w:sz w:val="22"/>
          <w:szCs w:val="22"/>
          <w:lang w:eastAsia="en-US"/>
        </w:rPr>
        <w:t xml:space="preserve">–81 %. Dėl to kartu vartojant </w:t>
      </w:r>
      <w:proofErr w:type="spellStart"/>
      <w:r>
        <w:rPr>
          <w:rFonts w:eastAsiaTheme="minorHAnsi"/>
          <w:color w:val="000000"/>
          <w:sz w:val="22"/>
          <w:szCs w:val="22"/>
          <w:lang w:eastAsia="en-US"/>
        </w:rPr>
        <w:t>katijoninių</w:t>
      </w:r>
      <w:proofErr w:type="spellEnd"/>
      <w:r>
        <w:rPr>
          <w:rFonts w:eastAsiaTheme="minorHAnsi"/>
          <w:color w:val="000000"/>
          <w:sz w:val="22"/>
          <w:szCs w:val="22"/>
          <w:lang w:eastAsia="en-US"/>
        </w:rPr>
        <w:t xml:space="preserve"> vaistinių preparatų, eliminuojamų inkstų kanalėlių sekrecijos būdu, reikia atidžiai stebėti </w:t>
      </w:r>
      <w:proofErr w:type="spellStart"/>
      <w:r>
        <w:rPr>
          <w:rFonts w:eastAsiaTheme="minorHAnsi"/>
          <w:color w:val="000000"/>
          <w:sz w:val="22"/>
          <w:szCs w:val="22"/>
          <w:lang w:eastAsia="en-US"/>
        </w:rPr>
        <w:t>glikemiją</w:t>
      </w:r>
      <w:proofErr w:type="spellEnd"/>
      <w:r>
        <w:rPr>
          <w:rFonts w:eastAsiaTheme="minorHAnsi"/>
          <w:color w:val="000000"/>
          <w:sz w:val="22"/>
          <w:szCs w:val="22"/>
          <w:lang w:eastAsia="en-US"/>
        </w:rPr>
        <w:t xml:space="preserve"> bei įvertinti būtinybę koreguoti dozę rekomenduojamose ribose ir diabeto gydymą.</w:t>
      </w:r>
    </w:p>
    <w:p w14:paraId="6DCEBC3B" w14:textId="77777777" w:rsidR="00023BBF" w:rsidRDefault="00023BBF">
      <w:pPr>
        <w:autoSpaceDE w:val="0"/>
        <w:autoSpaceDN w:val="0"/>
        <w:adjustRightInd w:val="0"/>
        <w:rPr>
          <w:rFonts w:eastAsiaTheme="minorHAnsi"/>
          <w:color w:val="000000"/>
          <w:sz w:val="22"/>
          <w:szCs w:val="22"/>
          <w:lang w:eastAsia="en-US"/>
        </w:rPr>
      </w:pPr>
    </w:p>
    <w:p w14:paraId="2F181D58"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Alkoholis</w:t>
      </w:r>
    </w:p>
    <w:p w14:paraId="4B2A80D3"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Intoksikacija alkoholiu yra susijusi su padidėjusia pieno rūgšties </w:t>
      </w:r>
      <w:proofErr w:type="spellStart"/>
      <w:r>
        <w:rPr>
          <w:rFonts w:eastAsiaTheme="minorHAnsi"/>
          <w:color w:val="000000"/>
          <w:sz w:val="22"/>
          <w:szCs w:val="22"/>
          <w:lang w:eastAsia="en-US"/>
        </w:rPr>
        <w:t>acidozės</w:t>
      </w:r>
      <w:proofErr w:type="spellEnd"/>
      <w:r>
        <w:rPr>
          <w:rFonts w:eastAsiaTheme="minorHAnsi"/>
          <w:color w:val="000000"/>
          <w:sz w:val="22"/>
          <w:szCs w:val="22"/>
          <w:lang w:eastAsia="en-US"/>
        </w:rPr>
        <w:t xml:space="preserve"> rizika, ypač badavimo, prastos mitybos ar kepenų funkcijos sutrikimo atvejais dėl šio vaistinio preparato veikliosios medžiagos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poveikio (žr. 4.4 skyrių). Reikia vengti vartoti alkoholio ir vaistinių preparatų, kurių sudėtyje jo yra.</w:t>
      </w:r>
    </w:p>
    <w:p w14:paraId="389CFFE9" w14:textId="77777777" w:rsidR="00023BBF" w:rsidRDefault="00023BBF">
      <w:pPr>
        <w:autoSpaceDE w:val="0"/>
        <w:autoSpaceDN w:val="0"/>
        <w:adjustRightInd w:val="0"/>
        <w:rPr>
          <w:rFonts w:eastAsiaTheme="minorHAnsi"/>
          <w:color w:val="000000"/>
          <w:sz w:val="22"/>
          <w:szCs w:val="22"/>
          <w:lang w:eastAsia="en-US"/>
        </w:rPr>
      </w:pPr>
    </w:p>
    <w:p w14:paraId="7A125EA4" w14:textId="77777777" w:rsidR="00023BBF" w:rsidRDefault="00E17C37">
      <w:pPr>
        <w:autoSpaceDE w:val="0"/>
        <w:autoSpaceDN w:val="0"/>
        <w:adjustRightInd w:val="0"/>
        <w:rPr>
          <w:rFonts w:eastAsiaTheme="minorHAnsi"/>
          <w:i/>
          <w:iCs/>
          <w:color w:val="000000"/>
          <w:sz w:val="22"/>
          <w:szCs w:val="22"/>
          <w:lang w:eastAsia="en-US"/>
        </w:rPr>
      </w:pPr>
      <w:r>
        <w:rPr>
          <w:rFonts w:eastAsiaTheme="minorHAnsi"/>
          <w:i/>
          <w:iCs/>
          <w:color w:val="000000"/>
          <w:sz w:val="22"/>
          <w:szCs w:val="22"/>
          <w:lang w:eastAsia="en-US"/>
        </w:rPr>
        <w:t>Jodo turinčios kontrastinės medžiagos</w:t>
      </w:r>
    </w:p>
    <w:p w14:paraId="2DC5A0FB" w14:textId="77777777" w:rsidR="00023BBF" w:rsidRDefault="00E17C37">
      <w:pPr>
        <w:autoSpaceDE w:val="0"/>
        <w:autoSpaceDN w:val="0"/>
        <w:adjustRightInd w:val="0"/>
        <w:rPr>
          <w:rFonts w:eastAsiaTheme="minorHAnsi"/>
          <w:i/>
          <w:iCs/>
          <w:color w:val="000000"/>
          <w:sz w:val="22"/>
          <w:szCs w:val="22"/>
          <w:lang w:eastAsia="en-US"/>
        </w:rPr>
      </w:pPr>
      <w:r>
        <w:rPr>
          <w:sz w:val="22"/>
          <w:szCs w:val="22"/>
        </w:rPr>
        <w:t xml:space="preserve">Jodo turinčių kontrastinių medžiagų vartojimas į kraujagysles gali sukelti su kontrastine medžiaga susijusią </w:t>
      </w:r>
      <w:proofErr w:type="spellStart"/>
      <w:r>
        <w:rPr>
          <w:sz w:val="22"/>
          <w:szCs w:val="22"/>
        </w:rPr>
        <w:t>nefropatiją</w:t>
      </w:r>
      <w:proofErr w:type="spellEnd"/>
      <w:r>
        <w:rPr>
          <w:sz w:val="22"/>
          <w:szCs w:val="22"/>
        </w:rPr>
        <w:t xml:space="preserve">, dėl kurios gali kauptis </w:t>
      </w:r>
      <w:proofErr w:type="spellStart"/>
      <w:r>
        <w:rPr>
          <w:sz w:val="22"/>
          <w:szCs w:val="22"/>
        </w:rPr>
        <w:t>metforminas</w:t>
      </w:r>
      <w:proofErr w:type="spellEnd"/>
      <w:r>
        <w:rPr>
          <w:sz w:val="22"/>
          <w:szCs w:val="22"/>
        </w:rPr>
        <w:t xml:space="preserve"> ir padidėti pieno rūgšties </w:t>
      </w:r>
      <w:proofErr w:type="spellStart"/>
      <w:r>
        <w:rPr>
          <w:sz w:val="22"/>
          <w:szCs w:val="22"/>
        </w:rPr>
        <w:t>acidozės</w:t>
      </w:r>
      <w:proofErr w:type="spellEnd"/>
      <w:r>
        <w:rPr>
          <w:sz w:val="22"/>
          <w:szCs w:val="22"/>
        </w:rPr>
        <w:t xml:space="preserve"> rizika. Prieš vizualizacijos procedūrą arba jos metu </w:t>
      </w:r>
      <w:proofErr w:type="spellStart"/>
      <w:r>
        <w:rPr>
          <w:sz w:val="22"/>
          <w:szCs w:val="22"/>
        </w:rPr>
        <w:t>metformino</w:t>
      </w:r>
      <w:proofErr w:type="spellEnd"/>
      <w:r>
        <w:rPr>
          <w:sz w:val="22"/>
          <w:szCs w:val="22"/>
        </w:rPr>
        <w:t xml:space="preserve"> vartojimą reikia nutraukti. Vėl vartoti galima tik praėjus ne mažiau kaip 48 valandoms po procedūros ir tik jei buvo atlikti tyrimai, kurie parodė stabilią inkstų funkciją (žr. 4.2 ir 4.4 skyrius).</w:t>
      </w:r>
    </w:p>
    <w:p w14:paraId="11BD8A23" w14:textId="77777777" w:rsidR="00023BBF" w:rsidRDefault="00023BBF">
      <w:pPr>
        <w:autoSpaceDE w:val="0"/>
        <w:autoSpaceDN w:val="0"/>
        <w:adjustRightInd w:val="0"/>
        <w:rPr>
          <w:rFonts w:eastAsiaTheme="minorHAnsi"/>
          <w:i/>
          <w:iCs/>
          <w:color w:val="000000"/>
          <w:sz w:val="22"/>
          <w:szCs w:val="22"/>
          <w:lang w:eastAsia="en-US"/>
        </w:rPr>
      </w:pPr>
    </w:p>
    <w:p w14:paraId="2F692919"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Deriniai, kuriuos vartojant reikia imtis atsargumo priemonių</w:t>
      </w:r>
    </w:p>
    <w:p w14:paraId="705A6963"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Gliukokortikoidams</w:t>
      </w:r>
      <w:proofErr w:type="spellEnd"/>
      <w:r>
        <w:rPr>
          <w:rFonts w:eastAsiaTheme="minorHAnsi"/>
          <w:color w:val="000000"/>
          <w:sz w:val="22"/>
          <w:szCs w:val="22"/>
          <w:lang w:eastAsia="en-US"/>
        </w:rPr>
        <w:t xml:space="preserve"> (vartojamiems sisteminiais ir lokaliais būdais), beta-2 </w:t>
      </w:r>
      <w:proofErr w:type="spellStart"/>
      <w:r>
        <w:rPr>
          <w:rFonts w:eastAsiaTheme="minorHAnsi"/>
          <w:color w:val="000000"/>
          <w:sz w:val="22"/>
          <w:szCs w:val="22"/>
          <w:lang w:eastAsia="en-US"/>
        </w:rPr>
        <w:t>agonistams</w:t>
      </w:r>
      <w:proofErr w:type="spellEnd"/>
      <w:r>
        <w:rPr>
          <w:rFonts w:eastAsiaTheme="minorHAnsi"/>
          <w:color w:val="000000"/>
          <w:sz w:val="22"/>
          <w:szCs w:val="22"/>
          <w:lang w:eastAsia="en-US"/>
        </w:rPr>
        <w:t xml:space="preserve"> ir diuretikams yra būdingas gliukozės koncentraciją kraujyje didinantis poveikis. Reikia apie tai informuoti pacientą ir dažniau tirti gliukozės koncentraciją kraujyje, ypač pradedant vartoti šių vaistinių preparatų. Esant reikalui, būtina koreguoti gliukozės koncentraciją kraujyje mažinančio vaistinio preparato dozę vartojant ir baigus vartoti kurį nors iš minėtų vaistinių preparatų.</w:t>
      </w:r>
    </w:p>
    <w:p w14:paraId="5789FBD7" w14:textId="77777777" w:rsidR="00023BBF" w:rsidRDefault="00023BBF">
      <w:pPr>
        <w:autoSpaceDE w:val="0"/>
        <w:autoSpaceDN w:val="0"/>
        <w:adjustRightInd w:val="0"/>
        <w:rPr>
          <w:rFonts w:eastAsiaTheme="minorHAnsi"/>
          <w:color w:val="000000"/>
          <w:sz w:val="22"/>
          <w:szCs w:val="22"/>
          <w:lang w:eastAsia="en-US"/>
        </w:rPr>
      </w:pPr>
    </w:p>
    <w:p w14:paraId="638F5121"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Kai kurie vaistiniai preparatai gali neigiamai veikti inkstų funkciją ir gali didinti pieno rūgšties </w:t>
      </w:r>
      <w:proofErr w:type="spellStart"/>
      <w:r>
        <w:rPr>
          <w:rFonts w:eastAsiaTheme="minorHAnsi"/>
          <w:color w:val="000000"/>
          <w:sz w:val="22"/>
          <w:szCs w:val="22"/>
          <w:lang w:eastAsia="en-US"/>
        </w:rPr>
        <w:t>acidozės</w:t>
      </w:r>
      <w:proofErr w:type="spellEnd"/>
      <w:r>
        <w:rPr>
          <w:rFonts w:eastAsiaTheme="minorHAnsi"/>
          <w:color w:val="000000"/>
          <w:sz w:val="22"/>
          <w:szCs w:val="22"/>
          <w:lang w:eastAsia="en-US"/>
        </w:rPr>
        <w:t xml:space="preserve"> riziką, pvz., NVNU, įskaitant selektyviuosius </w:t>
      </w:r>
      <w:proofErr w:type="spellStart"/>
      <w:r>
        <w:rPr>
          <w:rFonts w:eastAsiaTheme="minorHAnsi"/>
          <w:color w:val="000000"/>
          <w:sz w:val="22"/>
          <w:szCs w:val="22"/>
          <w:lang w:eastAsia="en-US"/>
        </w:rPr>
        <w:t>ciklooksigenazės</w:t>
      </w:r>
      <w:proofErr w:type="spellEnd"/>
      <w:r>
        <w:rPr>
          <w:rFonts w:eastAsiaTheme="minorHAnsi"/>
          <w:color w:val="000000"/>
          <w:sz w:val="22"/>
          <w:szCs w:val="22"/>
          <w:lang w:eastAsia="en-US"/>
        </w:rPr>
        <w:t xml:space="preserve"> (COX) II inhibitorius, AKF inhibitoriai, </w:t>
      </w:r>
      <w:proofErr w:type="spellStart"/>
      <w:r>
        <w:rPr>
          <w:rFonts w:eastAsiaTheme="minorHAnsi"/>
          <w:color w:val="000000"/>
          <w:sz w:val="22"/>
          <w:szCs w:val="22"/>
          <w:lang w:eastAsia="en-US"/>
        </w:rPr>
        <w:lastRenderedPageBreak/>
        <w:t>angiotenzino</w:t>
      </w:r>
      <w:proofErr w:type="spellEnd"/>
      <w:r>
        <w:rPr>
          <w:rFonts w:eastAsiaTheme="minorHAnsi"/>
          <w:color w:val="000000"/>
          <w:sz w:val="22"/>
          <w:szCs w:val="22"/>
          <w:lang w:eastAsia="en-US"/>
        </w:rPr>
        <w:t xml:space="preserve"> II receptorių blokatoriai ir diuretikai, ypač kilpiniai diuretikai. Pradedant vartoti arba vartojant </w:t>
      </w:r>
      <w:proofErr w:type="spellStart"/>
      <w:r>
        <w:rPr>
          <w:rFonts w:eastAsiaTheme="minorHAnsi"/>
          <w:color w:val="000000"/>
          <w:sz w:val="22"/>
          <w:szCs w:val="22"/>
          <w:lang w:eastAsia="en-US"/>
        </w:rPr>
        <w:t>tokiū</w:t>
      </w:r>
      <w:proofErr w:type="spellEnd"/>
      <w:r>
        <w:rPr>
          <w:rFonts w:eastAsiaTheme="minorHAnsi"/>
          <w:color w:val="000000"/>
          <w:sz w:val="22"/>
          <w:szCs w:val="22"/>
          <w:lang w:eastAsia="en-US"/>
        </w:rPr>
        <w:t xml:space="preserve"> vaistinių preparatų kartu su </w:t>
      </w:r>
      <w:proofErr w:type="spellStart"/>
      <w:r>
        <w:rPr>
          <w:rFonts w:eastAsiaTheme="minorHAnsi"/>
          <w:color w:val="000000"/>
          <w:sz w:val="22"/>
          <w:szCs w:val="22"/>
          <w:lang w:eastAsia="en-US"/>
        </w:rPr>
        <w:t>metforminu</w:t>
      </w:r>
      <w:proofErr w:type="spellEnd"/>
      <w:r>
        <w:rPr>
          <w:rFonts w:eastAsiaTheme="minorHAnsi"/>
          <w:color w:val="000000"/>
          <w:sz w:val="22"/>
          <w:szCs w:val="22"/>
          <w:lang w:eastAsia="en-US"/>
        </w:rPr>
        <w:t>, reikia atidžiai stebėti inkstų funkciją.</w:t>
      </w:r>
    </w:p>
    <w:p w14:paraId="0C2839A8" w14:textId="77777777" w:rsidR="00023BBF" w:rsidRDefault="00023BBF">
      <w:pPr>
        <w:autoSpaceDE w:val="0"/>
        <w:autoSpaceDN w:val="0"/>
        <w:adjustRightInd w:val="0"/>
        <w:rPr>
          <w:rFonts w:eastAsiaTheme="minorHAnsi"/>
          <w:color w:val="000000"/>
          <w:sz w:val="22"/>
          <w:szCs w:val="22"/>
          <w:lang w:eastAsia="en-US"/>
        </w:rPr>
      </w:pPr>
    </w:p>
    <w:p w14:paraId="7E388D43"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Insulinas ir jo sekreciją skatinantys vaistiniai preparatai</w:t>
      </w:r>
    </w:p>
    <w:p w14:paraId="5A903C1F" w14:textId="77777777" w:rsidR="00023BBF" w:rsidRDefault="00E17C37">
      <w:pPr>
        <w:autoSpaceDE w:val="0"/>
        <w:autoSpaceDN w:val="0"/>
        <w:adjustRightInd w:val="0"/>
        <w:rPr>
          <w:rFonts w:eastAsiaTheme="minorHAnsi"/>
          <w:i/>
          <w:iCs/>
          <w:color w:val="000000"/>
          <w:sz w:val="22"/>
          <w:szCs w:val="22"/>
          <w:lang w:eastAsia="en-US"/>
        </w:rPr>
      </w:pPr>
      <w:r>
        <w:rPr>
          <w:rFonts w:eastAsiaTheme="minorHAnsi"/>
          <w:color w:val="000000"/>
          <w:sz w:val="22"/>
          <w:szCs w:val="22"/>
          <w:lang w:eastAsia="en-US"/>
        </w:rPr>
        <w:t xml:space="preserve">Insulinas ir jo sekreciją skatinantys vaistiniai preparatai, pvz., </w:t>
      </w:r>
      <w:proofErr w:type="spellStart"/>
      <w:r>
        <w:rPr>
          <w:rFonts w:eastAsiaTheme="minorHAnsi"/>
          <w:color w:val="000000"/>
          <w:sz w:val="22"/>
          <w:szCs w:val="22"/>
          <w:lang w:eastAsia="en-US"/>
        </w:rPr>
        <w:t>sulfonilkarbamidai</w:t>
      </w:r>
      <w:proofErr w:type="spellEnd"/>
      <w:r>
        <w:rPr>
          <w:rFonts w:eastAsiaTheme="minorHAnsi"/>
          <w:color w:val="000000"/>
          <w:sz w:val="22"/>
          <w:szCs w:val="22"/>
          <w:lang w:eastAsia="en-US"/>
        </w:rPr>
        <w:t xml:space="preserve">, sukelia hipoglikemiją. Dėl to kartu vartojant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gali tekti sumažinti insulino ar jo sekreciją didinančio vaistinio preparato dozę, kad būtų mažesnė hipoglikemijos rizika (žr. 4.2 ir 4.8 skyrius).</w:t>
      </w:r>
    </w:p>
    <w:p w14:paraId="6A5F69F8" w14:textId="77777777" w:rsidR="00023BBF" w:rsidRDefault="00023BBF">
      <w:pPr>
        <w:autoSpaceDE w:val="0"/>
        <w:autoSpaceDN w:val="0"/>
        <w:adjustRightInd w:val="0"/>
        <w:rPr>
          <w:rFonts w:eastAsiaTheme="minorHAnsi"/>
          <w:color w:val="000000"/>
          <w:sz w:val="22"/>
          <w:szCs w:val="22"/>
          <w:lang w:eastAsia="en-US"/>
        </w:rPr>
      </w:pPr>
    </w:p>
    <w:p w14:paraId="697140D5" w14:textId="77777777" w:rsidR="00023BBF" w:rsidRDefault="00023BBF">
      <w:pPr>
        <w:widowControl w:val="0"/>
        <w:tabs>
          <w:tab w:val="left" w:pos="567"/>
        </w:tabs>
        <w:ind w:left="567" w:hanging="567"/>
        <w:outlineLvl w:val="2"/>
        <w:rPr>
          <w:sz w:val="22"/>
          <w:szCs w:val="22"/>
          <w:u w:val="single"/>
        </w:rPr>
      </w:pPr>
    </w:p>
    <w:p w14:paraId="38D1213E" w14:textId="77777777" w:rsidR="00023BBF" w:rsidRDefault="00023BBF">
      <w:pPr>
        <w:widowControl w:val="0"/>
        <w:tabs>
          <w:tab w:val="left" w:pos="567"/>
        </w:tabs>
        <w:ind w:left="567" w:hanging="567"/>
        <w:outlineLvl w:val="2"/>
        <w:rPr>
          <w:sz w:val="22"/>
          <w:szCs w:val="22"/>
          <w:u w:val="single"/>
        </w:rPr>
      </w:pPr>
    </w:p>
    <w:p w14:paraId="49F516A6" w14:textId="77777777" w:rsidR="00023BBF" w:rsidRDefault="00E17C37">
      <w:pPr>
        <w:widowControl w:val="0"/>
        <w:tabs>
          <w:tab w:val="left" w:pos="567"/>
        </w:tabs>
        <w:ind w:left="567" w:hanging="567"/>
        <w:outlineLvl w:val="2"/>
        <w:rPr>
          <w:b/>
          <w:sz w:val="22"/>
          <w:szCs w:val="22"/>
          <w:lang w:eastAsia="en-US"/>
        </w:rPr>
      </w:pPr>
      <w:r>
        <w:rPr>
          <w:b/>
          <w:kern w:val="28"/>
          <w:sz w:val="22"/>
          <w:szCs w:val="22"/>
          <w:lang w:eastAsia="en-US"/>
        </w:rPr>
        <w:t>4.6</w:t>
      </w:r>
      <w:r>
        <w:rPr>
          <w:b/>
          <w:kern w:val="28"/>
          <w:sz w:val="22"/>
          <w:szCs w:val="22"/>
          <w:lang w:eastAsia="en-US"/>
        </w:rPr>
        <w:tab/>
        <w:t>Vaisingumas, nėštumo ir žindymo laikotarpis</w:t>
      </w:r>
    </w:p>
    <w:p w14:paraId="5A72B0F3" w14:textId="77777777" w:rsidR="00023BBF" w:rsidRDefault="00023BBF">
      <w:pPr>
        <w:rPr>
          <w:sz w:val="22"/>
          <w:szCs w:val="22"/>
        </w:rPr>
      </w:pPr>
    </w:p>
    <w:p w14:paraId="7CFB4186"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Nėštumas</w:t>
      </w:r>
    </w:p>
    <w:p w14:paraId="4E0DBD6C"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ar dapagliflozino vartojimo nėščioms moterims duomenų nėra. Su žiurkėmis atlikti tyrimai parodė toksinį dapagliflozino poveikį inkstų vystymuisi laikotarpiu, atitinkančiu antrą ir trečią žmogaus nėštumo trimestrus (žr. 5.3 skyrių). Dėl to antrą ir trečią nėštumo trimestrus šio vaistinio preparato vartoti nerekomenduojama. Nedidelis kiekis duomenų apie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vartojusias nėščias moteris nerodo įgimtų formavimosi ydų rizikos padidėjimo.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tyrimai kenksmingo poveikio gyvūnų vaikingumo eigai, embriono ar vaisiaus vystymuisi, atsivedimui ar vystymuisi po atsivedimo neparodė (žr. 5.3 skyrių).</w:t>
      </w:r>
    </w:p>
    <w:p w14:paraId="0028A8F0" w14:textId="77777777" w:rsidR="00023BBF" w:rsidRDefault="00023BBF">
      <w:pPr>
        <w:autoSpaceDE w:val="0"/>
        <w:autoSpaceDN w:val="0"/>
        <w:adjustRightInd w:val="0"/>
        <w:rPr>
          <w:rFonts w:eastAsiaTheme="minorHAnsi"/>
          <w:color w:val="000000"/>
          <w:sz w:val="22"/>
          <w:szCs w:val="22"/>
          <w:lang w:eastAsia="en-US"/>
        </w:rPr>
      </w:pPr>
    </w:p>
    <w:p w14:paraId="32E5A45A"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Jei pacientė </w:t>
      </w:r>
      <w:proofErr w:type="spellStart"/>
      <w:r>
        <w:rPr>
          <w:rFonts w:eastAsiaTheme="minorHAnsi"/>
          <w:color w:val="000000"/>
          <w:sz w:val="22"/>
          <w:szCs w:val="22"/>
          <w:lang w:eastAsia="en-US"/>
        </w:rPr>
        <w:t>planuojapastoti</w:t>
      </w:r>
      <w:proofErr w:type="spellEnd"/>
      <w:r>
        <w:rPr>
          <w:rFonts w:eastAsiaTheme="minorHAnsi"/>
          <w:color w:val="000000"/>
          <w:sz w:val="22"/>
          <w:szCs w:val="22"/>
          <w:lang w:eastAsia="en-US"/>
        </w:rPr>
        <w:t xml:space="preserve"> arba laukiasi, yra rekomenduojama, kad diabetas būtų negydomas šiuo vaistiniu preparatu, bet insulinu būtų palaikoma kiek įmanoma artimesnė normaliai gliukozės koncentracija kraujyje, kad būtų mažesnė vaisiaus įgimtų formavimosi ydų, susijusių su nenormalia gliukozės koncentracija kraujyje, rizika.</w:t>
      </w:r>
    </w:p>
    <w:p w14:paraId="2EDEEE22" w14:textId="77777777" w:rsidR="00023BBF" w:rsidRDefault="00023BBF">
      <w:pPr>
        <w:autoSpaceDE w:val="0"/>
        <w:autoSpaceDN w:val="0"/>
        <w:adjustRightInd w:val="0"/>
        <w:rPr>
          <w:rFonts w:eastAsiaTheme="minorHAnsi"/>
          <w:color w:val="000000"/>
          <w:sz w:val="22"/>
          <w:szCs w:val="22"/>
          <w:lang w:eastAsia="en-US"/>
        </w:rPr>
      </w:pPr>
    </w:p>
    <w:p w14:paraId="3962639F"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Žindymas</w:t>
      </w:r>
    </w:p>
    <w:p w14:paraId="0E94995D"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Nežinoma, ar šio vaistinio preparato arba dapagliflozino ir (ar) jo metabolitų išsiskiria į moters pieną. Esami farmakodinamikos ir </w:t>
      </w:r>
      <w:proofErr w:type="spellStart"/>
      <w:r>
        <w:rPr>
          <w:rFonts w:eastAsiaTheme="minorHAnsi"/>
          <w:color w:val="000000"/>
          <w:sz w:val="22"/>
          <w:szCs w:val="22"/>
          <w:lang w:eastAsia="en-US"/>
        </w:rPr>
        <w:t>toksikologinių</w:t>
      </w:r>
      <w:proofErr w:type="spellEnd"/>
      <w:r>
        <w:rPr>
          <w:rFonts w:eastAsiaTheme="minorHAnsi"/>
          <w:color w:val="000000"/>
          <w:sz w:val="22"/>
          <w:szCs w:val="22"/>
          <w:lang w:eastAsia="en-US"/>
        </w:rPr>
        <w:t xml:space="preserve"> tyrimų su gyvūnais duomenys rodo, kad dapagliflozino ir (ar) jo metabolitų išsiskiria į gyvūnų pieną. Taip pat rodo farmakologinio pobūdžio poveikius žindomiems jaunikliams (žr. 5.3 skyrių). Nedaug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išsiskiria į moters pieną. Pavojaus žindomiems naujagimiams ar kūdikiams negalima atmesti.</w:t>
      </w:r>
    </w:p>
    <w:p w14:paraId="75CC4D03" w14:textId="77777777" w:rsidR="00023BBF" w:rsidRDefault="00023BBF">
      <w:pPr>
        <w:autoSpaceDE w:val="0"/>
        <w:autoSpaceDN w:val="0"/>
        <w:adjustRightInd w:val="0"/>
        <w:rPr>
          <w:rFonts w:eastAsiaTheme="minorHAnsi"/>
          <w:color w:val="000000"/>
          <w:sz w:val="22"/>
          <w:szCs w:val="22"/>
          <w:lang w:eastAsia="en-US"/>
        </w:rPr>
      </w:pPr>
    </w:p>
    <w:p w14:paraId="39B37030"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Šio vaistinio preparato neturi būti vartojama žindymo metu.</w:t>
      </w:r>
    </w:p>
    <w:p w14:paraId="33E3C445" w14:textId="77777777" w:rsidR="00023BBF" w:rsidRDefault="00023BBF">
      <w:pPr>
        <w:autoSpaceDE w:val="0"/>
        <w:autoSpaceDN w:val="0"/>
        <w:adjustRightInd w:val="0"/>
        <w:rPr>
          <w:rFonts w:eastAsiaTheme="minorHAnsi"/>
          <w:color w:val="000000"/>
          <w:sz w:val="22"/>
          <w:szCs w:val="22"/>
          <w:lang w:eastAsia="en-US"/>
        </w:rPr>
      </w:pPr>
    </w:p>
    <w:p w14:paraId="43ED54F2"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Vaisingumas</w:t>
      </w:r>
    </w:p>
    <w:p w14:paraId="02E0A581" w14:textId="77777777" w:rsidR="00023BBF" w:rsidRDefault="00E17C37">
      <w:pPr>
        <w:rPr>
          <w:rFonts w:eastAsiaTheme="minorHAnsi"/>
          <w:color w:val="000000"/>
          <w:sz w:val="22"/>
          <w:szCs w:val="22"/>
          <w:lang w:eastAsia="en-US"/>
        </w:rPr>
      </w:pPr>
      <w:r>
        <w:rPr>
          <w:rFonts w:eastAsiaTheme="minorHAnsi"/>
          <w:color w:val="000000"/>
          <w:sz w:val="22"/>
          <w:szCs w:val="22"/>
          <w:lang w:eastAsia="en-US"/>
        </w:rPr>
        <w:t xml:space="preserve">Šio vaistinio preparato ir dapagliflozino poveikis žmonių vaisingumui netirtas. Jokia tirta dapagliflozino dozė žiurkių patinų ir patelių vaisingumo neveikė.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tyrimai toksinio poveikio gyvūnų reprodukcijai neparodė (žr. 5.3 skyrių).</w:t>
      </w:r>
    </w:p>
    <w:p w14:paraId="7F39F451" w14:textId="77777777" w:rsidR="00023BBF" w:rsidRDefault="00023BBF">
      <w:pPr>
        <w:rPr>
          <w:sz w:val="22"/>
          <w:szCs w:val="22"/>
          <w:u w:val="single"/>
        </w:rPr>
      </w:pPr>
    </w:p>
    <w:p w14:paraId="6D5EB8F1" w14:textId="77777777" w:rsidR="00023BBF" w:rsidRDefault="00E17C37">
      <w:pPr>
        <w:pStyle w:val="Antrat4"/>
        <w:spacing w:line="240" w:lineRule="auto"/>
        <w:jc w:val="left"/>
        <w:rPr>
          <w:rFonts w:ascii="Times New Roman" w:hAnsi="Times New Roman"/>
          <w:sz w:val="22"/>
          <w:szCs w:val="22"/>
          <w:lang w:val="lt-LT"/>
        </w:rPr>
      </w:pPr>
      <w:r>
        <w:rPr>
          <w:rFonts w:ascii="Times New Roman" w:hAnsi="Times New Roman"/>
          <w:sz w:val="22"/>
          <w:szCs w:val="22"/>
          <w:lang w:val="lt-LT"/>
        </w:rPr>
        <w:t>4.7</w:t>
      </w:r>
      <w:r>
        <w:rPr>
          <w:rFonts w:ascii="Times New Roman" w:hAnsi="Times New Roman"/>
          <w:sz w:val="22"/>
          <w:szCs w:val="22"/>
          <w:lang w:val="lt-LT"/>
        </w:rPr>
        <w:tab/>
        <w:t>Poveikis gebėjimui vairuoti ir valdyti mechanizmus</w:t>
      </w:r>
    </w:p>
    <w:p w14:paraId="65E9ED82" w14:textId="77777777" w:rsidR="00023BBF" w:rsidRDefault="00023BBF">
      <w:pPr>
        <w:rPr>
          <w:sz w:val="22"/>
          <w:szCs w:val="22"/>
        </w:rPr>
      </w:pPr>
    </w:p>
    <w:p w14:paraId="5A498D16" w14:textId="77777777" w:rsidR="00023BBF" w:rsidRDefault="00E17C37">
      <w:pPr>
        <w:rPr>
          <w:sz w:val="22"/>
          <w:szCs w:val="22"/>
        </w:rPr>
      </w:pPr>
      <w:proofErr w:type="spellStart"/>
      <w:r>
        <w:rPr>
          <w:sz w:val="22"/>
          <w:szCs w:val="22"/>
        </w:rPr>
        <w:t>Mexdagry</w:t>
      </w:r>
      <w:proofErr w:type="spellEnd"/>
      <w:r>
        <w:rPr>
          <w:sz w:val="22"/>
          <w:szCs w:val="22"/>
        </w:rPr>
        <w:t xml:space="preserve"> gebėjimo vairuoti ir valdyti mechanizmus neveikia arba veikia nereikšmingai. Pacientus, kurie šio vaistinio preparato vartoja kartu su kitais vaistiniais preparatais, mažinančiais gliukozės koncentraciją ir sukeliančiais hipoglikemiją, reikia įspėti apie hipoglikemijos pavojų.</w:t>
      </w:r>
    </w:p>
    <w:p w14:paraId="52B65E4E" w14:textId="77777777" w:rsidR="00023BBF" w:rsidRDefault="00023BBF">
      <w:pPr>
        <w:rPr>
          <w:noProof/>
          <w:sz w:val="22"/>
          <w:szCs w:val="22"/>
        </w:rPr>
      </w:pPr>
    </w:p>
    <w:p w14:paraId="394CC3F5" w14:textId="77777777" w:rsidR="00023BBF" w:rsidRDefault="00E17C37">
      <w:pPr>
        <w:outlineLvl w:val="0"/>
        <w:rPr>
          <w:sz w:val="22"/>
          <w:szCs w:val="22"/>
        </w:rPr>
      </w:pPr>
      <w:r>
        <w:rPr>
          <w:b/>
          <w:sz w:val="22"/>
          <w:szCs w:val="22"/>
        </w:rPr>
        <w:t>4.8</w:t>
      </w:r>
      <w:r>
        <w:rPr>
          <w:b/>
          <w:sz w:val="22"/>
          <w:szCs w:val="22"/>
        </w:rPr>
        <w:tab/>
        <w:t>Nepageidaujamas poveikis</w:t>
      </w:r>
    </w:p>
    <w:p w14:paraId="51065DE0" w14:textId="77777777" w:rsidR="00023BBF" w:rsidRDefault="00023BBF">
      <w:pPr>
        <w:rPr>
          <w:sz w:val="22"/>
          <w:szCs w:val="22"/>
          <w:u w:val="single"/>
        </w:rPr>
      </w:pPr>
    </w:p>
    <w:p w14:paraId="7C4C4C56" w14:textId="77777777" w:rsidR="00023BBF" w:rsidRDefault="00E17C37">
      <w:pPr>
        <w:rPr>
          <w:sz w:val="22"/>
          <w:szCs w:val="22"/>
        </w:rPr>
      </w:pPr>
      <w:r>
        <w:rPr>
          <w:sz w:val="22"/>
          <w:szCs w:val="22"/>
        </w:rPr>
        <w:t xml:space="preserve">Įrodytas </w:t>
      </w:r>
      <w:proofErr w:type="spellStart"/>
      <w:r>
        <w:rPr>
          <w:sz w:val="22"/>
          <w:szCs w:val="22"/>
        </w:rPr>
        <w:t>Mexdagry</w:t>
      </w:r>
      <w:proofErr w:type="spellEnd"/>
      <w:r>
        <w:rPr>
          <w:sz w:val="22"/>
          <w:szCs w:val="22"/>
        </w:rPr>
        <w:t xml:space="preserve"> biologinis ekvivalentiškumas kartu vartojamiems dapagliflozinui ir </w:t>
      </w:r>
      <w:proofErr w:type="spellStart"/>
      <w:r>
        <w:rPr>
          <w:sz w:val="22"/>
          <w:szCs w:val="22"/>
        </w:rPr>
        <w:t>metforminui</w:t>
      </w:r>
      <w:proofErr w:type="spellEnd"/>
      <w:r>
        <w:rPr>
          <w:sz w:val="22"/>
          <w:szCs w:val="22"/>
        </w:rPr>
        <w:t xml:space="preserve"> (žr. 5.2 skyrių). </w:t>
      </w:r>
      <w:proofErr w:type="spellStart"/>
      <w:r>
        <w:rPr>
          <w:sz w:val="22"/>
          <w:szCs w:val="22"/>
        </w:rPr>
        <w:t>Mexdagry</w:t>
      </w:r>
      <w:proofErr w:type="spellEnd"/>
      <w:r>
        <w:rPr>
          <w:sz w:val="22"/>
          <w:szCs w:val="22"/>
        </w:rPr>
        <w:t xml:space="preserve"> tablečių klinikinių tyrimų neatlikta.</w:t>
      </w:r>
    </w:p>
    <w:p w14:paraId="16198A03" w14:textId="77777777" w:rsidR="00023BBF" w:rsidRDefault="00023BBF">
      <w:pPr>
        <w:rPr>
          <w:sz w:val="22"/>
          <w:szCs w:val="22"/>
        </w:rPr>
      </w:pPr>
    </w:p>
    <w:p w14:paraId="6CD057D9"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 xml:space="preserve">Dapagliflozino ir </w:t>
      </w:r>
      <w:proofErr w:type="spellStart"/>
      <w:r>
        <w:rPr>
          <w:rFonts w:eastAsiaTheme="minorHAnsi"/>
          <w:color w:val="000000"/>
          <w:sz w:val="22"/>
          <w:szCs w:val="22"/>
          <w:u w:val="single"/>
          <w:lang w:eastAsia="en-US"/>
        </w:rPr>
        <w:t>metformino</w:t>
      </w:r>
      <w:proofErr w:type="spellEnd"/>
      <w:r>
        <w:rPr>
          <w:rFonts w:eastAsiaTheme="minorHAnsi"/>
          <w:color w:val="000000"/>
          <w:sz w:val="22"/>
          <w:szCs w:val="22"/>
          <w:u w:val="single"/>
          <w:lang w:eastAsia="en-US"/>
        </w:rPr>
        <w:t xml:space="preserve"> derinys</w:t>
      </w:r>
    </w:p>
    <w:p w14:paraId="0FC719F8"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Saugumo duomenų santrauka</w:t>
      </w:r>
    </w:p>
    <w:p w14:paraId="643BF591"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Atliktų 5 placebu kontroliuojamų dapagliflozino vartojimo papildomam kombinuotam gydymui kartu </w:t>
      </w:r>
      <w:proofErr w:type="spellStart"/>
      <w:r>
        <w:rPr>
          <w:rFonts w:eastAsiaTheme="minorHAnsi"/>
          <w:color w:val="000000"/>
          <w:sz w:val="22"/>
          <w:szCs w:val="22"/>
          <w:lang w:eastAsia="en-US"/>
        </w:rPr>
        <w:t>metforminu</w:t>
      </w:r>
      <w:proofErr w:type="spellEnd"/>
      <w:r>
        <w:rPr>
          <w:rFonts w:eastAsiaTheme="minorHAnsi"/>
          <w:color w:val="000000"/>
          <w:sz w:val="22"/>
          <w:szCs w:val="22"/>
          <w:lang w:eastAsia="en-US"/>
        </w:rPr>
        <w:t xml:space="preserve"> tyrimų analizė parodė saugumą, panašų į nustatytą iš anksto numatytos 13 placebu kontroliuojamų dapagliflozino tyrimų bendros analizės metu (žr. žemiau „Dapagliflozinas“, „Saugumo duomenų santrauka“). Kitokių nepageidaujamų reakcijų dapagliflozino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derinio grupės pacientams (palyginus su vartojusiais šiuos komponentus atskirai) nenustatyta. Į atskirai atliktą bendrą </w:t>
      </w:r>
      <w:r>
        <w:rPr>
          <w:rFonts w:eastAsiaTheme="minorHAnsi"/>
          <w:color w:val="000000"/>
          <w:sz w:val="22"/>
          <w:szCs w:val="22"/>
          <w:lang w:eastAsia="en-US"/>
        </w:rPr>
        <w:lastRenderedPageBreak/>
        <w:t xml:space="preserve">dapagliflozino vartojimo papildomam kombinuotam gydymui kartu su </w:t>
      </w:r>
      <w:proofErr w:type="spellStart"/>
      <w:r>
        <w:rPr>
          <w:rFonts w:eastAsiaTheme="minorHAnsi"/>
          <w:color w:val="000000"/>
          <w:sz w:val="22"/>
          <w:szCs w:val="22"/>
          <w:lang w:eastAsia="en-US"/>
        </w:rPr>
        <w:t>metforminu</w:t>
      </w:r>
      <w:proofErr w:type="spellEnd"/>
      <w:r>
        <w:rPr>
          <w:rFonts w:eastAsiaTheme="minorHAnsi"/>
          <w:color w:val="000000"/>
          <w:sz w:val="22"/>
          <w:szCs w:val="22"/>
          <w:lang w:eastAsia="en-US"/>
        </w:rPr>
        <w:t xml:space="preserve"> analizę įtraukti 623 pacientai papildomam kombinuotam gydymui vartojo 10 mg dapagliflozino, o 523 buvo gydyti placebu ir </w:t>
      </w:r>
      <w:proofErr w:type="spellStart"/>
      <w:r>
        <w:rPr>
          <w:rFonts w:eastAsiaTheme="minorHAnsi"/>
          <w:color w:val="000000"/>
          <w:sz w:val="22"/>
          <w:szCs w:val="22"/>
          <w:lang w:eastAsia="en-US"/>
        </w:rPr>
        <w:t>metforminu</w:t>
      </w:r>
      <w:proofErr w:type="spellEnd"/>
      <w:r>
        <w:rPr>
          <w:rFonts w:eastAsiaTheme="minorHAnsi"/>
          <w:color w:val="000000"/>
          <w:sz w:val="22"/>
          <w:szCs w:val="22"/>
          <w:lang w:eastAsia="en-US"/>
        </w:rPr>
        <w:t>.</w:t>
      </w:r>
    </w:p>
    <w:p w14:paraId="6B489789" w14:textId="77777777" w:rsidR="00023BBF" w:rsidRDefault="00023BBF">
      <w:pPr>
        <w:autoSpaceDE w:val="0"/>
        <w:autoSpaceDN w:val="0"/>
        <w:adjustRightInd w:val="0"/>
        <w:rPr>
          <w:rFonts w:eastAsiaTheme="minorHAnsi"/>
          <w:color w:val="000000"/>
          <w:sz w:val="22"/>
          <w:szCs w:val="22"/>
          <w:lang w:eastAsia="en-US"/>
        </w:rPr>
      </w:pPr>
    </w:p>
    <w:p w14:paraId="5AEA5722"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Dapagliflozinas</w:t>
      </w:r>
    </w:p>
    <w:p w14:paraId="6B1D90A3"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Saugumo duomenų santrauka</w:t>
      </w:r>
    </w:p>
    <w:p w14:paraId="68429C86"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2 tipo diabeto klinikinių tyrimų metu dapagliflozino vartojo daugiau kaip 15 000 pacientų.</w:t>
      </w:r>
    </w:p>
    <w:p w14:paraId="5E7B9C51" w14:textId="77777777" w:rsidR="00023BBF" w:rsidRDefault="00023BBF">
      <w:pPr>
        <w:autoSpaceDE w:val="0"/>
        <w:autoSpaceDN w:val="0"/>
        <w:adjustRightInd w:val="0"/>
        <w:rPr>
          <w:rFonts w:eastAsiaTheme="minorHAnsi"/>
          <w:color w:val="000000"/>
          <w:sz w:val="22"/>
          <w:szCs w:val="22"/>
          <w:lang w:eastAsia="en-US"/>
        </w:rPr>
      </w:pPr>
    </w:p>
    <w:p w14:paraId="4728AEE2"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Pagrindinis saugumo ir toleravimo vertinimas pagrįstas iš anksto numatyta bendra analize, į kurią įtraukta 13 trumpalaikių (iki 24 savaičių) placebu kontroliuotų tyrimų (jų metu 2 360 žmonių vartojo 10 mg dapagliflozino ir 2 295 – placebo).</w:t>
      </w:r>
    </w:p>
    <w:p w14:paraId="7EC9FDAC" w14:textId="77777777" w:rsidR="00023BBF" w:rsidRDefault="00023BBF">
      <w:pPr>
        <w:autoSpaceDE w:val="0"/>
        <w:autoSpaceDN w:val="0"/>
        <w:adjustRightInd w:val="0"/>
        <w:rPr>
          <w:rFonts w:eastAsiaTheme="minorHAnsi"/>
          <w:color w:val="000000"/>
          <w:sz w:val="22"/>
          <w:szCs w:val="22"/>
          <w:lang w:eastAsia="en-US"/>
        </w:rPr>
      </w:pPr>
    </w:p>
    <w:p w14:paraId="2615AD11"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Dapagliflozino poveikio kardiovaskulinėms komplikacijoms tyrimo metu (DECLARE, žr. 5.1 skyrių) 8 574 pacientai vartojo 10 mg dapagliflozino ir 8 569 – placebo (vartojimo laikotarpio mediana buvo 48 mėnesiai). Iš viso susidarė 30 623 dapagliflozino vartojimo paciento metai.</w:t>
      </w:r>
    </w:p>
    <w:p w14:paraId="289D2923" w14:textId="77777777" w:rsidR="00023BBF" w:rsidRDefault="00023BBF">
      <w:pPr>
        <w:autoSpaceDE w:val="0"/>
        <w:autoSpaceDN w:val="0"/>
        <w:adjustRightInd w:val="0"/>
        <w:rPr>
          <w:rFonts w:eastAsiaTheme="minorHAnsi"/>
          <w:color w:val="000000"/>
          <w:sz w:val="22"/>
          <w:szCs w:val="22"/>
          <w:lang w:eastAsia="en-US"/>
        </w:rPr>
      </w:pPr>
    </w:p>
    <w:p w14:paraId="303FF3E4"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Nepageidaujamos reakcijos, apie kurias dažniausiai pranešta klinikinių tyrimų metu, buvo genitalijų infekcijos.</w:t>
      </w:r>
    </w:p>
    <w:p w14:paraId="207C32F1"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Nepageidaujamų reakcijų santrauka lentelėje</w:t>
      </w:r>
    </w:p>
    <w:p w14:paraId="57BB1B78" w14:textId="77777777" w:rsidR="00023BBF" w:rsidRDefault="00E17C37">
      <w:pPr>
        <w:widowControl w:val="0"/>
        <w:tabs>
          <w:tab w:val="left" w:pos="567"/>
        </w:tabs>
        <w:rPr>
          <w:sz w:val="22"/>
          <w:szCs w:val="22"/>
        </w:rPr>
      </w:pPr>
      <w:r>
        <w:rPr>
          <w:rFonts w:eastAsiaTheme="minorHAnsi"/>
          <w:color w:val="000000"/>
          <w:sz w:val="22"/>
          <w:szCs w:val="22"/>
          <w:lang w:eastAsia="en-US"/>
        </w:rPr>
        <w:t xml:space="preserve">Toliau išvardytos nepageidaujamos reakcijos nustatytos placebu kontroliuojamų dapagliflozino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derinio klinikinių tyrimų metu, dapagliflozino klinikinių tyrimų metu,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klinikinių tyrimų metu ir vaistinius preparatus pateikus į rinką. Nė vienos iš jų ryšio su doze nenustatyta. </w:t>
      </w:r>
      <w:r>
        <w:rPr>
          <w:sz w:val="22"/>
          <w:szCs w:val="22"/>
        </w:rPr>
        <w:t>Nepageidaujamos reakcijos yra išvardytos pagal absoliutų dažnį. Dažnis apibūdinamas taip: labai dažnas (≥ 1/10), dažnas (nuo ≥ 1/100 iki &lt; 1/10), nedažnas (nuo ≥ 1/1 000 iki &lt; 1/100), retas (nuo ≥ 1/10 000 iki &lt; 1/1 000), labai retas (&lt; 1/10 000) ir nežinomas (negali būti apskaičiuotas pagal turimus duomenis).</w:t>
      </w:r>
    </w:p>
    <w:p w14:paraId="4019B538" w14:textId="77777777" w:rsidR="00023BBF" w:rsidRDefault="00023BBF">
      <w:pPr>
        <w:rPr>
          <w:sz w:val="22"/>
          <w:szCs w:val="22"/>
        </w:rPr>
      </w:pPr>
    </w:p>
    <w:p w14:paraId="3549EB07" w14:textId="77777777" w:rsidR="00023BBF" w:rsidRDefault="00E17C37">
      <w:pPr>
        <w:rPr>
          <w:sz w:val="22"/>
          <w:szCs w:val="22"/>
        </w:rPr>
      </w:pPr>
      <w:r>
        <w:rPr>
          <w:b/>
          <w:bCs/>
          <w:sz w:val="22"/>
          <w:szCs w:val="22"/>
        </w:rPr>
        <w:t xml:space="preserve">2 lentelė. Nepageidaujamos reakcijos, pastebėtos dapagliflozino ir greito atpalaidavimo </w:t>
      </w:r>
      <w:proofErr w:type="spellStart"/>
      <w:r>
        <w:rPr>
          <w:b/>
          <w:bCs/>
          <w:sz w:val="22"/>
          <w:szCs w:val="22"/>
        </w:rPr>
        <w:t>metformino</w:t>
      </w:r>
      <w:proofErr w:type="spellEnd"/>
      <w:r>
        <w:rPr>
          <w:b/>
          <w:bCs/>
          <w:sz w:val="22"/>
          <w:szCs w:val="22"/>
        </w:rPr>
        <w:t xml:space="preserve"> klinikinio tyrimo metu bei vaistinį preparatą pateikus į </w:t>
      </w:r>
      <w:proofErr w:type="spellStart"/>
      <w:r>
        <w:rPr>
          <w:b/>
          <w:bCs/>
          <w:sz w:val="22"/>
          <w:szCs w:val="22"/>
        </w:rPr>
        <w:t>rinką</w:t>
      </w:r>
      <w:r>
        <w:rPr>
          <w:b/>
          <w:bCs/>
          <w:sz w:val="22"/>
          <w:szCs w:val="22"/>
          <w:vertAlign w:val="superscript"/>
        </w:rPr>
        <w:t>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6"/>
        <w:gridCol w:w="1683"/>
        <w:gridCol w:w="1714"/>
        <w:gridCol w:w="1594"/>
        <w:gridCol w:w="1579"/>
        <w:gridCol w:w="1394"/>
      </w:tblGrid>
      <w:tr w:rsidR="00023BBF" w14:paraId="4DC8E8F2" w14:textId="77777777">
        <w:tc>
          <w:tcPr>
            <w:tcW w:w="897" w:type="pct"/>
          </w:tcPr>
          <w:p w14:paraId="6FCA4288" w14:textId="77777777" w:rsidR="00023BBF" w:rsidRDefault="00E17C37">
            <w:pPr>
              <w:widowControl w:val="0"/>
              <w:tabs>
                <w:tab w:val="left" w:pos="567"/>
              </w:tabs>
              <w:rPr>
                <w:b/>
                <w:bCs/>
                <w:sz w:val="20"/>
                <w:szCs w:val="20"/>
                <w:lang w:val="en-GB" w:eastAsia="en-US"/>
              </w:rPr>
            </w:pPr>
            <w:r>
              <w:rPr>
                <w:b/>
                <w:bCs/>
                <w:sz w:val="20"/>
                <w:szCs w:val="20"/>
              </w:rPr>
              <w:t xml:space="preserve">Organų sistemų grupė </w:t>
            </w:r>
          </w:p>
        </w:tc>
        <w:tc>
          <w:tcPr>
            <w:tcW w:w="821" w:type="pct"/>
          </w:tcPr>
          <w:p w14:paraId="3D675730" w14:textId="77777777" w:rsidR="00023BBF" w:rsidRDefault="00E17C37">
            <w:pPr>
              <w:widowControl w:val="0"/>
              <w:jc w:val="center"/>
              <w:rPr>
                <w:b/>
                <w:bCs/>
                <w:sz w:val="20"/>
                <w:szCs w:val="20"/>
                <w:lang w:val="en-GB" w:eastAsia="en-US"/>
              </w:rPr>
            </w:pPr>
            <w:r>
              <w:rPr>
                <w:b/>
                <w:bCs/>
                <w:sz w:val="20"/>
                <w:szCs w:val="20"/>
              </w:rPr>
              <w:t>Labai dažnas</w:t>
            </w:r>
          </w:p>
        </w:tc>
        <w:tc>
          <w:tcPr>
            <w:tcW w:w="916" w:type="pct"/>
          </w:tcPr>
          <w:p w14:paraId="4088A8F9" w14:textId="77777777" w:rsidR="00023BBF" w:rsidRDefault="00E17C37">
            <w:pPr>
              <w:widowControl w:val="0"/>
              <w:tabs>
                <w:tab w:val="left" w:pos="567"/>
              </w:tabs>
              <w:jc w:val="center"/>
              <w:rPr>
                <w:b/>
                <w:bCs/>
                <w:sz w:val="20"/>
                <w:szCs w:val="20"/>
                <w:lang w:val="en-GB" w:eastAsia="en-US"/>
              </w:rPr>
            </w:pPr>
            <w:r>
              <w:rPr>
                <w:b/>
                <w:bCs/>
                <w:sz w:val="20"/>
                <w:szCs w:val="20"/>
              </w:rPr>
              <w:t>Dažnas</w:t>
            </w:r>
          </w:p>
        </w:tc>
        <w:tc>
          <w:tcPr>
            <w:tcW w:w="807" w:type="pct"/>
          </w:tcPr>
          <w:p w14:paraId="55C73ECF" w14:textId="77777777" w:rsidR="00023BBF" w:rsidRDefault="00E17C37">
            <w:pPr>
              <w:widowControl w:val="0"/>
              <w:tabs>
                <w:tab w:val="left" w:pos="567"/>
              </w:tabs>
              <w:jc w:val="center"/>
              <w:rPr>
                <w:b/>
                <w:bCs/>
                <w:sz w:val="20"/>
                <w:szCs w:val="20"/>
                <w:lang w:val="en-GB" w:eastAsia="en-US"/>
              </w:rPr>
            </w:pPr>
            <w:r>
              <w:rPr>
                <w:b/>
                <w:bCs/>
                <w:sz w:val="20"/>
                <w:szCs w:val="20"/>
              </w:rPr>
              <w:t>Nedažnas</w:t>
            </w:r>
          </w:p>
        </w:tc>
        <w:tc>
          <w:tcPr>
            <w:tcW w:w="846" w:type="pct"/>
          </w:tcPr>
          <w:p w14:paraId="57C169AF" w14:textId="77777777" w:rsidR="00023BBF" w:rsidRDefault="00E17C37">
            <w:pPr>
              <w:widowControl w:val="0"/>
              <w:tabs>
                <w:tab w:val="left" w:pos="567"/>
              </w:tabs>
              <w:jc w:val="center"/>
              <w:rPr>
                <w:b/>
                <w:bCs/>
                <w:sz w:val="20"/>
                <w:szCs w:val="20"/>
                <w:lang w:val="en-GB" w:eastAsia="en-US"/>
              </w:rPr>
            </w:pPr>
            <w:r>
              <w:rPr>
                <w:b/>
                <w:bCs/>
                <w:sz w:val="20"/>
                <w:szCs w:val="20"/>
              </w:rPr>
              <w:t>Retas</w:t>
            </w:r>
          </w:p>
        </w:tc>
        <w:tc>
          <w:tcPr>
            <w:tcW w:w="713" w:type="pct"/>
          </w:tcPr>
          <w:p w14:paraId="32003A4A" w14:textId="77777777" w:rsidR="00023BBF" w:rsidRDefault="00E17C37">
            <w:pPr>
              <w:widowControl w:val="0"/>
              <w:tabs>
                <w:tab w:val="left" w:pos="567"/>
              </w:tabs>
              <w:jc w:val="center"/>
              <w:rPr>
                <w:b/>
                <w:bCs/>
                <w:sz w:val="20"/>
                <w:szCs w:val="20"/>
                <w:lang w:val="en-GB" w:eastAsia="en-US"/>
              </w:rPr>
            </w:pPr>
            <w:r>
              <w:rPr>
                <w:b/>
                <w:bCs/>
                <w:sz w:val="20"/>
                <w:szCs w:val="20"/>
              </w:rPr>
              <w:t>Labai retas</w:t>
            </w:r>
          </w:p>
        </w:tc>
      </w:tr>
      <w:tr w:rsidR="00023BBF" w14:paraId="103DC852" w14:textId="77777777">
        <w:tc>
          <w:tcPr>
            <w:tcW w:w="897" w:type="pct"/>
          </w:tcPr>
          <w:p w14:paraId="2F9D715E" w14:textId="77777777" w:rsidR="00023BBF" w:rsidRDefault="00E17C37">
            <w:pPr>
              <w:widowControl w:val="0"/>
              <w:tabs>
                <w:tab w:val="center" w:pos="4536"/>
                <w:tab w:val="right" w:pos="9072"/>
              </w:tabs>
              <w:rPr>
                <w:i/>
                <w:iCs/>
                <w:noProof/>
                <w:sz w:val="20"/>
                <w:szCs w:val="20"/>
                <w:lang w:val="en-GB" w:eastAsia="en-US"/>
              </w:rPr>
            </w:pPr>
            <w:r>
              <w:rPr>
                <w:i/>
                <w:iCs/>
                <w:noProof/>
                <w:sz w:val="20"/>
                <w:szCs w:val="20"/>
                <w:lang w:val="en-GB" w:eastAsia="en-US"/>
              </w:rPr>
              <w:t>Infekcijos ir infestacijos</w:t>
            </w:r>
          </w:p>
        </w:tc>
        <w:tc>
          <w:tcPr>
            <w:tcW w:w="821" w:type="pct"/>
          </w:tcPr>
          <w:p w14:paraId="4612FABD" w14:textId="77777777" w:rsidR="00023BBF" w:rsidRDefault="00023BBF">
            <w:pPr>
              <w:widowControl w:val="0"/>
              <w:tabs>
                <w:tab w:val="left" w:pos="567"/>
              </w:tabs>
              <w:rPr>
                <w:sz w:val="20"/>
                <w:szCs w:val="20"/>
                <w:lang w:val="en-GB" w:eastAsia="en-US"/>
              </w:rPr>
            </w:pPr>
          </w:p>
        </w:tc>
        <w:tc>
          <w:tcPr>
            <w:tcW w:w="916" w:type="pct"/>
          </w:tcPr>
          <w:p w14:paraId="612A0B76" w14:textId="77777777" w:rsidR="00023BBF" w:rsidRDefault="00E17C37">
            <w:pPr>
              <w:widowControl w:val="0"/>
              <w:tabs>
                <w:tab w:val="left" w:pos="567"/>
              </w:tabs>
              <w:rPr>
                <w:sz w:val="20"/>
                <w:szCs w:val="20"/>
                <w:lang w:val="pt-PT" w:eastAsia="sl-SI"/>
              </w:rPr>
            </w:pPr>
            <w:r>
              <w:rPr>
                <w:sz w:val="20"/>
                <w:szCs w:val="20"/>
                <w:lang w:val="pt-PT" w:eastAsia="sl-SI"/>
              </w:rPr>
              <w:t xml:space="preserve">Vulvovaginitas, balanitas ir susijusios genitalijų infekcijos </w:t>
            </w:r>
            <w:r>
              <w:rPr>
                <w:sz w:val="20"/>
                <w:szCs w:val="20"/>
                <w:vertAlign w:val="superscript"/>
                <w:lang w:val="pt-PT" w:eastAsia="sl-SI"/>
              </w:rPr>
              <w:t>*,b,c</w:t>
            </w:r>
          </w:p>
          <w:p w14:paraId="25068FCD" w14:textId="77777777" w:rsidR="00023BBF" w:rsidRDefault="00E17C37">
            <w:pPr>
              <w:widowControl w:val="0"/>
              <w:tabs>
                <w:tab w:val="left" w:pos="567"/>
              </w:tabs>
              <w:rPr>
                <w:sz w:val="20"/>
                <w:szCs w:val="20"/>
                <w:lang w:val="pt-PT" w:eastAsia="en-US"/>
              </w:rPr>
            </w:pPr>
            <w:r>
              <w:rPr>
                <w:sz w:val="20"/>
                <w:szCs w:val="20"/>
                <w:lang w:val="pt-PT" w:eastAsia="sl-SI"/>
              </w:rPr>
              <w:t xml:space="preserve">Šlapimo takų infekcija </w:t>
            </w:r>
            <w:r>
              <w:rPr>
                <w:sz w:val="20"/>
                <w:szCs w:val="20"/>
                <w:vertAlign w:val="superscript"/>
                <w:lang w:val="pt-PT" w:eastAsia="sl-SI"/>
              </w:rPr>
              <w:t>*,b,d</w:t>
            </w:r>
          </w:p>
        </w:tc>
        <w:tc>
          <w:tcPr>
            <w:tcW w:w="807" w:type="pct"/>
          </w:tcPr>
          <w:p w14:paraId="07C76E76" w14:textId="77777777" w:rsidR="00023BBF" w:rsidRDefault="00E17C37">
            <w:pPr>
              <w:widowControl w:val="0"/>
              <w:tabs>
                <w:tab w:val="left" w:pos="567"/>
              </w:tabs>
              <w:rPr>
                <w:sz w:val="20"/>
                <w:szCs w:val="20"/>
                <w:lang w:val="en-GB" w:eastAsia="en-US"/>
              </w:rPr>
            </w:pPr>
            <w:proofErr w:type="spellStart"/>
            <w:r>
              <w:rPr>
                <w:sz w:val="20"/>
                <w:szCs w:val="20"/>
                <w:lang w:val="en-GB" w:eastAsia="sl-SI"/>
              </w:rPr>
              <w:t>Grybelių</w:t>
            </w:r>
            <w:proofErr w:type="spellEnd"/>
            <w:r>
              <w:rPr>
                <w:sz w:val="20"/>
                <w:szCs w:val="20"/>
                <w:lang w:val="en-GB" w:eastAsia="sl-SI"/>
              </w:rPr>
              <w:t xml:space="preserve"> </w:t>
            </w:r>
            <w:proofErr w:type="spellStart"/>
            <w:r>
              <w:rPr>
                <w:sz w:val="20"/>
                <w:szCs w:val="20"/>
                <w:lang w:val="en-GB" w:eastAsia="sl-SI"/>
              </w:rPr>
              <w:t>infekcija</w:t>
            </w:r>
            <w:proofErr w:type="spellEnd"/>
            <w:r>
              <w:rPr>
                <w:sz w:val="20"/>
                <w:szCs w:val="20"/>
                <w:vertAlign w:val="superscript"/>
                <w:lang w:val="en-GB" w:eastAsia="sl-SI"/>
              </w:rPr>
              <w:t>**</w:t>
            </w:r>
          </w:p>
        </w:tc>
        <w:tc>
          <w:tcPr>
            <w:tcW w:w="846" w:type="pct"/>
          </w:tcPr>
          <w:p w14:paraId="08E5672F" w14:textId="77777777" w:rsidR="00023BBF" w:rsidRDefault="00023BBF">
            <w:pPr>
              <w:widowControl w:val="0"/>
              <w:tabs>
                <w:tab w:val="left" w:pos="567"/>
              </w:tabs>
              <w:rPr>
                <w:sz w:val="20"/>
                <w:szCs w:val="20"/>
                <w:lang w:val="en-GB" w:eastAsia="en-US"/>
              </w:rPr>
            </w:pPr>
          </w:p>
        </w:tc>
        <w:tc>
          <w:tcPr>
            <w:tcW w:w="713" w:type="pct"/>
          </w:tcPr>
          <w:p w14:paraId="63B42008" w14:textId="77777777" w:rsidR="00023BBF" w:rsidRDefault="00E17C37">
            <w:pPr>
              <w:widowControl w:val="0"/>
              <w:tabs>
                <w:tab w:val="left" w:pos="567"/>
              </w:tabs>
              <w:rPr>
                <w:sz w:val="20"/>
                <w:szCs w:val="20"/>
                <w:lang w:val="de-AT" w:eastAsia="en-US"/>
              </w:rPr>
            </w:pPr>
            <w:proofErr w:type="spellStart"/>
            <w:r>
              <w:rPr>
                <w:sz w:val="20"/>
                <w:szCs w:val="20"/>
                <w:lang w:val="de-AT" w:eastAsia="sl-SI"/>
              </w:rPr>
              <w:t>Tarpvietės</w:t>
            </w:r>
            <w:proofErr w:type="spellEnd"/>
            <w:r>
              <w:rPr>
                <w:sz w:val="20"/>
                <w:szCs w:val="20"/>
                <w:lang w:val="de-AT" w:eastAsia="sl-SI"/>
              </w:rPr>
              <w:t xml:space="preserve"> </w:t>
            </w:r>
            <w:proofErr w:type="spellStart"/>
            <w:r>
              <w:rPr>
                <w:sz w:val="20"/>
                <w:szCs w:val="20"/>
                <w:lang w:val="de-AT" w:eastAsia="sl-SI"/>
              </w:rPr>
              <w:t>nekrozuojantis</w:t>
            </w:r>
            <w:proofErr w:type="spellEnd"/>
            <w:r>
              <w:rPr>
                <w:sz w:val="20"/>
                <w:szCs w:val="20"/>
                <w:lang w:val="de-AT" w:eastAsia="sl-SI"/>
              </w:rPr>
              <w:t xml:space="preserve"> </w:t>
            </w:r>
            <w:proofErr w:type="spellStart"/>
            <w:r>
              <w:rPr>
                <w:sz w:val="20"/>
                <w:szCs w:val="20"/>
                <w:lang w:val="de-AT" w:eastAsia="sl-SI"/>
              </w:rPr>
              <w:t>fascitas</w:t>
            </w:r>
            <w:proofErr w:type="spellEnd"/>
            <w:r>
              <w:rPr>
                <w:sz w:val="20"/>
                <w:szCs w:val="20"/>
                <w:lang w:val="de-AT" w:eastAsia="sl-SI"/>
              </w:rPr>
              <w:t xml:space="preserve"> (Fournier </w:t>
            </w:r>
            <w:proofErr w:type="spellStart"/>
            <w:proofErr w:type="gramStart"/>
            <w:r>
              <w:rPr>
                <w:sz w:val="20"/>
                <w:szCs w:val="20"/>
                <w:lang w:val="de-AT" w:eastAsia="sl-SI"/>
              </w:rPr>
              <w:t>gangrena</w:t>
            </w:r>
            <w:proofErr w:type="spellEnd"/>
            <w:r>
              <w:rPr>
                <w:sz w:val="20"/>
                <w:szCs w:val="20"/>
                <w:lang w:val="de-AT" w:eastAsia="sl-SI"/>
              </w:rPr>
              <w:t>)</w:t>
            </w:r>
            <w:proofErr w:type="spellStart"/>
            <w:r>
              <w:rPr>
                <w:sz w:val="20"/>
                <w:szCs w:val="20"/>
                <w:vertAlign w:val="superscript"/>
                <w:lang w:val="de-AT" w:eastAsia="sl-SI"/>
              </w:rPr>
              <w:t>b</w:t>
            </w:r>
            <w:proofErr w:type="gramEnd"/>
            <w:r>
              <w:rPr>
                <w:sz w:val="20"/>
                <w:szCs w:val="20"/>
                <w:vertAlign w:val="superscript"/>
                <w:lang w:val="de-AT" w:eastAsia="sl-SI"/>
              </w:rPr>
              <w:t>,j</w:t>
            </w:r>
            <w:proofErr w:type="spellEnd"/>
          </w:p>
        </w:tc>
      </w:tr>
      <w:tr w:rsidR="00023BBF" w14:paraId="1456DDC7" w14:textId="77777777">
        <w:tc>
          <w:tcPr>
            <w:tcW w:w="897" w:type="pct"/>
          </w:tcPr>
          <w:p w14:paraId="2D3ABD78" w14:textId="77777777" w:rsidR="00023BBF" w:rsidRDefault="00E17C37">
            <w:pPr>
              <w:widowControl w:val="0"/>
              <w:tabs>
                <w:tab w:val="center" w:pos="4536"/>
                <w:tab w:val="right" w:pos="9072"/>
              </w:tabs>
              <w:rPr>
                <w:i/>
                <w:iCs/>
                <w:noProof/>
                <w:sz w:val="20"/>
                <w:szCs w:val="20"/>
                <w:lang w:val="en-GB" w:eastAsia="en-US"/>
              </w:rPr>
            </w:pPr>
            <w:r>
              <w:rPr>
                <w:i/>
                <w:iCs/>
                <w:noProof/>
                <w:sz w:val="20"/>
                <w:szCs w:val="20"/>
                <w:lang w:val="en-GB" w:eastAsia="en-US"/>
              </w:rPr>
              <w:t>Metabolizmo ir mitybos sutrikimai</w:t>
            </w:r>
          </w:p>
        </w:tc>
        <w:tc>
          <w:tcPr>
            <w:tcW w:w="821" w:type="pct"/>
          </w:tcPr>
          <w:p w14:paraId="4183699A" w14:textId="77777777" w:rsidR="00023BBF" w:rsidRDefault="00E17C37">
            <w:pPr>
              <w:widowControl w:val="0"/>
              <w:tabs>
                <w:tab w:val="left" w:pos="567"/>
              </w:tabs>
              <w:rPr>
                <w:sz w:val="20"/>
                <w:szCs w:val="20"/>
                <w:lang w:val="pt-PT" w:eastAsia="en-US"/>
              </w:rPr>
            </w:pPr>
            <w:r>
              <w:rPr>
                <w:sz w:val="20"/>
                <w:szCs w:val="20"/>
                <w:lang w:val="pt-PT" w:eastAsia="sl-SI"/>
              </w:rPr>
              <w:t>Hipoglikemija (kartu vartojant sulfonilkarbamido derinio ar insulino)</w:t>
            </w:r>
            <w:r>
              <w:rPr>
                <w:sz w:val="20"/>
                <w:szCs w:val="20"/>
                <w:vertAlign w:val="superscript"/>
                <w:lang w:val="pt-PT" w:eastAsia="sl-SI"/>
              </w:rPr>
              <w:t>b</w:t>
            </w:r>
          </w:p>
        </w:tc>
        <w:tc>
          <w:tcPr>
            <w:tcW w:w="916" w:type="pct"/>
          </w:tcPr>
          <w:p w14:paraId="69771DF2" w14:textId="77777777" w:rsidR="00023BBF" w:rsidRDefault="00E17C37">
            <w:pPr>
              <w:widowControl w:val="0"/>
              <w:tabs>
                <w:tab w:val="left" w:pos="567"/>
              </w:tabs>
              <w:rPr>
                <w:sz w:val="20"/>
                <w:szCs w:val="20"/>
                <w:lang w:val="pt-PT" w:eastAsia="en-US"/>
              </w:rPr>
            </w:pPr>
            <w:r>
              <w:rPr>
                <w:sz w:val="20"/>
                <w:szCs w:val="20"/>
                <w:lang w:val="pt-PT" w:eastAsia="sl-SI"/>
              </w:rPr>
              <w:t>Vitamino B12 koncentracijos sumažėjimas ir (arba) stoka</w:t>
            </w:r>
            <w:r>
              <w:rPr>
                <w:sz w:val="20"/>
                <w:szCs w:val="20"/>
                <w:vertAlign w:val="superscript"/>
                <w:lang w:val="pt-PT" w:eastAsia="sl-SI"/>
              </w:rPr>
              <w:t>j,§</w:t>
            </w:r>
          </w:p>
        </w:tc>
        <w:tc>
          <w:tcPr>
            <w:tcW w:w="807" w:type="pct"/>
          </w:tcPr>
          <w:p w14:paraId="19C4C76D" w14:textId="77777777" w:rsidR="00023BBF" w:rsidRDefault="00E17C37">
            <w:pPr>
              <w:widowControl w:val="0"/>
              <w:tabs>
                <w:tab w:val="left" w:pos="567"/>
              </w:tabs>
              <w:rPr>
                <w:sz w:val="20"/>
                <w:szCs w:val="20"/>
                <w:lang w:val="pt-PT" w:eastAsia="en-US"/>
              </w:rPr>
            </w:pPr>
            <w:r>
              <w:rPr>
                <w:sz w:val="20"/>
                <w:szCs w:val="20"/>
                <w:lang w:val="pt-PT" w:eastAsia="sl-SI"/>
              </w:rPr>
              <w:t>Kraujo tūrio sumažėjimas</w:t>
            </w:r>
            <w:r>
              <w:rPr>
                <w:sz w:val="20"/>
                <w:szCs w:val="20"/>
                <w:vertAlign w:val="superscript"/>
                <w:lang w:val="pt-PT" w:eastAsia="sl-SI"/>
              </w:rPr>
              <w:t>b,e</w:t>
            </w:r>
            <w:r>
              <w:rPr>
                <w:sz w:val="20"/>
                <w:szCs w:val="20"/>
                <w:lang w:val="pt-PT" w:eastAsia="sl-SI"/>
              </w:rPr>
              <w:t xml:space="preserve"> Troškulys</w:t>
            </w:r>
            <w:r>
              <w:rPr>
                <w:sz w:val="20"/>
                <w:szCs w:val="20"/>
                <w:vertAlign w:val="superscript"/>
                <w:lang w:val="pt-PT" w:eastAsia="sl-SI"/>
              </w:rPr>
              <w:t>**</w:t>
            </w:r>
          </w:p>
        </w:tc>
        <w:tc>
          <w:tcPr>
            <w:tcW w:w="846" w:type="pct"/>
          </w:tcPr>
          <w:p w14:paraId="2D235367" w14:textId="77777777" w:rsidR="00023BBF" w:rsidRDefault="00E17C37">
            <w:pPr>
              <w:widowControl w:val="0"/>
              <w:tabs>
                <w:tab w:val="left" w:pos="567"/>
              </w:tabs>
              <w:rPr>
                <w:sz w:val="20"/>
                <w:szCs w:val="20"/>
                <w:lang w:val="en-GB" w:eastAsia="en-US"/>
              </w:rPr>
            </w:pPr>
            <w:proofErr w:type="spellStart"/>
            <w:r>
              <w:rPr>
                <w:sz w:val="20"/>
                <w:szCs w:val="20"/>
                <w:lang w:val="en-GB" w:eastAsia="sl-SI"/>
              </w:rPr>
              <w:t>Diabetinė</w:t>
            </w:r>
            <w:proofErr w:type="spellEnd"/>
            <w:r>
              <w:rPr>
                <w:sz w:val="20"/>
                <w:szCs w:val="20"/>
                <w:lang w:val="en-GB" w:eastAsia="sl-SI"/>
              </w:rPr>
              <w:t xml:space="preserve"> </w:t>
            </w:r>
            <w:proofErr w:type="spellStart"/>
            <w:proofErr w:type="gramStart"/>
            <w:r>
              <w:rPr>
                <w:sz w:val="20"/>
                <w:szCs w:val="20"/>
                <w:lang w:val="en-GB" w:eastAsia="sl-SI"/>
              </w:rPr>
              <w:t>ketoacidozė</w:t>
            </w:r>
            <w:r>
              <w:rPr>
                <w:sz w:val="20"/>
                <w:szCs w:val="20"/>
                <w:vertAlign w:val="superscript"/>
                <w:lang w:val="en-GB" w:eastAsia="sl-SI"/>
              </w:rPr>
              <w:t>b,j</w:t>
            </w:r>
            <w:proofErr w:type="gramEnd"/>
            <w:r>
              <w:rPr>
                <w:sz w:val="20"/>
                <w:szCs w:val="20"/>
                <w:vertAlign w:val="superscript"/>
                <w:lang w:val="en-GB" w:eastAsia="sl-SI"/>
              </w:rPr>
              <w:t>,k</w:t>
            </w:r>
            <w:proofErr w:type="spellEnd"/>
          </w:p>
        </w:tc>
        <w:tc>
          <w:tcPr>
            <w:tcW w:w="713" w:type="pct"/>
          </w:tcPr>
          <w:p w14:paraId="3F434FBD" w14:textId="77777777" w:rsidR="00023BBF" w:rsidRDefault="00E17C37">
            <w:pPr>
              <w:widowControl w:val="0"/>
              <w:tabs>
                <w:tab w:val="left" w:pos="567"/>
              </w:tabs>
              <w:rPr>
                <w:sz w:val="20"/>
                <w:szCs w:val="20"/>
                <w:lang w:val="en-GB" w:eastAsia="en-US"/>
              </w:rPr>
            </w:pPr>
            <w:proofErr w:type="spellStart"/>
            <w:r>
              <w:rPr>
                <w:sz w:val="20"/>
                <w:szCs w:val="20"/>
                <w:lang w:val="en-GB" w:eastAsia="sl-SI"/>
              </w:rPr>
              <w:t>Pieno</w:t>
            </w:r>
            <w:proofErr w:type="spellEnd"/>
            <w:r>
              <w:rPr>
                <w:sz w:val="20"/>
                <w:szCs w:val="20"/>
                <w:lang w:val="en-GB" w:eastAsia="sl-SI"/>
              </w:rPr>
              <w:t xml:space="preserve"> </w:t>
            </w:r>
            <w:proofErr w:type="spellStart"/>
            <w:r>
              <w:rPr>
                <w:sz w:val="20"/>
                <w:szCs w:val="20"/>
                <w:lang w:val="en-GB" w:eastAsia="sl-SI"/>
              </w:rPr>
              <w:t>rūgšties</w:t>
            </w:r>
            <w:proofErr w:type="spellEnd"/>
            <w:r>
              <w:rPr>
                <w:sz w:val="20"/>
                <w:szCs w:val="20"/>
                <w:lang w:val="en-GB" w:eastAsia="sl-SI"/>
              </w:rPr>
              <w:t xml:space="preserve"> </w:t>
            </w:r>
            <w:proofErr w:type="spellStart"/>
            <w:r>
              <w:rPr>
                <w:sz w:val="20"/>
                <w:szCs w:val="20"/>
                <w:lang w:val="en-GB" w:eastAsia="sl-SI"/>
              </w:rPr>
              <w:t>acidozė</w:t>
            </w:r>
            <w:proofErr w:type="spellEnd"/>
          </w:p>
        </w:tc>
      </w:tr>
      <w:tr w:rsidR="00023BBF" w14:paraId="55A079AC" w14:textId="77777777">
        <w:tc>
          <w:tcPr>
            <w:tcW w:w="897" w:type="pct"/>
          </w:tcPr>
          <w:p w14:paraId="6386E625" w14:textId="77777777" w:rsidR="00023BBF" w:rsidRDefault="00E17C37">
            <w:pPr>
              <w:widowControl w:val="0"/>
              <w:rPr>
                <w:i/>
                <w:iCs/>
                <w:noProof/>
                <w:sz w:val="20"/>
                <w:szCs w:val="20"/>
                <w:lang w:val="en-GB" w:eastAsia="en-US"/>
              </w:rPr>
            </w:pPr>
            <w:r>
              <w:rPr>
                <w:i/>
                <w:iCs/>
                <w:noProof/>
                <w:sz w:val="20"/>
                <w:szCs w:val="20"/>
                <w:lang w:val="en-GB" w:eastAsia="en-US"/>
              </w:rPr>
              <w:t>Nervų sistemos sutrikimai</w:t>
            </w:r>
          </w:p>
        </w:tc>
        <w:tc>
          <w:tcPr>
            <w:tcW w:w="821" w:type="pct"/>
          </w:tcPr>
          <w:p w14:paraId="493804E3" w14:textId="77777777" w:rsidR="00023BBF" w:rsidRDefault="00023BBF">
            <w:pPr>
              <w:widowControl w:val="0"/>
              <w:tabs>
                <w:tab w:val="left" w:pos="567"/>
              </w:tabs>
              <w:rPr>
                <w:sz w:val="20"/>
                <w:szCs w:val="20"/>
                <w:lang w:val="en-GB" w:eastAsia="en-US"/>
              </w:rPr>
            </w:pPr>
          </w:p>
        </w:tc>
        <w:tc>
          <w:tcPr>
            <w:tcW w:w="916" w:type="pct"/>
          </w:tcPr>
          <w:p w14:paraId="05206471" w14:textId="77777777" w:rsidR="00023BBF" w:rsidRDefault="00E17C37">
            <w:pPr>
              <w:widowControl w:val="0"/>
              <w:tabs>
                <w:tab w:val="left" w:pos="567"/>
              </w:tabs>
              <w:rPr>
                <w:sz w:val="20"/>
                <w:szCs w:val="20"/>
                <w:lang w:val="en-GB" w:eastAsia="en-US"/>
              </w:rPr>
            </w:pPr>
            <w:proofErr w:type="spellStart"/>
            <w:r>
              <w:rPr>
                <w:sz w:val="20"/>
                <w:szCs w:val="20"/>
                <w:lang w:val="en-GB" w:eastAsia="sl-SI"/>
              </w:rPr>
              <w:t>Pakitęs</w:t>
            </w:r>
            <w:proofErr w:type="spellEnd"/>
            <w:r>
              <w:rPr>
                <w:sz w:val="20"/>
                <w:szCs w:val="20"/>
                <w:lang w:val="en-GB" w:eastAsia="sl-SI"/>
              </w:rPr>
              <w:t xml:space="preserve"> </w:t>
            </w:r>
            <w:proofErr w:type="spellStart"/>
            <w:r>
              <w:rPr>
                <w:sz w:val="20"/>
                <w:szCs w:val="20"/>
                <w:lang w:val="en-GB" w:eastAsia="sl-SI"/>
              </w:rPr>
              <w:t>skonis</w:t>
            </w:r>
            <w:proofErr w:type="spellEnd"/>
            <w:r>
              <w:rPr>
                <w:sz w:val="20"/>
                <w:szCs w:val="20"/>
                <w:vertAlign w:val="superscript"/>
                <w:lang w:val="en-GB" w:eastAsia="sl-SI"/>
              </w:rPr>
              <w:t>§</w:t>
            </w:r>
            <w:r>
              <w:rPr>
                <w:sz w:val="20"/>
                <w:szCs w:val="20"/>
                <w:lang w:val="en-GB" w:eastAsia="sl-SI"/>
              </w:rPr>
              <w:t xml:space="preserve"> </w:t>
            </w:r>
            <w:proofErr w:type="spellStart"/>
            <w:r>
              <w:rPr>
                <w:sz w:val="20"/>
                <w:szCs w:val="20"/>
                <w:lang w:val="en-GB" w:eastAsia="sl-SI"/>
              </w:rPr>
              <w:t>Svaigulys</w:t>
            </w:r>
            <w:proofErr w:type="spellEnd"/>
          </w:p>
        </w:tc>
        <w:tc>
          <w:tcPr>
            <w:tcW w:w="807" w:type="pct"/>
          </w:tcPr>
          <w:p w14:paraId="46B9ECB6" w14:textId="77777777" w:rsidR="00023BBF" w:rsidRDefault="00023BBF">
            <w:pPr>
              <w:widowControl w:val="0"/>
              <w:tabs>
                <w:tab w:val="left" w:pos="567"/>
              </w:tabs>
              <w:rPr>
                <w:sz w:val="20"/>
                <w:szCs w:val="20"/>
                <w:lang w:val="en-GB" w:eastAsia="en-US"/>
              </w:rPr>
            </w:pPr>
          </w:p>
        </w:tc>
        <w:tc>
          <w:tcPr>
            <w:tcW w:w="846" w:type="pct"/>
          </w:tcPr>
          <w:p w14:paraId="65BADBA8" w14:textId="77777777" w:rsidR="00023BBF" w:rsidRDefault="00023BBF">
            <w:pPr>
              <w:widowControl w:val="0"/>
              <w:tabs>
                <w:tab w:val="left" w:pos="567"/>
              </w:tabs>
              <w:rPr>
                <w:sz w:val="20"/>
                <w:szCs w:val="20"/>
                <w:lang w:val="en-GB" w:eastAsia="en-US"/>
              </w:rPr>
            </w:pPr>
          </w:p>
        </w:tc>
        <w:tc>
          <w:tcPr>
            <w:tcW w:w="713" w:type="pct"/>
          </w:tcPr>
          <w:p w14:paraId="4C899831" w14:textId="77777777" w:rsidR="00023BBF" w:rsidRDefault="00023BBF">
            <w:pPr>
              <w:widowControl w:val="0"/>
              <w:tabs>
                <w:tab w:val="left" w:pos="567"/>
              </w:tabs>
              <w:rPr>
                <w:sz w:val="20"/>
                <w:szCs w:val="20"/>
                <w:lang w:val="en-GB" w:eastAsia="en-US"/>
              </w:rPr>
            </w:pPr>
          </w:p>
        </w:tc>
      </w:tr>
      <w:tr w:rsidR="00023BBF" w14:paraId="14BBAD4E" w14:textId="77777777">
        <w:tc>
          <w:tcPr>
            <w:tcW w:w="897" w:type="pct"/>
          </w:tcPr>
          <w:p w14:paraId="0868AE94" w14:textId="77777777" w:rsidR="00023BBF" w:rsidRDefault="00E17C37">
            <w:pPr>
              <w:widowControl w:val="0"/>
              <w:tabs>
                <w:tab w:val="center" w:pos="4536"/>
                <w:tab w:val="right" w:pos="9072"/>
              </w:tabs>
              <w:rPr>
                <w:i/>
                <w:iCs/>
                <w:noProof/>
                <w:sz w:val="20"/>
                <w:szCs w:val="20"/>
                <w:lang w:val="en-GB" w:eastAsia="en-US"/>
              </w:rPr>
            </w:pPr>
            <w:r>
              <w:rPr>
                <w:i/>
                <w:iCs/>
                <w:noProof/>
                <w:sz w:val="20"/>
                <w:szCs w:val="20"/>
                <w:lang w:val="en-GB" w:eastAsia="en-US"/>
              </w:rPr>
              <w:t>Virškinimo trakto sutrikimai</w:t>
            </w:r>
          </w:p>
        </w:tc>
        <w:tc>
          <w:tcPr>
            <w:tcW w:w="821" w:type="pct"/>
          </w:tcPr>
          <w:p w14:paraId="32FE173E" w14:textId="77777777" w:rsidR="00023BBF" w:rsidRDefault="00E17C37">
            <w:pPr>
              <w:widowControl w:val="0"/>
              <w:tabs>
                <w:tab w:val="left" w:pos="567"/>
              </w:tabs>
              <w:rPr>
                <w:sz w:val="20"/>
                <w:szCs w:val="20"/>
                <w:lang w:val="en-GB" w:eastAsia="en-US"/>
              </w:rPr>
            </w:pPr>
            <w:proofErr w:type="spellStart"/>
            <w:r>
              <w:rPr>
                <w:sz w:val="20"/>
                <w:szCs w:val="20"/>
                <w:lang w:val="en-GB" w:eastAsia="sl-SI"/>
              </w:rPr>
              <w:t>Virškinimo</w:t>
            </w:r>
            <w:proofErr w:type="spellEnd"/>
            <w:r>
              <w:rPr>
                <w:sz w:val="20"/>
                <w:szCs w:val="20"/>
                <w:lang w:val="en-GB" w:eastAsia="sl-SI"/>
              </w:rPr>
              <w:t xml:space="preserve"> </w:t>
            </w:r>
            <w:proofErr w:type="spellStart"/>
            <w:r>
              <w:rPr>
                <w:sz w:val="20"/>
                <w:szCs w:val="20"/>
                <w:lang w:val="en-GB" w:eastAsia="sl-SI"/>
              </w:rPr>
              <w:t>sutrikimų</w:t>
            </w:r>
            <w:proofErr w:type="spellEnd"/>
            <w:r>
              <w:rPr>
                <w:sz w:val="20"/>
                <w:szCs w:val="20"/>
                <w:lang w:val="en-GB" w:eastAsia="sl-SI"/>
              </w:rPr>
              <w:t xml:space="preserve"> </w:t>
            </w:r>
            <w:proofErr w:type="spellStart"/>
            <w:proofErr w:type="gramStart"/>
            <w:r>
              <w:rPr>
                <w:sz w:val="20"/>
                <w:szCs w:val="20"/>
                <w:lang w:val="en-GB" w:eastAsia="sl-SI"/>
              </w:rPr>
              <w:t>simptomai</w:t>
            </w:r>
            <w:r>
              <w:rPr>
                <w:sz w:val="20"/>
                <w:szCs w:val="20"/>
                <w:vertAlign w:val="superscript"/>
                <w:lang w:val="en-GB" w:eastAsia="sl-SI"/>
              </w:rPr>
              <w:t>h</w:t>
            </w:r>
            <w:proofErr w:type="spellEnd"/>
            <w:r>
              <w:rPr>
                <w:sz w:val="20"/>
                <w:szCs w:val="20"/>
                <w:vertAlign w:val="superscript"/>
                <w:lang w:val="en-GB" w:eastAsia="sl-SI"/>
              </w:rPr>
              <w:t>,§</w:t>
            </w:r>
            <w:proofErr w:type="gramEnd"/>
          </w:p>
        </w:tc>
        <w:tc>
          <w:tcPr>
            <w:tcW w:w="916" w:type="pct"/>
          </w:tcPr>
          <w:p w14:paraId="58CE7732" w14:textId="77777777" w:rsidR="00023BBF" w:rsidRDefault="00023BBF">
            <w:pPr>
              <w:widowControl w:val="0"/>
              <w:tabs>
                <w:tab w:val="left" w:pos="567"/>
              </w:tabs>
              <w:rPr>
                <w:sz w:val="20"/>
                <w:szCs w:val="20"/>
                <w:lang w:val="en-GB" w:eastAsia="en-US"/>
              </w:rPr>
            </w:pPr>
          </w:p>
        </w:tc>
        <w:tc>
          <w:tcPr>
            <w:tcW w:w="807" w:type="pct"/>
          </w:tcPr>
          <w:p w14:paraId="03BF928F" w14:textId="77777777" w:rsidR="00023BBF" w:rsidRDefault="00E17C37">
            <w:pPr>
              <w:widowControl w:val="0"/>
              <w:tabs>
                <w:tab w:val="left" w:pos="567"/>
              </w:tabs>
              <w:rPr>
                <w:sz w:val="20"/>
                <w:szCs w:val="20"/>
                <w:lang w:val="en-GB" w:eastAsia="sl-SI"/>
              </w:rPr>
            </w:pPr>
            <w:proofErr w:type="spellStart"/>
            <w:r>
              <w:rPr>
                <w:sz w:val="20"/>
                <w:szCs w:val="20"/>
                <w:lang w:val="en-GB" w:eastAsia="sl-SI"/>
              </w:rPr>
              <w:t>Vidurių</w:t>
            </w:r>
            <w:proofErr w:type="spellEnd"/>
            <w:r>
              <w:rPr>
                <w:sz w:val="20"/>
                <w:szCs w:val="20"/>
                <w:lang w:val="en-GB" w:eastAsia="sl-SI"/>
              </w:rPr>
              <w:t xml:space="preserve"> </w:t>
            </w:r>
            <w:proofErr w:type="spellStart"/>
            <w:r>
              <w:rPr>
                <w:sz w:val="20"/>
                <w:szCs w:val="20"/>
                <w:lang w:val="en-GB" w:eastAsia="sl-SI"/>
              </w:rPr>
              <w:t>užkietėjimas</w:t>
            </w:r>
            <w:proofErr w:type="spellEnd"/>
            <w:r>
              <w:rPr>
                <w:sz w:val="20"/>
                <w:szCs w:val="20"/>
                <w:vertAlign w:val="superscript"/>
                <w:lang w:val="en-GB" w:eastAsia="sl-SI"/>
              </w:rPr>
              <w:t>**</w:t>
            </w:r>
            <w:r>
              <w:rPr>
                <w:sz w:val="20"/>
                <w:szCs w:val="20"/>
                <w:lang w:val="en-GB" w:eastAsia="sl-SI"/>
              </w:rPr>
              <w:t xml:space="preserve"> </w:t>
            </w:r>
          </w:p>
          <w:p w14:paraId="67661FCF" w14:textId="77777777" w:rsidR="00023BBF" w:rsidRDefault="00E17C37">
            <w:pPr>
              <w:widowControl w:val="0"/>
              <w:tabs>
                <w:tab w:val="left" w:pos="567"/>
              </w:tabs>
              <w:rPr>
                <w:sz w:val="20"/>
                <w:szCs w:val="20"/>
                <w:lang w:val="en-GB" w:eastAsia="en-US"/>
              </w:rPr>
            </w:pPr>
            <w:r>
              <w:rPr>
                <w:sz w:val="20"/>
                <w:szCs w:val="20"/>
                <w:lang w:val="en-GB" w:eastAsia="sl-SI"/>
              </w:rPr>
              <w:t xml:space="preserve">Sausa </w:t>
            </w:r>
            <w:proofErr w:type="spellStart"/>
            <w:r>
              <w:rPr>
                <w:sz w:val="20"/>
                <w:szCs w:val="20"/>
                <w:lang w:val="en-GB" w:eastAsia="sl-SI"/>
              </w:rPr>
              <w:t>burna</w:t>
            </w:r>
            <w:proofErr w:type="spellEnd"/>
            <w:r>
              <w:rPr>
                <w:sz w:val="20"/>
                <w:szCs w:val="20"/>
                <w:vertAlign w:val="superscript"/>
                <w:lang w:val="en-GB" w:eastAsia="sl-SI"/>
              </w:rPr>
              <w:t>**</w:t>
            </w:r>
          </w:p>
        </w:tc>
        <w:tc>
          <w:tcPr>
            <w:tcW w:w="846" w:type="pct"/>
          </w:tcPr>
          <w:p w14:paraId="53DF3A50" w14:textId="77777777" w:rsidR="00023BBF" w:rsidRDefault="00023BBF">
            <w:pPr>
              <w:widowControl w:val="0"/>
              <w:tabs>
                <w:tab w:val="left" w:pos="567"/>
              </w:tabs>
              <w:rPr>
                <w:sz w:val="20"/>
                <w:szCs w:val="20"/>
                <w:lang w:val="en-GB" w:eastAsia="en-US"/>
              </w:rPr>
            </w:pPr>
          </w:p>
        </w:tc>
        <w:tc>
          <w:tcPr>
            <w:tcW w:w="713" w:type="pct"/>
          </w:tcPr>
          <w:p w14:paraId="35CD0167" w14:textId="77777777" w:rsidR="00023BBF" w:rsidRDefault="00023BBF">
            <w:pPr>
              <w:widowControl w:val="0"/>
              <w:tabs>
                <w:tab w:val="left" w:pos="567"/>
              </w:tabs>
              <w:rPr>
                <w:sz w:val="20"/>
                <w:szCs w:val="20"/>
                <w:lang w:val="en-GB" w:eastAsia="en-US"/>
              </w:rPr>
            </w:pPr>
          </w:p>
        </w:tc>
      </w:tr>
      <w:tr w:rsidR="00023BBF" w14:paraId="4251D52A" w14:textId="77777777">
        <w:tc>
          <w:tcPr>
            <w:tcW w:w="897" w:type="pct"/>
          </w:tcPr>
          <w:p w14:paraId="7EF4377D" w14:textId="77777777" w:rsidR="00023BBF" w:rsidRDefault="00E17C37">
            <w:pPr>
              <w:widowControl w:val="0"/>
              <w:tabs>
                <w:tab w:val="center" w:pos="4536"/>
                <w:tab w:val="right" w:pos="9072"/>
              </w:tabs>
              <w:rPr>
                <w:i/>
                <w:iCs/>
                <w:noProof/>
                <w:sz w:val="20"/>
                <w:szCs w:val="20"/>
                <w:lang w:eastAsia="en-US"/>
              </w:rPr>
            </w:pPr>
            <w:r>
              <w:rPr>
                <w:i/>
                <w:iCs/>
                <w:noProof/>
                <w:sz w:val="20"/>
                <w:szCs w:val="20"/>
                <w:lang w:eastAsia="en-US"/>
              </w:rPr>
              <w:t>Kepenų, tulžies pūslės ir latakų sutrikimai</w:t>
            </w:r>
          </w:p>
        </w:tc>
        <w:tc>
          <w:tcPr>
            <w:tcW w:w="821" w:type="pct"/>
          </w:tcPr>
          <w:p w14:paraId="7A01B26A" w14:textId="77777777" w:rsidR="00023BBF" w:rsidRDefault="00023BBF">
            <w:pPr>
              <w:widowControl w:val="0"/>
              <w:tabs>
                <w:tab w:val="left" w:pos="567"/>
              </w:tabs>
              <w:rPr>
                <w:sz w:val="20"/>
                <w:szCs w:val="20"/>
                <w:lang w:eastAsia="en-US"/>
              </w:rPr>
            </w:pPr>
          </w:p>
        </w:tc>
        <w:tc>
          <w:tcPr>
            <w:tcW w:w="916" w:type="pct"/>
          </w:tcPr>
          <w:p w14:paraId="2E267E07" w14:textId="77777777" w:rsidR="00023BBF" w:rsidRDefault="00023BBF">
            <w:pPr>
              <w:widowControl w:val="0"/>
              <w:tabs>
                <w:tab w:val="left" w:pos="567"/>
              </w:tabs>
              <w:rPr>
                <w:sz w:val="20"/>
                <w:szCs w:val="20"/>
                <w:lang w:eastAsia="en-US"/>
              </w:rPr>
            </w:pPr>
          </w:p>
        </w:tc>
        <w:tc>
          <w:tcPr>
            <w:tcW w:w="807" w:type="pct"/>
          </w:tcPr>
          <w:p w14:paraId="15BD8D37" w14:textId="77777777" w:rsidR="00023BBF" w:rsidRDefault="00023BBF">
            <w:pPr>
              <w:widowControl w:val="0"/>
              <w:tabs>
                <w:tab w:val="left" w:pos="567"/>
              </w:tabs>
              <w:rPr>
                <w:sz w:val="20"/>
                <w:szCs w:val="20"/>
                <w:lang w:eastAsia="en-US"/>
              </w:rPr>
            </w:pPr>
          </w:p>
        </w:tc>
        <w:tc>
          <w:tcPr>
            <w:tcW w:w="846" w:type="pct"/>
          </w:tcPr>
          <w:p w14:paraId="23DF3313" w14:textId="77777777" w:rsidR="00023BBF" w:rsidRDefault="00023BBF">
            <w:pPr>
              <w:widowControl w:val="0"/>
              <w:tabs>
                <w:tab w:val="left" w:pos="567"/>
              </w:tabs>
              <w:rPr>
                <w:sz w:val="20"/>
                <w:szCs w:val="20"/>
                <w:lang w:eastAsia="en-US"/>
              </w:rPr>
            </w:pPr>
          </w:p>
        </w:tc>
        <w:tc>
          <w:tcPr>
            <w:tcW w:w="713" w:type="pct"/>
          </w:tcPr>
          <w:p w14:paraId="44B72D4E" w14:textId="77777777" w:rsidR="00023BBF" w:rsidRDefault="00E17C37">
            <w:pPr>
              <w:widowControl w:val="0"/>
              <w:tabs>
                <w:tab w:val="left" w:pos="567"/>
              </w:tabs>
              <w:rPr>
                <w:sz w:val="20"/>
                <w:szCs w:val="20"/>
                <w:lang w:val="en-GB" w:eastAsia="en-US"/>
              </w:rPr>
            </w:pPr>
            <w:proofErr w:type="spellStart"/>
            <w:r>
              <w:rPr>
                <w:sz w:val="20"/>
                <w:szCs w:val="20"/>
                <w:lang w:val="en-GB" w:eastAsia="sl-SI"/>
              </w:rPr>
              <w:t>Kepenų</w:t>
            </w:r>
            <w:proofErr w:type="spellEnd"/>
            <w:r>
              <w:rPr>
                <w:sz w:val="20"/>
                <w:szCs w:val="20"/>
                <w:lang w:val="en-GB" w:eastAsia="sl-SI"/>
              </w:rPr>
              <w:t xml:space="preserve"> </w:t>
            </w:r>
            <w:proofErr w:type="spellStart"/>
            <w:r>
              <w:rPr>
                <w:sz w:val="20"/>
                <w:szCs w:val="20"/>
                <w:lang w:val="en-GB" w:eastAsia="sl-SI"/>
              </w:rPr>
              <w:t>funkcijos</w:t>
            </w:r>
            <w:proofErr w:type="spellEnd"/>
            <w:r>
              <w:rPr>
                <w:sz w:val="20"/>
                <w:szCs w:val="20"/>
                <w:lang w:val="en-GB" w:eastAsia="sl-SI"/>
              </w:rPr>
              <w:t xml:space="preserve"> </w:t>
            </w:r>
            <w:proofErr w:type="spellStart"/>
            <w:r>
              <w:rPr>
                <w:sz w:val="20"/>
                <w:szCs w:val="20"/>
                <w:lang w:val="en-GB" w:eastAsia="sl-SI"/>
              </w:rPr>
              <w:t>sutrikimai</w:t>
            </w:r>
            <w:proofErr w:type="spellEnd"/>
            <w:r>
              <w:rPr>
                <w:sz w:val="20"/>
                <w:szCs w:val="20"/>
                <w:vertAlign w:val="superscript"/>
                <w:lang w:val="en-GB" w:eastAsia="sl-SI"/>
              </w:rPr>
              <w:t>§</w:t>
            </w:r>
            <w:r>
              <w:rPr>
                <w:sz w:val="20"/>
                <w:szCs w:val="20"/>
                <w:lang w:val="en-GB" w:eastAsia="sl-SI"/>
              </w:rPr>
              <w:t xml:space="preserve"> Hepatitas</w:t>
            </w:r>
            <w:r>
              <w:rPr>
                <w:sz w:val="20"/>
                <w:szCs w:val="20"/>
                <w:vertAlign w:val="superscript"/>
                <w:lang w:val="en-GB" w:eastAsia="sl-SI"/>
              </w:rPr>
              <w:t>§</w:t>
            </w:r>
          </w:p>
        </w:tc>
      </w:tr>
      <w:tr w:rsidR="00023BBF" w14:paraId="271D9CC0" w14:textId="77777777">
        <w:tc>
          <w:tcPr>
            <w:tcW w:w="897" w:type="pct"/>
          </w:tcPr>
          <w:p w14:paraId="586B7F34" w14:textId="77777777" w:rsidR="00023BBF" w:rsidRDefault="00E17C37">
            <w:pPr>
              <w:widowControl w:val="0"/>
              <w:tabs>
                <w:tab w:val="center" w:pos="4536"/>
                <w:tab w:val="right" w:pos="9072"/>
              </w:tabs>
              <w:rPr>
                <w:i/>
                <w:iCs/>
                <w:noProof/>
                <w:sz w:val="20"/>
                <w:szCs w:val="20"/>
                <w:lang w:val="pt-PT" w:eastAsia="en-US"/>
              </w:rPr>
            </w:pPr>
            <w:r>
              <w:rPr>
                <w:i/>
                <w:iCs/>
                <w:noProof/>
                <w:sz w:val="20"/>
                <w:szCs w:val="20"/>
                <w:lang w:val="pt-PT" w:eastAsia="en-US"/>
              </w:rPr>
              <w:t>Odos ir poodinio audinio sutrikimai</w:t>
            </w:r>
          </w:p>
        </w:tc>
        <w:tc>
          <w:tcPr>
            <w:tcW w:w="821" w:type="pct"/>
          </w:tcPr>
          <w:p w14:paraId="2EFBCAA7" w14:textId="77777777" w:rsidR="00023BBF" w:rsidRDefault="00023BBF">
            <w:pPr>
              <w:widowControl w:val="0"/>
              <w:tabs>
                <w:tab w:val="left" w:pos="567"/>
              </w:tabs>
              <w:rPr>
                <w:sz w:val="20"/>
                <w:szCs w:val="20"/>
                <w:lang w:val="pt-PT" w:eastAsia="en-US"/>
              </w:rPr>
            </w:pPr>
          </w:p>
        </w:tc>
        <w:tc>
          <w:tcPr>
            <w:tcW w:w="916" w:type="pct"/>
          </w:tcPr>
          <w:p w14:paraId="0C9A3D91" w14:textId="77777777" w:rsidR="00023BBF" w:rsidRDefault="00E17C37">
            <w:pPr>
              <w:widowControl w:val="0"/>
              <w:tabs>
                <w:tab w:val="left" w:pos="567"/>
              </w:tabs>
              <w:rPr>
                <w:sz w:val="20"/>
                <w:szCs w:val="20"/>
                <w:lang w:val="en-GB" w:eastAsia="en-US"/>
              </w:rPr>
            </w:pPr>
            <w:proofErr w:type="spellStart"/>
            <w:r>
              <w:rPr>
                <w:sz w:val="20"/>
                <w:szCs w:val="20"/>
                <w:lang w:val="en-GB" w:eastAsia="sl-SI"/>
              </w:rPr>
              <w:t>Bėrimas</w:t>
            </w:r>
            <w:r>
              <w:rPr>
                <w:sz w:val="20"/>
                <w:szCs w:val="20"/>
                <w:vertAlign w:val="superscript"/>
                <w:lang w:val="en-GB" w:eastAsia="sl-SI"/>
              </w:rPr>
              <w:t>l</w:t>
            </w:r>
            <w:proofErr w:type="spellEnd"/>
          </w:p>
        </w:tc>
        <w:tc>
          <w:tcPr>
            <w:tcW w:w="807" w:type="pct"/>
          </w:tcPr>
          <w:p w14:paraId="14388F70" w14:textId="77777777" w:rsidR="00023BBF" w:rsidRDefault="00023BBF">
            <w:pPr>
              <w:widowControl w:val="0"/>
              <w:tabs>
                <w:tab w:val="left" w:pos="567"/>
              </w:tabs>
              <w:rPr>
                <w:sz w:val="20"/>
                <w:szCs w:val="20"/>
                <w:lang w:val="en-GB" w:eastAsia="en-US"/>
              </w:rPr>
            </w:pPr>
          </w:p>
        </w:tc>
        <w:tc>
          <w:tcPr>
            <w:tcW w:w="846" w:type="pct"/>
          </w:tcPr>
          <w:p w14:paraId="58E37229" w14:textId="77777777" w:rsidR="00023BBF" w:rsidRDefault="00023BBF">
            <w:pPr>
              <w:widowControl w:val="0"/>
              <w:tabs>
                <w:tab w:val="left" w:pos="567"/>
              </w:tabs>
              <w:rPr>
                <w:sz w:val="20"/>
                <w:szCs w:val="20"/>
                <w:lang w:val="en-GB" w:eastAsia="en-US"/>
              </w:rPr>
            </w:pPr>
          </w:p>
        </w:tc>
        <w:tc>
          <w:tcPr>
            <w:tcW w:w="713" w:type="pct"/>
          </w:tcPr>
          <w:p w14:paraId="289F6AC2" w14:textId="77777777" w:rsidR="00023BBF" w:rsidRDefault="00E17C37">
            <w:pPr>
              <w:widowControl w:val="0"/>
              <w:tabs>
                <w:tab w:val="left" w:pos="567"/>
              </w:tabs>
              <w:rPr>
                <w:sz w:val="20"/>
                <w:szCs w:val="20"/>
                <w:lang w:val="en-GB" w:eastAsia="sl-SI"/>
              </w:rPr>
            </w:pPr>
            <w:proofErr w:type="spellStart"/>
            <w:r>
              <w:rPr>
                <w:sz w:val="20"/>
                <w:szCs w:val="20"/>
                <w:lang w:val="en-GB" w:eastAsia="sl-SI"/>
              </w:rPr>
              <w:t>Dilgėlinė</w:t>
            </w:r>
            <w:proofErr w:type="spellEnd"/>
            <w:r>
              <w:rPr>
                <w:sz w:val="20"/>
                <w:szCs w:val="20"/>
                <w:lang w:val="en-GB" w:eastAsia="sl-SI"/>
              </w:rPr>
              <w:t xml:space="preserve"> </w:t>
            </w:r>
            <w:r>
              <w:rPr>
                <w:sz w:val="20"/>
                <w:szCs w:val="20"/>
                <w:vertAlign w:val="superscript"/>
                <w:lang w:val="en-GB" w:eastAsia="sl-SI"/>
              </w:rPr>
              <w:t>§</w:t>
            </w:r>
          </w:p>
          <w:p w14:paraId="06CF627B" w14:textId="77777777" w:rsidR="00023BBF" w:rsidRDefault="00E17C37">
            <w:pPr>
              <w:widowControl w:val="0"/>
              <w:tabs>
                <w:tab w:val="left" w:pos="567"/>
              </w:tabs>
              <w:rPr>
                <w:sz w:val="20"/>
                <w:szCs w:val="20"/>
                <w:lang w:val="en-GB" w:eastAsia="sl-SI"/>
              </w:rPr>
            </w:pPr>
            <w:proofErr w:type="spellStart"/>
            <w:r>
              <w:rPr>
                <w:sz w:val="20"/>
                <w:szCs w:val="20"/>
                <w:lang w:val="en-GB" w:eastAsia="sl-SI"/>
              </w:rPr>
              <w:t>Eritema</w:t>
            </w:r>
            <w:proofErr w:type="spellEnd"/>
            <w:r>
              <w:rPr>
                <w:sz w:val="20"/>
                <w:szCs w:val="20"/>
                <w:lang w:val="en-GB" w:eastAsia="sl-SI"/>
              </w:rPr>
              <w:t xml:space="preserve"> </w:t>
            </w:r>
            <w:r>
              <w:rPr>
                <w:sz w:val="20"/>
                <w:szCs w:val="20"/>
                <w:vertAlign w:val="superscript"/>
                <w:lang w:val="en-GB" w:eastAsia="sl-SI"/>
              </w:rPr>
              <w:t>§</w:t>
            </w:r>
          </w:p>
          <w:p w14:paraId="5D01BF88" w14:textId="77777777" w:rsidR="00023BBF" w:rsidRDefault="00E17C37">
            <w:pPr>
              <w:widowControl w:val="0"/>
              <w:tabs>
                <w:tab w:val="left" w:pos="567"/>
              </w:tabs>
              <w:rPr>
                <w:sz w:val="20"/>
                <w:szCs w:val="20"/>
                <w:lang w:val="en-GB" w:eastAsia="en-US"/>
              </w:rPr>
            </w:pPr>
            <w:proofErr w:type="spellStart"/>
            <w:r>
              <w:rPr>
                <w:sz w:val="20"/>
                <w:szCs w:val="20"/>
                <w:lang w:val="en-GB" w:eastAsia="sl-SI"/>
              </w:rPr>
              <w:t>Niežėjimas</w:t>
            </w:r>
            <w:proofErr w:type="spellEnd"/>
            <w:r>
              <w:rPr>
                <w:sz w:val="20"/>
                <w:szCs w:val="20"/>
                <w:lang w:val="en-GB" w:eastAsia="sl-SI"/>
              </w:rPr>
              <w:t xml:space="preserve"> </w:t>
            </w:r>
            <w:r>
              <w:rPr>
                <w:sz w:val="20"/>
                <w:szCs w:val="20"/>
                <w:vertAlign w:val="superscript"/>
                <w:lang w:val="en-GB" w:eastAsia="sl-SI"/>
              </w:rPr>
              <w:t>§</w:t>
            </w:r>
          </w:p>
        </w:tc>
      </w:tr>
      <w:tr w:rsidR="00023BBF" w14:paraId="0C7A171D" w14:textId="77777777">
        <w:tc>
          <w:tcPr>
            <w:tcW w:w="897" w:type="pct"/>
          </w:tcPr>
          <w:p w14:paraId="36132B25" w14:textId="77777777" w:rsidR="00023BBF" w:rsidRDefault="00E17C37">
            <w:pPr>
              <w:widowControl w:val="0"/>
              <w:tabs>
                <w:tab w:val="center" w:pos="4536"/>
                <w:tab w:val="right" w:pos="9072"/>
              </w:tabs>
              <w:rPr>
                <w:i/>
                <w:iCs/>
                <w:noProof/>
                <w:sz w:val="20"/>
                <w:szCs w:val="20"/>
                <w:lang w:eastAsia="en-US"/>
              </w:rPr>
            </w:pPr>
            <w:r>
              <w:rPr>
                <w:i/>
                <w:iCs/>
                <w:noProof/>
                <w:sz w:val="20"/>
                <w:szCs w:val="20"/>
                <w:lang w:eastAsia="en-US"/>
              </w:rPr>
              <w:t>Skeleto, raumenų ir jungiamojo audinio sutrikimai</w:t>
            </w:r>
          </w:p>
        </w:tc>
        <w:tc>
          <w:tcPr>
            <w:tcW w:w="821" w:type="pct"/>
          </w:tcPr>
          <w:p w14:paraId="186B0987" w14:textId="77777777" w:rsidR="00023BBF" w:rsidRDefault="00023BBF">
            <w:pPr>
              <w:widowControl w:val="0"/>
              <w:tabs>
                <w:tab w:val="left" w:pos="567"/>
              </w:tabs>
              <w:rPr>
                <w:sz w:val="20"/>
                <w:szCs w:val="20"/>
                <w:lang w:eastAsia="en-US"/>
              </w:rPr>
            </w:pPr>
          </w:p>
        </w:tc>
        <w:tc>
          <w:tcPr>
            <w:tcW w:w="916" w:type="pct"/>
          </w:tcPr>
          <w:p w14:paraId="5D5946C6" w14:textId="77777777" w:rsidR="00023BBF" w:rsidRDefault="00E17C37">
            <w:pPr>
              <w:widowControl w:val="0"/>
              <w:tabs>
                <w:tab w:val="left" w:pos="567"/>
              </w:tabs>
              <w:rPr>
                <w:sz w:val="20"/>
                <w:szCs w:val="20"/>
                <w:lang w:val="en-GB" w:eastAsia="en-US"/>
              </w:rPr>
            </w:pPr>
            <w:proofErr w:type="spellStart"/>
            <w:r>
              <w:rPr>
                <w:sz w:val="20"/>
                <w:szCs w:val="20"/>
                <w:lang w:val="en-GB" w:eastAsia="sl-SI"/>
              </w:rPr>
              <w:t>Nugaros</w:t>
            </w:r>
            <w:proofErr w:type="spellEnd"/>
            <w:r>
              <w:rPr>
                <w:sz w:val="20"/>
                <w:szCs w:val="20"/>
                <w:lang w:val="en-GB" w:eastAsia="sl-SI"/>
              </w:rPr>
              <w:t xml:space="preserve"> </w:t>
            </w:r>
            <w:proofErr w:type="spellStart"/>
            <w:r>
              <w:rPr>
                <w:sz w:val="20"/>
                <w:szCs w:val="20"/>
                <w:lang w:val="en-GB" w:eastAsia="sl-SI"/>
              </w:rPr>
              <w:t>skausmas</w:t>
            </w:r>
            <w:proofErr w:type="spellEnd"/>
            <w:r>
              <w:rPr>
                <w:sz w:val="20"/>
                <w:szCs w:val="20"/>
                <w:vertAlign w:val="superscript"/>
                <w:lang w:val="en-GB" w:eastAsia="sl-SI"/>
              </w:rPr>
              <w:t>*</w:t>
            </w:r>
          </w:p>
        </w:tc>
        <w:tc>
          <w:tcPr>
            <w:tcW w:w="807" w:type="pct"/>
          </w:tcPr>
          <w:p w14:paraId="44FD05C0" w14:textId="77777777" w:rsidR="00023BBF" w:rsidRDefault="00023BBF">
            <w:pPr>
              <w:widowControl w:val="0"/>
              <w:tabs>
                <w:tab w:val="left" w:pos="567"/>
              </w:tabs>
              <w:rPr>
                <w:sz w:val="20"/>
                <w:szCs w:val="20"/>
                <w:lang w:val="en-GB" w:eastAsia="en-US"/>
              </w:rPr>
            </w:pPr>
          </w:p>
        </w:tc>
        <w:tc>
          <w:tcPr>
            <w:tcW w:w="846" w:type="pct"/>
          </w:tcPr>
          <w:p w14:paraId="39D27F33" w14:textId="77777777" w:rsidR="00023BBF" w:rsidRDefault="00023BBF">
            <w:pPr>
              <w:widowControl w:val="0"/>
              <w:tabs>
                <w:tab w:val="left" w:pos="567"/>
              </w:tabs>
              <w:rPr>
                <w:sz w:val="20"/>
                <w:szCs w:val="20"/>
                <w:lang w:val="en-GB" w:eastAsia="en-US"/>
              </w:rPr>
            </w:pPr>
          </w:p>
        </w:tc>
        <w:tc>
          <w:tcPr>
            <w:tcW w:w="713" w:type="pct"/>
          </w:tcPr>
          <w:p w14:paraId="5B66A94F" w14:textId="77777777" w:rsidR="00023BBF" w:rsidRDefault="00023BBF">
            <w:pPr>
              <w:widowControl w:val="0"/>
              <w:tabs>
                <w:tab w:val="left" w:pos="567"/>
              </w:tabs>
              <w:rPr>
                <w:sz w:val="20"/>
                <w:szCs w:val="20"/>
                <w:lang w:val="en-GB" w:eastAsia="en-US"/>
              </w:rPr>
            </w:pPr>
          </w:p>
        </w:tc>
      </w:tr>
      <w:tr w:rsidR="00023BBF" w14:paraId="7B9799F7" w14:textId="77777777">
        <w:tc>
          <w:tcPr>
            <w:tcW w:w="897" w:type="pct"/>
          </w:tcPr>
          <w:p w14:paraId="42D57E17" w14:textId="77777777" w:rsidR="00023BBF" w:rsidRDefault="00E17C37">
            <w:pPr>
              <w:widowControl w:val="0"/>
              <w:tabs>
                <w:tab w:val="center" w:pos="4536"/>
                <w:tab w:val="right" w:pos="9072"/>
              </w:tabs>
              <w:rPr>
                <w:i/>
                <w:iCs/>
                <w:noProof/>
                <w:sz w:val="20"/>
                <w:szCs w:val="20"/>
                <w:lang w:eastAsia="en-US"/>
              </w:rPr>
            </w:pPr>
            <w:r>
              <w:rPr>
                <w:i/>
                <w:iCs/>
                <w:noProof/>
                <w:sz w:val="20"/>
                <w:szCs w:val="20"/>
                <w:lang w:eastAsia="en-US"/>
              </w:rPr>
              <w:t>Inkstų ir šlapimo takų sutrikimai</w:t>
            </w:r>
          </w:p>
        </w:tc>
        <w:tc>
          <w:tcPr>
            <w:tcW w:w="821" w:type="pct"/>
          </w:tcPr>
          <w:p w14:paraId="135307EF" w14:textId="77777777" w:rsidR="00023BBF" w:rsidRDefault="00023BBF">
            <w:pPr>
              <w:widowControl w:val="0"/>
              <w:tabs>
                <w:tab w:val="left" w:pos="567"/>
              </w:tabs>
              <w:rPr>
                <w:sz w:val="20"/>
                <w:szCs w:val="20"/>
                <w:lang w:eastAsia="en-US"/>
              </w:rPr>
            </w:pPr>
          </w:p>
        </w:tc>
        <w:tc>
          <w:tcPr>
            <w:tcW w:w="916" w:type="pct"/>
          </w:tcPr>
          <w:p w14:paraId="73640B8D" w14:textId="77777777" w:rsidR="00023BBF" w:rsidRDefault="00E17C37">
            <w:pPr>
              <w:widowControl w:val="0"/>
              <w:tabs>
                <w:tab w:val="left" w:pos="567"/>
              </w:tabs>
              <w:rPr>
                <w:sz w:val="20"/>
                <w:szCs w:val="20"/>
                <w:lang w:val="en-GB" w:eastAsia="sl-SI"/>
              </w:rPr>
            </w:pPr>
            <w:proofErr w:type="spellStart"/>
            <w:r>
              <w:rPr>
                <w:sz w:val="20"/>
                <w:szCs w:val="20"/>
                <w:lang w:val="en-GB" w:eastAsia="sl-SI"/>
              </w:rPr>
              <w:t>Dizurija</w:t>
            </w:r>
            <w:proofErr w:type="spellEnd"/>
          </w:p>
          <w:p w14:paraId="601C151C" w14:textId="77777777" w:rsidR="00023BBF" w:rsidRDefault="00E17C37">
            <w:pPr>
              <w:widowControl w:val="0"/>
              <w:tabs>
                <w:tab w:val="left" w:pos="567"/>
              </w:tabs>
              <w:rPr>
                <w:sz w:val="20"/>
                <w:szCs w:val="20"/>
                <w:lang w:val="en-GB" w:eastAsia="en-US"/>
              </w:rPr>
            </w:pPr>
            <w:proofErr w:type="spellStart"/>
            <w:r>
              <w:rPr>
                <w:sz w:val="20"/>
                <w:szCs w:val="20"/>
                <w:lang w:val="en-GB" w:eastAsia="sl-SI"/>
              </w:rPr>
              <w:t>Poliurija</w:t>
            </w:r>
            <w:proofErr w:type="spellEnd"/>
            <w:proofErr w:type="gramStart"/>
            <w:r>
              <w:rPr>
                <w:sz w:val="20"/>
                <w:szCs w:val="20"/>
                <w:vertAlign w:val="superscript"/>
                <w:lang w:val="en-GB" w:eastAsia="sl-SI"/>
              </w:rPr>
              <w:t>*,f</w:t>
            </w:r>
            <w:proofErr w:type="gramEnd"/>
          </w:p>
        </w:tc>
        <w:tc>
          <w:tcPr>
            <w:tcW w:w="807" w:type="pct"/>
          </w:tcPr>
          <w:p w14:paraId="3062BACD" w14:textId="77777777" w:rsidR="00023BBF" w:rsidRDefault="00E17C37">
            <w:pPr>
              <w:widowControl w:val="0"/>
              <w:tabs>
                <w:tab w:val="left" w:pos="567"/>
              </w:tabs>
              <w:rPr>
                <w:sz w:val="20"/>
                <w:szCs w:val="20"/>
                <w:lang w:val="en-GB" w:eastAsia="en-US"/>
              </w:rPr>
            </w:pPr>
            <w:proofErr w:type="spellStart"/>
            <w:r>
              <w:rPr>
                <w:sz w:val="20"/>
                <w:szCs w:val="20"/>
                <w:lang w:val="en-GB" w:eastAsia="sl-SI"/>
              </w:rPr>
              <w:t>Nokturija</w:t>
            </w:r>
            <w:proofErr w:type="spellEnd"/>
            <w:r>
              <w:rPr>
                <w:sz w:val="20"/>
                <w:szCs w:val="20"/>
                <w:vertAlign w:val="superscript"/>
                <w:lang w:val="en-GB" w:eastAsia="sl-SI"/>
              </w:rPr>
              <w:t>**</w:t>
            </w:r>
          </w:p>
        </w:tc>
        <w:tc>
          <w:tcPr>
            <w:tcW w:w="846" w:type="pct"/>
          </w:tcPr>
          <w:p w14:paraId="56A505F7" w14:textId="77777777" w:rsidR="00023BBF" w:rsidRDefault="00023BBF">
            <w:pPr>
              <w:widowControl w:val="0"/>
              <w:tabs>
                <w:tab w:val="left" w:pos="567"/>
              </w:tabs>
              <w:rPr>
                <w:sz w:val="20"/>
                <w:szCs w:val="20"/>
                <w:lang w:val="en-GB" w:eastAsia="en-US"/>
              </w:rPr>
            </w:pPr>
          </w:p>
        </w:tc>
        <w:tc>
          <w:tcPr>
            <w:tcW w:w="713" w:type="pct"/>
          </w:tcPr>
          <w:p w14:paraId="13E2B71D" w14:textId="77777777" w:rsidR="00023BBF" w:rsidRDefault="00E17C37">
            <w:pPr>
              <w:widowControl w:val="0"/>
              <w:tabs>
                <w:tab w:val="left" w:pos="567"/>
              </w:tabs>
              <w:rPr>
                <w:sz w:val="20"/>
                <w:szCs w:val="20"/>
                <w:lang w:val="pt-PT" w:eastAsia="en-US"/>
              </w:rPr>
            </w:pPr>
            <w:r>
              <w:rPr>
                <w:sz w:val="20"/>
                <w:szCs w:val="20"/>
                <w:lang w:val="sl-SI" w:eastAsia="en-US"/>
              </w:rPr>
              <w:t xml:space="preserve">Kanalėlių ir intersticinio </w:t>
            </w:r>
            <w:r>
              <w:rPr>
                <w:sz w:val="20"/>
                <w:szCs w:val="20"/>
                <w:lang w:val="sl-SI" w:eastAsia="en-US"/>
              </w:rPr>
              <w:lastRenderedPageBreak/>
              <w:t>audinio nefritas</w:t>
            </w:r>
          </w:p>
        </w:tc>
      </w:tr>
      <w:tr w:rsidR="00023BBF" w14:paraId="2E2C929F" w14:textId="77777777">
        <w:tc>
          <w:tcPr>
            <w:tcW w:w="897" w:type="pct"/>
          </w:tcPr>
          <w:p w14:paraId="01FA8F0C" w14:textId="77777777" w:rsidR="00023BBF" w:rsidRDefault="00E17C37">
            <w:pPr>
              <w:widowControl w:val="0"/>
              <w:tabs>
                <w:tab w:val="center" w:pos="4536"/>
                <w:tab w:val="right" w:pos="9072"/>
              </w:tabs>
              <w:rPr>
                <w:i/>
                <w:iCs/>
                <w:noProof/>
                <w:sz w:val="20"/>
                <w:szCs w:val="20"/>
                <w:lang w:val="pt-PT" w:eastAsia="en-US"/>
              </w:rPr>
            </w:pPr>
            <w:r>
              <w:rPr>
                <w:i/>
                <w:iCs/>
                <w:noProof/>
                <w:sz w:val="20"/>
                <w:szCs w:val="20"/>
                <w:lang w:val="pt-PT" w:eastAsia="en-US"/>
              </w:rPr>
              <w:lastRenderedPageBreak/>
              <w:t>Lytinės sistemos ir krūties sutrikimai</w:t>
            </w:r>
          </w:p>
        </w:tc>
        <w:tc>
          <w:tcPr>
            <w:tcW w:w="821" w:type="pct"/>
          </w:tcPr>
          <w:p w14:paraId="044E6BA5" w14:textId="77777777" w:rsidR="00023BBF" w:rsidRDefault="00023BBF">
            <w:pPr>
              <w:widowControl w:val="0"/>
              <w:tabs>
                <w:tab w:val="left" w:pos="567"/>
              </w:tabs>
              <w:rPr>
                <w:sz w:val="20"/>
                <w:szCs w:val="20"/>
                <w:lang w:val="pt-PT" w:eastAsia="en-US"/>
              </w:rPr>
            </w:pPr>
          </w:p>
        </w:tc>
        <w:tc>
          <w:tcPr>
            <w:tcW w:w="916" w:type="pct"/>
          </w:tcPr>
          <w:p w14:paraId="4F8459D5" w14:textId="77777777" w:rsidR="00023BBF" w:rsidRDefault="00023BBF">
            <w:pPr>
              <w:widowControl w:val="0"/>
              <w:tabs>
                <w:tab w:val="left" w:pos="567"/>
              </w:tabs>
              <w:rPr>
                <w:sz w:val="20"/>
                <w:szCs w:val="20"/>
                <w:lang w:val="pt-PT" w:eastAsia="en-US"/>
              </w:rPr>
            </w:pPr>
          </w:p>
        </w:tc>
        <w:tc>
          <w:tcPr>
            <w:tcW w:w="807" w:type="pct"/>
          </w:tcPr>
          <w:p w14:paraId="23771664" w14:textId="77777777" w:rsidR="00023BBF" w:rsidRDefault="00E17C37">
            <w:pPr>
              <w:widowControl w:val="0"/>
              <w:tabs>
                <w:tab w:val="left" w:pos="567"/>
              </w:tabs>
              <w:rPr>
                <w:b/>
                <w:bCs/>
                <w:sz w:val="20"/>
                <w:szCs w:val="20"/>
                <w:lang w:val="en-GB" w:eastAsia="en-US"/>
              </w:rPr>
            </w:pPr>
            <w:proofErr w:type="spellStart"/>
            <w:r>
              <w:rPr>
                <w:sz w:val="20"/>
                <w:szCs w:val="20"/>
                <w:lang w:val="en-GB" w:eastAsia="sl-SI"/>
              </w:rPr>
              <w:t>Vulvovaginalinis</w:t>
            </w:r>
            <w:proofErr w:type="spellEnd"/>
            <w:r>
              <w:rPr>
                <w:sz w:val="20"/>
                <w:szCs w:val="20"/>
                <w:lang w:val="en-GB" w:eastAsia="sl-SI"/>
              </w:rPr>
              <w:t xml:space="preserve"> </w:t>
            </w:r>
            <w:proofErr w:type="spellStart"/>
            <w:r>
              <w:rPr>
                <w:sz w:val="20"/>
                <w:szCs w:val="20"/>
                <w:lang w:val="en-GB" w:eastAsia="sl-SI"/>
              </w:rPr>
              <w:t>niežėjimas</w:t>
            </w:r>
            <w:proofErr w:type="spellEnd"/>
            <w:r>
              <w:rPr>
                <w:sz w:val="20"/>
                <w:szCs w:val="20"/>
                <w:vertAlign w:val="superscript"/>
                <w:lang w:val="en-GB" w:eastAsia="sl-SI"/>
              </w:rPr>
              <w:t>**</w:t>
            </w:r>
            <w:r>
              <w:rPr>
                <w:sz w:val="20"/>
                <w:szCs w:val="20"/>
                <w:lang w:val="en-GB" w:eastAsia="sl-SI"/>
              </w:rPr>
              <w:t xml:space="preserve"> </w:t>
            </w:r>
            <w:proofErr w:type="spellStart"/>
            <w:r>
              <w:rPr>
                <w:sz w:val="20"/>
                <w:szCs w:val="20"/>
                <w:lang w:val="en-GB" w:eastAsia="sl-SI"/>
              </w:rPr>
              <w:t>Genitalijų</w:t>
            </w:r>
            <w:proofErr w:type="spellEnd"/>
            <w:r>
              <w:rPr>
                <w:sz w:val="20"/>
                <w:szCs w:val="20"/>
                <w:lang w:val="en-GB" w:eastAsia="sl-SI"/>
              </w:rPr>
              <w:t xml:space="preserve"> </w:t>
            </w:r>
            <w:proofErr w:type="spellStart"/>
            <w:r>
              <w:rPr>
                <w:sz w:val="20"/>
                <w:szCs w:val="20"/>
                <w:lang w:val="en-GB" w:eastAsia="sl-SI"/>
              </w:rPr>
              <w:t>niežėjimas</w:t>
            </w:r>
            <w:proofErr w:type="spellEnd"/>
            <w:r>
              <w:rPr>
                <w:sz w:val="20"/>
                <w:szCs w:val="20"/>
                <w:vertAlign w:val="superscript"/>
                <w:lang w:val="en-GB" w:eastAsia="sl-SI"/>
              </w:rPr>
              <w:t>**</w:t>
            </w:r>
          </w:p>
        </w:tc>
        <w:tc>
          <w:tcPr>
            <w:tcW w:w="846" w:type="pct"/>
          </w:tcPr>
          <w:p w14:paraId="2AA2B29A" w14:textId="77777777" w:rsidR="00023BBF" w:rsidRDefault="00023BBF">
            <w:pPr>
              <w:widowControl w:val="0"/>
              <w:tabs>
                <w:tab w:val="left" w:pos="567"/>
              </w:tabs>
              <w:rPr>
                <w:sz w:val="20"/>
                <w:szCs w:val="20"/>
                <w:lang w:val="en-GB" w:eastAsia="en-US"/>
              </w:rPr>
            </w:pPr>
          </w:p>
        </w:tc>
        <w:tc>
          <w:tcPr>
            <w:tcW w:w="713" w:type="pct"/>
          </w:tcPr>
          <w:p w14:paraId="3EAA813B" w14:textId="77777777" w:rsidR="00023BBF" w:rsidRDefault="00023BBF">
            <w:pPr>
              <w:widowControl w:val="0"/>
              <w:tabs>
                <w:tab w:val="left" w:pos="567"/>
              </w:tabs>
              <w:rPr>
                <w:sz w:val="20"/>
                <w:szCs w:val="20"/>
                <w:lang w:val="en-GB" w:eastAsia="en-US"/>
              </w:rPr>
            </w:pPr>
          </w:p>
        </w:tc>
      </w:tr>
      <w:tr w:rsidR="00023BBF" w14:paraId="7922B37D" w14:textId="77777777">
        <w:tc>
          <w:tcPr>
            <w:tcW w:w="897" w:type="pct"/>
          </w:tcPr>
          <w:p w14:paraId="7F019D99" w14:textId="77777777" w:rsidR="00023BBF" w:rsidRDefault="00E17C37">
            <w:pPr>
              <w:widowControl w:val="0"/>
              <w:tabs>
                <w:tab w:val="center" w:pos="4536"/>
                <w:tab w:val="right" w:pos="9072"/>
              </w:tabs>
              <w:rPr>
                <w:i/>
                <w:iCs/>
                <w:noProof/>
                <w:sz w:val="20"/>
                <w:szCs w:val="20"/>
                <w:lang w:val="en-GB" w:eastAsia="en-US"/>
              </w:rPr>
            </w:pPr>
            <w:r>
              <w:rPr>
                <w:i/>
                <w:iCs/>
                <w:noProof/>
                <w:sz w:val="20"/>
                <w:szCs w:val="20"/>
                <w:lang w:val="en-GB" w:eastAsia="en-US"/>
              </w:rPr>
              <w:t>Tyrimai</w:t>
            </w:r>
          </w:p>
        </w:tc>
        <w:tc>
          <w:tcPr>
            <w:tcW w:w="821" w:type="pct"/>
          </w:tcPr>
          <w:p w14:paraId="7C07ED7D" w14:textId="77777777" w:rsidR="00023BBF" w:rsidRDefault="00023BBF">
            <w:pPr>
              <w:widowControl w:val="0"/>
              <w:tabs>
                <w:tab w:val="left" w:pos="567"/>
              </w:tabs>
              <w:rPr>
                <w:sz w:val="20"/>
                <w:szCs w:val="20"/>
                <w:lang w:val="en-GB" w:eastAsia="en-US"/>
              </w:rPr>
            </w:pPr>
          </w:p>
        </w:tc>
        <w:tc>
          <w:tcPr>
            <w:tcW w:w="916" w:type="pct"/>
          </w:tcPr>
          <w:p w14:paraId="572EDECD" w14:textId="77777777" w:rsidR="00023BBF" w:rsidRDefault="00E17C37">
            <w:pPr>
              <w:widowControl w:val="0"/>
              <w:tabs>
                <w:tab w:val="left" w:pos="567"/>
              </w:tabs>
              <w:rPr>
                <w:sz w:val="20"/>
                <w:szCs w:val="20"/>
                <w:lang w:val="en-GB" w:eastAsia="en-US"/>
              </w:rPr>
            </w:pPr>
            <w:proofErr w:type="spellStart"/>
            <w:r>
              <w:rPr>
                <w:sz w:val="20"/>
                <w:szCs w:val="20"/>
                <w:lang w:val="en-GB" w:eastAsia="sl-SI"/>
              </w:rPr>
              <w:t>Padidėjęs</w:t>
            </w:r>
            <w:proofErr w:type="spellEnd"/>
            <w:r>
              <w:rPr>
                <w:sz w:val="20"/>
                <w:szCs w:val="20"/>
                <w:lang w:val="en-GB" w:eastAsia="sl-SI"/>
              </w:rPr>
              <w:t xml:space="preserve"> </w:t>
            </w:r>
            <w:proofErr w:type="spellStart"/>
            <w:r>
              <w:rPr>
                <w:sz w:val="20"/>
                <w:szCs w:val="20"/>
                <w:lang w:val="en-GB" w:eastAsia="sl-SI"/>
              </w:rPr>
              <w:t>hematokritas</w:t>
            </w:r>
            <w:proofErr w:type="spellEnd"/>
            <w:r>
              <w:rPr>
                <w:sz w:val="20"/>
                <w:szCs w:val="20"/>
                <w:lang w:val="en-GB" w:eastAsia="sl-SI"/>
              </w:rPr>
              <w:t xml:space="preserve"> </w:t>
            </w:r>
            <w:r>
              <w:rPr>
                <w:sz w:val="20"/>
                <w:szCs w:val="20"/>
                <w:vertAlign w:val="superscript"/>
                <w:lang w:val="en-GB" w:eastAsia="sl-SI"/>
              </w:rPr>
              <w:t>g</w:t>
            </w:r>
            <w:r>
              <w:rPr>
                <w:sz w:val="20"/>
                <w:szCs w:val="20"/>
                <w:lang w:val="en-GB" w:eastAsia="sl-SI"/>
              </w:rPr>
              <w:t xml:space="preserve"> </w:t>
            </w:r>
            <w:proofErr w:type="spellStart"/>
            <w:r>
              <w:rPr>
                <w:sz w:val="20"/>
                <w:szCs w:val="20"/>
                <w:lang w:val="en-GB" w:eastAsia="sl-SI"/>
              </w:rPr>
              <w:t>Sumažėjęs</w:t>
            </w:r>
            <w:proofErr w:type="spellEnd"/>
            <w:r>
              <w:rPr>
                <w:sz w:val="20"/>
                <w:szCs w:val="20"/>
                <w:lang w:val="en-GB" w:eastAsia="sl-SI"/>
              </w:rPr>
              <w:t xml:space="preserve"> </w:t>
            </w:r>
            <w:proofErr w:type="spellStart"/>
            <w:r>
              <w:rPr>
                <w:sz w:val="20"/>
                <w:szCs w:val="20"/>
                <w:lang w:val="en-GB" w:eastAsia="sl-SI"/>
              </w:rPr>
              <w:t>kreatinino</w:t>
            </w:r>
            <w:proofErr w:type="spellEnd"/>
            <w:r>
              <w:rPr>
                <w:sz w:val="20"/>
                <w:szCs w:val="20"/>
                <w:lang w:val="en-GB" w:eastAsia="sl-SI"/>
              </w:rPr>
              <w:t xml:space="preserve"> </w:t>
            </w:r>
            <w:proofErr w:type="spellStart"/>
            <w:r>
              <w:rPr>
                <w:sz w:val="20"/>
                <w:szCs w:val="20"/>
                <w:lang w:val="en-GB" w:eastAsia="sl-SI"/>
              </w:rPr>
              <w:t>inkstų</w:t>
            </w:r>
            <w:proofErr w:type="spellEnd"/>
            <w:r>
              <w:rPr>
                <w:sz w:val="20"/>
                <w:szCs w:val="20"/>
                <w:lang w:val="en-GB" w:eastAsia="sl-SI"/>
              </w:rPr>
              <w:t xml:space="preserve"> </w:t>
            </w:r>
            <w:proofErr w:type="spellStart"/>
            <w:r>
              <w:rPr>
                <w:sz w:val="20"/>
                <w:szCs w:val="20"/>
                <w:lang w:val="en-GB" w:eastAsia="sl-SI"/>
              </w:rPr>
              <w:t>klirensas</w:t>
            </w:r>
            <w:proofErr w:type="spellEnd"/>
            <w:r>
              <w:rPr>
                <w:sz w:val="20"/>
                <w:szCs w:val="20"/>
                <w:lang w:val="en-GB" w:eastAsia="sl-SI"/>
              </w:rPr>
              <w:t xml:space="preserve"> (</w:t>
            </w:r>
            <w:proofErr w:type="spellStart"/>
            <w:r>
              <w:rPr>
                <w:sz w:val="20"/>
                <w:szCs w:val="20"/>
                <w:lang w:val="en-GB" w:eastAsia="sl-SI"/>
              </w:rPr>
              <w:t>pradedant</w:t>
            </w:r>
            <w:proofErr w:type="spellEnd"/>
            <w:r>
              <w:rPr>
                <w:sz w:val="20"/>
                <w:szCs w:val="20"/>
                <w:lang w:val="en-GB" w:eastAsia="sl-SI"/>
              </w:rPr>
              <w:t xml:space="preserve"> </w:t>
            </w:r>
            <w:proofErr w:type="spellStart"/>
            <w:r>
              <w:rPr>
                <w:sz w:val="20"/>
                <w:szCs w:val="20"/>
                <w:lang w:val="en-GB" w:eastAsia="sl-SI"/>
              </w:rPr>
              <w:t>gydyti</w:t>
            </w:r>
            <w:proofErr w:type="spellEnd"/>
            <w:r>
              <w:rPr>
                <w:sz w:val="20"/>
                <w:szCs w:val="20"/>
                <w:lang w:val="en-GB" w:eastAsia="sl-SI"/>
              </w:rPr>
              <w:t xml:space="preserve">) </w:t>
            </w:r>
            <w:r>
              <w:rPr>
                <w:sz w:val="20"/>
                <w:szCs w:val="20"/>
                <w:vertAlign w:val="superscript"/>
                <w:lang w:val="en-GB" w:eastAsia="sl-SI"/>
              </w:rPr>
              <w:t>b</w:t>
            </w:r>
            <w:r>
              <w:rPr>
                <w:sz w:val="20"/>
                <w:szCs w:val="20"/>
                <w:lang w:val="en-GB" w:eastAsia="sl-SI"/>
              </w:rPr>
              <w:t xml:space="preserve"> </w:t>
            </w:r>
            <w:proofErr w:type="spellStart"/>
            <w:r>
              <w:rPr>
                <w:sz w:val="20"/>
                <w:szCs w:val="20"/>
                <w:lang w:val="en-GB" w:eastAsia="sl-SI"/>
              </w:rPr>
              <w:t>Dislipidemija</w:t>
            </w:r>
            <w:proofErr w:type="spellEnd"/>
            <w:r>
              <w:rPr>
                <w:sz w:val="20"/>
                <w:szCs w:val="20"/>
                <w:lang w:val="en-GB" w:eastAsia="sl-SI"/>
              </w:rPr>
              <w:t xml:space="preserve"> </w:t>
            </w:r>
            <w:proofErr w:type="spellStart"/>
            <w:r>
              <w:rPr>
                <w:sz w:val="20"/>
                <w:szCs w:val="20"/>
                <w:vertAlign w:val="superscript"/>
                <w:lang w:val="en-GB" w:eastAsia="sl-SI"/>
              </w:rPr>
              <w:t>i</w:t>
            </w:r>
            <w:proofErr w:type="spellEnd"/>
          </w:p>
        </w:tc>
        <w:tc>
          <w:tcPr>
            <w:tcW w:w="807" w:type="pct"/>
          </w:tcPr>
          <w:p w14:paraId="3C264B32" w14:textId="77777777" w:rsidR="00023BBF" w:rsidRDefault="00E17C37">
            <w:pPr>
              <w:widowControl w:val="0"/>
              <w:tabs>
                <w:tab w:val="left" w:pos="567"/>
              </w:tabs>
              <w:rPr>
                <w:sz w:val="20"/>
                <w:szCs w:val="20"/>
                <w:lang w:val="en-GB" w:eastAsia="sl-SI"/>
              </w:rPr>
            </w:pPr>
            <w:proofErr w:type="spellStart"/>
            <w:r>
              <w:rPr>
                <w:sz w:val="20"/>
                <w:szCs w:val="20"/>
                <w:lang w:val="en-GB" w:eastAsia="sl-SI"/>
              </w:rPr>
              <w:t>Padidėjusi</w:t>
            </w:r>
            <w:proofErr w:type="spellEnd"/>
            <w:r>
              <w:rPr>
                <w:sz w:val="20"/>
                <w:szCs w:val="20"/>
                <w:lang w:val="en-GB" w:eastAsia="sl-SI"/>
              </w:rPr>
              <w:t xml:space="preserve"> </w:t>
            </w:r>
            <w:proofErr w:type="spellStart"/>
            <w:r>
              <w:rPr>
                <w:sz w:val="20"/>
                <w:szCs w:val="20"/>
                <w:lang w:val="en-GB" w:eastAsia="sl-SI"/>
              </w:rPr>
              <w:t>kreatinino</w:t>
            </w:r>
            <w:proofErr w:type="spellEnd"/>
            <w:r>
              <w:rPr>
                <w:sz w:val="20"/>
                <w:szCs w:val="20"/>
                <w:lang w:val="en-GB" w:eastAsia="sl-SI"/>
              </w:rPr>
              <w:t xml:space="preserve"> </w:t>
            </w:r>
            <w:proofErr w:type="spellStart"/>
            <w:r>
              <w:rPr>
                <w:sz w:val="20"/>
                <w:szCs w:val="20"/>
                <w:lang w:val="en-GB" w:eastAsia="sl-SI"/>
              </w:rPr>
              <w:t>koncentracija</w:t>
            </w:r>
            <w:proofErr w:type="spellEnd"/>
            <w:r>
              <w:rPr>
                <w:sz w:val="20"/>
                <w:szCs w:val="20"/>
                <w:lang w:val="en-GB" w:eastAsia="sl-SI"/>
              </w:rPr>
              <w:t xml:space="preserve"> </w:t>
            </w:r>
            <w:proofErr w:type="spellStart"/>
            <w:r>
              <w:rPr>
                <w:sz w:val="20"/>
                <w:szCs w:val="20"/>
                <w:lang w:val="en-GB" w:eastAsia="sl-SI"/>
              </w:rPr>
              <w:t>kraujyje</w:t>
            </w:r>
            <w:proofErr w:type="spellEnd"/>
            <w:r>
              <w:rPr>
                <w:sz w:val="20"/>
                <w:szCs w:val="20"/>
                <w:lang w:val="en-GB" w:eastAsia="sl-SI"/>
              </w:rPr>
              <w:t xml:space="preserve"> (</w:t>
            </w:r>
            <w:proofErr w:type="spellStart"/>
            <w:r>
              <w:rPr>
                <w:sz w:val="20"/>
                <w:szCs w:val="20"/>
                <w:lang w:val="en-GB" w:eastAsia="sl-SI"/>
              </w:rPr>
              <w:t>pradedant</w:t>
            </w:r>
            <w:proofErr w:type="spellEnd"/>
            <w:r>
              <w:rPr>
                <w:sz w:val="20"/>
                <w:szCs w:val="20"/>
                <w:lang w:val="en-GB" w:eastAsia="sl-SI"/>
              </w:rPr>
              <w:t xml:space="preserve"> </w:t>
            </w:r>
            <w:proofErr w:type="spellStart"/>
            <w:r>
              <w:rPr>
                <w:sz w:val="20"/>
                <w:szCs w:val="20"/>
                <w:lang w:val="en-GB" w:eastAsia="sl-SI"/>
              </w:rPr>
              <w:t>gydyti</w:t>
            </w:r>
            <w:proofErr w:type="spellEnd"/>
            <w:r>
              <w:rPr>
                <w:sz w:val="20"/>
                <w:szCs w:val="20"/>
                <w:lang w:val="en-GB" w:eastAsia="sl-SI"/>
              </w:rPr>
              <w:t xml:space="preserve">) </w:t>
            </w:r>
            <w:r>
              <w:rPr>
                <w:sz w:val="20"/>
                <w:szCs w:val="20"/>
                <w:vertAlign w:val="superscript"/>
                <w:lang w:val="en-GB" w:eastAsia="sl-SI"/>
              </w:rPr>
              <w:t>*</w:t>
            </w:r>
            <w:proofErr w:type="gramStart"/>
            <w:r>
              <w:rPr>
                <w:sz w:val="20"/>
                <w:szCs w:val="20"/>
                <w:vertAlign w:val="superscript"/>
                <w:lang w:val="en-GB" w:eastAsia="sl-SI"/>
              </w:rPr>
              <w:t>*,b</w:t>
            </w:r>
            <w:proofErr w:type="gramEnd"/>
          </w:p>
          <w:p w14:paraId="241F8625" w14:textId="77777777" w:rsidR="00023BBF" w:rsidRDefault="00E17C37">
            <w:pPr>
              <w:widowControl w:val="0"/>
              <w:tabs>
                <w:tab w:val="left" w:pos="567"/>
              </w:tabs>
              <w:rPr>
                <w:sz w:val="20"/>
                <w:szCs w:val="20"/>
                <w:lang w:val="en-GB" w:eastAsia="sl-SI"/>
              </w:rPr>
            </w:pPr>
            <w:proofErr w:type="spellStart"/>
            <w:r>
              <w:rPr>
                <w:sz w:val="20"/>
                <w:szCs w:val="20"/>
                <w:lang w:val="en-GB" w:eastAsia="sl-SI"/>
              </w:rPr>
              <w:t>Padidėjusi</w:t>
            </w:r>
            <w:proofErr w:type="spellEnd"/>
            <w:r>
              <w:rPr>
                <w:sz w:val="20"/>
                <w:szCs w:val="20"/>
                <w:lang w:val="en-GB" w:eastAsia="sl-SI"/>
              </w:rPr>
              <w:t xml:space="preserve"> </w:t>
            </w:r>
            <w:proofErr w:type="spellStart"/>
            <w:r>
              <w:rPr>
                <w:sz w:val="20"/>
                <w:szCs w:val="20"/>
                <w:lang w:val="en-GB" w:eastAsia="sl-SI"/>
              </w:rPr>
              <w:t>šlapalo</w:t>
            </w:r>
            <w:proofErr w:type="spellEnd"/>
            <w:r>
              <w:rPr>
                <w:sz w:val="20"/>
                <w:szCs w:val="20"/>
                <w:lang w:val="en-GB" w:eastAsia="sl-SI"/>
              </w:rPr>
              <w:t xml:space="preserve"> </w:t>
            </w:r>
            <w:proofErr w:type="spellStart"/>
            <w:r>
              <w:rPr>
                <w:sz w:val="20"/>
                <w:szCs w:val="20"/>
                <w:lang w:val="en-GB" w:eastAsia="sl-SI"/>
              </w:rPr>
              <w:t>koncentracija</w:t>
            </w:r>
            <w:proofErr w:type="spellEnd"/>
            <w:r>
              <w:rPr>
                <w:sz w:val="20"/>
                <w:szCs w:val="20"/>
                <w:lang w:val="en-GB" w:eastAsia="sl-SI"/>
              </w:rPr>
              <w:t xml:space="preserve"> </w:t>
            </w:r>
            <w:proofErr w:type="spellStart"/>
            <w:r>
              <w:rPr>
                <w:sz w:val="20"/>
                <w:szCs w:val="20"/>
                <w:lang w:val="en-GB" w:eastAsia="sl-SI"/>
              </w:rPr>
              <w:t>kraujyje</w:t>
            </w:r>
            <w:proofErr w:type="spellEnd"/>
            <w:r>
              <w:rPr>
                <w:sz w:val="20"/>
                <w:szCs w:val="20"/>
                <w:lang w:val="en-GB" w:eastAsia="sl-SI"/>
              </w:rPr>
              <w:t xml:space="preserve"> </w:t>
            </w:r>
            <w:r>
              <w:rPr>
                <w:sz w:val="20"/>
                <w:szCs w:val="20"/>
                <w:vertAlign w:val="superscript"/>
                <w:lang w:val="en-GB" w:eastAsia="sl-SI"/>
              </w:rPr>
              <w:t>**</w:t>
            </w:r>
          </w:p>
          <w:p w14:paraId="686A1022" w14:textId="77777777" w:rsidR="00023BBF" w:rsidRDefault="00E17C37">
            <w:pPr>
              <w:widowControl w:val="0"/>
              <w:tabs>
                <w:tab w:val="left" w:pos="567"/>
              </w:tabs>
              <w:rPr>
                <w:sz w:val="20"/>
                <w:szCs w:val="20"/>
                <w:lang w:val="en-GB" w:eastAsia="en-US"/>
              </w:rPr>
            </w:pPr>
            <w:proofErr w:type="spellStart"/>
            <w:r>
              <w:rPr>
                <w:sz w:val="20"/>
                <w:szCs w:val="20"/>
                <w:lang w:val="en-GB" w:eastAsia="sl-SI"/>
              </w:rPr>
              <w:t>Sumažėjęs</w:t>
            </w:r>
            <w:proofErr w:type="spellEnd"/>
            <w:r>
              <w:rPr>
                <w:sz w:val="20"/>
                <w:szCs w:val="20"/>
                <w:lang w:val="en-GB" w:eastAsia="sl-SI"/>
              </w:rPr>
              <w:t xml:space="preserve"> </w:t>
            </w:r>
            <w:proofErr w:type="spellStart"/>
            <w:r>
              <w:rPr>
                <w:sz w:val="20"/>
                <w:szCs w:val="20"/>
                <w:lang w:val="en-GB" w:eastAsia="sl-SI"/>
              </w:rPr>
              <w:t>kūno</w:t>
            </w:r>
            <w:proofErr w:type="spellEnd"/>
            <w:r>
              <w:rPr>
                <w:sz w:val="20"/>
                <w:szCs w:val="20"/>
                <w:lang w:val="en-GB" w:eastAsia="sl-SI"/>
              </w:rPr>
              <w:t xml:space="preserve"> </w:t>
            </w:r>
            <w:proofErr w:type="spellStart"/>
            <w:r>
              <w:rPr>
                <w:sz w:val="20"/>
                <w:szCs w:val="20"/>
                <w:lang w:val="en-GB" w:eastAsia="sl-SI"/>
              </w:rPr>
              <w:t>svoris</w:t>
            </w:r>
            <w:proofErr w:type="spellEnd"/>
            <w:r>
              <w:rPr>
                <w:sz w:val="20"/>
                <w:szCs w:val="20"/>
                <w:lang w:val="en-GB" w:eastAsia="sl-SI"/>
              </w:rPr>
              <w:t xml:space="preserve"> </w:t>
            </w:r>
            <w:r>
              <w:rPr>
                <w:sz w:val="20"/>
                <w:szCs w:val="20"/>
                <w:vertAlign w:val="superscript"/>
                <w:lang w:val="en-GB" w:eastAsia="sl-SI"/>
              </w:rPr>
              <w:t>**</w:t>
            </w:r>
          </w:p>
        </w:tc>
        <w:tc>
          <w:tcPr>
            <w:tcW w:w="846" w:type="pct"/>
          </w:tcPr>
          <w:p w14:paraId="47F9C842" w14:textId="77777777" w:rsidR="00023BBF" w:rsidRDefault="00023BBF">
            <w:pPr>
              <w:widowControl w:val="0"/>
              <w:tabs>
                <w:tab w:val="left" w:pos="567"/>
              </w:tabs>
              <w:rPr>
                <w:sz w:val="20"/>
                <w:szCs w:val="20"/>
                <w:lang w:val="en-GB" w:eastAsia="en-US"/>
              </w:rPr>
            </w:pPr>
          </w:p>
        </w:tc>
        <w:tc>
          <w:tcPr>
            <w:tcW w:w="713" w:type="pct"/>
          </w:tcPr>
          <w:p w14:paraId="548478FF" w14:textId="77777777" w:rsidR="00023BBF" w:rsidRDefault="00023BBF">
            <w:pPr>
              <w:widowControl w:val="0"/>
              <w:tabs>
                <w:tab w:val="left" w:pos="567"/>
              </w:tabs>
              <w:rPr>
                <w:sz w:val="20"/>
                <w:szCs w:val="20"/>
                <w:lang w:val="en-GB" w:eastAsia="en-US"/>
              </w:rPr>
            </w:pPr>
          </w:p>
        </w:tc>
      </w:tr>
    </w:tbl>
    <w:p w14:paraId="434CAEFB"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a</w:t>
      </w:r>
      <w:r>
        <w:rPr>
          <w:rFonts w:eastAsiaTheme="minorHAnsi"/>
          <w:color w:val="000000"/>
          <w:sz w:val="18"/>
          <w:szCs w:val="18"/>
          <w:lang w:eastAsia="en-US"/>
        </w:rPr>
        <w:t xml:space="preserve"> Lentelėje pateikiamos nepageidaujamos reakcijos, nustatytos iki 24 savaičių trukmės (trumpalaikių) tyrimų metu nepriklausomai nuo neatidėliotinos pagalbos </w:t>
      </w:r>
      <w:proofErr w:type="spellStart"/>
      <w:r>
        <w:rPr>
          <w:rFonts w:eastAsiaTheme="minorHAnsi"/>
          <w:color w:val="000000"/>
          <w:sz w:val="18"/>
          <w:szCs w:val="18"/>
          <w:lang w:eastAsia="en-US"/>
        </w:rPr>
        <w:t>glikemijai</w:t>
      </w:r>
      <w:proofErr w:type="spellEnd"/>
      <w:r>
        <w:rPr>
          <w:rFonts w:eastAsiaTheme="minorHAnsi"/>
          <w:color w:val="000000"/>
          <w:sz w:val="18"/>
          <w:szCs w:val="18"/>
          <w:lang w:eastAsia="en-US"/>
        </w:rPr>
        <w:t xml:space="preserve"> koreguoti taikymo, išskyrus pažymėtas § (žr. toliau). </w:t>
      </w:r>
    </w:p>
    <w:p w14:paraId="6FE1B4AA"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b</w:t>
      </w:r>
      <w:r>
        <w:rPr>
          <w:rFonts w:eastAsiaTheme="minorHAnsi"/>
          <w:color w:val="000000"/>
          <w:sz w:val="18"/>
          <w:szCs w:val="18"/>
          <w:lang w:eastAsia="en-US"/>
        </w:rPr>
        <w:t xml:space="preserve"> Papildoma informacija pateikiama atitinkamoje skyriaus dalyje žemiau. </w:t>
      </w:r>
    </w:p>
    <w:p w14:paraId="40DCC3A9"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c</w:t>
      </w:r>
      <w:r>
        <w:rPr>
          <w:rFonts w:eastAsiaTheme="minorHAnsi"/>
          <w:color w:val="000000"/>
          <w:sz w:val="18"/>
          <w:szCs w:val="18"/>
          <w:lang w:eastAsia="en-US"/>
        </w:rPr>
        <w:t xml:space="preserve"> </w:t>
      </w:r>
      <w:proofErr w:type="spellStart"/>
      <w:r>
        <w:rPr>
          <w:rFonts w:eastAsiaTheme="minorHAnsi"/>
          <w:color w:val="000000"/>
          <w:sz w:val="18"/>
          <w:szCs w:val="18"/>
          <w:lang w:eastAsia="en-US"/>
        </w:rPr>
        <w:t>Vulvovaginitas</w:t>
      </w:r>
      <w:proofErr w:type="spellEnd"/>
      <w:r>
        <w:rPr>
          <w:rFonts w:eastAsiaTheme="minorHAnsi"/>
          <w:color w:val="000000"/>
          <w:sz w:val="18"/>
          <w:szCs w:val="18"/>
          <w:lang w:eastAsia="en-US"/>
        </w:rPr>
        <w:t xml:space="preserve">, balanitas ir susijusios genitalijų infekcijos apima, pvz., šiuos iš anksto numatytus pasirinktinius terminus: </w:t>
      </w:r>
      <w:proofErr w:type="spellStart"/>
      <w:r>
        <w:rPr>
          <w:rFonts w:eastAsiaTheme="minorHAnsi"/>
          <w:color w:val="000000"/>
          <w:sz w:val="18"/>
          <w:szCs w:val="18"/>
          <w:lang w:eastAsia="en-US"/>
        </w:rPr>
        <w:t>vulvovaginalinė</w:t>
      </w:r>
      <w:proofErr w:type="spellEnd"/>
      <w:r>
        <w:rPr>
          <w:rFonts w:eastAsiaTheme="minorHAnsi"/>
          <w:color w:val="000000"/>
          <w:sz w:val="18"/>
          <w:szCs w:val="18"/>
          <w:lang w:eastAsia="en-US"/>
        </w:rPr>
        <w:t xml:space="preserve"> grybelių infekcija, makšties infekcija, balanitas, grybelinė genitalijų infekcija, </w:t>
      </w:r>
      <w:proofErr w:type="spellStart"/>
      <w:r>
        <w:rPr>
          <w:rFonts w:eastAsiaTheme="minorHAnsi"/>
          <w:color w:val="000000"/>
          <w:sz w:val="18"/>
          <w:szCs w:val="18"/>
          <w:lang w:eastAsia="en-US"/>
        </w:rPr>
        <w:t>vulvovaginalinė</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kandidozė</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vulvovaginitas</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kandidozinis</w:t>
      </w:r>
      <w:proofErr w:type="spellEnd"/>
      <w:r>
        <w:rPr>
          <w:rFonts w:eastAsiaTheme="minorHAnsi"/>
          <w:color w:val="000000"/>
          <w:sz w:val="18"/>
          <w:szCs w:val="18"/>
          <w:lang w:eastAsia="en-US"/>
        </w:rPr>
        <w:t xml:space="preserve"> balanitas, genitalijų </w:t>
      </w:r>
      <w:proofErr w:type="spellStart"/>
      <w:r>
        <w:rPr>
          <w:rFonts w:eastAsiaTheme="minorHAnsi"/>
          <w:color w:val="000000"/>
          <w:sz w:val="18"/>
          <w:szCs w:val="18"/>
          <w:lang w:eastAsia="en-US"/>
        </w:rPr>
        <w:t>kandidozė</w:t>
      </w:r>
      <w:proofErr w:type="spellEnd"/>
      <w:r>
        <w:rPr>
          <w:rFonts w:eastAsiaTheme="minorHAnsi"/>
          <w:color w:val="000000"/>
          <w:sz w:val="18"/>
          <w:szCs w:val="18"/>
          <w:lang w:eastAsia="en-US"/>
        </w:rPr>
        <w:t xml:space="preserve">, genitalijų infekcija, vyrų genitalijų infekcijos, varpos infekcija, </w:t>
      </w:r>
      <w:proofErr w:type="spellStart"/>
      <w:r>
        <w:rPr>
          <w:rFonts w:eastAsiaTheme="minorHAnsi"/>
          <w:color w:val="000000"/>
          <w:sz w:val="18"/>
          <w:szCs w:val="18"/>
          <w:lang w:eastAsia="en-US"/>
        </w:rPr>
        <w:t>vulvitas</w:t>
      </w:r>
      <w:proofErr w:type="spellEnd"/>
      <w:r>
        <w:rPr>
          <w:rFonts w:eastAsiaTheme="minorHAnsi"/>
          <w:color w:val="000000"/>
          <w:sz w:val="18"/>
          <w:szCs w:val="18"/>
          <w:lang w:eastAsia="en-US"/>
        </w:rPr>
        <w:t xml:space="preserve">, bakterinis vaginitas, </w:t>
      </w:r>
      <w:proofErr w:type="spellStart"/>
      <w:r>
        <w:rPr>
          <w:rFonts w:eastAsiaTheme="minorHAnsi"/>
          <w:color w:val="000000"/>
          <w:sz w:val="18"/>
          <w:szCs w:val="18"/>
          <w:lang w:eastAsia="en-US"/>
        </w:rPr>
        <w:t>vulvos</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abscesas</w:t>
      </w:r>
      <w:proofErr w:type="spellEnd"/>
      <w:r>
        <w:rPr>
          <w:rFonts w:eastAsiaTheme="minorHAnsi"/>
          <w:color w:val="000000"/>
          <w:sz w:val="18"/>
          <w:szCs w:val="18"/>
          <w:lang w:eastAsia="en-US"/>
        </w:rPr>
        <w:t xml:space="preserve"> (pūlinys). </w:t>
      </w:r>
    </w:p>
    <w:p w14:paraId="704B056E"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d</w:t>
      </w:r>
      <w:r>
        <w:rPr>
          <w:rFonts w:eastAsiaTheme="minorHAnsi"/>
          <w:color w:val="000000"/>
          <w:sz w:val="18"/>
          <w:szCs w:val="18"/>
          <w:lang w:eastAsia="en-US"/>
        </w:rPr>
        <w:t xml:space="preserve"> Šlapimo takų infekcija apima šiuos pirmiausiai pasirenkamus terminus, išvardytus pagal užprotokoluotą dažnį: šlapimo takų infekcija, cistitas, </w:t>
      </w:r>
      <w:proofErr w:type="spellStart"/>
      <w:r>
        <w:rPr>
          <w:rFonts w:eastAsiaTheme="minorHAnsi"/>
          <w:i/>
          <w:iCs/>
          <w:color w:val="000000"/>
          <w:sz w:val="18"/>
          <w:szCs w:val="18"/>
          <w:lang w:eastAsia="en-US"/>
        </w:rPr>
        <w:t>Escherichia</w:t>
      </w:r>
      <w:proofErr w:type="spellEnd"/>
      <w:r>
        <w:rPr>
          <w:rFonts w:eastAsiaTheme="minorHAnsi"/>
          <w:i/>
          <w:iCs/>
          <w:color w:val="000000"/>
          <w:sz w:val="18"/>
          <w:szCs w:val="18"/>
          <w:lang w:eastAsia="en-US"/>
        </w:rPr>
        <w:t xml:space="preserve"> </w:t>
      </w:r>
      <w:r>
        <w:rPr>
          <w:rFonts w:eastAsiaTheme="minorHAnsi"/>
          <w:color w:val="000000"/>
          <w:sz w:val="18"/>
          <w:szCs w:val="18"/>
          <w:lang w:eastAsia="en-US"/>
        </w:rPr>
        <w:t xml:space="preserve">sukelta šlapimo takų infekcija, lytinių ir šlapimo takų infekcija, </w:t>
      </w:r>
      <w:proofErr w:type="spellStart"/>
      <w:r>
        <w:rPr>
          <w:rFonts w:eastAsiaTheme="minorHAnsi"/>
          <w:color w:val="000000"/>
          <w:sz w:val="18"/>
          <w:szCs w:val="18"/>
          <w:lang w:eastAsia="en-US"/>
        </w:rPr>
        <w:t>pielonefritas</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trigonitas</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uretritas</w:t>
      </w:r>
      <w:proofErr w:type="spellEnd"/>
      <w:r>
        <w:rPr>
          <w:rFonts w:eastAsiaTheme="minorHAnsi"/>
          <w:color w:val="000000"/>
          <w:sz w:val="18"/>
          <w:szCs w:val="18"/>
          <w:lang w:eastAsia="en-US"/>
        </w:rPr>
        <w:t xml:space="preserve">, inkstų infekcija ir prostatitas. </w:t>
      </w:r>
    </w:p>
    <w:p w14:paraId="091C4167"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e</w:t>
      </w:r>
      <w:r>
        <w:rPr>
          <w:rFonts w:eastAsiaTheme="minorHAnsi"/>
          <w:color w:val="000000"/>
          <w:sz w:val="18"/>
          <w:szCs w:val="18"/>
          <w:lang w:eastAsia="en-US"/>
        </w:rPr>
        <w:t xml:space="preserve"> Kraujo tūrio sumažėjimas apima, pvz., šiuos iš anksto numatytus pasirinktinius terminus: dehidratacija, </w:t>
      </w:r>
      <w:proofErr w:type="spellStart"/>
      <w:r>
        <w:rPr>
          <w:rFonts w:eastAsiaTheme="minorHAnsi"/>
          <w:color w:val="000000"/>
          <w:sz w:val="18"/>
          <w:szCs w:val="18"/>
          <w:lang w:eastAsia="en-US"/>
        </w:rPr>
        <w:t>hipovolemija</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hipotenzija</w:t>
      </w:r>
      <w:proofErr w:type="spellEnd"/>
      <w:r>
        <w:rPr>
          <w:rFonts w:eastAsiaTheme="minorHAnsi"/>
          <w:color w:val="000000"/>
          <w:sz w:val="18"/>
          <w:szCs w:val="18"/>
          <w:lang w:eastAsia="en-US"/>
        </w:rPr>
        <w:t xml:space="preserve">. </w:t>
      </w:r>
    </w:p>
    <w:p w14:paraId="1C05CA63"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f</w:t>
      </w:r>
      <w:r>
        <w:rPr>
          <w:rFonts w:eastAsiaTheme="minorHAnsi"/>
          <w:color w:val="000000"/>
          <w:sz w:val="18"/>
          <w:szCs w:val="18"/>
          <w:lang w:eastAsia="en-US"/>
        </w:rPr>
        <w:t xml:space="preserve"> </w:t>
      </w:r>
      <w:proofErr w:type="spellStart"/>
      <w:r>
        <w:rPr>
          <w:rFonts w:eastAsiaTheme="minorHAnsi"/>
          <w:color w:val="000000"/>
          <w:sz w:val="18"/>
          <w:szCs w:val="18"/>
          <w:lang w:eastAsia="en-US"/>
        </w:rPr>
        <w:t>Poliurija</w:t>
      </w:r>
      <w:proofErr w:type="spellEnd"/>
      <w:r>
        <w:rPr>
          <w:rFonts w:eastAsiaTheme="minorHAnsi"/>
          <w:color w:val="000000"/>
          <w:sz w:val="18"/>
          <w:szCs w:val="18"/>
          <w:lang w:eastAsia="en-US"/>
        </w:rPr>
        <w:t xml:space="preserve"> apima šiuos pirmiausiai pasirenkamus terminus: </w:t>
      </w:r>
      <w:proofErr w:type="spellStart"/>
      <w:r>
        <w:rPr>
          <w:rFonts w:eastAsiaTheme="minorHAnsi"/>
          <w:color w:val="000000"/>
          <w:sz w:val="18"/>
          <w:szCs w:val="18"/>
          <w:lang w:eastAsia="en-US"/>
        </w:rPr>
        <w:t>polakiurija</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poliurija</w:t>
      </w:r>
      <w:proofErr w:type="spellEnd"/>
      <w:r>
        <w:rPr>
          <w:rFonts w:eastAsiaTheme="minorHAnsi"/>
          <w:color w:val="000000"/>
          <w:sz w:val="18"/>
          <w:szCs w:val="18"/>
          <w:lang w:eastAsia="en-US"/>
        </w:rPr>
        <w:t xml:space="preserve">, padidėjęs šlapimo išsiskyrimas. </w:t>
      </w:r>
    </w:p>
    <w:p w14:paraId="2531F3C2"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g</w:t>
      </w:r>
      <w:r>
        <w:rPr>
          <w:rFonts w:eastAsiaTheme="minorHAnsi"/>
          <w:color w:val="000000"/>
          <w:sz w:val="18"/>
          <w:szCs w:val="18"/>
          <w:lang w:eastAsia="en-US"/>
        </w:rPr>
        <w:t xml:space="preserve"> Vidutinis </w:t>
      </w:r>
      <w:proofErr w:type="spellStart"/>
      <w:r>
        <w:rPr>
          <w:rFonts w:eastAsiaTheme="minorHAnsi"/>
          <w:color w:val="000000"/>
          <w:sz w:val="18"/>
          <w:szCs w:val="18"/>
          <w:lang w:eastAsia="en-US"/>
        </w:rPr>
        <w:t>hematokrito</w:t>
      </w:r>
      <w:proofErr w:type="spellEnd"/>
      <w:r>
        <w:rPr>
          <w:rFonts w:eastAsiaTheme="minorHAnsi"/>
          <w:color w:val="000000"/>
          <w:sz w:val="18"/>
          <w:szCs w:val="18"/>
          <w:lang w:eastAsia="en-US"/>
        </w:rPr>
        <w:t xml:space="preserve"> pokytis, palyginus su buvusiu iki tyrimo, vartojus 10 mg dapagliflozino buvo 2,30 %, vartojus placebo – minus0,33 %. </w:t>
      </w:r>
      <w:proofErr w:type="spellStart"/>
      <w:r>
        <w:rPr>
          <w:rFonts w:eastAsiaTheme="minorHAnsi"/>
          <w:color w:val="000000"/>
          <w:sz w:val="18"/>
          <w:szCs w:val="18"/>
          <w:lang w:eastAsia="en-US"/>
        </w:rPr>
        <w:t>Hematokrito</w:t>
      </w:r>
      <w:proofErr w:type="spellEnd"/>
      <w:r>
        <w:rPr>
          <w:rFonts w:eastAsiaTheme="minorHAnsi"/>
          <w:color w:val="000000"/>
          <w:sz w:val="18"/>
          <w:szCs w:val="18"/>
          <w:lang w:eastAsia="en-US"/>
        </w:rPr>
        <w:t xml:space="preserve"> rodiklis &gt; 55 % nustatytas 1,3 % 10 mg dapagliflozino ir 0,4 % placebo vartojusių žmonių.</w:t>
      </w:r>
    </w:p>
    <w:p w14:paraId="0861315F"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h</w:t>
      </w:r>
      <w:r>
        <w:rPr>
          <w:rFonts w:eastAsiaTheme="minorHAnsi"/>
          <w:color w:val="000000"/>
          <w:sz w:val="18"/>
          <w:szCs w:val="18"/>
          <w:lang w:eastAsia="en-US"/>
        </w:rPr>
        <w:t xml:space="preserve"> Virškinimo sutrikimų (pvz., pykinimas, vėmimas, viduriavimas, pilvo skausmas ir apetito stoka) dažniausiai pasireiškia pradedant gydymą. Dauguma atvejų jie praeina savaime.</w:t>
      </w:r>
    </w:p>
    <w:p w14:paraId="13AFBF77"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i</w:t>
      </w:r>
      <w:r>
        <w:rPr>
          <w:rFonts w:eastAsiaTheme="minorHAnsi"/>
          <w:color w:val="000000"/>
          <w:sz w:val="18"/>
          <w:szCs w:val="18"/>
          <w:lang w:eastAsia="en-US"/>
        </w:rPr>
        <w:t xml:space="preserve"> Vidutiniai pokyčiai procentais, palyginus su pradiniais rodikliais, vartojus 10 mg dapagliflozino ir placebo, buvo: bendrojo cholesterolio – atitinkamai 2,5 % ir 0,0 %, DTL cholesterolio 6,0 % ir 2,7 %, MTL cholesterolio 2,9 % ir -1,0 %, trigliceridų -2,7 % ir -0,7 %.</w:t>
      </w:r>
    </w:p>
    <w:p w14:paraId="5850E350"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j</w:t>
      </w:r>
      <w:r>
        <w:rPr>
          <w:rFonts w:eastAsiaTheme="minorHAnsi"/>
          <w:color w:val="000000"/>
          <w:sz w:val="18"/>
          <w:szCs w:val="18"/>
          <w:lang w:eastAsia="en-US"/>
        </w:rPr>
        <w:t xml:space="preserve"> Žr. 4.4 skyrių.</w:t>
      </w:r>
    </w:p>
    <w:p w14:paraId="322D5EE9"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k</w:t>
      </w:r>
      <w:r>
        <w:rPr>
          <w:rFonts w:eastAsiaTheme="minorHAnsi"/>
          <w:color w:val="000000"/>
          <w:sz w:val="18"/>
          <w:szCs w:val="18"/>
          <w:lang w:eastAsia="en-US"/>
        </w:rPr>
        <w:t xml:space="preserve"> Pranešta apie poveikį kardiovaskulinėms komplikacijoms 2 tipo diabetu sergantiems pacientams tyrimo (DECLARE) metu. Nurodytas dažnis per metus.</w:t>
      </w:r>
    </w:p>
    <w:p w14:paraId="119EEB3C" w14:textId="77777777" w:rsidR="00023BBF" w:rsidRDefault="00E17C37">
      <w:pPr>
        <w:rPr>
          <w:rFonts w:eastAsiaTheme="minorHAnsi"/>
          <w:color w:val="000000"/>
          <w:sz w:val="18"/>
          <w:szCs w:val="18"/>
          <w:lang w:eastAsia="en-US"/>
        </w:rPr>
      </w:pPr>
      <w:r>
        <w:rPr>
          <w:rFonts w:eastAsiaTheme="minorHAnsi"/>
          <w:color w:val="000000"/>
          <w:sz w:val="18"/>
          <w:szCs w:val="18"/>
          <w:vertAlign w:val="superscript"/>
          <w:lang w:eastAsia="en-US"/>
        </w:rPr>
        <w:t>l</w:t>
      </w:r>
      <w:r>
        <w:rPr>
          <w:rFonts w:eastAsiaTheme="minorHAnsi"/>
          <w:color w:val="000000"/>
          <w:sz w:val="18"/>
          <w:szCs w:val="18"/>
          <w:lang w:eastAsia="en-US"/>
        </w:rPr>
        <w:t xml:space="preserve"> Ši nepageidaujama reakcija identifikuota stebint į rinką pateikto dapagliflozino veikimą. Bėrimo sąvoka apima šiuos pasirinktinius terminus, išvardytus pagal dažnį klinikinių tyrimų metu: bėrimas, išplitęs bėrimas, niežtintis bėrimas, </w:t>
      </w:r>
      <w:proofErr w:type="spellStart"/>
      <w:r>
        <w:rPr>
          <w:rFonts w:eastAsiaTheme="minorHAnsi"/>
          <w:color w:val="000000"/>
          <w:sz w:val="18"/>
          <w:szCs w:val="18"/>
          <w:lang w:eastAsia="en-US"/>
        </w:rPr>
        <w:t>makulinis</w:t>
      </w:r>
      <w:proofErr w:type="spellEnd"/>
      <w:r>
        <w:rPr>
          <w:rFonts w:eastAsiaTheme="minorHAnsi"/>
          <w:color w:val="000000"/>
          <w:sz w:val="18"/>
          <w:szCs w:val="18"/>
          <w:lang w:eastAsia="en-US"/>
        </w:rPr>
        <w:t xml:space="preserve"> bėrimas, </w:t>
      </w:r>
      <w:proofErr w:type="spellStart"/>
      <w:r>
        <w:rPr>
          <w:rFonts w:eastAsiaTheme="minorHAnsi"/>
          <w:color w:val="000000"/>
          <w:sz w:val="18"/>
          <w:szCs w:val="18"/>
          <w:lang w:eastAsia="en-US"/>
        </w:rPr>
        <w:t>makulopapulinis</w:t>
      </w:r>
      <w:proofErr w:type="spellEnd"/>
      <w:r>
        <w:rPr>
          <w:rFonts w:eastAsiaTheme="minorHAnsi"/>
          <w:color w:val="000000"/>
          <w:sz w:val="18"/>
          <w:szCs w:val="18"/>
          <w:lang w:eastAsia="en-US"/>
        </w:rPr>
        <w:t xml:space="preserve"> bėrimas, </w:t>
      </w:r>
      <w:proofErr w:type="spellStart"/>
      <w:r>
        <w:rPr>
          <w:rFonts w:eastAsiaTheme="minorHAnsi"/>
          <w:color w:val="000000"/>
          <w:sz w:val="18"/>
          <w:szCs w:val="18"/>
          <w:lang w:eastAsia="en-US"/>
        </w:rPr>
        <w:t>pustulinis</w:t>
      </w:r>
      <w:proofErr w:type="spellEnd"/>
      <w:r>
        <w:rPr>
          <w:rFonts w:eastAsiaTheme="minorHAnsi"/>
          <w:color w:val="000000"/>
          <w:sz w:val="18"/>
          <w:szCs w:val="18"/>
          <w:lang w:eastAsia="en-US"/>
        </w:rPr>
        <w:t xml:space="preserve"> bėrimas, pūslelinis bėrimas ir </w:t>
      </w:r>
      <w:proofErr w:type="spellStart"/>
      <w:r>
        <w:rPr>
          <w:rFonts w:eastAsiaTheme="minorHAnsi"/>
          <w:color w:val="000000"/>
          <w:sz w:val="18"/>
          <w:szCs w:val="18"/>
          <w:lang w:eastAsia="en-US"/>
        </w:rPr>
        <w:t>eriteminis</w:t>
      </w:r>
      <w:proofErr w:type="spellEnd"/>
      <w:r>
        <w:rPr>
          <w:rFonts w:eastAsiaTheme="minorHAnsi"/>
          <w:color w:val="000000"/>
          <w:sz w:val="18"/>
          <w:szCs w:val="18"/>
          <w:lang w:eastAsia="en-US"/>
        </w:rPr>
        <w:t xml:space="preserve"> bėrimas. Aktyviai ir placebu kontroliuojamų klinikinių tyrimų metu (dapagliflozinas: N = 5 936, visi kontroliniai vaistiniai preparatai – N = 3 403) bėrimo atsiradimo dažnis vartojant dapagliflozino ir visų kontrolinių vaistinių preparatų buvo panašus (po 1,4 %).</w:t>
      </w:r>
    </w:p>
    <w:p w14:paraId="18B3276E"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w:t>
      </w:r>
      <w:r>
        <w:rPr>
          <w:rFonts w:eastAsiaTheme="minorHAnsi"/>
          <w:color w:val="000000"/>
          <w:sz w:val="18"/>
          <w:szCs w:val="18"/>
          <w:lang w:eastAsia="en-US"/>
        </w:rPr>
        <w:t xml:space="preserve"> Pasireiškė ≥ 2 % žmonių ir ≥ 1 % (bent 3 žmonėmis) daugiau vartojant 10 mg dapagliflozino, negu vartojant placebo.</w:t>
      </w:r>
    </w:p>
    <w:p w14:paraId="2BFC5724"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w:t>
      </w:r>
      <w:r>
        <w:rPr>
          <w:rFonts w:eastAsiaTheme="minorHAnsi"/>
          <w:color w:val="000000"/>
          <w:sz w:val="18"/>
          <w:szCs w:val="18"/>
          <w:lang w:eastAsia="en-US"/>
        </w:rPr>
        <w:t xml:space="preserve"> Tyrėjo nuomone, galimai susiję, tikriausiai susiję arba susiję su tiriamuoju vaistiniu preparatu. Pasireiškė ≥ 0,2 % žmonių ir ≥ 0,1 % (bent 3 žmonėmis) daugiau vartojant 10 mg dapagliflozino, negu vartojant placebo. </w:t>
      </w:r>
    </w:p>
    <w:p w14:paraId="0AA7D20E" w14:textId="77777777" w:rsidR="00023BBF" w:rsidRDefault="00E17C37">
      <w:pPr>
        <w:rPr>
          <w:sz w:val="18"/>
          <w:szCs w:val="18"/>
        </w:rPr>
      </w:pPr>
      <w:r>
        <w:rPr>
          <w:rFonts w:eastAsiaTheme="minorHAnsi"/>
          <w:color w:val="000000"/>
          <w:sz w:val="18"/>
          <w:szCs w:val="18"/>
          <w:vertAlign w:val="superscript"/>
          <w:lang w:eastAsia="en-US"/>
        </w:rPr>
        <w:t>§</w:t>
      </w:r>
      <w:r>
        <w:rPr>
          <w:rFonts w:eastAsiaTheme="minorHAnsi"/>
          <w:color w:val="000000"/>
          <w:sz w:val="18"/>
          <w:szCs w:val="18"/>
          <w:lang w:eastAsia="en-US"/>
        </w:rPr>
        <w:t xml:space="preserve"> Duomenys apie nepageidaujamas reakcijas į </w:t>
      </w:r>
      <w:proofErr w:type="spellStart"/>
      <w:r>
        <w:rPr>
          <w:rFonts w:eastAsiaTheme="minorHAnsi"/>
          <w:color w:val="000000"/>
          <w:sz w:val="18"/>
          <w:szCs w:val="18"/>
          <w:lang w:eastAsia="en-US"/>
        </w:rPr>
        <w:t>metforminą</w:t>
      </w:r>
      <w:proofErr w:type="spellEnd"/>
      <w:r>
        <w:rPr>
          <w:rFonts w:eastAsiaTheme="minorHAnsi"/>
          <w:color w:val="000000"/>
          <w:sz w:val="18"/>
          <w:szCs w:val="18"/>
          <w:lang w:eastAsia="en-US"/>
        </w:rPr>
        <w:t xml:space="preserve"> ir jų dažnio kategorijas yra pagrįsti informacija, esančia Europos Sąjungos </w:t>
      </w:r>
      <w:proofErr w:type="spellStart"/>
      <w:r>
        <w:rPr>
          <w:rFonts w:eastAsiaTheme="minorHAnsi"/>
          <w:color w:val="000000"/>
          <w:sz w:val="18"/>
          <w:szCs w:val="18"/>
          <w:lang w:eastAsia="en-US"/>
        </w:rPr>
        <w:t>metformino</w:t>
      </w:r>
      <w:proofErr w:type="spellEnd"/>
      <w:r>
        <w:rPr>
          <w:rFonts w:eastAsiaTheme="minorHAnsi"/>
          <w:color w:val="000000"/>
          <w:sz w:val="18"/>
          <w:szCs w:val="18"/>
          <w:lang w:eastAsia="en-US"/>
        </w:rPr>
        <w:t xml:space="preserve"> preparato charakteristikų santraukoje.</w:t>
      </w:r>
    </w:p>
    <w:p w14:paraId="63320B9F" w14:textId="77777777" w:rsidR="00023BBF" w:rsidRDefault="00023BBF">
      <w:pPr>
        <w:rPr>
          <w:sz w:val="22"/>
          <w:szCs w:val="22"/>
        </w:rPr>
      </w:pPr>
    </w:p>
    <w:p w14:paraId="11F4B6DE" w14:textId="77777777" w:rsidR="00023BBF" w:rsidRDefault="00E17C37">
      <w:pPr>
        <w:rPr>
          <w:sz w:val="22"/>
          <w:szCs w:val="22"/>
          <w:u w:val="single"/>
        </w:rPr>
      </w:pPr>
      <w:r>
        <w:rPr>
          <w:sz w:val="22"/>
          <w:szCs w:val="22"/>
          <w:u w:val="single"/>
        </w:rPr>
        <w:t>Atrinktų nepageidaujamų reakcijų apibūdinimas</w:t>
      </w:r>
    </w:p>
    <w:p w14:paraId="74182FE6" w14:textId="77777777" w:rsidR="00023BBF" w:rsidRDefault="00E17C37">
      <w:pPr>
        <w:rPr>
          <w:i/>
          <w:iCs/>
          <w:sz w:val="22"/>
          <w:szCs w:val="22"/>
          <w:u w:val="single"/>
        </w:rPr>
      </w:pPr>
      <w:r>
        <w:rPr>
          <w:i/>
          <w:iCs/>
          <w:sz w:val="22"/>
          <w:szCs w:val="22"/>
          <w:u w:val="single"/>
        </w:rPr>
        <w:t xml:space="preserve">Dapagliflozino ir </w:t>
      </w:r>
      <w:proofErr w:type="spellStart"/>
      <w:r>
        <w:rPr>
          <w:i/>
          <w:iCs/>
          <w:sz w:val="22"/>
          <w:szCs w:val="22"/>
          <w:u w:val="single"/>
        </w:rPr>
        <w:t>metformino</w:t>
      </w:r>
      <w:proofErr w:type="spellEnd"/>
      <w:r>
        <w:rPr>
          <w:i/>
          <w:iCs/>
          <w:sz w:val="22"/>
          <w:szCs w:val="22"/>
          <w:u w:val="single"/>
        </w:rPr>
        <w:t xml:space="preserve"> derinys</w:t>
      </w:r>
    </w:p>
    <w:p w14:paraId="5EF26ECF" w14:textId="77777777" w:rsidR="00023BBF" w:rsidRDefault="00E17C37">
      <w:pPr>
        <w:rPr>
          <w:i/>
          <w:iCs/>
          <w:sz w:val="22"/>
          <w:szCs w:val="22"/>
        </w:rPr>
      </w:pPr>
      <w:r>
        <w:rPr>
          <w:i/>
          <w:iCs/>
          <w:sz w:val="22"/>
          <w:szCs w:val="22"/>
        </w:rPr>
        <w:t>Hipoglikemija</w:t>
      </w:r>
    </w:p>
    <w:p w14:paraId="1591D68A" w14:textId="77777777" w:rsidR="00023BBF" w:rsidRDefault="00E17C37">
      <w:pPr>
        <w:rPr>
          <w:sz w:val="22"/>
          <w:szCs w:val="22"/>
        </w:rPr>
      </w:pPr>
      <w:r>
        <w:rPr>
          <w:sz w:val="22"/>
          <w:szCs w:val="22"/>
        </w:rPr>
        <w:t xml:space="preserve">Dapagliflozino vartojimo papildomam kombinuotam gydymui kartu su </w:t>
      </w:r>
      <w:proofErr w:type="spellStart"/>
      <w:r>
        <w:rPr>
          <w:sz w:val="22"/>
          <w:szCs w:val="22"/>
        </w:rPr>
        <w:t>metforminu</w:t>
      </w:r>
      <w:proofErr w:type="spellEnd"/>
      <w:r>
        <w:rPr>
          <w:sz w:val="22"/>
          <w:szCs w:val="22"/>
        </w:rPr>
        <w:t xml:space="preserve"> tyrimų metu lengvos hipoglikemijos epizodų dažnis 10 mg dapagliflozino ir </w:t>
      </w:r>
      <w:proofErr w:type="spellStart"/>
      <w:r>
        <w:rPr>
          <w:sz w:val="22"/>
          <w:szCs w:val="22"/>
        </w:rPr>
        <w:t>metformino</w:t>
      </w:r>
      <w:proofErr w:type="spellEnd"/>
      <w:r>
        <w:rPr>
          <w:sz w:val="22"/>
          <w:szCs w:val="22"/>
        </w:rPr>
        <w:t xml:space="preserve"> derinio grupės pacientams (6,9 %) buvo panašus kaip placebo ir </w:t>
      </w:r>
      <w:proofErr w:type="spellStart"/>
      <w:r>
        <w:rPr>
          <w:sz w:val="22"/>
          <w:szCs w:val="22"/>
        </w:rPr>
        <w:t>metformino</w:t>
      </w:r>
      <w:proofErr w:type="spellEnd"/>
      <w:r>
        <w:rPr>
          <w:sz w:val="22"/>
          <w:szCs w:val="22"/>
        </w:rPr>
        <w:t xml:space="preserve"> derinio (5,5 %). Stipriai išreikštos hipoglikemijos epizodų neužfiksuota. Dapagliflozino ir </w:t>
      </w:r>
      <w:proofErr w:type="spellStart"/>
      <w:r>
        <w:rPr>
          <w:sz w:val="22"/>
          <w:szCs w:val="22"/>
        </w:rPr>
        <w:t>metformino</w:t>
      </w:r>
      <w:proofErr w:type="spellEnd"/>
      <w:r>
        <w:rPr>
          <w:sz w:val="22"/>
          <w:szCs w:val="22"/>
        </w:rPr>
        <w:t xml:space="preserve"> derinio vartojant anksčiau negydytiems pacientams, gauti panašūs duomenys.</w:t>
      </w:r>
    </w:p>
    <w:p w14:paraId="16E02FB9" w14:textId="77777777" w:rsidR="00023BBF" w:rsidRDefault="00023BBF">
      <w:pPr>
        <w:rPr>
          <w:sz w:val="22"/>
          <w:szCs w:val="22"/>
        </w:rPr>
      </w:pPr>
    </w:p>
    <w:p w14:paraId="3193798A" w14:textId="77777777" w:rsidR="00023BBF" w:rsidRDefault="00E17C37">
      <w:pPr>
        <w:rPr>
          <w:sz w:val="22"/>
          <w:szCs w:val="22"/>
        </w:rPr>
      </w:pPr>
      <w:r>
        <w:rPr>
          <w:sz w:val="22"/>
          <w:szCs w:val="22"/>
        </w:rPr>
        <w:t xml:space="preserve">Dapagliflozino vartojimo papildomam kombinuotam gydymui kartu su </w:t>
      </w:r>
      <w:proofErr w:type="spellStart"/>
      <w:r>
        <w:rPr>
          <w:sz w:val="22"/>
          <w:szCs w:val="22"/>
        </w:rPr>
        <w:t>metforminu</w:t>
      </w:r>
      <w:proofErr w:type="spellEnd"/>
      <w:r>
        <w:rPr>
          <w:sz w:val="22"/>
          <w:szCs w:val="22"/>
        </w:rPr>
        <w:t xml:space="preserve"> ir </w:t>
      </w:r>
      <w:proofErr w:type="spellStart"/>
      <w:r>
        <w:rPr>
          <w:sz w:val="22"/>
          <w:szCs w:val="22"/>
        </w:rPr>
        <w:t>sulfonilkarbamidu</w:t>
      </w:r>
      <w:proofErr w:type="spellEnd"/>
      <w:r>
        <w:rPr>
          <w:sz w:val="22"/>
          <w:szCs w:val="22"/>
        </w:rPr>
        <w:t xml:space="preserve"> tyrimo metu per iki 24 savaičių laikotarpį lengvos hipoglikemijos epizodų pasireiškė 12,8 % pacientų, vartojusių 10 mg dapagliflozino kartu su </w:t>
      </w:r>
      <w:proofErr w:type="spellStart"/>
      <w:r>
        <w:rPr>
          <w:sz w:val="22"/>
          <w:szCs w:val="22"/>
        </w:rPr>
        <w:t>metforminu</w:t>
      </w:r>
      <w:proofErr w:type="spellEnd"/>
      <w:r>
        <w:rPr>
          <w:sz w:val="22"/>
          <w:szCs w:val="22"/>
        </w:rPr>
        <w:t xml:space="preserve"> ir </w:t>
      </w:r>
      <w:proofErr w:type="spellStart"/>
      <w:r>
        <w:rPr>
          <w:sz w:val="22"/>
          <w:szCs w:val="22"/>
        </w:rPr>
        <w:t>sulfonilkarbamido</w:t>
      </w:r>
      <w:proofErr w:type="spellEnd"/>
      <w:r>
        <w:rPr>
          <w:sz w:val="22"/>
          <w:szCs w:val="22"/>
        </w:rPr>
        <w:t xml:space="preserve"> dariniu, bei 3,7 % vartojusių placebo su </w:t>
      </w:r>
      <w:proofErr w:type="spellStart"/>
      <w:r>
        <w:rPr>
          <w:sz w:val="22"/>
          <w:szCs w:val="22"/>
        </w:rPr>
        <w:t>metforminu</w:t>
      </w:r>
      <w:proofErr w:type="spellEnd"/>
      <w:r>
        <w:rPr>
          <w:sz w:val="22"/>
          <w:szCs w:val="22"/>
        </w:rPr>
        <w:t xml:space="preserve"> ir </w:t>
      </w:r>
      <w:proofErr w:type="spellStart"/>
      <w:r>
        <w:rPr>
          <w:sz w:val="22"/>
          <w:szCs w:val="22"/>
        </w:rPr>
        <w:t>sulfonilkarbamido</w:t>
      </w:r>
      <w:proofErr w:type="spellEnd"/>
      <w:r>
        <w:rPr>
          <w:sz w:val="22"/>
          <w:szCs w:val="22"/>
        </w:rPr>
        <w:t xml:space="preserve"> dariniu. Stipriai išreikštos hipoglikemijos epizodų neužfiksuota.</w:t>
      </w:r>
    </w:p>
    <w:p w14:paraId="01AA78DB" w14:textId="77777777" w:rsidR="00023BBF" w:rsidRDefault="00023BBF">
      <w:pPr>
        <w:rPr>
          <w:sz w:val="22"/>
          <w:szCs w:val="22"/>
        </w:rPr>
      </w:pPr>
    </w:p>
    <w:p w14:paraId="03EB153F" w14:textId="77777777" w:rsidR="00023BBF" w:rsidRDefault="00E17C37">
      <w:pPr>
        <w:rPr>
          <w:sz w:val="22"/>
          <w:szCs w:val="22"/>
          <w:u w:val="single"/>
        </w:rPr>
      </w:pPr>
      <w:r>
        <w:rPr>
          <w:sz w:val="22"/>
          <w:szCs w:val="22"/>
          <w:u w:val="single"/>
        </w:rPr>
        <w:lastRenderedPageBreak/>
        <w:t>Dapagliflozinas</w:t>
      </w:r>
    </w:p>
    <w:p w14:paraId="6C9AC164" w14:textId="77777777" w:rsidR="00023BBF" w:rsidRDefault="00E17C37">
      <w:pPr>
        <w:rPr>
          <w:i/>
          <w:iCs/>
          <w:sz w:val="22"/>
          <w:szCs w:val="22"/>
        </w:rPr>
      </w:pPr>
      <w:proofErr w:type="spellStart"/>
      <w:r>
        <w:rPr>
          <w:i/>
          <w:iCs/>
          <w:sz w:val="22"/>
          <w:szCs w:val="22"/>
        </w:rPr>
        <w:t>Vulvovaginitas</w:t>
      </w:r>
      <w:proofErr w:type="spellEnd"/>
      <w:r>
        <w:rPr>
          <w:i/>
          <w:iCs/>
          <w:sz w:val="22"/>
          <w:szCs w:val="22"/>
        </w:rPr>
        <w:t>, balanitas ir susijusios genitalijų infekcijos</w:t>
      </w:r>
    </w:p>
    <w:p w14:paraId="07FA104F" w14:textId="77777777" w:rsidR="00023BBF" w:rsidRDefault="00E17C37">
      <w:pPr>
        <w:rPr>
          <w:sz w:val="22"/>
          <w:szCs w:val="22"/>
        </w:rPr>
      </w:pPr>
      <w:r>
        <w:rPr>
          <w:sz w:val="22"/>
          <w:szCs w:val="22"/>
        </w:rPr>
        <w:t xml:space="preserve">Apibendrinus 13 tyrimų saugumo populiaciją nustatyta, kad </w:t>
      </w:r>
      <w:proofErr w:type="spellStart"/>
      <w:r>
        <w:rPr>
          <w:sz w:val="22"/>
          <w:szCs w:val="22"/>
        </w:rPr>
        <w:t>vulvovaginitas</w:t>
      </w:r>
      <w:proofErr w:type="spellEnd"/>
      <w:r>
        <w:rPr>
          <w:sz w:val="22"/>
          <w:szCs w:val="22"/>
        </w:rPr>
        <w:t>, balanitas ir susijusios genitalijų infekcijos pasireiškė 5,5 % 10 mg dapagliflozino ir 0,6 % placebo vartojusiems asmenims. Dauguma šių infekcijų buvo lengvo ar vidutinio sunkumo, jas patyrusiems asmenims buvo veiksmingas pradinis įprastinio gydymo kursas, dapagliflozino vartojimą dėl jų tekdavo nutraukti retai. Tokių infekcijų dažniau pasireiškė moterims (8,4 % vartojant dapagliflozino ir 1,2 % vartojant placebo), o tiriamiesiems, kuriems anksčiau buvo pasireiškusios infekcijos, buvo didesnė infekcijos pasikartojimo tikimybė.</w:t>
      </w:r>
    </w:p>
    <w:p w14:paraId="1F505C20" w14:textId="77777777" w:rsidR="00023BBF" w:rsidRDefault="00023BBF">
      <w:pPr>
        <w:rPr>
          <w:sz w:val="22"/>
          <w:szCs w:val="22"/>
        </w:rPr>
      </w:pPr>
    </w:p>
    <w:p w14:paraId="68EAFEA8" w14:textId="77777777" w:rsidR="00023BBF" w:rsidRDefault="00E17C37">
      <w:pPr>
        <w:rPr>
          <w:sz w:val="22"/>
          <w:szCs w:val="22"/>
        </w:rPr>
      </w:pPr>
      <w:r>
        <w:rPr>
          <w:sz w:val="22"/>
          <w:szCs w:val="22"/>
        </w:rPr>
        <w:t>DECLARE tyrimo metu genitalijų infekcijų kaip sunkių nepageidaujamų reiškinių užfiksuota nedaugeliui pacientų. Jų skaičius dapagliflozino ir placebo grupėse nesiskyrė (buvo po 2).</w:t>
      </w:r>
    </w:p>
    <w:p w14:paraId="1A38545E" w14:textId="77777777" w:rsidR="00023BBF" w:rsidRDefault="00023BBF">
      <w:pPr>
        <w:rPr>
          <w:sz w:val="22"/>
          <w:szCs w:val="22"/>
        </w:rPr>
      </w:pPr>
    </w:p>
    <w:p w14:paraId="7E094BBF" w14:textId="77777777" w:rsidR="00023BBF" w:rsidRDefault="00E17C37">
      <w:pPr>
        <w:rPr>
          <w:sz w:val="22"/>
          <w:szCs w:val="22"/>
        </w:rPr>
      </w:pPr>
      <w:r>
        <w:rPr>
          <w:sz w:val="22"/>
          <w:szCs w:val="22"/>
        </w:rPr>
        <w:t xml:space="preserve">Vartojant dapagliflozino, gauta pranešimų apie kartu su genitalijų infekcijomis nustatytus </w:t>
      </w:r>
      <w:proofErr w:type="spellStart"/>
      <w:r>
        <w:rPr>
          <w:sz w:val="22"/>
          <w:szCs w:val="22"/>
        </w:rPr>
        <w:t>fimozės</w:t>
      </w:r>
      <w:proofErr w:type="spellEnd"/>
      <w:r>
        <w:rPr>
          <w:sz w:val="22"/>
          <w:szCs w:val="22"/>
        </w:rPr>
        <w:t xml:space="preserve"> ir (arba) įgytos </w:t>
      </w:r>
      <w:proofErr w:type="spellStart"/>
      <w:r>
        <w:rPr>
          <w:sz w:val="22"/>
          <w:szCs w:val="22"/>
        </w:rPr>
        <w:t>fimozės</w:t>
      </w:r>
      <w:proofErr w:type="spellEnd"/>
      <w:r>
        <w:rPr>
          <w:sz w:val="22"/>
          <w:szCs w:val="22"/>
        </w:rPr>
        <w:t xml:space="preserve"> atvejus; kai kuriais atvejais buvo reikalingas apipjaustymas.</w:t>
      </w:r>
    </w:p>
    <w:p w14:paraId="45ABE808" w14:textId="77777777" w:rsidR="00023BBF" w:rsidRDefault="00023BBF">
      <w:pPr>
        <w:rPr>
          <w:sz w:val="22"/>
          <w:szCs w:val="22"/>
        </w:rPr>
      </w:pPr>
    </w:p>
    <w:p w14:paraId="6EF1484E" w14:textId="77777777" w:rsidR="00023BBF" w:rsidRDefault="00E17C37">
      <w:pPr>
        <w:rPr>
          <w:i/>
          <w:iCs/>
          <w:sz w:val="22"/>
          <w:szCs w:val="22"/>
        </w:rPr>
      </w:pPr>
      <w:proofErr w:type="spellStart"/>
      <w:r>
        <w:rPr>
          <w:i/>
          <w:iCs/>
          <w:sz w:val="22"/>
          <w:szCs w:val="22"/>
        </w:rPr>
        <w:t>Tarpvietės</w:t>
      </w:r>
      <w:proofErr w:type="spellEnd"/>
      <w:r>
        <w:rPr>
          <w:i/>
          <w:iCs/>
          <w:sz w:val="22"/>
          <w:szCs w:val="22"/>
        </w:rPr>
        <w:t xml:space="preserve"> </w:t>
      </w:r>
      <w:proofErr w:type="spellStart"/>
      <w:r>
        <w:rPr>
          <w:i/>
          <w:iCs/>
          <w:sz w:val="22"/>
          <w:szCs w:val="22"/>
        </w:rPr>
        <w:t>nekrozuojantis</w:t>
      </w:r>
      <w:proofErr w:type="spellEnd"/>
      <w:r>
        <w:rPr>
          <w:i/>
          <w:iCs/>
          <w:sz w:val="22"/>
          <w:szCs w:val="22"/>
        </w:rPr>
        <w:t xml:space="preserve"> </w:t>
      </w:r>
      <w:proofErr w:type="spellStart"/>
      <w:r>
        <w:rPr>
          <w:i/>
          <w:iCs/>
          <w:sz w:val="22"/>
          <w:szCs w:val="22"/>
        </w:rPr>
        <w:t>fascitas</w:t>
      </w:r>
      <w:proofErr w:type="spellEnd"/>
      <w:r>
        <w:rPr>
          <w:i/>
          <w:iCs/>
          <w:sz w:val="22"/>
          <w:szCs w:val="22"/>
        </w:rPr>
        <w:t xml:space="preserve"> (</w:t>
      </w:r>
      <w:proofErr w:type="spellStart"/>
      <w:r>
        <w:rPr>
          <w:i/>
          <w:iCs/>
          <w:sz w:val="22"/>
          <w:szCs w:val="22"/>
        </w:rPr>
        <w:t>Fournier</w:t>
      </w:r>
      <w:proofErr w:type="spellEnd"/>
      <w:r>
        <w:rPr>
          <w:i/>
          <w:iCs/>
          <w:sz w:val="22"/>
          <w:szCs w:val="22"/>
        </w:rPr>
        <w:t xml:space="preserve"> gangrena)</w:t>
      </w:r>
    </w:p>
    <w:p w14:paraId="396FCA87" w14:textId="77777777" w:rsidR="00023BBF" w:rsidRDefault="00E17C37">
      <w:pPr>
        <w:rPr>
          <w:sz w:val="22"/>
          <w:szCs w:val="22"/>
        </w:rPr>
      </w:pPr>
      <w:r>
        <w:rPr>
          <w:sz w:val="22"/>
          <w:szCs w:val="22"/>
        </w:rPr>
        <w:t xml:space="preserve">Vartojant į rinką SGLT2 pateiktų inhibitorių, įskaitant dapagliflozino, gauta pranešimų apie </w:t>
      </w:r>
      <w:proofErr w:type="spellStart"/>
      <w:r>
        <w:rPr>
          <w:sz w:val="22"/>
          <w:szCs w:val="22"/>
        </w:rPr>
        <w:t>tarpvietės</w:t>
      </w:r>
      <w:proofErr w:type="spellEnd"/>
      <w:r>
        <w:rPr>
          <w:sz w:val="22"/>
          <w:szCs w:val="22"/>
        </w:rPr>
        <w:t xml:space="preserve"> </w:t>
      </w:r>
      <w:proofErr w:type="spellStart"/>
      <w:r>
        <w:rPr>
          <w:sz w:val="22"/>
          <w:szCs w:val="22"/>
        </w:rPr>
        <w:t>nekrozuojančio</w:t>
      </w:r>
      <w:proofErr w:type="spellEnd"/>
      <w:r>
        <w:rPr>
          <w:sz w:val="22"/>
          <w:szCs w:val="22"/>
        </w:rPr>
        <w:t xml:space="preserve"> </w:t>
      </w:r>
      <w:proofErr w:type="spellStart"/>
      <w:r>
        <w:rPr>
          <w:sz w:val="22"/>
          <w:szCs w:val="22"/>
        </w:rPr>
        <w:t>fascito</w:t>
      </w:r>
      <w:proofErr w:type="spellEnd"/>
      <w:r>
        <w:rPr>
          <w:sz w:val="22"/>
          <w:szCs w:val="22"/>
        </w:rPr>
        <w:t xml:space="preserve"> (dar vadinamo </w:t>
      </w:r>
      <w:proofErr w:type="spellStart"/>
      <w:r>
        <w:rPr>
          <w:sz w:val="22"/>
          <w:szCs w:val="22"/>
        </w:rPr>
        <w:t>Fournier</w:t>
      </w:r>
      <w:proofErr w:type="spellEnd"/>
      <w:r>
        <w:rPr>
          <w:sz w:val="22"/>
          <w:szCs w:val="22"/>
        </w:rPr>
        <w:t xml:space="preserve"> gangrena) atvejus (žr. 4.4 skyrių).</w:t>
      </w:r>
    </w:p>
    <w:p w14:paraId="10B96FFE" w14:textId="77777777" w:rsidR="00023BBF" w:rsidRDefault="00023BBF">
      <w:pPr>
        <w:rPr>
          <w:sz w:val="22"/>
          <w:szCs w:val="22"/>
        </w:rPr>
      </w:pPr>
    </w:p>
    <w:p w14:paraId="350A19AC" w14:textId="77777777" w:rsidR="00023BBF" w:rsidRDefault="00E17C37">
      <w:pPr>
        <w:rPr>
          <w:sz w:val="22"/>
          <w:szCs w:val="22"/>
        </w:rPr>
      </w:pPr>
      <w:r>
        <w:rPr>
          <w:sz w:val="22"/>
          <w:szCs w:val="22"/>
        </w:rPr>
        <w:t xml:space="preserve">DECLARE tyrime dalyvavo 17 160 pacientų, sirgusių 2 tipo cukriniu diabetu. Ekspozicijos trukmės mediana buvo 48 mėnesiai, iš viso užfiksuoti 6 </w:t>
      </w:r>
      <w:proofErr w:type="spellStart"/>
      <w:r>
        <w:rPr>
          <w:sz w:val="22"/>
          <w:szCs w:val="22"/>
        </w:rPr>
        <w:t>Fournier</w:t>
      </w:r>
      <w:proofErr w:type="spellEnd"/>
      <w:r>
        <w:rPr>
          <w:sz w:val="22"/>
          <w:szCs w:val="22"/>
        </w:rPr>
        <w:t xml:space="preserve"> gangrenos atvejai (1 dapagliflozino grupėje ir 5 – placebo).</w:t>
      </w:r>
    </w:p>
    <w:p w14:paraId="5F87B060" w14:textId="77777777" w:rsidR="00023BBF" w:rsidRDefault="00023BBF">
      <w:pPr>
        <w:rPr>
          <w:sz w:val="22"/>
          <w:szCs w:val="22"/>
        </w:rPr>
      </w:pPr>
    </w:p>
    <w:p w14:paraId="73864B5B" w14:textId="77777777" w:rsidR="00023BBF" w:rsidRDefault="00E17C37">
      <w:pPr>
        <w:rPr>
          <w:i/>
          <w:iCs/>
          <w:sz w:val="22"/>
          <w:szCs w:val="22"/>
        </w:rPr>
      </w:pPr>
      <w:r>
        <w:rPr>
          <w:i/>
          <w:iCs/>
          <w:sz w:val="22"/>
          <w:szCs w:val="22"/>
        </w:rPr>
        <w:t>Hipoglikemija</w:t>
      </w:r>
    </w:p>
    <w:p w14:paraId="0205E543" w14:textId="77777777" w:rsidR="00023BBF" w:rsidRDefault="00E17C37">
      <w:pPr>
        <w:rPr>
          <w:sz w:val="22"/>
          <w:szCs w:val="22"/>
        </w:rPr>
      </w:pPr>
      <w:r>
        <w:rPr>
          <w:sz w:val="22"/>
          <w:szCs w:val="22"/>
        </w:rPr>
        <w:t>Hipoglikemijos pasireiškimo dažnis priklausė nuo kitų vaistinių preparatų, vartotų kiekvieno tyrimo metu.</w:t>
      </w:r>
    </w:p>
    <w:p w14:paraId="3738F0EA" w14:textId="77777777" w:rsidR="00023BBF" w:rsidRDefault="00023BBF">
      <w:pPr>
        <w:rPr>
          <w:sz w:val="22"/>
          <w:szCs w:val="22"/>
        </w:rPr>
      </w:pPr>
    </w:p>
    <w:p w14:paraId="1E7F15FB" w14:textId="77777777" w:rsidR="00023BBF" w:rsidRDefault="00E17C37">
      <w:pPr>
        <w:rPr>
          <w:sz w:val="22"/>
          <w:szCs w:val="22"/>
        </w:rPr>
      </w:pPr>
      <w:r>
        <w:rPr>
          <w:sz w:val="22"/>
          <w:szCs w:val="22"/>
        </w:rPr>
        <w:t xml:space="preserve">Per 102 dapagliflozino vartojimo papildomam kombinuotam gydymui su </w:t>
      </w:r>
      <w:proofErr w:type="spellStart"/>
      <w:r>
        <w:rPr>
          <w:sz w:val="22"/>
          <w:szCs w:val="22"/>
        </w:rPr>
        <w:t>metforminu</w:t>
      </w:r>
      <w:proofErr w:type="spellEnd"/>
      <w:r>
        <w:rPr>
          <w:sz w:val="22"/>
          <w:szCs w:val="22"/>
        </w:rPr>
        <w:t xml:space="preserve"> arba papildomam kombinuotam gydymui su </w:t>
      </w:r>
      <w:proofErr w:type="spellStart"/>
      <w:r>
        <w:rPr>
          <w:sz w:val="22"/>
          <w:szCs w:val="22"/>
        </w:rPr>
        <w:t>sitagliptinu</w:t>
      </w:r>
      <w:proofErr w:type="spellEnd"/>
      <w:r>
        <w:rPr>
          <w:sz w:val="22"/>
          <w:szCs w:val="22"/>
        </w:rPr>
        <w:t xml:space="preserve"> (kartu dar vartojant </w:t>
      </w:r>
      <w:proofErr w:type="spellStart"/>
      <w:r>
        <w:rPr>
          <w:sz w:val="22"/>
          <w:szCs w:val="22"/>
        </w:rPr>
        <w:t>metformino</w:t>
      </w:r>
      <w:proofErr w:type="spellEnd"/>
      <w:r>
        <w:rPr>
          <w:sz w:val="22"/>
          <w:szCs w:val="22"/>
        </w:rPr>
        <w:t xml:space="preserve"> arba jo nevartojant) savaites lengvų hipoglikemijos epizodų dažnis visų gydymo grupių, įskaitant placebo, pacientams buvo panašus (&lt; 5 %). Visų tyrimų metu stipriai išreikštos hipoglikemijos reiškinių buvo nedažnai, jų dažnis dapagliflozino ir placebo grupių pacientams buvo panašus. Tiriant papildomą kombinuotą gydymą su insulinu, hipoglikemija pasireiškė dažniau (žr. 4.5 skyrių).</w:t>
      </w:r>
    </w:p>
    <w:p w14:paraId="0C7B07EB" w14:textId="77777777" w:rsidR="00023BBF" w:rsidRDefault="00023BBF">
      <w:pPr>
        <w:rPr>
          <w:sz w:val="22"/>
          <w:szCs w:val="22"/>
        </w:rPr>
      </w:pPr>
    </w:p>
    <w:p w14:paraId="66EB6BA8" w14:textId="77777777" w:rsidR="00023BBF" w:rsidRDefault="00E17C37">
      <w:pPr>
        <w:rPr>
          <w:sz w:val="22"/>
          <w:szCs w:val="22"/>
        </w:rPr>
      </w:pPr>
      <w:r>
        <w:rPr>
          <w:sz w:val="22"/>
          <w:szCs w:val="22"/>
        </w:rPr>
        <w:t>Tyrimo insulino poveikiui papildyti metu stipriai išreikštos hipoglikemijos epizodų per 24 savaites patyrė 0,5 %, o per 104 savaites – 1 % 10 mg dapagliflozino ir insulino derinio grupės pacientų; placebo ir insulino derinio grupėje tokių pacientų buvo po 0,5 %. Lengvos hipoglikemijos epizodų per 24 savaites patyrė 40,3 %, o per 104 savaites – 53,1 % 10 mg dapagliflozino ir insulino derinio grupės pacientų; placebo ir insulino derinio grupėje tokių pacientų buvo atitinkamai 34,0 % ir 41,6 %.</w:t>
      </w:r>
    </w:p>
    <w:p w14:paraId="708DE917" w14:textId="77777777" w:rsidR="00023BBF" w:rsidRDefault="00023BBF">
      <w:pPr>
        <w:rPr>
          <w:sz w:val="22"/>
          <w:szCs w:val="22"/>
        </w:rPr>
      </w:pPr>
    </w:p>
    <w:p w14:paraId="0F340820"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DECLARE tyrimo metu sunkios hipoglikemijos rizikos padidėjimo vartojant dapagliflozino (palyginus su placebu) nenustatyta. Sunkios hipoglikemijos atvejų užfiksuota 58 (0,7 %) dapagliflozino ir 83 (1,0 %) placebo vartojusiems pacientams.</w:t>
      </w:r>
    </w:p>
    <w:p w14:paraId="5A287556" w14:textId="77777777" w:rsidR="00023BBF" w:rsidRDefault="00023BBF">
      <w:pPr>
        <w:autoSpaceDE w:val="0"/>
        <w:autoSpaceDN w:val="0"/>
        <w:adjustRightInd w:val="0"/>
        <w:rPr>
          <w:rFonts w:eastAsiaTheme="minorHAnsi"/>
          <w:color w:val="000000"/>
          <w:sz w:val="22"/>
          <w:szCs w:val="22"/>
          <w:lang w:eastAsia="en-US"/>
        </w:rPr>
      </w:pPr>
    </w:p>
    <w:p w14:paraId="5D2A498B"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Kraujo tūrio sumažėjimas</w:t>
      </w:r>
    </w:p>
    <w:p w14:paraId="3A544984"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13 tyrimų saugumo populiacijoje sumažėjusiam kraujo tūriui būdingų reakcijų (dehidratacija, </w:t>
      </w:r>
      <w:proofErr w:type="spellStart"/>
      <w:r>
        <w:rPr>
          <w:rFonts w:eastAsiaTheme="minorHAnsi"/>
          <w:color w:val="000000"/>
          <w:sz w:val="22"/>
          <w:szCs w:val="22"/>
          <w:lang w:eastAsia="en-US"/>
        </w:rPr>
        <w:t>hipovolemija</w:t>
      </w:r>
      <w:proofErr w:type="spellEnd"/>
      <w:r>
        <w:rPr>
          <w:rFonts w:eastAsiaTheme="minorHAnsi"/>
          <w:color w:val="000000"/>
          <w:sz w:val="22"/>
          <w:szCs w:val="22"/>
          <w:lang w:eastAsia="en-US"/>
        </w:rPr>
        <w:t xml:space="preserve"> arba </w:t>
      </w:r>
      <w:proofErr w:type="spellStart"/>
      <w:r>
        <w:rPr>
          <w:rFonts w:eastAsiaTheme="minorHAnsi"/>
          <w:color w:val="000000"/>
          <w:sz w:val="22"/>
          <w:szCs w:val="22"/>
          <w:lang w:eastAsia="en-US"/>
        </w:rPr>
        <w:t>hipotenzija</w:t>
      </w:r>
      <w:proofErr w:type="spellEnd"/>
      <w:r>
        <w:rPr>
          <w:rFonts w:eastAsiaTheme="minorHAnsi"/>
          <w:color w:val="000000"/>
          <w:sz w:val="22"/>
          <w:szCs w:val="22"/>
          <w:lang w:eastAsia="en-US"/>
        </w:rPr>
        <w:t>) užfiksuota 1,1 % 10 mg dapagliflozino ir 0,7 % placebo vartojusių asmenų. Sunkių reakcijų pasireiškė &lt; 0,2 % asmenų, jų dažnis 10 mg dapagliflozino ir placebo vartojusiems pacientams buvo panašus (žr. 4.4 skyrių).</w:t>
      </w:r>
    </w:p>
    <w:p w14:paraId="4E9515A2" w14:textId="77777777" w:rsidR="00023BBF" w:rsidRDefault="00023BBF">
      <w:pPr>
        <w:autoSpaceDE w:val="0"/>
        <w:autoSpaceDN w:val="0"/>
        <w:adjustRightInd w:val="0"/>
        <w:rPr>
          <w:rFonts w:eastAsiaTheme="minorHAnsi"/>
          <w:color w:val="000000"/>
          <w:sz w:val="22"/>
          <w:szCs w:val="22"/>
          <w:lang w:eastAsia="en-US"/>
        </w:rPr>
      </w:pPr>
    </w:p>
    <w:p w14:paraId="486BC909"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DECLARE tyrimo metu sumažėjusiam kraujo tūriui būdingų reiškinių skaičius gydymo grupėse buvo panašus: jų patyrė atitinkamai 213 (2,5 %) dapagliflozino ir 207 (2,4 %) placebo grupės pacientai. Sunkių nepageidaujamų reiškinių užfiksuota atitinkamai 81 (0,9 %) ir 70 (0,8 %) dapagliflozino ir placebo grupės pacientų. Šių reiškinių skaičius gydymo grupėse pagal amžių, diuretikų vartojimą, kraujospūdį bei AKFI/ARB vartojimą sudarytuose pogrupiuose buvo iš esmės panašus. Pacientams, kurių pradinis </w:t>
      </w:r>
      <w:proofErr w:type="spellStart"/>
      <w:r>
        <w:rPr>
          <w:rFonts w:eastAsiaTheme="minorHAnsi"/>
          <w:color w:val="000000"/>
          <w:sz w:val="22"/>
          <w:szCs w:val="22"/>
          <w:lang w:eastAsia="en-US"/>
        </w:rPr>
        <w:t>aGFG</w:t>
      </w:r>
      <w:proofErr w:type="spellEnd"/>
      <w:r>
        <w:rPr>
          <w:rFonts w:eastAsiaTheme="minorHAnsi"/>
          <w:color w:val="000000"/>
          <w:sz w:val="22"/>
          <w:szCs w:val="22"/>
          <w:lang w:eastAsia="en-US"/>
        </w:rPr>
        <w:t xml:space="preserve"> buvo &lt; 60 ml/min./1,73 m</w:t>
      </w:r>
      <w:r>
        <w:rPr>
          <w:rFonts w:eastAsiaTheme="minorHAnsi"/>
          <w:color w:val="000000"/>
          <w:sz w:val="14"/>
          <w:szCs w:val="14"/>
          <w:vertAlign w:val="superscript"/>
          <w:lang w:eastAsia="en-US"/>
        </w:rPr>
        <w:t>2</w:t>
      </w:r>
      <w:r>
        <w:rPr>
          <w:rFonts w:eastAsiaTheme="minorHAnsi"/>
          <w:color w:val="000000"/>
          <w:sz w:val="22"/>
          <w:szCs w:val="22"/>
          <w:lang w:eastAsia="en-US"/>
        </w:rPr>
        <w:t>, kraujo tūrio sumažėjimui būdingų sunkių nepageidaujamų reiškinių dapagliflozino grupėje užfiksuota 19, placebo – 13 atvejų.</w:t>
      </w:r>
    </w:p>
    <w:p w14:paraId="6A0C284C" w14:textId="77777777" w:rsidR="00023BBF" w:rsidRDefault="00023BBF">
      <w:pPr>
        <w:autoSpaceDE w:val="0"/>
        <w:autoSpaceDN w:val="0"/>
        <w:adjustRightInd w:val="0"/>
        <w:rPr>
          <w:rFonts w:eastAsiaTheme="minorHAnsi"/>
          <w:i/>
          <w:iCs/>
          <w:color w:val="000000"/>
          <w:sz w:val="22"/>
          <w:szCs w:val="22"/>
          <w:lang w:eastAsia="en-US"/>
        </w:rPr>
      </w:pPr>
    </w:p>
    <w:p w14:paraId="6F72D721"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 xml:space="preserve">Diabetinė </w:t>
      </w:r>
      <w:proofErr w:type="spellStart"/>
      <w:r>
        <w:rPr>
          <w:rFonts w:eastAsiaTheme="minorHAnsi"/>
          <w:i/>
          <w:iCs/>
          <w:color w:val="000000"/>
          <w:sz w:val="22"/>
          <w:szCs w:val="22"/>
          <w:lang w:eastAsia="en-US"/>
        </w:rPr>
        <w:t>ketoacidozė</w:t>
      </w:r>
      <w:proofErr w:type="spellEnd"/>
      <w:r>
        <w:rPr>
          <w:rFonts w:eastAsiaTheme="minorHAnsi"/>
          <w:i/>
          <w:iCs/>
          <w:color w:val="000000"/>
          <w:sz w:val="22"/>
          <w:szCs w:val="22"/>
          <w:lang w:eastAsia="en-US"/>
        </w:rPr>
        <w:t xml:space="preserve"> </w:t>
      </w:r>
    </w:p>
    <w:p w14:paraId="23B3FFEE"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lastRenderedPageBreak/>
        <w:t>DECLARE tyrimo metu (vartojimo laikotarpio mediana buvo 48 mėnesiai) DKA reiškinių užfiksuota 27 dapagliflozino 10 mg ir 12 placebo grupės pacientų. Užfiksuoti reiškiniai tolygiai pasiskirstė tyrimo laikotarpiu. 22 iš 27 dapagliflozino grupės pacientų, patyrusių DKA reiškinių, tuo metu vartojo insulino. DKA pasireiškimą skatino tokie faktoriai, kokių ir reikia tikėtis 2 cukriniu diabetu sergantiems pacientams (žr. 4.4 skyrių).</w:t>
      </w:r>
    </w:p>
    <w:p w14:paraId="4B6E1983" w14:textId="77777777" w:rsidR="00023BBF" w:rsidRDefault="00023BBF">
      <w:pPr>
        <w:autoSpaceDE w:val="0"/>
        <w:autoSpaceDN w:val="0"/>
        <w:adjustRightInd w:val="0"/>
        <w:rPr>
          <w:rFonts w:eastAsiaTheme="minorHAnsi"/>
          <w:color w:val="000000"/>
          <w:sz w:val="22"/>
          <w:szCs w:val="22"/>
          <w:lang w:eastAsia="en-US"/>
        </w:rPr>
      </w:pPr>
    </w:p>
    <w:p w14:paraId="59D59E70"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Šlapimo takų infekcijos</w:t>
      </w:r>
    </w:p>
    <w:p w14:paraId="732C2572"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13 tyrimų saugumo populiacijos pacientams, vartojusiems10 mg dapagliflozino, šlapimo takų infekcijos pasireiškė dažniau negu vartojusiems placebo (jų dažnis buvo atitinkamai 4,7 % ir 3,5 %, žr. 4.4 skyrių). Dauguma šių infekcijų buvo lengvo ar vidutinio sunkumo, jas patyrusiems asmenims buvo veiksmingas pradinis įprastinio gydymo kursas, dapagliflozino vartojimą dėl jų tekdavo nutraukti retai. Tokių infekcijų dažniau pasireiškė moterims, infekcijos pasikartojimo tikimybė taip pat buvo didesnė anksčiau jomis sirgusiems asmenims.</w:t>
      </w:r>
    </w:p>
    <w:p w14:paraId="7FA582CB" w14:textId="77777777" w:rsidR="00023BBF" w:rsidRDefault="00023BBF">
      <w:pPr>
        <w:autoSpaceDE w:val="0"/>
        <w:autoSpaceDN w:val="0"/>
        <w:adjustRightInd w:val="0"/>
        <w:rPr>
          <w:rFonts w:eastAsiaTheme="minorHAnsi"/>
          <w:color w:val="000000"/>
          <w:sz w:val="22"/>
          <w:szCs w:val="22"/>
          <w:lang w:eastAsia="en-US"/>
        </w:rPr>
      </w:pPr>
    </w:p>
    <w:p w14:paraId="0B9793AB"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DECLARE tyrimo metu sunkių šlapimo takų infekcijų reiškinių 10 mg dapagliflozino vartojusiems pacientams pasireiškė rečiau negu vartojusiems placebo – užfiksuoti atitinkamai 79 (0,9 %) ir 109 (1,3 %) jų atvejai.</w:t>
      </w:r>
    </w:p>
    <w:p w14:paraId="5108CC94" w14:textId="77777777" w:rsidR="00023BBF" w:rsidRDefault="00023BBF">
      <w:pPr>
        <w:autoSpaceDE w:val="0"/>
        <w:autoSpaceDN w:val="0"/>
        <w:adjustRightInd w:val="0"/>
        <w:rPr>
          <w:rFonts w:eastAsiaTheme="minorHAnsi"/>
          <w:color w:val="000000"/>
          <w:sz w:val="22"/>
          <w:szCs w:val="22"/>
          <w:lang w:eastAsia="en-US"/>
        </w:rPr>
      </w:pPr>
    </w:p>
    <w:p w14:paraId="599D3237"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Padidėjusi kreatinino koncentracija</w:t>
      </w:r>
    </w:p>
    <w:p w14:paraId="7E9C49C2"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Nepageidaujamos reakcijos į vaistinį preparatą, susijusios su kreatinino koncentracijos padidėjimu (pvz., sumažėjęs kreatinino inkstų klirensas, sutrikusi inkstų funkcija, padidėjusi kreatinino koncentracija kraujyje ir sumažėjęs </w:t>
      </w:r>
      <w:proofErr w:type="spellStart"/>
      <w:r>
        <w:rPr>
          <w:rFonts w:eastAsiaTheme="minorHAnsi"/>
          <w:color w:val="000000"/>
          <w:sz w:val="22"/>
          <w:szCs w:val="22"/>
          <w:lang w:eastAsia="en-US"/>
        </w:rPr>
        <w:t>glomerulų</w:t>
      </w:r>
      <w:proofErr w:type="spellEnd"/>
      <w:r>
        <w:rPr>
          <w:rFonts w:eastAsiaTheme="minorHAnsi"/>
          <w:color w:val="000000"/>
          <w:sz w:val="22"/>
          <w:szCs w:val="22"/>
          <w:lang w:eastAsia="en-US"/>
        </w:rPr>
        <w:t xml:space="preserve"> filtracijos greitis) pasireiškė grupėmis – atitinkamai 3,2 % 10 mg dapagliflozino ir 1,8 % placebo vartojusių pacientų. Jie pasireiškė 1,3 % 10 mg dapagliflozino ir 0,8 % placebo vartojusių pacientų, kurių inkstų funkcija buvo normali arba nesmarkiai sutrikusi (pradinis apskaičiuotas </w:t>
      </w:r>
      <w:proofErr w:type="spellStart"/>
      <w:r>
        <w:rPr>
          <w:rFonts w:eastAsiaTheme="minorHAnsi"/>
          <w:color w:val="000000"/>
          <w:sz w:val="22"/>
          <w:szCs w:val="22"/>
          <w:lang w:eastAsia="en-US"/>
        </w:rPr>
        <w:t>glomerulų</w:t>
      </w:r>
      <w:proofErr w:type="spellEnd"/>
      <w:r>
        <w:rPr>
          <w:rFonts w:eastAsiaTheme="minorHAnsi"/>
          <w:color w:val="000000"/>
          <w:sz w:val="22"/>
          <w:szCs w:val="22"/>
          <w:lang w:eastAsia="en-US"/>
        </w:rPr>
        <w:t xml:space="preserve"> filtracijos greitis ≥ 60 ml/min./1,73 m</w:t>
      </w:r>
      <w:r>
        <w:rPr>
          <w:rFonts w:eastAsiaTheme="minorHAnsi"/>
          <w:color w:val="000000"/>
          <w:sz w:val="14"/>
          <w:szCs w:val="14"/>
          <w:vertAlign w:val="superscript"/>
          <w:lang w:eastAsia="en-US"/>
        </w:rPr>
        <w:t>2</w:t>
      </w:r>
      <w:r>
        <w:rPr>
          <w:rFonts w:eastAsiaTheme="minorHAnsi"/>
          <w:color w:val="000000"/>
          <w:sz w:val="22"/>
          <w:szCs w:val="22"/>
          <w:lang w:eastAsia="en-US"/>
        </w:rPr>
        <w:t xml:space="preserve">). Šios reakcijos buvo dažnesnės (18,5 % vartojusių 10 mg dapagliflozino ir 9,3 % vartojusių placebo) pacientams, kurių pradinis apskaičiuotas </w:t>
      </w:r>
      <w:proofErr w:type="spellStart"/>
      <w:r>
        <w:rPr>
          <w:rFonts w:eastAsiaTheme="minorHAnsi"/>
          <w:color w:val="000000"/>
          <w:sz w:val="22"/>
          <w:szCs w:val="22"/>
          <w:lang w:eastAsia="en-US"/>
        </w:rPr>
        <w:t>glomerulų</w:t>
      </w:r>
      <w:proofErr w:type="spellEnd"/>
      <w:r>
        <w:rPr>
          <w:rFonts w:eastAsiaTheme="minorHAnsi"/>
          <w:color w:val="000000"/>
          <w:sz w:val="22"/>
          <w:szCs w:val="22"/>
          <w:lang w:eastAsia="en-US"/>
        </w:rPr>
        <w:t xml:space="preserve"> filtracijos greitis buvo nuo ≥ 30 iki &lt; 60 ml/min./1,73 m</w:t>
      </w:r>
      <w:r>
        <w:rPr>
          <w:rFonts w:eastAsiaTheme="minorHAnsi"/>
          <w:color w:val="000000"/>
          <w:sz w:val="14"/>
          <w:szCs w:val="14"/>
          <w:vertAlign w:val="superscript"/>
          <w:lang w:eastAsia="en-US"/>
        </w:rPr>
        <w:t>2</w:t>
      </w:r>
      <w:r>
        <w:rPr>
          <w:rFonts w:eastAsiaTheme="minorHAnsi"/>
          <w:color w:val="000000"/>
          <w:sz w:val="22"/>
          <w:szCs w:val="22"/>
          <w:lang w:eastAsia="en-US"/>
        </w:rPr>
        <w:t>.</w:t>
      </w:r>
    </w:p>
    <w:p w14:paraId="4CC69940" w14:textId="77777777" w:rsidR="00023BBF" w:rsidRDefault="00023BBF">
      <w:pPr>
        <w:autoSpaceDE w:val="0"/>
        <w:autoSpaceDN w:val="0"/>
        <w:adjustRightInd w:val="0"/>
        <w:rPr>
          <w:rFonts w:eastAsiaTheme="minorHAnsi"/>
          <w:color w:val="000000"/>
          <w:sz w:val="22"/>
          <w:szCs w:val="22"/>
          <w:lang w:eastAsia="en-US"/>
        </w:rPr>
      </w:pPr>
    </w:p>
    <w:p w14:paraId="79F21D2A"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Tolesnis su inkstų funkcija susijusių nepageidaujamų reiškinių patyrusių pacientų vertinimas parodė, kad kreatinino koncentracijos pokytis daugumos jų serume, palyginus su pradiniu, buvo ≤ 44 </w:t>
      </w:r>
      <w:proofErr w:type="spellStart"/>
      <w:r>
        <w:rPr>
          <w:rFonts w:eastAsiaTheme="minorHAnsi"/>
          <w:color w:val="000000"/>
          <w:sz w:val="22"/>
          <w:szCs w:val="22"/>
          <w:lang w:eastAsia="en-US"/>
        </w:rPr>
        <w:t>mikromolių</w:t>
      </w:r>
      <w:proofErr w:type="spellEnd"/>
      <w:r>
        <w:rPr>
          <w:rFonts w:eastAsiaTheme="minorHAnsi"/>
          <w:color w:val="000000"/>
          <w:sz w:val="22"/>
          <w:szCs w:val="22"/>
          <w:lang w:eastAsia="en-US"/>
        </w:rPr>
        <w:t xml:space="preserve">/l (≤ 0,5 mg/dl). Kreatinino koncentracijos padidėjimas nepertraukiamo gydymo metu dažniausiai buvo trumpalaikis arba </w:t>
      </w:r>
      <w:proofErr w:type="spellStart"/>
      <w:r>
        <w:rPr>
          <w:rFonts w:eastAsiaTheme="minorHAnsi"/>
          <w:color w:val="000000"/>
          <w:sz w:val="22"/>
          <w:szCs w:val="22"/>
          <w:lang w:eastAsia="en-US"/>
        </w:rPr>
        <w:t>išbyko</w:t>
      </w:r>
      <w:proofErr w:type="spellEnd"/>
      <w:r>
        <w:rPr>
          <w:rFonts w:eastAsiaTheme="minorHAnsi"/>
          <w:color w:val="000000"/>
          <w:sz w:val="22"/>
          <w:szCs w:val="22"/>
          <w:lang w:eastAsia="en-US"/>
        </w:rPr>
        <w:t xml:space="preserve"> nutraukus gydymą.</w:t>
      </w:r>
    </w:p>
    <w:p w14:paraId="5855CA32" w14:textId="77777777" w:rsidR="00023BBF" w:rsidRDefault="00023BBF">
      <w:pPr>
        <w:autoSpaceDE w:val="0"/>
        <w:autoSpaceDN w:val="0"/>
        <w:adjustRightInd w:val="0"/>
        <w:rPr>
          <w:rFonts w:eastAsiaTheme="minorHAnsi"/>
          <w:color w:val="000000"/>
          <w:sz w:val="22"/>
          <w:szCs w:val="22"/>
          <w:lang w:eastAsia="en-US"/>
        </w:rPr>
      </w:pPr>
    </w:p>
    <w:p w14:paraId="6E3AB667"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DECLARE tyrimo, kuriame dalyvavo senyvi ir sutrikusią inkstų funkciją (</w:t>
      </w:r>
      <w:proofErr w:type="spellStart"/>
      <w:r>
        <w:rPr>
          <w:rFonts w:eastAsiaTheme="minorHAnsi"/>
          <w:color w:val="000000"/>
          <w:sz w:val="22"/>
          <w:szCs w:val="22"/>
          <w:lang w:eastAsia="en-US"/>
        </w:rPr>
        <w:t>aGFG</w:t>
      </w:r>
      <w:proofErr w:type="spellEnd"/>
      <w:r>
        <w:rPr>
          <w:rFonts w:eastAsiaTheme="minorHAnsi"/>
          <w:color w:val="000000"/>
          <w:sz w:val="22"/>
          <w:szCs w:val="22"/>
          <w:lang w:eastAsia="en-US"/>
        </w:rPr>
        <w:t> &lt; 60 ml/min./1,73 m</w:t>
      </w:r>
      <w:r>
        <w:rPr>
          <w:rFonts w:eastAsiaTheme="minorHAnsi"/>
          <w:color w:val="000000"/>
          <w:sz w:val="14"/>
          <w:szCs w:val="14"/>
          <w:vertAlign w:val="superscript"/>
          <w:lang w:eastAsia="en-US"/>
        </w:rPr>
        <w:t>2</w:t>
      </w:r>
      <w:r>
        <w:rPr>
          <w:rFonts w:eastAsiaTheme="minorHAnsi"/>
          <w:color w:val="000000"/>
          <w:sz w:val="22"/>
          <w:szCs w:val="22"/>
          <w:lang w:eastAsia="en-US"/>
        </w:rPr>
        <w:t xml:space="preserve">) turintys pacientai, metu laikui bėgant </w:t>
      </w:r>
      <w:proofErr w:type="spellStart"/>
      <w:r>
        <w:rPr>
          <w:rFonts w:eastAsiaTheme="minorHAnsi"/>
          <w:color w:val="000000"/>
          <w:sz w:val="22"/>
          <w:szCs w:val="22"/>
          <w:lang w:eastAsia="en-US"/>
        </w:rPr>
        <w:t>aGFG</w:t>
      </w:r>
      <w:proofErr w:type="spellEnd"/>
      <w:r>
        <w:rPr>
          <w:rFonts w:eastAsiaTheme="minorHAnsi"/>
          <w:color w:val="000000"/>
          <w:sz w:val="22"/>
          <w:szCs w:val="22"/>
          <w:lang w:eastAsia="en-US"/>
        </w:rPr>
        <w:t xml:space="preserve"> mažėjo abejose grupėse. Dapagliflozino grupės pacientų vidutinis </w:t>
      </w:r>
      <w:proofErr w:type="spellStart"/>
      <w:r>
        <w:rPr>
          <w:rFonts w:eastAsiaTheme="minorHAnsi"/>
          <w:color w:val="000000"/>
          <w:sz w:val="22"/>
          <w:szCs w:val="22"/>
          <w:lang w:eastAsia="en-US"/>
        </w:rPr>
        <w:t>aGFG</w:t>
      </w:r>
      <w:proofErr w:type="spellEnd"/>
      <w:r>
        <w:rPr>
          <w:rFonts w:eastAsiaTheme="minorHAnsi"/>
          <w:color w:val="000000"/>
          <w:sz w:val="22"/>
          <w:szCs w:val="22"/>
          <w:lang w:eastAsia="en-US"/>
        </w:rPr>
        <w:t xml:space="preserve"> po 1 metų buvo šiek tiek mažesnis, o po 4 metų – šiek tiek didesnis negu placebo.</w:t>
      </w:r>
    </w:p>
    <w:p w14:paraId="5D74903E" w14:textId="77777777" w:rsidR="00023BBF" w:rsidRDefault="00023BBF">
      <w:pPr>
        <w:rPr>
          <w:sz w:val="22"/>
          <w:szCs w:val="22"/>
        </w:rPr>
      </w:pPr>
    </w:p>
    <w:p w14:paraId="5BCE7A0E" w14:textId="77777777" w:rsidR="00023BBF" w:rsidRDefault="00E17C37">
      <w:pPr>
        <w:widowControl w:val="0"/>
        <w:tabs>
          <w:tab w:val="left" w:pos="567"/>
        </w:tabs>
        <w:spacing w:line="260" w:lineRule="exact"/>
        <w:jc w:val="both"/>
        <w:rPr>
          <w:sz w:val="22"/>
          <w:szCs w:val="22"/>
          <w:u w:val="single"/>
          <w:lang w:eastAsia="en-US"/>
        </w:rPr>
      </w:pPr>
      <w:r>
        <w:rPr>
          <w:sz w:val="22"/>
          <w:szCs w:val="22"/>
          <w:u w:val="single"/>
          <w:lang w:eastAsia="en-US"/>
        </w:rPr>
        <w:t>Pranešimas apie įtariamas nepageidaujamas reakcijas</w:t>
      </w:r>
    </w:p>
    <w:p w14:paraId="1B2D5BA1" w14:textId="77777777" w:rsidR="00023BBF" w:rsidRDefault="00E17C37">
      <w:pPr>
        <w:widowControl w:val="0"/>
        <w:tabs>
          <w:tab w:val="left" w:pos="567"/>
        </w:tabs>
        <w:spacing w:line="260" w:lineRule="exact"/>
        <w:jc w:val="both"/>
        <w:rPr>
          <w:sz w:val="22"/>
          <w:lang w:eastAsia="en-US"/>
        </w:rPr>
      </w:pPr>
      <w:r>
        <w:rPr>
          <w:sz w:val="22"/>
          <w:szCs w:val="22"/>
          <w:lang w:eastAsia="en-US"/>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sz w:val="22"/>
          <w:szCs w:val="22"/>
          <w:u w:val="single"/>
          <w:lang w:eastAsia="en-US"/>
        </w:rPr>
        <w:t>https://vvkt.lrv.lt/lt/</w:t>
      </w:r>
      <w:r>
        <w:rPr>
          <w:sz w:val="22"/>
          <w:szCs w:val="22"/>
          <w:lang w:eastAsia="en-US"/>
        </w:rPr>
        <w:t xml:space="preserve"> nurodytais būdais.</w:t>
      </w:r>
    </w:p>
    <w:p w14:paraId="36210296" w14:textId="77777777" w:rsidR="00023BBF" w:rsidRDefault="00023BBF">
      <w:pPr>
        <w:rPr>
          <w:sz w:val="22"/>
          <w:szCs w:val="22"/>
        </w:rPr>
      </w:pPr>
    </w:p>
    <w:p w14:paraId="2B6CF8D4" w14:textId="77777777" w:rsidR="00023BBF" w:rsidRDefault="00E17C37">
      <w:pPr>
        <w:pStyle w:val="Antrat4"/>
        <w:spacing w:line="240" w:lineRule="auto"/>
        <w:jc w:val="left"/>
        <w:rPr>
          <w:rFonts w:ascii="Times New Roman" w:hAnsi="Times New Roman"/>
          <w:sz w:val="22"/>
          <w:szCs w:val="22"/>
          <w:lang w:val="lt-LT"/>
        </w:rPr>
      </w:pPr>
      <w:r>
        <w:rPr>
          <w:rFonts w:ascii="Times New Roman" w:hAnsi="Times New Roman"/>
          <w:sz w:val="22"/>
          <w:szCs w:val="22"/>
          <w:lang w:val="lt-LT"/>
        </w:rPr>
        <w:t>4.9</w:t>
      </w:r>
      <w:r>
        <w:rPr>
          <w:rFonts w:ascii="Times New Roman" w:hAnsi="Times New Roman"/>
          <w:sz w:val="22"/>
          <w:szCs w:val="22"/>
          <w:lang w:val="lt-LT"/>
        </w:rPr>
        <w:tab/>
        <w:t>Perdozavimas</w:t>
      </w:r>
    </w:p>
    <w:p w14:paraId="0E92A9AC" w14:textId="77777777" w:rsidR="00023BBF" w:rsidRDefault="00023BBF">
      <w:pPr>
        <w:rPr>
          <w:sz w:val="22"/>
          <w:szCs w:val="22"/>
        </w:rPr>
      </w:pPr>
    </w:p>
    <w:p w14:paraId="2B83D7FE" w14:textId="77777777" w:rsidR="00023BBF" w:rsidRDefault="00E17C37">
      <w:pPr>
        <w:rPr>
          <w:sz w:val="22"/>
          <w:szCs w:val="22"/>
        </w:rPr>
      </w:pPr>
      <w:r>
        <w:rPr>
          <w:sz w:val="22"/>
          <w:szCs w:val="22"/>
        </w:rPr>
        <w:t xml:space="preserve">Dapagliflozino šalinimas hemodializės būdu netirtas. Veiksmingiausias būdas laktatui ir </w:t>
      </w:r>
      <w:proofErr w:type="spellStart"/>
      <w:r>
        <w:rPr>
          <w:sz w:val="22"/>
          <w:szCs w:val="22"/>
        </w:rPr>
        <w:t>metforminui</w:t>
      </w:r>
      <w:proofErr w:type="spellEnd"/>
      <w:r>
        <w:rPr>
          <w:sz w:val="22"/>
          <w:szCs w:val="22"/>
        </w:rPr>
        <w:t xml:space="preserve"> šalinti yra hemodializė.</w:t>
      </w:r>
    </w:p>
    <w:p w14:paraId="7C020110" w14:textId="77777777" w:rsidR="00023BBF" w:rsidRDefault="00023BBF">
      <w:pPr>
        <w:rPr>
          <w:sz w:val="22"/>
          <w:szCs w:val="22"/>
        </w:rPr>
      </w:pPr>
    </w:p>
    <w:p w14:paraId="73EFC230" w14:textId="77777777" w:rsidR="00023BBF" w:rsidRDefault="00E17C37">
      <w:pPr>
        <w:rPr>
          <w:sz w:val="22"/>
          <w:szCs w:val="22"/>
          <w:u w:val="single"/>
        </w:rPr>
      </w:pPr>
      <w:r>
        <w:rPr>
          <w:sz w:val="22"/>
          <w:szCs w:val="22"/>
          <w:u w:val="single"/>
        </w:rPr>
        <w:t>Dapagliflozinas</w:t>
      </w:r>
    </w:p>
    <w:p w14:paraId="4FF9A38C" w14:textId="77777777" w:rsidR="00023BBF" w:rsidRDefault="00E17C37">
      <w:pPr>
        <w:rPr>
          <w:sz w:val="22"/>
          <w:szCs w:val="22"/>
        </w:rPr>
      </w:pPr>
      <w:r>
        <w:rPr>
          <w:sz w:val="22"/>
          <w:szCs w:val="22"/>
        </w:rPr>
        <w:t xml:space="preserve">Vienkartinės iki 500 mg dapagliflozino dozės per burną (pastaroji yra 50 kartų didesnė už didžiausią rekomenduojamą žmogui) toksinio poveikio sveikiems žmonėms nesukėlė. Su doze susijusį laikotarpį (pavartojus 500 mg – bent 5 paras) jų šlapime buvo randama gliukozės, pranešimų apie dehidrataciją, </w:t>
      </w:r>
      <w:proofErr w:type="spellStart"/>
      <w:r>
        <w:rPr>
          <w:sz w:val="22"/>
          <w:szCs w:val="22"/>
        </w:rPr>
        <w:t>hipotenziją</w:t>
      </w:r>
      <w:proofErr w:type="spellEnd"/>
      <w:r>
        <w:rPr>
          <w:sz w:val="22"/>
          <w:szCs w:val="22"/>
        </w:rPr>
        <w:t xml:space="preserve"> ar sutrikusią elektrolitų pusiausvyrą negauta, kliniškai reikšmingo poveikio koreguotam QT intervalui nebuvo. Hipoglikemijos pasireiškimo dažnis buvo panašus kaip vartojant placebo. Klinikinių tyrimų metu sveikiems ir 2 tipo cukriniu diabetu sergantiems asmenims 2 savaites vartojus vienkartines iki 100 mg dozes (pastaroji yra 10 kartų didesnė už didžiausią rekomenduojamą žmogui), hipoglikemija </w:t>
      </w:r>
      <w:r>
        <w:rPr>
          <w:sz w:val="22"/>
          <w:szCs w:val="22"/>
        </w:rPr>
        <w:lastRenderedPageBreak/>
        <w:t xml:space="preserve">pasireiškė šiek tiek dažniau negu vartojant placebo ir neturėjo ryšio su doze. Nepageidaujamų reiškinių, įskaitant dehidrataciją ir </w:t>
      </w:r>
      <w:proofErr w:type="spellStart"/>
      <w:r>
        <w:rPr>
          <w:sz w:val="22"/>
          <w:szCs w:val="22"/>
        </w:rPr>
        <w:t>hipotenziją</w:t>
      </w:r>
      <w:proofErr w:type="spellEnd"/>
      <w:r>
        <w:rPr>
          <w:sz w:val="22"/>
          <w:szCs w:val="22"/>
        </w:rPr>
        <w:t>, dažniai buvo panašūs kaip vartojant placebo, kliniškai reikšmingų su doze susijusių laboratorinių rodiklių (elektrolitų koncentracijos serume ir biologinių inkstų funkcijos rodiklių) pokyčių nebuvo.</w:t>
      </w:r>
    </w:p>
    <w:p w14:paraId="3704124B" w14:textId="77777777" w:rsidR="00023BBF" w:rsidRDefault="00023BBF">
      <w:pPr>
        <w:rPr>
          <w:sz w:val="22"/>
          <w:szCs w:val="22"/>
        </w:rPr>
      </w:pPr>
    </w:p>
    <w:p w14:paraId="323E9852" w14:textId="77777777" w:rsidR="00023BBF" w:rsidRDefault="00E17C37">
      <w:pPr>
        <w:rPr>
          <w:sz w:val="22"/>
          <w:szCs w:val="22"/>
        </w:rPr>
      </w:pPr>
      <w:r>
        <w:rPr>
          <w:sz w:val="22"/>
          <w:szCs w:val="22"/>
        </w:rPr>
        <w:t>Perdozavusiam pacientui reikia taikyti atitinkamą palaikomąjį gydymą atsižvelgiant į jo klinikinę būklę.</w:t>
      </w:r>
    </w:p>
    <w:p w14:paraId="266649CC" w14:textId="77777777" w:rsidR="00023BBF" w:rsidRDefault="00023BBF">
      <w:pPr>
        <w:rPr>
          <w:sz w:val="22"/>
          <w:szCs w:val="22"/>
        </w:rPr>
      </w:pPr>
    </w:p>
    <w:p w14:paraId="3D29DFF1" w14:textId="77777777" w:rsidR="00023BBF" w:rsidRDefault="00E17C37">
      <w:pPr>
        <w:rPr>
          <w:sz w:val="22"/>
          <w:szCs w:val="22"/>
          <w:u w:val="single"/>
        </w:rPr>
      </w:pPr>
      <w:proofErr w:type="spellStart"/>
      <w:r>
        <w:rPr>
          <w:sz w:val="22"/>
          <w:szCs w:val="22"/>
          <w:u w:val="single"/>
        </w:rPr>
        <w:t>Metforminas</w:t>
      </w:r>
      <w:proofErr w:type="spellEnd"/>
    </w:p>
    <w:p w14:paraId="0A80E94F" w14:textId="77777777" w:rsidR="00023BBF" w:rsidRDefault="00E17C37">
      <w:pPr>
        <w:rPr>
          <w:sz w:val="22"/>
          <w:szCs w:val="22"/>
        </w:rPr>
      </w:pPr>
      <w:r>
        <w:rPr>
          <w:sz w:val="22"/>
          <w:szCs w:val="22"/>
        </w:rPr>
        <w:t xml:space="preserve">Didelis </w:t>
      </w:r>
      <w:proofErr w:type="spellStart"/>
      <w:r>
        <w:rPr>
          <w:sz w:val="22"/>
          <w:szCs w:val="22"/>
        </w:rPr>
        <w:t>metformino</w:t>
      </w:r>
      <w:proofErr w:type="spellEnd"/>
      <w:r>
        <w:rPr>
          <w:sz w:val="22"/>
          <w:szCs w:val="22"/>
        </w:rPr>
        <w:t xml:space="preserve"> perdozavimas ar su juo susiję sutrikimai gali sukelti pieno rūgšties </w:t>
      </w:r>
      <w:proofErr w:type="spellStart"/>
      <w:r>
        <w:rPr>
          <w:sz w:val="22"/>
          <w:szCs w:val="22"/>
        </w:rPr>
        <w:t>acidozę</w:t>
      </w:r>
      <w:proofErr w:type="spellEnd"/>
      <w:r>
        <w:rPr>
          <w:sz w:val="22"/>
          <w:szCs w:val="22"/>
        </w:rPr>
        <w:t xml:space="preserve">. Pieno rūgšties </w:t>
      </w:r>
      <w:proofErr w:type="spellStart"/>
      <w:r>
        <w:rPr>
          <w:sz w:val="22"/>
          <w:szCs w:val="22"/>
        </w:rPr>
        <w:t>acidozė</w:t>
      </w:r>
      <w:proofErr w:type="spellEnd"/>
      <w:r>
        <w:rPr>
          <w:sz w:val="22"/>
          <w:szCs w:val="22"/>
        </w:rPr>
        <w:t xml:space="preserve"> yra skubios medicininės pagalbos reikalaujanti būklė, kurią reikia gydyti ligoninėje.</w:t>
      </w:r>
      <w:r>
        <w:rPr>
          <w:sz w:val="22"/>
          <w:szCs w:val="22"/>
        </w:rPr>
        <w:cr/>
      </w:r>
    </w:p>
    <w:p w14:paraId="0E833D7D" w14:textId="77777777" w:rsidR="00023BBF" w:rsidRDefault="00023BBF">
      <w:pPr>
        <w:rPr>
          <w:sz w:val="22"/>
          <w:szCs w:val="22"/>
        </w:rPr>
      </w:pPr>
    </w:p>
    <w:p w14:paraId="5BDAAA51" w14:textId="77777777" w:rsidR="00023BBF" w:rsidRDefault="00E17C37">
      <w:pPr>
        <w:widowControl w:val="0"/>
        <w:tabs>
          <w:tab w:val="left" w:pos="567"/>
        </w:tabs>
        <w:ind w:left="567" w:hanging="567"/>
        <w:outlineLvl w:val="1"/>
        <w:rPr>
          <w:b/>
          <w:sz w:val="22"/>
          <w:szCs w:val="22"/>
          <w:lang w:eastAsia="en-US"/>
        </w:rPr>
      </w:pPr>
      <w:r>
        <w:rPr>
          <w:b/>
          <w:sz w:val="22"/>
          <w:szCs w:val="22"/>
          <w:lang w:eastAsia="en-US"/>
        </w:rPr>
        <w:t>5.</w:t>
      </w:r>
      <w:r>
        <w:rPr>
          <w:b/>
          <w:sz w:val="22"/>
          <w:szCs w:val="22"/>
          <w:lang w:eastAsia="en-US"/>
        </w:rPr>
        <w:tab/>
        <w:t>FARMAKOLOGINĖS SAVYBĖS</w:t>
      </w:r>
    </w:p>
    <w:p w14:paraId="6EC4D152" w14:textId="77777777" w:rsidR="00023BBF" w:rsidRDefault="00023BBF">
      <w:pPr>
        <w:widowControl w:val="0"/>
        <w:ind w:left="567" w:hanging="567"/>
        <w:rPr>
          <w:sz w:val="22"/>
          <w:szCs w:val="22"/>
          <w:lang w:eastAsia="en-US"/>
        </w:rPr>
      </w:pPr>
    </w:p>
    <w:p w14:paraId="0F9F2636" w14:textId="77777777" w:rsidR="00023BBF" w:rsidRDefault="00E17C37">
      <w:pPr>
        <w:widowControl w:val="0"/>
        <w:tabs>
          <w:tab w:val="left" w:pos="567"/>
        </w:tabs>
        <w:ind w:left="567" w:hanging="567"/>
        <w:outlineLvl w:val="2"/>
        <w:rPr>
          <w:b/>
          <w:kern w:val="28"/>
          <w:sz w:val="22"/>
          <w:szCs w:val="22"/>
          <w:lang w:eastAsia="en-US"/>
        </w:rPr>
      </w:pPr>
      <w:r>
        <w:rPr>
          <w:b/>
          <w:kern w:val="28"/>
          <w:sz w:val="22"/>
          <w:szCs w:val="22"/>
          <w:lang w:eastAsia="en-US"/>
        </w:rPr>
        <w:t>5.1</w:t>
      </w:r>
      <w:r>
        <w:rPr>
          <w:b/>
          <w:kern w:val="28"/>
          <w:sz w:val="22"/>
          <w:szCs w:val="22"/>
          <w:lang w:eastAsia="en-US"/>
        </w:rPr>
        <w:tab/>
      </w:r>
      <w:proofErr w:type="spellStart"/>
      <w:r>
        <w:rPr>
          <w:b/>
          <w:kern w:val="28"/>
          <w:sz w:val="22"/>
          <w:szCs w:val="22"/>
          <w:lang w:eastAsia="en-US"/>
        </w:rPr>
        <w:t>Farmakodinaminės</w:t>
      </w:r>
      <w:proofErr w:type="spellEnd"/>
      <w:r>
        <w:rPr>
          <w:b/>
          <w:kern w:val="28"/>
          <w:sz w:val="22"/>
          <w:szCs w:val="22"/>
          <w:lang w:eastAsia="en-US"/>
        </w:rPr>
        <w:t xml:space="preserve"> savybės</w:t>
      </w:r>
    </w:p>
    <w:p w14:paraId="67899CFD" w14:textId="77777777" w:rsidR="00023BBF" w:rsidRDefault="00023BBF">
      <w:pPr>
        <w:widowControl w:val="0"/>
        <w:ind w:left="567" w:hanging="567"/>
        <w:rPr>
          <w:sz w:val="22"/>
          <w:szCs w:val="22"/>
          <w:lang w:eastAsia="en-US"/>
        </w:rPr>
      </w:pPr>
    </w:p>
    <w:p w14:paraId="255878AB" w14:textId="77777777" w:rsidR="00023BBF" w:rsidRDefault="00E17C37">
      <w:pPr>
        <w:widowControl w:val="0"/>
        <w:autoSpaceDE w:val="0"/>
        <w:autoSpaceDN w:val="0"/>
        <w:adjustRightInd w:val="0"/>
        <w:rPr>
          <w:sz w:val="22"/>
          <w:szCs w:val="22"/>
        </w:rPr>
      </w:pPr>
      <w:proofErr w:type="spellStart"/>
      <w:r>
        <w:rPr>
          <w:sz w:val="22"/>
          <w:szCs w:val="22"/>
        </w:rPr>
        <w:t>Farmakoterapinė</w:t>
      </w:r>
      <w:proofErr w:type="spellEnd"/>
      <w:r>
        <w:rPr>
          <w:sz w:val="22"/>
          <w:szCs w:val="22"/>
        </w:rPr>
        <w:t xml:space="preserve"> grupė – vaistiniai preparatai cukrinio diabeto gydymui, geriamųjų gliukozės koncentraciją kraujyje mažinančių vaistinių preparatų deriniai, ATC kodas – A10BD15.</w:t>
      </w:r>
    </w:p>
    <w:p w14:paraId="4E19FB08" w14:textId="77777777" w:rsidR="00023BBF" w:rsidRDefault="00023BBF">
      <w:pPr>
        <w:widowControl w:val="0"/>
        <w:autoSpaceDE w:val="0"/>
        <w:autoSpaceDN w:val="0"/>
        <w:adjustRightInd w:val="0"/>
        <w:rPr>
          <w:sz w:val="22"/>
          <w:szCs w:val="22"/>
        </w:rPr>
      </w:pPr>
    </w:p>
    <w:p w14:paraId="55C0439D" w14:textId="77777777" w:rsidR="00023BBF" w:rsidRDefault="00E17C37">
      <w:pPr>
        <w:widowControl w:val="0"/>
        <w:autoSpaceDE w:val="0"/>
        <w:autoSpaceDN w:val="0"/>
        <w:adjustRightInd w:val="0"/>
        <w:rPr>
          <w:sz w:val="22"/>
          <w:szCs w:val="22"/>
          <w:u w:val="single"/>
        </w:rPr>
      </w:pPr>
      <w:r>
        <w:rPr>
          <w:sz w:val="22"/>
          <w:szCs w:val="22"/>
          <w:u w:val="single"/>
        </w:rPr>
        <w:t>Veikimo mechanizmas</w:t>
      </w:r>
    </w:p>
    <w:p w14:paraId="4BEEB27B" w14:textId="77777777" w:rsidR="00023BBF" w:rsidRDefault="00E17C37">
      <w:pPr>
        <w:widowControl w:val="0"/>
        <w:autoSpaceDE w:val="0"/>
        <w:autoSpaceDN w:val="0"/>
        <w:adjustRightInd w:val="0"/>
        <w:rPr>
          <w:sz w:val="22"/>
          <w:szCs w:val="22"/>
        </w:rPr>
      </w:pPr>
      <w:proofErr w:type="spellStart"/>
      <w:r>
        <w:rPr>
          <w:sz w:val="22"/>
          <w:szCs w:val="22"/>
        </w:rPr>
        <w:t>Mexdagry</w:t>
      </w:r>
      <w:proofErr w:type="spellEnd"/>
      <w:r>
        <w:rPr>
          <w:sz w:val="22"/>
          <w:szCs w:val="22"/>
        </w:rPr>
        <w:t xml:space="preserve"> sudėtyje yra du </w:t>
      </w:r>
      <w:proofErr w:type="spellStart"/>
      <w:r>
        <w:rPr>
          <w:sz w:val="22"/>
          <w:szCs w:val="22"/>
        </w:rPr>
        <w:t>hipohlikeminiai</w:t>
      </w:r>
      <w:proofErr w:type="spellEnd"/>
      <w:r>
        <w:rPr>
          <w:sz w:val="22"/>
          <w:szCs w:val="22"/>
        </w:rPr>
        <w:t xml:space="preserve"> vaistiniai preparatai, pasižymintys skirtingais vieną kitą papildančiais veikimo mechanizmais, siekiant gerinti </w:t>
      </w:r>
      <w:proofErr w:type="spellStart"/>
      <w:r>
        <w:rPr>
          <w:sz w:val="22"/>
          <w:szCs w:val="22"/>
        </w:rPr>
        <w:t>glikemijos</w:t>
      </w:r>
      <w:proofErr w:type="spellEnd"/>
      <w:r>
        <w:rPr>
          <w:sz w:val="22"/>
          <w:szCs w:val="22"/>
        </w:rPr>
        <w:t xml:space="preserve"> kontrolę pacientams, sergantiems 2 tipo cukriniu diabetu: dapagliflozinas, SGLT2 inhibitorius ir </w:t>
      </w:r>
      <w:proofErr w:type="spellStart"/>
      <w:r>
        <w:rPr>
          <w:sz w:val="22"/>
          <w:szCs w:val="22"/>
        </w:rPr>
        <w:t>metformino</w:t>
      </w:r>
      <w:proofErr w:type="spellEnd"/>
      <w:r>
        <w:rPr>
          <w:sz w:val="22"/>
          <w:szCs w:val="22"/>
        </w:rPr>
        <w:t xml:space="preserve"> hidrochloridas, </w:t>
      </w:r>
      <w:proofErr w:type="spellStart"/>
      <w:r>
        <w:rPr>
          <w:sz w:val="22"/>
          <w:szCs w:val="22"/>
        </w:rPr>
        <w:t>biguanidų</w:t>
      </w:r>
      <w:proofErr w:type="spellEnd"/>
      <w:r>
        <w:rPr>
          <w:sz w:val="22"/>
          <w:szCs w:val="22"/>
        </w:rPr>
        <w:t xml:space="preserve"> klasės vaistinis preparatas. </w:t>
      </w:r>
    </w:p>
    <w:p w14:paraId="1F41E75C" w14:textId="77777777" w:rsidR="00023BBF" w:rsidRDefault="00023BBF">
      <w:pPr>
        <w:widowControl w:val="0"/>
        <w:autoSpaceDE w:val="0"/>
        <w:autoSpaceDN w:val="0"/>
        <w:adjustRightInd w:val="0"/>
        <w:rPr>
          <w:sz w:val="22"/>
          <w:szCs w:val="22"/>
        </w:rPr>
      </w:pPr>
    </w:p>
    <w:p w14:paraId="3E55839F" w14:textId="77777777" w:rsidR="00023BBF" w:rsidRDefault="00E17C37">
      <w:pPr>
        <w:widowControl w:val="0"/>
        <w:autoSpaceDE w:val="0"/>
        <w:autoSpaceDN w:val="0"/>
        <w:adjustRightInd w:val="0"/>
        <w:rPr>
          <w:i/>
          <w:iCs/>
          <w:sz w:val="22"/>
          <w:szCs w:val="22"/>
          <w:u w:val="single"/>
        </w:rPr>
      </w:pPr>
      <w:r>
        <w:rPr>
          <w:i/>
          <w:iCs/>
          <w:sz w:val="22"/>
          <w:szCs w:val="22"/>
          <w:u w:val="single"/>
        </w:rPr>
        <w:t>Dapagliflozinas</w:t>
      </w:r>
    </w:p>
    <w:p w14:paraId="71A74460" w14:textId="77777777" w:rsidR="00023BBF" w:rsidRDefault="00E17C37">
      <w:pPr>
        <w:widowControl w:val="0"/>
        <w:autoSpaceDE w:val="0"/>
        <w:autoSpaceDN w:val="0"/>
        <w:adjustRightInd w:val="0"/>
        <w:rPr>
          <w:sz w:val="22"/>
          <w:szCs w:val="22"/>
        </w:rPr>
      </w:pPr>
      <w:r>
        <w:rPr>
          <w:sz w:val="22"/>
          <w:szCs w:val="22"/>
        </w:rPr>
        <w:t>Dapagliflozinas yra labai stipraus (</w:t>
      </w:r>
      <w:proofErr w:type="spellStart"/>
      <w:r>
        <w:rPr>
          <w:sz w:val="22"/>
          <w:szCs w:val="22"/>
        </w:rPr>
        <w:t>Ki</w:t>
      </w:r>
      <w:proofErr w:type="spellEnd"/>
      <w:r>
        <w:rPr>
          <w:sz w:val="22"/>
          <w:szCs w:val="22"/>
        </w:rPr>
        <w:t xml:space="preserve"> – 0,55 </w:t>
      </w:r>
      <w:proofErr w:type="spellStart"/>
      <w:r>
        <w:rPr>
          <w:sz w:val="22"/>
          <w:szCs w:val="22"/>
        </w:rPr>
        <w:t>nM</w:t>
      </w:r>
      <w:proofErr w:type="spellEnd"/>
      <w:r>
        <w:rPr>
          <w:sz w:val="22"/>
          <w:szCs w:val="22"/>
        </w:rPr>
        <w:t>), selektyvaus ir laikino veikimo SGLT2 inhibitorius.</w:t>
      </w:r>
    </w:p>
    <w:p w14:paraId="38F6FA02" w14:textId="77777777" w:rsidR="00023BBF" w:rsidRDefault="00023BBF">
      <w:pPr>
        <w:widowControl w:val="0"/>
        <w:autoSpaceDE w:val="0"/>
        <w:autoSpaceDN w:val="0"/>
        <w:adjustRightInd w:val="0"/>
        <w:rPr>
          <w:sz w:val="22"/>
          <w:szCs w:val="22"/>
        </w:rPr>
      </w:pPr>
    </w:p>
    <w:p w14:paraId="75E1DE30" w14:textId="77777777" w:rsidR="00023BBF" w:rsidRDefault="00E17C37">
      <w:pPr>
        <w:widowControl w:val="0"/>
        <w:autoSpaceDE w:val="0"/>
        <w:autoSpaceDN w:val="0"/>
        <w:adjustRightInd w:val="0"/>
        <w:rPr>
          <w:sz w:val="22"/>
          <w:szCs w:val="22"/>
        </w:rPr>
      </w:pPr>
      <w:r>
        <w:rPr>
          <w:sz w:val="22"/>
          <w:szCs w:val="22"/>
        </w:rPr>
        <w:t xml:space="preserve">Dapagliflozinui slopinant SGLT2, iš </w:t>
      </w:r>
      <w:proofErr w:type="spellStart"/>
      <w:r>
        <w:rPr>
          <w:sz w:val="22"/>
          <w:szCs w:val="22"/>
        </w:rPr>
        <w:t>glomerulų</w:t>
      </w:r>
      <w:proofErr w:type="spellEnd"/>
      <w:r>
        <w:rPr>
          <w:sz w:val="22"/>
          <w:szCs w:val="22"/>
        </w:rPr>
        <w:t xml:space="preserve"> filtrato proksimaliniuose inkstų kanalėliuose </w:t>
      </w:r>
      <w:proofErr w:type="spellStart"/>
      <w:r>
        <w:rPr>
          <w:sz w:val="22"/>
          <w:szCs w:val="22"/>
        </w:rPr>
        <w:t>reabsorbuojama</w:t>
      </w:r>
      <w:proofErr w:type="spellEnd"/>
      <w:r>
        <w:rPr>
          <w:sz w:val="22"/>
          <w:szCs w:val="22"/>
        </w:rPr>
        <w:t xml:space="preserve"> mažiau gliukozės. Kartu sumažėja natrio reabsorbcija, todėl gliukozė šalinama su šlapimu ir pasireiškia osmosinė diurezė. Tuomet veikiant dapagliflozinui daugiau natrio patenka į distalinius kanalėlius, sustiprėja </w:t>
      </w:r>
      <w:proofErr w:type="spellStart"/>
      <w:r>
        <w:rPr>
          <w:sz w:val="22"/>
          <w:szCs w:val="22"/>
        </w:rPr>
        <w:t>tubuloglomerulinis</w:t>
      </w:r>
      <w:proofErr w:type="spellEnd"/>
      <w:r>
        <w:rPr>
          <w:sz w:val="22"/>
          <w:szCs w:val="22"/>
        </w:rPr>
        <w:t xml:space="preserve"> grįžtamasis ryšys ir sumažėja slėgis </w:t>
      </w:r>
      <w:proofErr w:type="spellStart"/>
      <w:r>
        <w:rPr>
          <w:sz w:val="22"/>
          <w:szCs w:val="22"/>
        </w:rPr>
        <w:t>glomeruluose</w:t>
      </w:r>
      <w:proofErr w:type="spellEnd"/>
      <w:r>
        <w:rPr>
          <w:sz w:val="22"/>
          <w:szCs w:val="22"/>
        </w:rPr>
        <w:t>.</w:t>
      </w:r>
    </w:p>
    <w:p w14:paraId="7515D1DE" w14:textId="77777777" w:rsidR="00023BBF" w:rsidRDefault="00E17C37">
      <w:pPr>
        <w:widowControl w:val="0"/>
        <w:autoSpaceDE w:val="0"/>
        <w:autoSpaceDN w:val="0"/>
        <w:adjustRightInd w:val="0"/>
        <w:rPr>
          <w:sz w:val="22"/>
          <w:szCs w:val="22"/>
        </w:rPr>
      </w:pPr>
      <w:r>
        <w:rPr>
          <w:sz w:val="22"/>
          <w:szCs w:val="22"/>
        </w:rPr>
        <w:t xml:space="preserve">Dėl šios priežasties ir osmosinės diurezės sumažėja perkrova tūriu, kraujospūdis, </w:t>
      </w:r>
      <w:proofErr w:type="spellStart"/>
      <w:r>
        <w:rPr>
          <w:sz w:val="22"/>
          <w:szCs w:val="22"/>
        </w:rPr>
        <w:t>prieškrūvis</w:t>
      </w:r>
      <w:proofErr w:type="spellEnd"/>
      <w:r>
        <w:rPr>
          <w:sz w:val="22"/>
          <w:szCs w:val="22"/>
        </w:rPr>
        <w:t xml:space="preserve"> ir </w:t>
      </w:r>
      <w:proofErr w:type="spellStart"/>
      <w:r>
        <w:rPr>
          <w:sz w:val="22"/>
          <w:szCs w:val="22"/>
        </w:rPr>
        <w:t>pokrūvis</w:t>
      </w:r>
      <w:proofErr w:type="spellEnd"/>
      <w:r>
        <w:rPr>
          <w:sz w:val="22"/>
          <w:szCs w:val="22"/>
        </w:rPr>
        <w:t xml:space="preserve">, o tai gali palankiai veikti širdies </w:t>
      </w:r>
      <w:proofErr w:type="spellStart"/>
      <w:r>
        <w:rPr>
          <w:sz w:val="22"/>
          <w:szCs w:val="22"/>
        </w:rPr>
        <w:t>remodeliavimą</w:t>
      </w:r>
      <w:proofErr w:type="spellEnd"/>
      <w:r>
        <w:rPr>
          <w:sz w:val="22"/>
          <w:szCs w:val="22"/>
        </w:rPr>
        <w:t xml:space="preserve"> ir </w:t>
      </w:r>
      <w:proofErr w:type="spellStart"/>
      <w:r>
        <w:rPr>
          <w:sz w:val="22"/>
          <w:szCs w:val="22"/>
        </w:rPr>
        <w:t>diastolinę</w:t>
      </w:r>
      <w:proofErr w:type="spellEnd"/>
      <w:r>
        <w:rPr>
          <w:sz w:val="22"/>
          <w:szCs w:val="22"/>
        </w:rPr>
        <w:t xml:space="preserve"> funkciją bei apsaugoti inkstų funkciją. Taigi, dapagliflozino palankų poveikį širdžiai ir inkstams nulemia ne vien gliukozės koncentracijos kraujyje mažinimas. Be to, padidėja </w:t>
      </w:r>
      <w:proofErr w:type="spellStart"/>
      <w:r>
        <w:rPr>
          <w:sz w:val="22"/>
          <w:szCs w:val="22"/>
        </w:rPr>
        <w:t>hematokritas</w:t>
      </w:r>
      <w:proofErr w:type="spellEnd"/>
      <w:r>
        <w:rPr>
          <w:sz w:val="22"/>
          <w:szCs w:val="22"/>
        </w:rPr>
        <w:t xml:space="preserve"> ir sumažėja kūno svoris.</w:t>
      </w:r>
    </w:p>
    <w:p w14:paraId="61212A5B" w14:textId="77777777" w:rsidR="00023BBF" w:rsidRDefault="00023BBF">
      <w:pPr>
        <w:widowControl w:val="0"/>
        <w:autoSpaceDE w:val="0"/>
        <w:autoSpaceDN w:val="0"/>
        <w:adjustRightInd w:val="0"/>
        <w:rPr>
          <w:sz w:val="22"/>
          <w:szCs w:val="22"/>
        </w:rPr>
      </w:pPr>
    </w:p>
    <w:p w14:paraId="5062D6E0" w14:textId="77777777" w:rsidR="00023BBF" w:rsidRDefault="00E17C37">
      <w:pPr>
        <w:widowControl w:val="0"/>
        <w:autoSpaceDE w:val="0"/>
        <w:autoSpaceDN w:val="0"/>
        <w:adjustRightInd w:val="0"/>
        <w:rPr>
          <w:sz w:val="22"/>
          <w:szCs w:val="22"/>
        </w:rPr>
      </w:pPr>
      <w:r>
        <w:rPr>
          <w:sz w:val="22"/>
          <w:szCs w:val="22"/>
        </w:rPr>
        <w:t>Dapagliflozinas mažina gliukozės reabsorbciją inkstuose ir nulemia jos išskyrimą su šlapimu, todėl mažina gliukozės koncentraciją plazmoje nevalgius ir po valgio. Šis gliukozės išskyrimas (</w:t>
      </w:r>
      <w:proofErr w:type="spellStart"/>
      <w:r>
        <w:rPr>
          <w:sz w:val="22"/>
          <w:szCs w:val="22"/>
        </w:rPr>
        <w:t>gliukurezinis</w:t>
      </w:r>
      <w:proofErr w:type="spellEnd"/>
      <w:r>
        <w:rPr>
          <w:sz w:val="22"/>
          <w:szCs w:val="22"/>
        </w:rPr>
        <w:t xml:space="preserve"> poveikis) pastebimas po pirmos dozės, tęsiasi visą 24 valandų vartojimo intervalą ir išlieka, kol taikomas gydymas. Tokiu būdu inkstų pašalinamas gliukozės kiekis priklauso nuo jos koncentracijos kraujyje ir </w:t>
      </w:r>
      <w:proofErr w:type="spellStart"/>
      <w:r>
        <w:rPr>
          <w:sz w:val="22"/>
          <w:szCs w:val="22"/>
        </w:rPr>
        <w:t>glomerulų</w:t>
      </w:r>
      <w:proofErr w:type="spellEnd"/>
      <w:r>
        <w:rPr>
          <w:sz w:val="22"/>
          <w:szCs w:val="22"/>
        </w:rPr>
        <w:t xml:space="preserve"> filtracijos greičio. Dėl to žmonėms, kurių kraujyje gliukozės koncentracija normali, dapagliflozino sukeliamos hipoglikemijos tikimybė yra maža. Dapagliflozinas netrikdo normalios endogeninės gliukozės gamybos reaguojant į hipoglikemiją, jo poveikis nepriklauso nuo insulino sekrecijos ir insulino veikimo. Dapagliflozino klinikinių tyrimų metu pagerėjimas taip pat nustatytas tiriant beta ląstelių funkcijos homeostazės vertinimo modeliu (beta ląstelių HOMA).</w:t>
      </w:r>
    </w:p>
    <w:p w14:paraId="7ADA25D7" w14:textId="77777777" w:rsidR="00023BBF" w:rsidRDefault="00E17C37">
      <w:pPr>
        <w:widowControl w:val="0"/>
        <w:autoSpaceDE w:val="0"/>
        <w:autoSpaceDN w:val="0"/>
        <w:adjustRightInd w:val="0"/>
        <w:rPr>
          <w:sz w:val="22"/>
          <w:szCs w:val="22"/>
        </w:rPr>
      </w:pPr>
      <w:r>
        <w:rPr>
          <w:sz w:val="22"/>
          <w:szCs w:val="22"/>
        </w:rPr>
        <w:t xml:space="preserve">SGLT2 yra selektyviai </w:t>
      </w:r>
      <w:proofErr w:type="spellStart"/>
      <w:r>
        <w:rPr>
          <w:sz w:val="22"/>
          <w:szCs w:val="22"/>
        </w:rPr>
        <w:t>ekspresuojamas</w:t>
      </w:r>
      <w:proofErr w:type="spellEnd"/>
      <w:r>
        <w:rPr>
          <w:sz w:val="22"/>
          <w:szCs w:val="22"/>
        </w:rPr>
        <w:t xml:space="preserve"> inkstuose. Kitų gliukozės nešiklių, svarbių jos pernešimui į periferinius audinius, dapagliflozinas neslopina. Jo poveikis SGLT2 yra daugiau kaip 1 400 kartų selektyvesnis už poveikį pagrindiniam gliukozės absorbcijos nešikliui žarnose – SGLT1.</w:t>
      </w:r>
    </w:p>
    <w:p w14:paraId="1DEA9A79" w14:textId="77777777" w:rsidR="00023BBF" w:rsidRDefault="00023BBF">
      <w:pPr>
        <w:widowControl w:val="0"/>
        <w:autoSpaceDE w:val="0"/>
        <w:autoSpaceDN w:val="0"/>
        <w:adjustRightInd w:val="0"/>
        <w:rPr>
          <w:sz w:val="22"/>
          <w:szCs w:val="22"/>
        </w:rPr>
      </w:pPr>
    </w:p>
    <w:p w14:paraId="4C34E70D" w14:textId="77777777" w:rsidR="00023BBF" w:rsidRDefault="00E17C37">
      <w:pPr>
        <w:widowControl w:val="0"/>
        <w:autoSpaceDE w:val="0"/>
        <w:autoSpaceDN w:val="0"/>
        <w:adjustRightInd w:val="0"/>
        <w:rPr>
          <w:sz w:val="22"/>
          <w:szCs w:val="22"/>
          <w:u w:val="single"/>
        </w:rPr>
      </w:pPr>
      <w:proofErr w:type="spellStart"/>
      <w:r>
        <w:rPr>
          <w:sz w:val="22"/>
          <w:szCs w:val="22"/>
          <w:u w:val="single"/>
        </w:rPr>
        <w:t>Metforminas</w:t>
      </w:r>
      <w:proofErr w:type="spellEnd"/>
    </w:p>
    <w:p w14:paraId="2490C86C" w14:textId="77777777" w:rsidR="00023BBF" w:rsidRDefault="00E17C37">
      <w:pPr>
        <w:widowControl w:val="0"/>
        <w:autoSpaceDE w:val="0"/>
        <w:autoSpaceDN w:val="0"/>
        <w:adjustRightInd w:val="0"/>
        <w:rPr>
          <w:sz w:val="22"/>
          <w:szCs w:val="22"/>
        </w:rPr>
      </w:pPr>
      <w:proofErr w:type="spellStart"/>
      <w:r>
        <w:rPr>
          <w:sz w:val="22"/>
          <w:szCs w:val="22"/>
        </w:rPr>
        <w:t>Metforminas</w:t>
      </w:r>
      <w:proofErr w:type="spellEnd"/>
      <w:r>
        <w:rPr>
          <w:sz w:val="22"/>
          <w:szCs w:val="22"/>
        </w:rPr>
        <w:t xml:space="preserve"> yra </w:t>
      </w:r>
      <w:proofErr w:type="spellStart"/>
      <w:r>
        <w:rPr>
          <w:sz w:val="22"/>
          <w:szCs w:val="22"/>
        </w:rPr>
        <w:t>antihiperglikeminį</w:t>
      </w:r>
      <w:proofErr w:type="spellEnd"/>
      <w:r>
        <w:rPr>
          <w:sz w:val="22"/>
          <w:szCs w:val="22"/>
        </w:rPr>
        <w:t xml:space="preserve"> poveikį sukeliantis </w:t>
      </w:r>
      <w:proofErr w:type="spellStart"/>
      <w:r>
        <w:rPr>
          <w:sz w:val="22"/>
          <w:szCs w:val="22"/>
        </w:rPr>
        <w:t>biguanidas</w:t>
      </w:r>
      <w:proofErr w:type="spellEnd"/>
      <w:r>
        <w:rPr>
          <w:sz w:val="22"/>
          <w:szCs w:val="22"/>
        </w:rPr>
        <w:t>, kuris mažina gliukozės koncentraciją plazmoje (tiek bazinę, tiek po valgio). Jis nestimuliuoja insulino sekrecijos ir todėl nesukelia hipoglikemijos.</w:t>
      </w:r>
    </w:p>
    <w:p w14:paraId="6165A3E2" w14:textId="77777777" w:rsidR="00023BBF" w:rsidRDefault="00023BBF">
      <w:pPr>
        <w:widowControl w:val="0"/>
        <w:autoSpaceDE w:val="0"/>
        <w:autoSpaceDN w:val="0"/>
        <w:adjustRightInd w:val="0"/>
        <w:rPr>
          <w:sz w:val="22"/>
          <w:szCs w:val="22"/>
        </w:rPr>
      </w:pPr>
    </w:p>
    <w:p w14:paraId="134D0E57" w14:textId="77777777" w:rsidR="00023BBF" w:rsidRDefault="00E17C37">
      <w:pPr>
        <w:widowControl w:val="0"/>
        <w:autoSpaceDE w:val="0"/>
        <w:autoSpaceDN w:val="0"/>
        <w:adjustRightInd w:val="0"/>
        <w:rPr>
          <w:sz w:val="22"/>
          <w:szCs w:val="22"/>
        </w:rPr>
      </w:pPr>
      <w:proofErr w:type="spellStart"/>
      <w:r>
        <w:rPr>
          <w:sz w:val="22"/>
          <w:szCs w:val="22"/>
        </w:rPr>
        <w:t>Metforminas</w:t>
      </w:r>
      <w:proofErr w:type="spellEnd"/>
      <w:r>
        <w:rPr>
          <w:sz w:val="22"/>
          <w:szCs w:val="22"/>
        </w:rPr>
        <w:t xml:space="preserve"> gali veikti trimis mechanizmais:</w:t>
      </w:r>
    </w:p>
    <w:p w14:paraId="0E2BCF0A" w14:textId="77777777" w:rsidR="00023BBF" w:rsidRDefault="00E17C37">
      <w:pPr>
        <w:widowControl w:val="0"/>
        <w:numPr>
          <w:ilvl w:val="0"/>
          <w:numId w:val="23"/>
        </w:numPr>
        <w:tabs>
          <w:tab w:val="left" w:pos="567"/>
        </w:tabs>
        <w:contextualSpacing/>
        <w:rPr>
          <w:sz w:val="22"/>
          <w:szCs w:val="22"/>
          <w:lang w:eastAsia="en-US"/>
        </w:rPr>
      </w:pPr>
      <w:r>
        <w:rPr>
          <w:sz w:val="22"/>
          <w:szCs w:val="22"/>
        </w:rPr>
        <w:t>slopinti gliukozės gamybą kepenyse (</w:t>
      </w:r>
      <w:proofErr w:type="spellStart"/>
      <w:r>
        <w:rPr>
          <w:sz w:val="22"/>
          <w:szCs w:val="22"/>
        </w:rPr>
        <w:t>gliukoneogenezę</w:t>
      </w:r>
      <w:proofErr w:type="spellEnd"/>
      <w:r>
        <w:rPr>
          <w:sz w:val="22"/>
          <w:szCs w:val="22"/>
        </w:rPr>
        <w:t xml:space="preserve"> ir </w:t>
      </w:r>
      <w:proofErr w:type="spellStart"/>
      <w:r>
        <w:rPr>
          <w:sz w:val="22"/>
          <w:szCs w:val="22"/>
        </w:rPr>
        <w:t>glikogenolizę</w:t>
      </w:r>
      <w:proofErr w:type="spellEnd"/>
      <w:r>
        <w:rPr>
          <w:sz w:val="22"/>
          <w:szCs w:val="22"/>
        </w:rPr>
        <w:t>);</w:t>
      </w:r>
    </w:p>
    <w:p w14:paraId="41B26549" w14:textId="77777777" w:rsidR="00023BBF" w:rsidRDefault="00E17C37">
      <w:pPr>
        <w:widowControl w:val="0"/>
        <w:numPr>
          <w:ilvl w:val="0"/>
          <w:numId w:val="23"/>
        </w:numPr>
        <w:tabs>
          <w:tab w:val="left" w:pos="567"/>
        </w:tabs>
        <w:contextualSpacing/>
        <w:rPr>
          <w:sz w:val="22"/>
          <w:szCs w:val="22"/>
          <w:lang w:eastAsia="en-US"/>
        </w:rPr>
      </w:pPr>
      <w:r>
        <w:rPr>
          <w:sz w:val="22"/>
          <w:szCs w:val="22"/>
        </w:rPr>
        <w:t xml:space="preserve">šiek tiek didinti jautrumą insulinui, gerinti gliukozės pasisavinimą periferijoje ir jos panaudojimą </w:t>
      </w:r>
      <w:r>
        <w:rPr>
          <w:sz w:val="22"/>
          <w:szCs w:val="22"/>
        </w:rPr>
        <w:lastRenderedPageBreak/>
        <w:t>raumenyse;</w:t>
      </w:r>
    </w:p>
    <w:p w14:paraId="73E47343" w14:textId="77777777" w:rsidR="00023BBF" w:rsidRDefault="00E17C37">
      <w:pPr>
        <w:widowControl w:val="0"/>
        <w:numPr>
          <w:ilvl w:val="0"/>
          <w:numId w:val="23"/>
        </w:numPr>
        <w:tabs>
          <w:tab w:val="left" w:pos="567"/>
        </w:tabs>
        <w:contextualSpacing/>
        <w:rPr>
          <w:sz w:val="22"/>
          <w:szCs w:val="22"/>
          <w:lang w:val="en-GB" w:eastAsia="en-US"/>
        </w:rPr>
      </w:pPr>
      <w:r>
        <w:rPr>
          <w:sz w:val="22"/>
          <w:szCs w:val="22"/>
        </w:rPr>
        <w:t>lėtinti gliukozės absorbciją žarnyne.</w:t>
      </w:r>
    </w:p>
    <w:p w14:paraId="1E26D810" w14:textId="77777777" w:rsidR="00023BBF" w:rsidRDefault="00023BBF">
      <w:pPr>
        <w:widowControl w:val="0"/>
        <w:autoSpaceDE w:val="0"/>
        <w:autoSpaceDN w:val="0"/>
        <w:adjustRightInd w:val="0"/>
        <w:rPr>
          <w:sz w:val="22"/>
          <w:szCs w:val="22"/>
        </w:rPr>
      </w:pPr>
    </w:p>
    <w:p w14:paraId="533BA811" w14:textId="77777777" w:rsidR="00023BBF" w:rsidRDefault="00E17C37">
      <w:pPr>
        <w:widowControl w:val="0"/>
        <w:autoSpaceDE w:val="0"/>
        <w:autoSpaceDN w:val="0"/>
        <w:adjustRightInd w:val="0"/>
        <w:rPr>
          <w:sz w:val="22"/>
          <w:szCs w:val="22"/>
        </w:rPr>
      </w:pPr>
      <w:proofErr w:type="spellStart"/>
      <w:r>
        <w:rPr>
          <w:sz w:val="22"/>
          <w:szCs w:val="22"/>
        </w:rPr>
        <w:t>Metforminas</w:t>
      </w:r>
      <w:proofErr w:type="spellEnd"/>
      <w:r>
        <w:rPr>
          <w:sz w:val="22"/>
          <w:szCs w:val="22"/>
        </w:rPr>
        <w:t xml:space="preserve">, veikdamas glikogeno </w:t>
      </w:r>
      <w:proofErr w:type="spellStart"/>
      <w:r>
        <w:rPr>
          <w:sz w:val="22"/>
          <w:szCs w:val="22"/>
        </w:rPr>
        <w:t>sintazę</w:t>
      </w:r>
      <w:proofErr w:type="spellEnd"/>
      <w:r>
        <w:rPr>
          <w:sz w:val="22"/>
          <w:szCs w:val="22"/>
        </w:rPr>
        <w:t xml:space="preserve">, stimuliuoja glikogeno sintezę ląstelėse. </w:t>
      </w:r>
      <w:proofErr w:type="spellStart"/>
      <w:r>
        <w:rPr>
          <w:sz w:val="22"/>
          <w:szCs w:val="22"/>
        </w:rPr>
        <w:t>Metforminas</w:t>
      </w:r>
      <w:proofErr w:type="spellEnd"/>
      <w:r>
        <w:rPr>
          <w:sz w:val="22"/>
          <w:szCs w:val="22"/>
        </w:rPr>
        <w:t xml:space="preserve"> didina tam tikrų membraninių gliukozės nešiklių (GLUT-1 ir GLUT-4) pernešimo pajėgumą.</w:t>
      </w:r>
    </w:p>
    <w:p w14:paraId="32AB6E3E" w14:textId="77777777" w:rsidR="00023BBF" w:rsidRDefault="00023BBF">
      <w:pPr>
        <w:widowControl w:val="0"/>
        <w:autoSpaceDE w:val="0"/>
        <w:autoSpaceDN w:val="0"/>
        <w:adjustRightInd w:val="0"/>
        <w:rPr>
          <w:sz w:val="22"/>
          <w:szCs w:val="22"/>
        </w:rPr>
      </w:pPr>
    </w:p>
    <w:p w14:paraId="75B100BC" w14:textId="77777777" w:rsidR="00023BBF" w:rsidRDefault="00E17C37">
      <w:pPr>
        <w:widowControl w:val="0"/>
        <w:autoSpaceDE w:val="0"/>
        <w:autoSpaceDN w:val="0"/>
        <w:adjustRightInd w:val="0"/>
        <w:rPr>
          <w:sz w:val="22"/>
          <w:szCs w:val="22"/>
          <w:u w:val="single"/>
        </w:rPr>
      </w:pPr>
      <w:proofErr w:type="spellStart"/>
      <w:r>
        <w:rPr>
          <w:sz w:val="22"/>
          <w:szCs w:val="22"/>
          <w:u w:val="single"/>
        </w:rPr>
        <w:t>Farmakodinaminis</w:t>
      </w:r>
      <w:proofErr w:type="spellEnd"/>
      <w:r>
        <w:rPr>
          <w:sz w:val="22"/>
          <w:szCs w:val="22"/>
          <w:u w:val="single"/>
        </w:rPr>
        <w:t xml:space="preserve"> poveikis</w:t>
      </w:r>
    </w:p>
    <w:p w14:paraId="22761FB0" w14:textId="77777777" w:rsidR="00023BBF" w:rsidRDefault="00E17C37">
      <w:pPr>
        <w:widowControl w:val="0"/>
        <w:autoSpaceDE w:val="0"/>
        <w:autoSpaceDN w:val="0"/>
        <w:adjustRightInd w:val="0"/>
        <w:rPr>
          <w:i/>
          <w:iCs/>
          <w:sz w:val="22"/>
          <w:szCs w:val="22"/>
          <w:u w:val="single"/>
        </w:rPr>
      </w:pPr>
      <w:r>
        <w:rPr>
          <w:i/>
          <w:iCs/>
          <w:sz w:val="22"/>
          <w:szCs w:val="22"/>
          <w:u w:val="single"/>
        </w:rPr>
        <w:t>Dapagliflozinas</w:t>
      </w:r>
    </w:p>
    <w:p w14:paraId="28AA724A" w14:textId="77777777" w:rsidR="00023BBF" w:rsidRDefault="00E17C37">
      <w:pPr>
        <w:widowControl w:val="0"/>
        <w:autoSpaceDE w:val="0"/>
        <w:autoSpaceDN w:val="0"/>
        <w:adjustRightInd w:val="0"/>
        <w:rPr>
          <w:sz w:val="22"/>
          <w:szCs w:val="22"/>
        </w:rPr>
      </w:pPr>
      <w:r>
        <w:rPr>
          <w:sz w:val="22"/>
          <w:szCs w:val="22"/>
        </w:rPr>
        <w:t>Padidėjęs gliukozės kiekis rastas sveikų asmenų ir 2 tipo cukriniu diabetu sergančių pacientų, vartojusių dapaglifloziną, šlapime. 2 tipo cukriniu diabetu sergantiems asmenims 12 savaičių kasdien vartojus po 10 mg dapagliflozino, su šlapimu buvo išskiriama maždaug 70 g gliukozės (atitinka 280 kcal) per parą. Įrodytas ilgalaikis gliukozės išskyrimas su 2 tipo cukriniu diabetu sergančių žmonių šlapimu vartojant 10 mg dapagliflozino per parą iki 2 metų.</w:t>
      </w:r>
    </w:p>
    <w:p w14:paraId="2DEF4212" w14:textId="77777777" w:rsidR="00023BBF" w:rsidRDefault="00023BBF">
      <w:pPr>
        <w:widowControl w:val="0"/>
        <w:autoSpaceDE w:val="0"/>
        <w:autoSpaceDN w:val="0"/>
        <w:adjustRightInd w:val="0"/>
        <w:rPr>
          <w:sz w:val="22"/>
          <w:szCs w:val="22"/>
        </w:rPr>
      </w:pPr>
    </w:p>
    <w:p w14:paraId="4EC6876D" w14:textId="77777777" w:rsidR="00023BBF" w:rsidRDefault="00E17C37">
      <w:pPr>
        <w:widowControl w:val="0"/>
        <w:autoSpaceDE w:val="0"/>
        <w:autoSpaceDN w:val="0"/>
        <w:adjustRightInd w:val="0"/>
        <w:rPr>
          <w:sz w:val="22"/>
          <w:szCs w:val="22"/>
        </w:rPr>
      </w:pPr>
      <w:r>
        <w:rPr>
          <w:sz w:val="22"/>
          <w:szCs w:val="22"/>
        </w:rPr>
        <w:t>Gliukozės išskyrimas su šlapimu veikiant dapagliflozinui taip pat didina 2 tipo cukriniu diabetu sergančių asmenų išskiriamo šlapimo tūrį – sukelia osmosinę diurezę. 2 tipo cukriniu diabetu sergančių asmenų, vartojusių 10 mg dapagliflozino, šlapimo tūris po 12 savaičių išliko padidėjęs (apie 375 ml per parą). Šlapimo tūrio padidėjimas buvo susijęs su nežymiu ir trumpalaikiu natrio išskyrimo su šlapimu padidėjimu, kuris natrio koncentracijos serume pokyčių nesukėlė.</w:t>
      </w:r>
    </w:p>
    <w:p w14:paraId="3146471A" w14:textId="77777777" w:rsidR="00023BBF" w:rsidRDefault="00023BBF">
      <w:pPr>
        <w:widowControl w:val="0"/>
        <w:autoSpaceDE w:val="0"/>
        <w:autoSpaceDN w:val="0"/>
        <w:adjustRightInd w:val="0"/>
        <w:rPr>
          <w:sz w:val="22"/>
          <w:szCs w:val="22"/>
        </w:rPr>
      </w:pPr>
    </w:p>
    <w:p w14:paraId="70227680" w14:textId="77777777" w:rsidR="00023BBF" w:rsidRDefault="00E17C37">
      <w:pPr>
        <w:widowControl w:val="0"/>
        <w:autoSpaceDE w:val="0"/>
        <w:autoSpaceDN w:val="0"/>
        <w:adjustRightInd w:val="0"/>
        <w:rPr>
          <w:sz w:val="22"/>
          <w:szCs w:val="22"/>
        </w:rPr>
      </w:pPr>
      <w:r>
        <w:rPr>
          <w:sz w:val="22"/>
          <w:szCs w:val="22"/>
        </w:rPr>
        <w:t xml:space="preserve">Be to, trumpam (3-7 paroms) padidėjo šlapimo rūgšties išskyrimas su šlapimu ir ilgam sumažėjo jos koncentracija serume. Po 24 savaičių šlapimo rūgšties koncentracija serume buvo sumažėjusi nuo - 48,3 iki - 18,3 </w:t>
      </w:r>
      <w:proofErr w:type="spellStart"/>
      <w:r>
        <w:rPr>
          <w:sz w:val="22"/>
          <w:szCs w:val="22"/>
        </w:rPr>
        <w:t>mikromolių</w:t>
      </w:r>
      <w:proofErr w:type="spellEnd"/>
      <w:r>
        <w:rPr>
          <w:sz w:val="22"/>
          <w:szCs w:val="22"/>
        </w:rPr>
        <w:t xml:space="preserve"> litre (atitinka nuo - 0,87 iki - 0,33 mg/dl).</w:t>
      </w:r>
    </w:p>
    <w:p w14:paraId="75290655" w14:textId="77777777" w:rsidR="00023BBF" w:rsidRDefault="00023BBF">
      <w:pPr>
        <w:widowControl w:val="0"/>
        <w:autoSpaceDE w:val="0"/>
        <w:autoSpaceDN w:val="0"/>
        <w:adjustRightInd w:val="0"/>
        <w:rPr>
          <w:sz w:val="22"/>
          <w:szCs w:val="22"/>
        </w:rPr>
      </w:pPr>
    </w:p>
    <w:p w14:paraId="41E4D235" w14:textId="77777777" w:rsidR="00023BBF" w:rsidRDefault="00E17C37">
      <w:pPr>
        <w:widowControl w:val="0"/>
        <w:autoSpaceDE w:val="0"/>
        <w:autoSpaceDN w:val="0"/>
        <w:adjustRightInd w:val="0"/>
        <w:rPr>
          <w:sz w:val="22"/>
          <w:szCs w:val="22"/>
        </w:rPr>
      </w:pPr>
      <w:r>
        <w:rPr>
          <w:sz w:val="22"/>
          <w:szCs w:val="22"/>
        </w:rPr>
        <w:t xml:space="preserve">Palyginus 5 mg dapagliflozino 2 kartus per parą ir 10 mg dapagliflozino 1 kartą per parą farmakodinamiką sveikų žmonių organizme nustatyta, kad </w:t>
      </w:r>
      <w:proofErr w:type="spellStart"/>
      <w:r>
        <w:rPr>
          <w:sz w:val="22"/>
          <w:szCs w:val="22"/>
        </w:rPr>
        <w:t>pusiausvyrinis</w:t>
      </w:r>
      <w:proofErr w:type="spellEnd"/>
      <w:r>
        <w:rPr>
          <w:sz w:val="22"/>
          <w:szCs w:val="22"/>
        </w:rPr>
        <w:t xml:space="preserve"> gliukozės reabsorbcijos inkstuose slopinimas ir per 24 val. su šlapimu išskiriamas gliukozės kiekis taikant abu dozavimo režimus yra toks pat.</w:t>
      </w:r>
    </w:p>
    <w:p w14:paraId="02610151" w14:textId="77777777" w:rsidR="00023BBF" w:rsidRDefault="00023BBF">
      <w:pPr>
        <w:widowControl w:val="0"/>
        <w:autoSpaceDE w:val="0"/>
        <w:autoSpaceDN w:val="0"/>
        <w:adjustRightInd w:val="0"/>
        <w:rPr>
          <w:sz w:val="22"/>
          <w:szCs w:val="22"/>
        </w:rPr>
      </w:pPr>
    </w:p>
    <w:p w14:paraId="5E7C2D88" w14:textId="77777777" w:rsidR="00023BBF" w:rsidRDefault="00E17C37">
      <w:pPr>
        <w:widowControl w:val="0"/>
        <w:autoSpaceDE w:val="0"/>
        <w:autoSpaceDN w:val="0"/>
        <w:adjustRightInd w:val="0"/>
        <w:rPr>
          <w:i/>
          <w:iCs/>
          <w:sz w:val="22"/>
          <w:szCs w:val="22"/>
          <w:u w:val="single"/>
        </w:rPr>
      </w:pPr>
      <w:proofErr w:type="spellStart"/>
      <w:r>
        <w:rPr>
          <w:i/>
          <w:iCs/>
          <w:sz w:val="22"/>
          <w:szCs w:val="22"/>
          <w:u w:val="single"/>
        </w:rPr>
        <w:t>Metforminas</w:t>
      </w:r>
      <w:proofErr w:type="spellEnd"/>
    </w:p>
    <w:p w14:paraId="5CEBA195" w14:textId="77777777" w:rsidR="00023BBF" w:rsidRDefault="00E17C37">
      <w:pPr>
        <w:widowControl w:val="0"/>
        <w:autoSpaceDE w:val="0"/>
        <w:autoSpaceDN w:val="0"/>
        <w:adjustRightInd w:val="0"/>
        <w:rPr>
          <w:sz w:val="22"/>
          <w:szCs w:val="22"/>
        </w:rPr>
      </w:pPr>
      <w:r>
        <w:rPr>
          <w:sz w:val="22"/>
          <w:szCs w:val="22"/>
        </w:rPr>
        <w:t xml:space="preserve">Nepriklausomai nuo poveikio </w:t>
      </w:r>
      <w:proofErr w:type="spellStart"/>
      <w:r>
        <w:rPr>
          <w:sz w:val="22"/>
          <w:szCs w:val="22"/>
        </w:rPr>
        <w:t>glikemijai</w:t>
      </w:r>
      <w:proofErr w:type="spellEnd"/>
      <w:r>
        <w:rPr>
          <w:sz w:val="22"/>
          <w:szCs w:val="22"/>
        </w:rPr>
        <w:t xml:space="preserve">, </w:t>
      </w:r>
      <w:proofErr w:type="spellStart"/>
      <w:r>
        <w:rPr>
          <w:sz w:val="22"/>
          <w:szCs w:val="22"/>
        </w:rPr>
        <w:t>metforminas</w:t>
      </w:r>
      <w:proofErr w:type="spellEnd"/>
      <w:r>
        <w:rPr>
          <w:sz w:val="22"/>
          <w:szCs w:val="22"/>
        </w:rPr>
        <w:t xml:space="preserve"> palankai veikia lipidų metabolizmą žmogaus organizme. Šis terapinių dozių poveikis nustatytas kontroliuojamų vidutinės ir ilgos trukmės klinikinių tyrimų metu (</w:t>
      </w:r>
      <w:proofErr w:type="spellStart"/>
      <w:r>
        <w:rPr>
          <w:sz w:val="22"/>
          <w:szCs w:val="22"/>
        </w:rPr>
        <w:t>metforminas</w:t>
      </w:r>
      <w:proofErr w:type="spellEnd"/>
      <w:r>
        <w:rPr>
          <w:sz w:val="22"/>
          <w:szCs w:val="22"/>
        </w:rPr>
        <w:t xml:space="preserve"> mažina bendro cholesterolio, MTL cholesterolio ir trigliceridų koncentracijas).</w:t>
      </w:r>
    </w:p>
    <w:p w14:paraId="56A2C68A" w14:textId="77777777" w:rsidR="00023BBF" w:rsidRDefault="00023BBF">
      <w:pPr>
        <w:widowControl w:val="0"/>
        <w:autoSpaceDE w:val="0"/>
        <w:autoSpaceDN w:val="0"/>
        <w:adjustRightInd w:val="0"/>
        <w:rPr>
          <w:sz w:val="22"/>
          <w:szCs w:val="22"/>
        </w:rPr>
      </w:pPr>
    </w:p>
    <w:p w14:paraId="3DA78E2D" w14:textId="77777777" w:rsidR="00023BBF" w:rsidRDefault="00E17C37">
      <w:pPr>
        <w:widowControl w:val="0"/>
        <w:autoSpaceDE w:val="0"/>
        <w:autoSpaceDN w:val="0"/>
        <w:adjustRightInd w:val="0"/>
        <w:rPr>
          <w:sz w:val="22"/>
          <w:szCs w:val="22"/>
        </w:rPr>
      </w:pPr>
      <w:r>
        <w:rPr>
          <w:sz w:val="22"/>
          <w:szCs w:val="22"/>
        </w:rPr>
        <w:t xml:space="preserve">Klinikinių tyrimų metu </w:t>
      </w:r>
      <w:proofErr w:type="spellStart"/>
      <w:r>
        <w:rPr>
          <w:sz w:val="22"/>
          <w:szCs w:val="22"/>
        </w:rPr>
        <w:t>metformino</w:t>
      </w:r>
      <w:proofErr w:type="spellEnd"/>
      <w:r>
        <w:rPr>
          <w:sz w:val="22"/>
          <w:szCs w:val="22"/>
        </w:rPr>
        <w:t xml:space="preserve"> vartojusių pacientų svoris nepakito arba truputį sumažėjo.</w:t>
      </w:r>
    </w:p>
    <w:p w14:paraId="6006195B" w14:textId="77777777" w:rsidR="00023BBF" w:rsidRDefault="00023BBF">
      <w:pPr>
        <w:widowControl w:val="0"/>
        <w:autoSpaceDE w:val="0"/>
        <w:autoSpaceDN w:val="0"/>
        <w:adjustRightInd w:val="0"/>
        <w:rPr>
          <w:sz w:val="22"/>
          <w:szCs w:val="22"/>
        </w:rPr>
      </w:pPr>
    </w:p>
    <w:p w14:paraId="65079D0F" w14:textId="77777777" w:rsidR="00023BBF" w:rsidRDefault="00E17C37">
      <w:pPr>
        <w:widowControl w:val="0"/>
        <w:autoSpaceDE w:val="0"/>
        <w:autoSpaceDN w:val="0"/>
        <w:adjustRightInd w:val="0"/>
        <w:rPr>
          <w:sz w:val="22"/>
          <w:szCs w:val="22"/>
          <w:u w:val="single"/>
        </w:rPr>
      </w:pPr>
      <w:r>
        <w:rPr>
          <w:sz w:val="22"/>
          <w:szCs w:val="22"/>
          <w:u w:val="single"/>
        </w:rPr>
        <w:t>Klinikinis veiksmingumas ir saugumas</w:t>
      </w:r>
    </w:p>
    <w:p w14:paraId="702142F4" w14:textId="77777777" w:rsidR="00023BBF" w:rsidRDefault="00E17C37">
      <w:pPr>
        <w:widowControl w:val="0"/>
        <w:autoSpaceDE w:val="0"/>
        <w:autoSpaceDN w:val="0"/>
        <w:adjustRightInd w:val="0"/>
        <w:rPr>
          <w:sz w:val="22"/>
          <w:szCs w:val="22"/>
        </w:rPr>
      </w:pPr>
      <w:proofErr w:type="spellStart"/>
      <w:r>
        <w:rPr>
          <w:sz w:val="22"/>
          <w:szCs w:val="22"/>
        </w:rPr>
        <w:t>Glikemijos</w:t>
      </w:r>
      <w:proofErr w:type="spellEnd"/>
      <w:r>
        <w:rPr>
          <w:sz w:val="22"/>
          <w:szCs w:val="22"/>
        </w:rPr>
        <w:t xml:space="preserve"> kontrolė bei kardiovaskulinio sergamumo ir mirštamumo mažinimas yra 2 tipo diabeto gydymo neatsiejamos sudėtinės dalys.</w:t>
      </w:r>
    </w:p>
    <w:p w14:paraId="47128A2B" w14:textId="77777777" w:rsidR="00023BBF" w:rsidRDefault="00023BBF">
      <w:pPr>
        <w:widowControl w:val="0"/>
        <w:autoSpaceDE w:val="0"/>
        <w:autoSpaceDN w:val="0"/>
        <w:adjustRightInd w:val="0"/>
        <w:rPr>
          <w:sz w:val="22"/>
          <w:szCs w:val="22"/>
        </w:rPr>
      </w:pPr>
    </w:p>
    <w:p w14:paraId="2D4B7375" w14:textId="77777777" w:rsidR="00023BBF" w:rsidRDefault="00E17C37">
      <w:pPr>
        <w:widowControl w:val="0"/>
        <w:autoSpaceDE w:val="0"/>
        <w:autoSpaceDN w:val="0"/>
        <w:adjustRightInd w:val="0"/>
        <w:rPr>
          <w:sz w:val="22"/>
          <w:szCs w:val="22"/>
        </w:rPr>
      </w:pPr>
      <w:r>
        <w:rPr>
          <w:sz w:val="22"/>
          <w:szCs w:val="22"/>
        </w:rPr>
        <w:t xml:space="preserve">Tirtas kartu vartojamų dapagliflozino ir </w:t>
      </w:r>
      <w:proofErr w:type="spellStart"/>
      <w:r>
        <w:rPr>
          <w:sz w:val="22"/>
          <w:szCs w:val="22"/>
        </w:rPr>
        <w:t>metformino</w:t>
      </w:r>
      <w:proofErr w:type="spellEnd"/>
      <w:r>
        <w:rPr>
          <w:sz w:val="22"/>
          <w:szCs w:val="22"/>
        </w:rPr>
        <w:t xml:space="preserve"> poveikis 2 tipo diabetu sergantiems žmonėms, kuriems reikiamos kontrolės neužtikrino vien dieta ar fizinis krūvis ir žmonėms, kuriems reikiamos kontrolės neužtikrino vien </w:t>
      </w:r>
      <w:proofErr w:type="spellStart"/>
      <w:r>
        <w:rPr>
          <w:sz w:val="22"/>
          <w:szCs w:val="22"/>
        </w:rPr>
        <w:t>metforminas</w:t>
      </w:r>
      <w:proofErr w:type="spellEnd"/>
      <w:r>
        <w:rPr>
          <w:sz w:val="22"/>
          <w:szCs w:val="22"/>
        </w:rPr>
        <w:t xml:space="preserve"> arba jo derinys su DPP-4 inhibitoriumi (</w:t>
      </w:r>
      <w:proofErr w:type="spellStart"/>
      <w:r>
        <w:rPr>
          <w:sz w:val="22"/>
          <w:szCs w:val="22"/>
        </w:rPr>
        <w:t>sitagliptinu</w:t>
      </w:r>
      <w:proofErr w:type="spellEnd"/>
      <w:r>
        <w:rPr>
          <w:sz w:val="22"/>
          <w:szCs w:val="22"/>
        </w:rPr>
        <w:t xml:space="preserve">), </w:t>
      </w:r>
      <w:proofErr w:type="spellStart"/>
      <w:r>
        <w:rPr>
          <w:sz w:val="22"/>
          <w:szCs w:val="22"/>
        </w:rPr>
        <w:t>sulfonilkarbamido</w:t>
      </w:r>
      <w:proofErr w:type="spellEnd"/>
      <w:r>
        <w:rPr>
          <w:sz w:val="22"/>
          <w:szCs w:val="22"/>
        </w:rPr>
        <w:t xml:space="preserve"> dariniu arba insulinu. Visos dapagliflozino ir </w:t>
      </w:r>
      <w:proofErr w:type="spellStart"/>
      <w:r>
        <w:rPr>
          <w:sz w:val="22"/>
          <w:szCs w:val="22"/>
        </w:rPr>
        <w:t>metformino</w:t>
      </w:r>
      <w:proofErr w:type="spellEnd"/>
      <w:r>
        <w:rPr>
          <w:sz w:val="22"/>
          <w:szCs w:val="22"/>
        </w:rPr>
        <w:t xml:space="preserve"> derinio dozės, palyginus su kontroline grupe, sukėlė kliniškai svarbų ir statistiškai reikšmingą HbA1c ir gliukozės koncentracijos plazmoje nevalgius sumažėjimą.</w:t>
      </w:r>
    </w:p>
    <w:p w14:paraId="42990F31" w14:textId="77777777" w:rsidR="00023BBF" w:rsidRDefault="00E17C37">
      <w:pPr>
        <w:widowControl w:val="0"/>
        <w:autoSpaceDE w:val="0"/>
        <w:autoSpaceDN w:val="0"/>
        <w:adjustRightInd w:val="0"/>
        <w:rPr>
          <w:sz w:val="22"/>
          <w:szCs w:val="22"/>
        </w:rPr>
      </w:pPr>
      <w:r>
        <w:rPr>
          <w:sz w:val="22"/>
          <w:szCs w:val="22"/>
        </w:rPr>
        <w:t xml:space="preserve">Kliniškai reikšmingas poveikis </w:t>
      </w:r>
      <w:proofErr w:type="spellStart"/>
      <w:r>
        <w:rPr>
          <w:sz w:val="22"/>
          <w:szCs w:val="22"/>
        </w:rPr>
        <w:t>glikemijai</w:t>
      </w:r>
      <w:proofErr w:type="spellEnd"/>
      <w:r>
        <w:rPr>
          <w:sz w:val="22"/>
          <w:szCs w:val="22"/>
        </w:rPr>
        <w:t xml:space="preserve"> išliko ir ilgalaikių, iki 104 savaičių trukmės tyrimų tęsinių metu. Sumažėjo visų pogrupių, sudarytų pagal lytį, amžių, rasę, ligos trukmę ir pradinį kūno masės indeksą (KMI), pacientų HbA1c koncentracija. Be to, po 24 savaičių nustatytas kliniškai reikšmingas ir statistiškai reikšmingas dapagliflozino ir </w:t>
      </w:r>
      <w:proofErr w:type="spellStart"/>
      <w:r>
        <w:rPr>
          <w:sz w:val="22"/>
          <w:szCs w:val="22"/>
        </w:rPr>
        <w:t>metformino</w:t>
      </w:r>
      <w:proofErr w:type="spellEnd"/>
      <w:r>
        <w:rPr>
          <w:sz w:val="22"/>
          <w:szCs w:val="22"/>
        </w:rPr>
        <w:t xml:space="preserve"> derinio grupės pacientų, palyginus su kontroline grupe, vidutinio kūno svorio sumažėjimas, palyginus su pradiniu svoriu. Kūno svoris išliko sumažėjęs ir ilgalaikių, iki 208 savaičių trukmės tyrimų tęsinių metu. Taip pat nustatyta, kad dapagliflozinas, vartojamas 2 kartus per parą kartu su </w:t>
      </w:r>
      <w:proofErr w:type="spellStart"/>
      <w:r>
        <w:rPr>
          <w:sz w:val="22"/>
          <w:szCs w:val="22"/>
        </w:rPr>
        <w:t>metforminu</w:t>
      </w:r>
      <w:proofErr w:type="spellEnd"/>
      <w:r>
        <w:rPr>
          <w:sz w:val="22"/>
          <w:szCs w:val="22"/>
        </w:rPr>
        <w:t>, 2 diabetu sergantiems pacientams yra saugus ir veiksmingas. Be to, atlikti du 12 savaičių trukmės placebu kontroliuojami tyrimai, kuriuose dalyvavusiems pacientams buvo tinkamai nekontroliuojamas 2 tipo diabetas ir hipertenzija.</w:t>
      </w:r>
    </w:p>
    <w:p w14:paraId="04E8B3C7" w14:textId="77777777" w:rsidR="00023BBF" w:rsidRDefault="00023BBF">
      <w:pPr>
        <w:widowControl w:val="0"/>
        <w:autoSpaceDE w:val="0"/>
        <w:autoSpaceDN w:val="0"/>
        <w:adjustRightInd w:val="0"/>
        <w:rPr>
          <w:sz w:val="22"/>
          <w:szCs w:val="22"/>
        </w:rPr>
      </w:pPr>
    </w:p>
    <w:p w14:paraId="6E459F20" w14:textId="77777777" w:rsidR="00023BBF" w:rsidRDefault="00E17C37">
      <w:pPr>
        <w:widowControl w:val="0"/>
        <w:autoSpaceDE w:val="0"/>
        <w:autoSpaceDN w:val="0"/>
        <w:adjustRightInd w:val="0"/>
        <w:rPr>
          <w:sz w:val="22"/>
          <w:szCs w:val="22"/>
        </w:rPr>
      </w:pPr>
      <w:r>
        <w:rPr>
          <w:sz w:val="22"/>
          <w:szCs w:val="22"/>
        </w:rPr>
        <w:t>DECLARE tyrimo metu dapagliflozinas, vartotas įprastinio gydymo poveikiui papildyti, sumažino kardiovaskulinių ir inkstų komplikacijų skaičių 2 tipo cukriniu diabetu sirgusiems pacientams.</w:t>
      </w:r>
    </w:p>
    <w:p w14:paraId="7FF6738D" w14:textId="77777777" w:rsidR="00023BBF" w:rsidRDefault="00023BBF">
      <w:pPr>
        <w:widowControl w:val="0"/>
        <w:autoSpaceDE w:val="0"/>
        <w:autoSpaceDN w:val="0"/>
        <w:adjustRightInd w:val="0"/>
        <w:rPr>
          <w:sz w:val="22"/>
          <w:szCs w:val="22"/>
        </w:rPr>
      </w:pPr>
    </w:p>
    <w:p w14:paraId="2CBBDBD7" w14:textId="77777777" w:rsidR="00023BBF" w:rsidRDefault="00E17C37">
      <w:pPr>
        <w:widowControl w:val="0"/>
        <w:autoSpaceDE w:val="0"/>
        <w:autoSpaceDN w:val="0"/>
        <w:adjustRightInd w:val="0"/>
        <w:rPr>
          <w:i/>
          <w:iCs/>
          <w:sz w:val="22"/>
          <w:szCs w:val="22"/>
          <w:u w:val="single"/>
        </w:rPr>
      </w:pPr>
      <w:proofErr w:type="spellStart"/>
      <w:r>
        <w:rPr>
          <w:i/>
          <w:iCs/>
          <w:sz w:val="22"/>
          <w:szCs w:val="22"/>
          <w:u w:val="single"/>
        </w:rPr>
        <w:t>Glikemijos</w:t>
      </w:r>
      <w:proofErr w:type="spellEnd"/>
      <w:r>
        <w:rPr>
          <w:i/>
          <w:iCs/>
          <w:sz w:val="22"/>
          <w:szCs w:val="22"/>
          <w:u w:val="single"/>
        </w:rPr>
        <w:t xml:space="preserve"> kontrolė</w:t>
      </w:r>
    </w:p>
    <w:p w14:paraId="3DED8512" w14:textId="77777777" w:rsidR="00023BBF" w:rsidRDefault="00E17C37">
      <w:pPr>
        <w:widowControl w:val="0"/>
        <w:autoSpaceDE w:val="0"/>
        <w:autoSpaceDN w:val="0"/>
        <w:adjustRightInd w:val="0"/>
        <w:rPr>
          <w:i/>
          <w:iCs/>
          <w:sz w:val="22"/>
          <w:szCs w:val="22"/>
        </w:rPr>
      </w:pPr>
      <w:r>
        <w:rPr>
          <w:i/>
          <w:iCs/>
          <w:sz w:val="22"/>
          <w:szCs w:val="22"/>
        </w:rPr>
        <w:t>Vartojimas kitų vaistinių preparatų poveikiui papildyti</w:t>
      </w:r>
    </w:p>
    <w:p w14:paraId="5C16E5B2" w14:textId="77777777" w:rsidR="00023BBF" w:rsidRDefault="00E17C37">
      <w:pPr>
        <w:widowControl w:val="0"/>
        <w:autoSpaceDE w:val="0"/>
        <w:autoSpaceDN w:val="0"/>
        <w:adjustRightInd w:val="0"/>
        <w:rPr>
          <w:sz w:val="22"/>
          <w:szCs w:val="22"/>
        </w:rPr>
      </w:pPr>
      <w:r>
        <w:rPr>
          <w:sz w:val="22"/>
          <w:szCs w:val="22"/>
        </w:rPr>
        <w:t xml:space="preserve">Atliktas 52 savaičių aktyvios kontrolės ne blogesnio poveikio tyrimas, turėjęs 52 ir 104 savaičių tęsinius. Jo metu lyginta, kaip 10 mg dapagliflozino ir </w:t>
      </w:r>
      <w:proofErr w:type="spellStart"/>
      <w:r>
        <w:rPr>
          <w:sz w:val="22"/>
          <w:szCs w:val="22"/>
        </w:rPr>
        <w:t>sulfonilkarbamido</w:t>
      </w:r>
      <w:proofErr w:type="spellEnd"/>
      <w:r>
        <w:rPr>
          <w:sz w:val="22"/>
          <w:szCs w:val="22"/>
        </w:rPr>
        <w:t xml:space="preserve"> darinio (</w:t>
      </w:r>
      <w:proofErr w:type="spellStart"/>
      <w:r>
        <w:rPr>
          <w:sz w:val="22"/>
          <w:szCs w:val="22"/>
        </w:rPr>
        <w:t>glipizido</w:t>
      </w:r>
      <w:proofErr w:type="spellEnd"/>
      <w:r>
        <w:rPr>
          <w:sz w:val="22"/>
          <w:szCs w:val="22"/>
        </w:rPr>
        <w:t xml:space="preserve">) papildo </w:t>
      </w:r>
      <w:proofErr w:type="spellStart"/>
      <w:r>
        <w:rPr>
          <w:sz w:val="22"/>
          <w:szCs w:val="22"/>
        </w:rPr>
        <w:t>metformino</w:t>
      </w:r>
      <w:proofErr w:type="spellEnd"/>
      <w:r>
        <w:rPr>
          <w:sz w:val="22"/>
          <w:szCs w:val="22"/>
        </w:rPr>
        <w:t xml:space="preserve"> poveikį žmonėms, kurių </w:t>
      </w:r>
      <w:proofErr w:type="spellStart"/>
      <w:r>
        <w:rPr>
          <w:sz w:val="22"/>
          <w:szCs w:val="22"/>
        </w:rPr>
        <w:t>glikemijos</w:t>
      </w:r>
      <w:proofErr w:type="spellEnd"/>
      <w:r>
        <w:rPr>
          <w:sz w:val="22"/>
          <w:szCs w:val="22"/>
        </w:rPr>
        <w:t xml:space="preserve"> kontrolė nepakankama (HbA1c &gt; 6,5 % ir ≤ 10 %). Nustatytas panašus vidutinis HbA1c koncentracijos, palyginus su pradine, sumažėjimas per 52 savaites ir tokiu būdu įrodyta, kad dapagliflozinas veikia ne blogiau už </w:t>
      </w:r>
      <w:proofErr w:type="spellStart"/>
      <w:r>
        <w:rPr>
          <w:sz w:val="22"/>
          <w:szCs w:val="22"/>
        </w:rPr>
        <w:t>glipizidą</w:t>
      </w:r>
      <w:proofErr w:type="spellEnd"/>
      <w:r>
        <w:rPr>
          <w:sz w:val="22"/>
          <w:szCs w:val="22"/>
        </w:rPr>
        <w:t xml:space="preserve"> (3 lentelė). Po 104 savaičių dapagliflozino grupės pacientų koreguota vidutinė HbA1c koncentracija buvo 0,32 %, o </w:t>
      </w:r>
      <w:proofErr w:type="spellStart"/>
      <w:r>
        <w:rPr>
          <w:sz w:val="22"/>
          <w:szCs w:val="22"/>
        </w:rPr>
        <w:t>glipizido</w:t>
      </w:r>
      <w:proofErr w:type="spellEnd"/>
      <w:r>
        <w:rPr>
          <w:sz w:val="22"/>
          <w:szCs w:val="22"/>
        </w:rPr>
        <w:t xml:space="preserve"> – 0,14 % mažesnė už pradinę. Po 208 savaičių dapagliflozino grupės pacientų koreguota vidutinė HbA1c koncentracija buvo 0,10 % mažesnė už pradinę, o </w:t>
      </w:r>
      <w:proofErr w:type="spellStart"/>
      <w:r>
        <w:rPr>
          <w:sz w:val="22"/>
          <w:szCs w:val="22"/>
        </w:rPr>
        <w:t>glipizido</w:t>
      </w:r>
      <w:proofErr w:type="spellEnd"/>
      <w:r>
        <w:rPr>
          <w:sz w:val="22"/>
          <w:szCs w:val="22"/>
        </w:rPr>
        <w:t xml:space="preserve"> – 0,20 % už ją didesnė. Per 52, 104 ir 208 savaites bent vieną hipoglikemijos reiškinį patyrė reikšmingai mažiau dapagliflozino grupės pacientų (atitinkamai 3,5 %, 4,3 % ir 5,0 %) negu </w:t>
      </w:r>
      <w:proofErr w:type="spellStart"/>
      <w:r>
        <w:rPr>
          <w:sz w:val="22"/>
          <w:szCs w:val="22"/>
        </w:rPr>
        <w:t>glipizido</w:t>
      </w:r>
      <w:proofErr w:type="spellEnd"/>
      <w:r>
        <w:rPr>
          <w:sz w:val="22"/>
          <w:szCs w:val="22"/>
        </w:rPr>
        <w:t xml:space="preserve"> (atitinkamai 40,8 %, 47 % ir 50,0 %). Po 104 ir 208 savaičių tyrime toliau atitinkamai dalyvavo 56,2 % ir 39,7 % dapagliflozino bei 50 % ir 34,6 % </w:t>
      </w:r>
      <w:proofErr w:type="spellStart"/>
      <w:r>
        <w:rPr>
          <w:sz w:val="22"/>
          <w:szCs w:val="22"/>
        </w:rPr>
        <w:t>glipizido</w:t>
      </w:r>
      <w:proofErr w:type="spellEnd"/>
      <w:r>
        <w:rPr>
          <w:sz w:val="22"/>
          <w:szCs w:val="22"/>
        </w:rPr>
        <w:t xml:space="preserve"> grupės pacientų.</w:t>
      </w:r>
    </w:p>
    <w:p w14:paraId="7576B58D" w14:textId="77777777" w:rsidR="00023BBF" w:rsidRDefault="00023BBF">
      <w:pPr>
        <w:widowControl w:val="0"/>
        <w:autoSpaceDE w:val="0"/>
        <w:autoSpaceDN w:val="0"/>
        <w:adjustRightInd w:val="0"/>
        <w:rPr>
          <w:rFonts w:eastAsia="TimesNewRoman"/>
          <w:sz w:val="22"/>
          <w:szCs w:val="22"/>
          <w:lang w:eastAsia="en-US"/>
        </w:rPr>
      </w:pPr>
    </w:p>
    <w:p w14:paraId="661FE4E5" w14:textId="77777777" w:rsidR="00023BBF" w:rsidRDefault="00E17C37">
      <w:pPr>
        <w:widowControl w:val="0"/>
        <w:autoSpaceDE w:val="0"/>
        <w:autoSpaceDN w:val="0"/>
        <w:adjustRightInd w:val="0"/>
        <w:rPr>
          <w:b/>
          <w:bCs/>
          <w:sz w:val="22"/>
          <w:szCs w:val="22"/>
        </w:rPr>
      </w:pPr>
      <w:r>
        <w:rPr>
          <w:b/>
          <w:bCs/>
          <w:sz w:val="22"/>
          <w:szCs w:val="22"/>
        </w:rPr>
        <w:t>3 lentelė. Duomenys po 52 savaičių (</w:t>
      </w:r>
      <w:proofErr w:type="spellStart"/>
      <w:r>
        <w:rPr>
          <w:b/>
          <w:bCs/>
          <w:sz w:val="22"/>
          <w:szCs w:val="22"/>
        </w:rPr>
        <w:t>LOCF</w:t>
      </w:r>
      <w:r>
        <w:rPr>
          <w:b/>
          <w:bCs/>
          <w:sz w:val="22"/>
          <w:szCs w:val="22"/>
          <w:vertAlign w:val="superscript"/>
        </w:rPr>
        <w:t>a</w:t>
      </w:r>
      <w:proofErr w:type="spellEnd"/>
      <w:r>
        <w:rPr>
          <w:b/>
          <w:bCs/>
          <w:sz w:val="22"/>
          <w:szCs w:val="22"/>
        </w:rPr>
        <w:t xml:space="preserve">) aktyvios kontrolės tyrimo metu lyginus kaip dapagliflozinas ir </w:t>
      </w:r>
      <w:proofErr w:type="spellStart"/>
      <w:r>
        <w:rPr>
          <w:b/>
          <w:bCs/>
          <w:sz w:val="22"/>
          <w:szCs w:val="22"/>
        </w:rPr>
        <w:t>glipizidas</w:t>
      </w:r>
      <w:proofErr w:type="spellEnd"/>
      <w:r>
        <w:rPr>
          <w:b/>
          <w:bCs/>
          <w:sz w:val="22"/>
          <w:szCs w:val="22"/>
        </w:rPr>
        <w:t xml:space="preserve"> papildo </w:t>
      </w:r>
      <w:proofErr w:type="spellStart"/>
      <w:r>
        <w:rPr>
          <w:b/>
          <w:bCs/>
          <w:sz w:val="22"/>
          <w:szCs w:val="22"/>
        </w:rPr>
        <w:t>metformino</w:t>
      </w:r>
      <w:proofErr w:type="spellEnd"/>
      <w:r>
        <w:rPr>
          <w:b/>
          <w:bCs/>
          <w:sz w:val="22"/>
          <w:szCs w:val="22"/>
        </w:rPr>
        <w:t xml:space="preserve"> poveikį</w:t>
      </w:r>
    </w:p>
    <w:p w14:paraId="709D1D00" w14:textId="77777777" w:rsidR="00023BBF" w:rsidRDefault="00023BBF">
      <w:pPr>
        <w:widowControl w:val="0"/>
        <w:autoSpaceDE w:val="0"/>
        <w:autoSpaceDN w:val="0"/>
        <w:adjustRightInd w:val="0"/>
        <w:rPr>
          <w:rFonts w:eastAsia="TimesNewRoman"/>
          <w:sz w:val="22"/>
          <w:szCs w:val="22"/>
          <w:lang w:eastAsia="en-US"/>
        </w:rPr>
      </w:pPr>
    </w:p>
    <w:tbl>
      <w:tblPr>
        <w:tblStyle w:val="TableNormal1"/>
        <w:tblW w:w="9093" w:type="dxa"/>
        <w:tblLayout w:type="fixed"/>
        <w:tblLook w:val="01E0" w:firstRow="1" w:lastRow="1" w:firstColumn="1" w:lastColumn="1" w:noHBand="0" w:noVBand="0"/>
      </w:tblPr>
      <w:tblGrid>
        <w:gridCol w:w="4386"/>
        <w:gridCol w:w="2585"/>
        <w:gridCol w:w="2103"/>
        <w:gridCol w:w="19"/>
      </w:tblGrid>
      <w:tr w:rsidR="00023BBF" w14:paraId="17FA139D" w14:textId="77777777">
        <w:trPr>
          <w:trHeight w:val="240"/>
        </w:trPr>
        <w:tc>
          <w:tcPr>
            <w:tcW w:w="4386" w:type="dxa"/>
            <w:tcBorders>
              <w:top w:val="single" w:sz="4" w:space="0" w:color="auto"/>
              <w:bottom w:val="single" w:sz="4" w:space="0" w:color="auto"/>
            </w:tcBorders>
          </w:tcPr>
          <w:p w14:paraId="566E73D9" w14:textId="77777777" w:rsidR="00023BBF" w:rsidRDefault="00E17C37">
            <w:pPr>
              <w:spacing w:line="220" w:lineRule="exact"/>
              <w:ind w:left="142" w:right="2686"/>
              <w:rPr>
                <w:rFonts w:eastAsia="Calibri"/>
                <w:b/>
                <w:spacing w:val="-5"/>
                <w:lang w:val="en-GB" w:eastAsia="en-US"/>
              </w:rPr>
            </w:pPr>
            <w:proofErr w:type="spellStart"/>
            <w:r>
              <w:rPr>
                <w:rFonts w:eastAsia="Calibri"/>
                <w:b/>
                <w:spacing w:val="-2"/>
                <w:lang w:val="en-GB" w:eastAsia="en-US"/>
              </w:rPr>
              <w:t>Rodiklis</w:t>
            </w:r>
            <w:proofErr w:type="spellEnd"/>
          </w:p>
        </w:tc>
        <w:tc>
          <w:tcPr>
            <w:tcW w:w="2585" w:type="dxa"/>
            <w:tcBorders>
              <w:top w:val="single" w:sz="4" w:space="0" w:color="auto"/>
              <w:bottom w:val="single" w:sz="4" w:space="0" w:color="auto"/>
            </w:tcBorders>
          </w:tcPr>
          <w:p w14:paraId="665F2691" w14:textId="77777777" w:rsidR="00023BBF" w:rsidRDefault="00E17C37">
            <w:pPr>
              <w:spacing w:line="220" w:lineRule="exact"/>
              <w:ind w:left="156" w:right="921"/>
              <w:rPr>
                <w:rFonts w:eastAsia="Calibri"/>
                <w:spacing w:val="-5"/>
                <w:lang w:val="en-GB" w:eastAsia="en-US"/>
              </w:rPr>
            </w:pPr>
            <w:proofErr w:type="spellStart"/>
            <w:r>
              <w:rPr>
                <w:rFonts w:eastAsia="Calibri"/>
                <w:b/>
                <w:spacing w:val="-2"/>
                <w:lang w:val="en-GB" w:eastAsia="en-US"/>
              </w:rPr>
              <w:t>Dapagliflozinas</w:t>
            </w:r>
            <w:proofErr w:type="spellEnd"/>
            <w:r>
              <w:rPr>
                <w:rFonts w:eastAsia="Calibri"/>
                <w:b/>
                <w:spacing w:val="-2"/>
                <w:lang w:val="en-GB" w:eastAsia="en-US"/>
              </w:rPr>
              <w:t xml:space="preserve"> </w:t>
            </w:r>
            <w:proofErr w:type="spellStart"/>
            <w:r>
              <w:rPr>
                <w:rFonts w:eastAsia="Calibri"/>
                <w:b/>
                <w:spacing w:val="-2"/>
                <w:lang w:val="en-GB" w:eastAsia="en-US"/>
              </w:rPr>
              <w:t>ir</w:t>
            </w:r>
            <w:proofErr w:type="spellEnd"/>
            <w:r>
              <w:rPr>
                <w:rFonts w:eastAsia="Calibri"/>
                <w:b/>
                <w:spacing w:val="-2"/>
                <w:lang w:val="en-GB" w:eastAsia="en-US"/>
              </w:rPr>
              <w:t xml:space="preserve"> </w:t>
            </w:r>
            <w:proofErr w:type="spellStart"/>
            <w:r>
              <w:rPr>
                <w:rFonts w:eastAsia="Calibri"/>
                <w:b/>
                <w:spacing w:val="-2"/>
                <w:lang w:val="en-GB" w:eastAsia="en-US"/>
              </w:rPr>
              <w:t>metforminas</w:t>
            </w:r>
            <w:proofErr w:type="spellEnd"/>
          </w:p>
        </w:tc>
        <w:tc>
          <w:tcPr>
            <w:tcW w:w="2122" w:type="dxa"/>
            <w:gridSpan w:val="2"/>
            <w:tcBorders>
              <w:top w:val="single" w:sz="4" w:space="0" w:color="auto"/>
              <w:bottom w:val="single" w:sz="4" w:space="0" w:color="auto"/>
            </w:tcBorders>
          </w:tcPr>
          <w:p w14:paraId="6B57879A" w14:textId="77777777" w:rsidR="00023BBF" w:rsidRDefault="00E17C37">
            <w:pPr>
              <w:spacing w:line="220" w:lineRule="exact"/>
              <w:ind w:left="128"/>
              <w:rPr>
                <w:rFonts w:eastAsia="Calibri"/>
                <w:spacing w:val="-5"/>
                <w:lang w:val="en-GB" w:eastAsia="en-US"/>
              </w:rPr>
            </w:pPr>
            <w:proofErr w:type="spellStart"/>
            <w:r>
              <w:rPr>
                <w:rFonts w:eastAsia="Calibri"/>
                <w:b/>
                <w:spacing w:val="-2"/>
                <w:lang w:val="en-GB" w:eastAsia="en-US"/>
              </w:rPr>
              <w:t>Glipizidas</w:t>
            </w:r>
            <w:proofErr w:type="spellEnd"/>
            <w:r>
              <w:rPr>
                <w:rFonts w:eastAsia="Calibri"/>
                <w:b/>
                <w:spacing w:val="-2"/>
                <w:lang w:val="en-GB" w:eastAsia="en-US"/>
              </w:rPr>
              <w:t xml:space="preserve"> </w:t>
            </w:r>
            <w:proofErr w:type="spellStart"/>
            <w:r>
              <w:rPr>
                <w:rFonts w:eastAsia="Calibri"/>
                <w:b/>
                <w:spacing w:val="-2"/>
                <w:lang w:val="en-GB" w:eastAsia="en-US"/>
              </w:rPr>
              <w:t>ir</w:t>
            </w:r>
            <w:proofErr w:type="spellEnd"/>
            <w:r>
              <w:rPr>
                <w:rFonts w:eastAsia="Calibri"/>
                <w:b/>
                <w:spacing w:val="-2"/>
                <w:lang w:val="en-GB" w:eastAsia="en-US"/>
              </w:rPr>
              <w:t xml:space="preserve"> </w:t>
            </w:r>
            <w:proofErr w:type="spellStart"/>
            <w:r>
              <w:rPr>
                <w:rFonts w:eastAsia="Calibri"/>
                <w:b/>
                <w:spacing w:val="-2"/>
                <w:lang w:val="en-GB" w:eastAsia="en-US"/>
              </w:rPr>
              <w:t>metforminas</w:t>
            </w:r>
            <w:proofErr w:type="spellEnd"/>
          </w:p>
        </w:tc>
      </w:tr>
      <w:tr w:rsidR="00023BBF" w14:paraId="645AC82C" w14:textId="77777777">
        <w:trPr>
          <w:gridAfter w:val="1"/>
          <w:wAfter w:w="19" w:type="dxa"/>
          <w:trHeight w:val="240"/>
        </w:trPr>
        <w:tc>
          <w:tcPr>
            <w:tcW w:w="4386" w:type="dxa"/>
            <w:tcBorders>
              <w:top w:val="single" w:sz="4" w:space="0" w:color="auto"/>
            </w:tcBorders>
          </w:tcPr>
          <w:p w14:paraId="6FCF1A77" w14:textId="77777777" w:rsidR="00023BBF" w:rsidRDefault="00E17C37">
            <w:pPr>
              <w:spacing w:line="220" w:lineRule="exact"/>
              <w:ind w:left="146" w:right="2686"/>
              <w:rPr>
                <w:rFonts w:eastAsia="Calibri"/>
                <w:b/>
                <w:lang w:val="en-GB" w:eastAsia="en-US"/>
              </w:rPr>
            </w:pPr>
            <w:r>
              <w:rPr>
                <w:rFonts w:eastAsia="Calibri"/>
                <w:b/>
                <w:spacing w:val="-5"/>
                <w:lang w:val="en-GB" w:eastAsia="en-US"/>
              </w:rPr>
              <w:t>N</w:t>
            </w:r>
            <w:r>
              <w:rPr>
                <w:rFonts w:eastAsia="Calibri"/>
                <w:spacing w:val="-5"/>
                <w:vertAlign w:val="superscript"/>
                <w:lang w:val="en-GB" w:eastAsia="en-US"/>
              </w:rPr>
              <w:t>b</w:t>
            </w:r>
          </w:p>
        </w:tc>
        <w:tc>
          <w:tcPr>
            <w:tcW w:w="2585" w:type="dxa"/>
            <w:tcBorders>
              <w:top w:val="single" w:sz="4" w:space="0" w:color="auto"/>
            </w:tcBorders>
          </w:tcPr>
          <w:p w14:paraId="77373C6A" w14:textId="77777777" w:rsidR="00023BBF" w:rsidRDefault="00E17C37">
            <w:pPr>
              <w:spacing w:line="220" w:lineRule="exact"/>
              <w:ind w:left="814" w:right="921"/>
              <w:jc w:val="center"/>
              <w:rPr>
                <w:rFonts w:eastAsia="Calibri"/>
                <w:spacing w:val="-4"/>
                <w:lang w:val="en-GB" w:eastAsia="en-US"/>
              </w:rPr>
            </w:pPr>
            <w:r>
              <w:rPr>
                <w:rFonts w:eastAsia="Calibri"/>
                <w:spacing w:val="-5"/>
                <w:lang w:val="en-GB" w:eastAsia="en-US"/>
              </w:rPr>
              <w:t>400</w:t>
            </w:r>
          </w:p>
        </w:tc>
        <w:tc>
          <w:tcPr>
            <w:tcW w:w="2103" w:type="dxa"/>
            <w:tcBorders>
              <w:top w:val="single" w:sz="4" w:space="0" w:color="auto"/>
            </w:tcBorders>
          </w:tcPr>
          <w:p w14:paraId="1D15B202" w14:textId="77777777" w:rsidR="00023BBF" w:rsidRDefault="00E17C37">
            <w:pPr>
              <w:spacing w:line="220" w:lineRule="exact"/>
              <w:ind w:left="815"/>
              <w:rPr>
                <w:rFonts w:eastAsia="Calibri"/>
                <w:spacing w:val="-4"/>
                <w:lang w:val="en-GB" w:eastAsia="en-US"/>
              </w:rPr>
            </w:pPr>
            <w:r>
              <w:rPr>
                <w:rFonts w:eastAsia="Calibri"/>
                <w:spacing w:val="-5"/>
                <w:lang w:val="en-GB" w:eastAsia="en-US"/>
              </w:rPr>
              <w:t>401</w:t>
            </w:r>
          </w:p>
        </w:tc>
      </w:tr>
      <w:tr w:rsidR="00023BBF" w14:paraId="24A4B2C0" w14:textId="77777777">
        <w:trPr>
          <w:gridAfter w:val="1"/>
          <w:wAfter w:w="19" w:type="dxa"/>
          <w:trHeight w:val="240"/>
        </w:trPr>
        <w:tc>
          <w:tcPr>
            <w:tcW w:w="4386" w:type="dxa"/>
          </w:tcPr>
          <w:p w14:paraId="09BE2AD6" w14:textId="77777777" w:rsidR="00023BBF" w:rsidRDefault="00E17C37">
            <w:pPr>
              <w:spacing w:line="220" w:lineRule="exact"/>
              <w:ind w:left="146" w:right="2686"/>
              <w:rPr>
                <w:rFonts w:eastAsia="Calibri"/>
                <w:lang w:val="en-GB" w:eastAsia="en-US"/>
              </w:rPr>
            </w:pPr>
            <w:r>
              <w:rPr>
                <w:rFonts w:eastAsia="Calibri"/>
                <w:b/>
                <w:lang w:val="en-GB" w:eastAsia="en-US"/>
              </w:rPr>
              <w:t>HbA1c (%)</w:t>
            </w:r>
          </w:p>
        </w:tc>
        <w:tc>
          <w:tcPr>
            <w:tcW w:w="2585" w:type="dxa"/>
          </w:tcPr>
          <w:p w14:paraId="5F7E07F7" w14:textId="77777777" w:rsidR="00023BBF" w:rsidRDefault="00023BBF">
            <w:pPr>
              <w:spacing w:line="220" w:lineRule="exact"/>
              <w:ind w:left="814" w:right="921"/>
              <w:jc w:val="center"/>
              <w:rPr>
                <w:rFonts w:eastAsia="Calibri"/>
                <w:spacing w:val="-4"/>
                <w:lang w:val="en-GB" w:eastAsia="en-US"/>
              </w:rPr>
            </w:pPr>
          </w:p>
        </w:tc>
        <w:tc>
          <w:tcPr>
            <w:tcW w:w="2103" w:type="dxa"/>
          </w:tcPr>
          <w:p w14:paraId="01047FBA" w14:textId="77777777" w:rsidR="00023BBF" w:rsidRDefault="00023BBF">
            <w:pPr>
              <w:spacing w:line="220" w:lineRule="exact"/>
              <w:ind w:left="815"/>
              <w:rPr>
                <w:rFonts w:eastAsia="Calibri"/>
                <w:spacing w:val="-4"/>
                <w:lang w:val="en-GB" w:eastAsia="en-US"/>
              </w:rPr>
            </w:pPr>
          </w:p>
        </w:tc>
      </w:tr>
      <w:tr w:rsidR="00023BBF" w14:paraId="3320AC6A" w14:textId="77777777">
        <w:trPr>
          <w:trHeight w:val="240"/>
        </w:trPr>
        <w:tc>
          <w:tcPr>
            <w:tcW w:w="4386" w:type="dxa"/>
          </w:tcPr>
          <w:p w14:paraId="5D6A41B9" w14:textId="77777777" w:rsidR="00023BBF" w:rsidRDefault="00E17C37">
            <w:pPr>
              <w:spacing w:line="220" w:lineRule="exact"/>
              <w:ind w:right="2686"/>
              <w:jc w:val="right"/>
              <w:rPr>
                <w:rFonts w:eastAsia="Calibri"/>
                <w:lang w:val="en-GB" w:eastAsia="en-US"/>
              </w:rPr>
            </w:pPr>
            <w:proofErr w:type="spellStart"/>
            <w:r>
              <w:rPr>
                <w:rFonts w:eastAsia="Calibri"/>
                <w:lang w:val="en-GB" w:eastAsia="en-US"/>
              </w:rPr>
              <w:t>Pradinė</w:t>
            </w:r>
            <w:proofErr w:type="spellEnd"/>
            <w:r>
              <w:rPr>
                <w:rFonts w:eastAsia="Calibri"/>
                <w:spacing w:val="-8"/>
                <w:lang w:val="en-GB" w:eastAsia="en-US"/>
              </w:rPr>
              <w:t xml:space="preserve"> </w:t>
            </w:r>
            <w:r>
              <w:rPr>
                <w:rFonts w:eastAsia="Calibri"/>
                <w:spacing w:val="-2"/>
                <w:lang w:val="en-GB" w:eastAsia="en-US"/>
              </w:rPr>
              <w:t>(</w:t>
            </w:r>
            <w:proofErr w:type="spellStart"/>
            <w:r>
              <w:rPr>
                <w:rFonts w:eastAsia="Calibri"/>
                <w:spacing w:val="-2"/>
                <w:lang w:val="en-GB" w:eastAsia="en-US"/>
              </w:rPr>
              <w:t>vidurkis</w:t>
            </w:r>
            <w:proofErr w:type="spellEnd"/>
            <w:r>
              <w:rPr>
                <w:rFonts w:eastAsia="Calibri"/>
                <w:spacing w:val="-2"/>
                <w:lang w:val="en-GB" w:eastAsia="en-US"/>
              </w:rPr>
              <w:t>)</w:t>
            </w:r>
          </w:p>
        </w:tc>
        <w:tc>
          <w:tcPr>
            <w:tcW w:w="2585" w:type="dxa"/>
          </w:tcPr>
          <w:p w14:paraId="5068309B" w14:textId="77777777" w:rsidR="00023BBF" w:rsidRDefault="00E17C37">
            <w:pPr>
              <w:spacing w:line="220" w:lineRule="exact"/>
              <w:ind w:left="814" w:right="921"/>
              <w:jc w:val="center"/>
              <w:rPr>
                <w:rFonts w:eastAsia="Calibri"/>
                <w:lang w:val="en-GB" w:eastAsia="en-US"/>
              </w:rPr>
            </w:pPr>
            <w:r>
              <w:rPr>
                <w:rFonts w:eastAsia="Calibri"/>
                <w:spacing w:val="-4"/>
                <w:lang w:val="en-GB" w:eastAsia="en-US"/>
              </w:rPr>
              <w:t>7,69</w:t>
            </w:r>
          </w:p>
        </w:tc>
        <w:tc>
          <w:tcPr>
            <w:tcW w:w="2122" w:type="dxa"/>
            <w:gridSpan w:val="2"/>
          </w:tcPr>
          <w:p w14:paraId="481D9D19" w14:textId="77777777" w:rsidR="00023BBF" w:rsidRDefault="00E17C37">
            <w:pPr>
              <w:spacing w:line="220" w:lineRule="exact"/>
              <w:ind w:left="815"/>
              <w:rPr>
                <w:rFonts w:eastAsia="Calibri"/>
                <w:lang w:val="en-GB" w:eastAsia="en-US"/>
              </w:rPr>
            </w:pPr>
            <w:r>
              <w:rPr>
                <w:rFonts w:eastAsia="Calibri"/>
                <w:spacing w:val="-4"/>
                <w:lang w:val="en-GB" w:eastAsia="en-US"/>
              </w:rPr>
              <w:t>7,74</w:t>
            </w:r>
          </w:p>
        </w:tc>
      </w:tr>
      <w:tr w:rsidR="00023BBF" w14:paraId="3BCFC364" w14:textId="77777777">
        <w:trPr>
          <w:trHeight w:val="518"/>
        </w:trPr>
        <w:tc>
          <w:tcPr>
            <w:tcW w:w="4386" w:type="dxa"/>
          </w:tcPr>
          <w:p w14:paraId="07831A4E" w14:textId="77777777" w:rsidR="00023BBF" w:rsidRDefault="00E17C37">
            <w:pPr>
              <w:spacing w:line="245" w:lineRule="exact"/>
              <w:ind w:left="254"/>
              <w:rPr>
                <w:rFonts w:eastAsia="Calibri"/>
                <w:lang w:val="pt-PT" w:eastAsia="en-US"/>
              </w:rPr>
            </w:pPr>
            <w:r>
              <w:rPr>
                <w:rFonts w:eastAsia="Calibri"/>
                <w:lang w:val="pt-PT" w:eastAsia="en-US"/>
              </w:rPr>
              <w:t>Pokytis palyginus su pradine</w:t>
            </w:r>
            <w:r>
              <w:rPr>
                <w:rFonts w:eastAsia="Calibri"/>
                <w:spacing w:val="-2"/>
                <w:vertAlign w:val="superscript"/>
                <w:lang w:val="pt-PT" w:eastAsia="en-US"/>
              </w:rPr>
              <w:t>c</w:t>
            </w:r>
          </w:p>
          <w:p w14:paraId="4B94D3DD" w14:textId="77777777" w:rsidR="00023BBF" w:rsidRDefault="00E17C37">
            <w:pPr>
              <w:spacing w:before="1" w:line="251" w:lineRule="exact"/>
              <w:ind w:left="254"/>
              <w:rPr>
                <w:rFonts w:eastAsia="Calibri"/>
                <w:lang w:val="pt-PT" w:eastAsia="en-US"/>
              </w:rPr>
            </w:pPr>
            <w:r>
              <w:rPr>
                <w:rFonts w:eastAsia="Calibri"/>
                <w:lang w:val="pt-PT" w:eastAsia="en-US"/>
              </w:rPr>
              <w:t>Skirtumas nuo glipizido ir metformino derinio</w:t>
            </w:r>
            <w:r>
              <w:rPr>
                <w:rFonts w:eastAsia="Calibri"/>
                <w:spacing w:val="-2"/>
                <w:vertAlign w:val="superscript"/>
                <w:lang w:val="pt-PT" w:eastAsia="en-US"/>
              </w:rPr>
              <w:t>c</w:t>
            </w:r>
          </w:p>
        </w:tc>
        <w:tc>
          <w:tcPr>
            <w:tcW w:w="2585" w:type="dxa"/>
          </w:tcPr>
          <w:p w14:paraId="2790A199" w14:textId="77777777" w:rsidR="00023BBF" w:rsidRDefault="00E17C37">
            <w:pPr>
              <w:spacing w:line="242" w:lineRule="auto"/>
              <w:ind w:left="810" w:right="921"/>
              <w:jc w:val="center"/>
              <w:rPr>
                <w:rFonts w:eastAsia="Calibri"/>
                <w:lang w:val="en-GB" w:eastAsia="en-US"/>
              </w:rPr>
            </w:pPr>
            <w:r>
              <w:rPr>
                <w:rFonts w:eastAsia="Calibri"/>
                <w:spacing w:val="-2"/>
                <w:lang w:val="en-GB" w:eastAsia="en-US"/>
              </w:rPr>
              <w:t>-0,52 0,00</w:t>
            </w:r>
            <w:r>
              <w:rPr>
                <w:rFonts w:eastAsia="Calibri"/>
                <w:spacing w:val="-2"/>
                <w:vertAlign w:val="superscript"/>
                <w:lang w:val="en-GB" w:eastAsia="en-US"/>
              </w:rPr>
              <w:t>d</w:t>
            </w:r>
          </w:p>
        </w:tc>
        <w:tc>
          <w:tcPr>
            <w:tcW w:w="2122" w:type="dxa"/>
            <w:gridSpan w:val="2"/>
          </w:tcPr>
          <w:p w14:paraId="72943C07" w14:textId="77777777" w:rsidR="00023BBF" w:rsidRDefault="00E17C37">
            <w:pPr>
              <w:spacing w:line="245" w:lineRule="exact"/>
              <w:ind w:left="776"/>
              <w:rPr>
                <w:rFonts w:eastAsia="Calibri"/>
                <w:lang w:val="en-GB" w:eastAsia="en-US"/>
              </w:rPr>
            </w:pPr>
            <w:r>
              <w:rPr>
                <w:rFonts w:eastAsia="Calibri"/>
                <w:spacing w:val="-2"/>
                <w:lang w:val="en-GB" w:eastAsia="en-US"/>
              </w:rPr>
              <w:t>-</w:t>
            </w:r>
            <w:r>
              <w:rPr>
                <w:rFonts w:eastAsia="Calibri"/>
                <w:spacing w:val="-4"/>
                <w:lang w:val="en-GB" w:eastAsia="en-US"/>
              </w:rPr>
              <w:t>0,52</w:t>
            </w:r>
          </w:p>
        </w:tc>
      </w:tr>
      <w:tr w:rsidR="00023BBF" w14:paraId="1A21F7F3" w14:textId="77777777">
        <w:trPr>
          <w:trHeight w:val="254"/>
        </w:trPr>
        <w:tc>
          <w:tcPr>
            <w:tcW w:w="4386" w:type="dxa"/>
            <w:tcBorders>
              <w:bottom w:val="single" w:sz="4" w:space="0" w:color="000000"/>
            </w:tcBorders>
          </w:tcPr>
          <w:p w14:paraId="2C87AE11" w14:textId="77777777" w:rsidR="00023BBF" w:rsidRDefault="00E17C37">
            <w:pPr>
              <w:spacing w:line="234" w:lineRule="exact"/>
              <w:ind w:left="479"/>
              <w:rPr>
                <w:rFonts w:eastAsia="Calibri"/>
                <w:lang w:val="en-GB" w:eastAsia="en-US"/>
              </w:rPr>
            </w:pPr>
            <w:r>
              <w:rPr>
                <w:rFonts w:eastAsia="Calibri"/>
                <w:lang w:val="en-GB" w:eastAsia="en-US"/>
              </w:rPr>
              <w:t>(95%</w:t>
            </w:r>
            <w:r>
              <w:rPr>
                <w:rFonts w:eastAsia="Calibri"/>
                <w:spacing w:val="-6"/>
                <w:lang w:val="en-GB" w:eastAsia="en-US"/>
              </w:rPr>
              <w:t xml:space="preserve"> </w:t>
            </w:r>
            <w:r>
              <w:rPr>
                <w:rFonts w:eastAsia="Calibri"/>
                <w:spacing w:val="-5"/>
                <w:lang w:val="en-GB" w:eastAsia="en-US"/>
              </w:rPr>
              <w:t>PI)</w:t>
            </w:r>
          </w:p>
        </w:tc>
        <w:tc>
          <w:tcPr>
            <w:tcW w:w="2585" w:type="dxa"/>
            <w:tcBorders>
              <w:bottom w:val="single" w:sz="4" w:space="0" w:color="000000"/>
            </w:tcBorders>
          </w:tcPr>
          <w:p w14:paraId="6C2D9ABD" w14:textId="77777777" w:rsidR="00023BBF" w:rsidRDefault="00E17C37">
            <w:pPr>
              <w:spacing w:line="234" w:lineRule="exact"/>
              <w:ind w:right="109"/>
              <w:jc w:val="center"/>
              <w:rPr>
                <w:rFonts w:eastAsia="Calibri"/>
                <w:lang w:val="en-GB" w:eastAsia="en-US"/>
              </w:rPr>
            </w:pPr>
            <w:r>
              <w:rPr>
                <w:rFonts w:eastAsia="Calibri"/>
                <w:lang w:val="en-GB" w:eastAsia="en-US"/>
              </w:rPr>
              <w:t>(-0,11,</w:t>
            </w:r>
            <w:r>
              <w:rPr>
                <w:rFonts w:eastAsia="Calibri"/>
                <w:spacing w:val="-3"/>
                <w:lang w:val="en-GB" w:eastAsia="en-US"/>
              </w:rPr>
              <w:t xml:space="preserve"> </w:t>
            </w:r>
            <w:r>
              <w:rPr>
                <w:rFonts w:eastAsia="Calibri"/>
                <w:spacing w:val="-2"/>
                <w:lang w:val="en-GB" w:eastAsia="en-US"/>
              </w:rPr>
              <w:t>0,11)</w:t>
            </w:r>
          </w:p>
        </w:tc>
        <w:tc>
          <w:tcPr>
            <w:tcW w:w="2122" w:type="dxa"/>
            <w:gridSpan w:val="2"/>
            <w:tcBorders>
              <w:bottom w:val="single" w:sz="4" w:space="0" w:color="000000"/>
            </w:tcBorders>
          </w:tcPr>
          <w:p w14:paraId="2C963953" w14:textId="77777777" w:rsidR="00023BBF" w:rsidRDefault="00023BBF">
            <w:pPr>
              <w:rPr>
                <w:rFonts w:eastAsia="Calibri"/>
                <w:lang w:val="en-GB" w:eastAsia="en-US"/>
              </w:rPr>
            </w:pPr>
          </w:p>
        </w:tc>
      </w:tr>
      <w:tr w:rsidR="00023BBF" w14:paraId="635E9961" w14:textId="77777777">
        <w:trPr>
          <w:trHeight w:val="251"/>
        </w:trPr>
        <w:tc>
          <w:tcPr>
            <w:tcW w:w="4386" w:type="dxa"/>
            <w:tcBorders>
              <w:top w:val="single" w:sz="4" w:space="0" w:color="000000"/>
            </w:tcBorders>
          </w:tcPr>
          <w:p w14:paraId="2431F41B" w14:textId="77777777" w:rsidR="00023BBF" w:rsidRDefault="00E17C37">
            <w:pPr>
              <w:spacing w:line="232" w:lineRule="exact"/>
              <w:ind w:left="142" w:right="2662"/>
              <w:rPr>
                <w:rFonts w:eastAsia="Calibri"/>
                <w:b/>
                <w:lang w:val="en-GB" w:eastAsia="en-US"/>
              </w:rPr>
            </w:pPr>
            <w:proofErr w:type="spellStart"/>
            <w:r>
              <w:rPr>
                <w:rFonts w:eastAsia="Calibri"/>
                <w:b/>
                <w:lang w:val="en-GB" w:eastAsia="en-US"/>
              </w:rPr>
              <w:t>Kūno</w:t>
            </w:r>
            <w:proofErr w:type="spellEnd"/>
            <w:r>
              <w:rPr>
                <w:rFonts w:eastAsia="Calibri"/>
                <w:b/>
                <w:lang w:val="en-GB" w:eastAsia="en-US"/>
              </w:rPr>
              <w:t xml:space="preserve"> </w:t>
            </w:r>
            <w:proofErr w:type="spellStart"/>
            <w:r>
              <w:rPr>
                <w:rFonts w:eastAsia="Calibri"/>
                <w:b/>
                <w:lang w:val="en-GB" w:eastAsia="en-US"/>
              </w:rPr>
              <w:t>svoris</w:t>
            </w:r>
            <w:proofErr w:type="spellEnd"/>
            <w:r>
              <w:rPr>
                <w:rFonts w:eastAsia="Calibri"/>
                <w:b/>
                <w:lang w:val="en-GB" w:eastAsia="en-US"/>
              </w:rPr>
              <w:t xml:space="preserve"> (kg)</w:t>
            </w:r>
          </w:p>
        </w:tc>
        <w:tc>
          <w:tcPr>
            <w:tcW w:w="2585" w:type="dxa"/>
            <w:tcBorders>
              <w:top w:val="single" w:sz="4" w:space="0" w:color="000000"/>
            </w:tcBorders>
          </w:tcPr>
          <w:p w14:paraId="2B6E6695" w14:textId="77777777" w:rsidR="00023BBF" w:rsidRDefault="00023BBF">
            <w:pPr>
              <w:spacing w:line="232" w:lineRule="exact"/>
              <w:ind w:right="2662" w:firstLine="276"/>
              <w:rPr>
                <w:rFonts w:eastAsia="Calibri"/>
                <w:b/>
                <w:lang w:val="en-GB" w:eastAsia="en-US"/>
              </w:rPr>
            </w:pPr>
          </w:p>
        </w:tc>
        <w:tc>
          <w:tcPr>
            <w:tcW w:w="2122" w:type="dxa"/>
            <w:gridSpan w:val="2"/>
            <w:tcBorders>
              <w:top w:val="single" w:sz="4" w:space="0" w:color="000000"/>
            </w:tcBorders>
          </w:tcPr>
          <w:p w14:paraId="45623380" w14:textId="77777777" w:rsidR="00023BBF" w:rsidRDefault="00023BBF">
            <w:pPr>
              <w:spacing w:line="232" w:lineRule="exact"/>
              <w:ind w:right="2662" w:firstLine="276"/>
              <w:rPr>
                <w:rFonts w:eastAsia="Calibri"/>
                <w:b/>
                <w:lang w:val="en-GB" w:eastAsia="en-US"/>
              </w:rPr>
            </w:pPr>
          </w:p>
        </w:tc>
      </w:tr>
      <w:tr w:rsidR="00023BBF" w14:paraId="02C4112D" w14:textId="77777777">
        <w:trPr>
          <w:trHeight w:val="242"/>
        </w:trPr>
        <w:tc>
          <w:tcPr>
            <w:tcW w:w="4386" w:type="dxa"/>
          </w:tcPr>
          <w:p w14:paraId="3F2EFCF3" w14:textId="77777777" w:rsidR="00023BBF" w:rsidRDefault="00E17C37">
            <w:pPr>
              <w:spacing w:line="223" w:lineRule="exact"/>
              <w:ind w:right="2686"/>
              <w:jc w:val="right"/>
              <w:rPr>
                <w:rFonts w:eastAsia="Calibri"/>
                <w:lang w:val="en-GB" w:eastAsia="en-US"/>
              </w:rPr>
            </w:pPr>
            <w:proofErr w:type="spellStart"/>
            <w:r>
              <w:rPr>
                <w:rFonts w:eastAsia="Calibri"/>
                <w:lang w:val="en-GB" w:eastAsia="en-US"/>
              </w:rPr>
              <w:t>Pradinė</w:t>
            </w:r>
            <w:proofErr w:type="spellEnd"/>
            <w:r>
              <w:rPr>
                <w:rFonts w:eastAsia="Calibri"/>
                <w:spacing w:val="-8"/>
                <w:lang w:val="en-GB" w:eastAsia="en-US"/>
              </w:rPr>
              <w:t xml:space="preserve"> </w:t>
            </w:r>
            <w:r>
              <w:rPr>
                <w:rFonts w:eastAsia="Calibri"/>
                <w:spacing w:val="-2"/>
                <w:lang w:val="en-GB" w:eastAsia="en-US"/>
              </w:rPr>
              <w:t>(</w:t>
            </w:r>
            <w:proofErr w:type="spellStart"/>
            <w:r>
              <w:rPr>
                <w:rFonts w:eastAsia="Calibri"/>
                <w:spacing w:val="-2"/>
                <w:lang w:val="en-GB" w:eastAsia="en-US"/>
              </w:rPr>
              <w:t>vidurkis</w:t>
            </w:r>
            <w:proofErr w:type="spellEnd"/>
            <w:r>
              <w:rPr>
                <w:rFonts w:eastAsia="Calibri"/>
                <w:spacing w:val="-2"/>
                <w:lang w:val="en-GB" w:eastAsia="en-US"/>
              </w:rPr>
              <w:t>)</w:t>
            </w:r>
          </w:p>
        </w:tc>
        <w:tc>
          <w:tcPr>
            <w:tcW w:w="2585" w:type="dxa"/>
          </w:tcPr>
          <w:p w14:paraId="08AAC089" w14:textId="77777777" w:rsidR="00023BBF" w:rsidRDefault="00E17C37">
            <w:pPr>
              <w:spacing w:line="223" w:lineRule="exact"/>
              <w:ind w:left="810" w:right="922"/>
              <w:jc w:val="center"/>
              <w:rPr>
                <w:rFonts w:eastAsia="Calibri"/>
                <w:lang w:val="en-GB" w:eastAsia="en-US"/>
              </w:rPr>
            </w:pPr>
            <w:r>
              <w:rPr>
                <w:rFonts w:eastAsia="Calibri"/>
                <w:spacing w:val="-2"/>
                <w:lang w:val="en-GB" w:eastAsia="en-US"/>
              </w:rPr>
              <w:t>88,44</w:t>
            </w:r>
          </w:p>
        </w:tc>
        <w:tc>
          <w:tcPr>
            <w:tcW w:w="2122" w:type="dxa"/>
            <w:gridSpan w:val="2"/>
          </w:tcPr>
          <w:p w14:paraId="19A8FB79" w14:textId="77777777" w:rsidR="00023BBF" w:rsidRDefault="00E17C37">
            <w:pPr>
              <w:spacing w:line="223" w:lineRule="exact"/>
              <w:ind w:left="757"/>
              <w:rPr>
                <w:rFonts w:eastAsia="Calibri"/>
                <w:lang w:val="en-GB" w:eastAsia="en-US"/>
              </w:rPr>
            </w:pPr>
            <w:r>
              <w:rPr>
                <w:rFonts w:eastAsia="Calibri"/>
                <w:spacing w:val="-2"/>
                <w:lang w:val="en-GB" w:eastAsia="en-US"/>
              </w:rPr>
              <w:t>87,60</w:t>
            </w:r>
          </w:p>
        </w:tc>
      </w:tr>
      <w:tr w:rsidR="00023BBF" w14:paraId="14CED97C" w14:textId="77777777">
        <w:trPr>
          <w:trHeight w:val="513"/>
        </w:trPr>
        <w:tc>
          <w:tcPr>
            <w:tcW w:w="4386" w:type="dxa"/>
          </w:tcPr>
          <w:p w14:paraId="36D39203" w14:textId="77777777" w:rsidR="00023BBF" w:rsidRDefault="00E17C37">
            <w:pPr>
              <w:spacing w:line="250" w:lineRule="exact"/>
              <w:ind w:left="254"/>
              <w:rPr>
                <w:rFonts w:eastAsia="Calibri"/>
                <w:lang w:val="pt-PT" w:eastAsia="en-US"/>
              </w:rPr>
            </w:pPr>
            <w:r>
              <w:rPr>
                <w:rFonts w:eastAsia="Calibri"/>
                <w:lang w:val="pt-PT" w:eastAsia="en-US"/>
              </w:rPr>
              <w:t>Pokytis palyginus su pradine</w:t>
            </w:r>
            <w:r>
              <w:rPr>
                <w:rFonts w:eastAsia="Calibri"/>
                <w:vertAlign w:val="superscript"/>
                <w:lang w:val="pt-PT" w:eastAsia="en-US"/>
              </w:rPr>
              <w:t>c</w:t>
            </w:r>
          </w:p>
          <w:p w14:paraId="6D954C70" w14:textId="77777777" w:rsidR="00023BBF" w:rsidRDefault="00E17C37">
            <w:pPr>
              <w:spacing w:line="250" w:lineRule="exact"/>
              <w:ind w:left="254"/>
              <w:rPr>
                <w:rFonts w:eastAsia="Calibri"/>
                <w:lang w:val="pt-PT" w:eastAsia="en-US"/>
              </w:rPr>
            </w:pPr>
            <w:r>
              <w:rPr>
                <w:rFonts w:eastAsia="Calibri"/>
                <w:lang w:val="pt-PT" w:eastAsia="en-US"/>
              </w:rPr>
              <w:t>Skirtumas nuo glipizido ir metformino derinio</w:t>
            </w:r>
            <w:r>
              <w:rPr>
                <w:rFonts w:eastAsia="Calibri"/>
                <w:spacing w:val="-2"/>
                <w:vertAlign w:val="superscript"/>
                <w:lang w:val="pt-PT" w:eastAsia="en-US"/>
              </w:rPr>
              <w:t>c</w:t>
            </w:r>
          </w:p>
        </w:tc>
        <w:tc>
          <w:tcPr>
            <w:tcW w:w="2585" w:type="dxa"/>
          </w:tcPr>
          <w:p w14:paraId="13A2633F" w14:textId="77777777" w:rsidR="00023BBF" w:rsidRDefault="00E17C37">
            <w:pPr>
              <w:spacing w:line="244" w:lineRule="exact"/>
              <w:ind w:left="811" w:right="921"/>
              <w:jc w:val="center"/>
              <w:rPr>
                <w:rFonts w:eastAsia="Calibri"/>
                <w:lang w:val="en-GB" w:eastAsia="en-US"/>
              </w:rPr>
            </w:pPr>
            <w:r>
              <w:rPr>
                <w:rFonts w:eastAsia="Calibri"/>
                <w:spacing w:val="-2"/>
                <w:lang w:val="en-GB" w:eastAsia="en-US"/>
              </w:rPr>
              <w:t>-</w:t>
            </w:r>
            <w:r>
              <w:rPr>
                <w:rFonts w:eastAsia="Calibri"/>
                <w:spacing w:val="-4"/>
                <w:lang w:val="en-GB" w:eastAsia="en-US"/>
              </w:rPr>
              <w:t>3,22</w:t>
            </w:r>
          </w:p>
          <w:p w14:paraId="57C6136B" w14:textId="77777777" w:rsidR="00023BBF" w:rsidRDefault="00E17C37">
            <w:pPr>
              <w:spacing w:line="250" w:lineRule="exact"/>
              <w:ind w:left="812" w:right="921"/>
              <w:jc w:val="center"/>
              <w:rPr>
                <w:rFonts w:eastAsia="Calibri"/>
                <w:lang w:val="en-GB" w:eastAsia="en-US"/>
              </w:rPr>
            </w:pPr>
            <w:r>
              <w:rPr>
                <w:rFonts w:eastAsia="Calibri"/>
                <w:spacing w:val="-2"/>
                <w:lang w:val="en-GB" w:eastAsia="en-US"/>
              </w:rPr>
              <w:t>-4,65</w:t>
            </w:r>
            <w:r>
              <w:rPr>
                <w:rFonts w:eastAsia="Calibri"/>
                <w:spacing w:val="-2"/>
                <w:vertAlign w:val="superscript"/>
                <w:lang w:val="en-GB" w:eastAsia="en-US"/>
              </w:rPr>
              <w:t>*</w:t>
            </w:r>
          </w:p>
        </w:tc>
        <w:tc>
          <w:tcPr>
            <w:tcW w:w="2122" w:type="dxa"/>
            <w:gridSpan w:val="2"/>
          </w:tcPr>
          <w:p w14:paraId="64E3DE2A" w14:textId="77777777" w:rsidR="00023BBF" w:rsidRDefault="00E17C37">
            <w:pPr>
              <w:spacing w:line="245" w:lineRule="exact"/>
              <w:ind w:left="815"/>
              <w:rPr>
                <w:rFonts w:eastAsia="Calibri"/>
                <w:lang w:val="en-GB" w:eastAsia="en-US"/>
              </w:rPr>
            </w:pPr>
            <w:r>
              <w:rPr>
                <w:rFonts w:eastAsia="Calibri"/>
                <w:spacing w:val="-4"/>
                <w:lang w:val="en-GB" w:eastAsia="en-US"/>
              </w:rPr>
              <w:t>1,44</w:t>
            </w:r>
          </w:p>
        </w:tc>
      </w:tr>
      <w:tr w:rsidR="00023BBF" w14:paraId="1120B3F5" w14:textId="77777777">
        <w:trPr>
          <w:trHeight w:val="253"/>
        </w:trPr>
        <w:tc>
          <w:tcPr>
            <w:tcW w:w="4386" w:type="dxa"/>
            <w:tcBorders>
              <w:bottom w:val="single" w:sz="12" w:space="0" w:color="000000"/>
            </w:tcBorders>
          </w:tcPr>
          <w:p w14:paraId="5E7A36EC" w14:textId="77777777" w:rsidR="00023BBF" w:rsidRDefault="00E17C37">
            <w:pPr>
              <w:spacing w:line="234" w:lineRule="exact"/>
              <w:ind w:left="479"/>
              <w:rPr>
                <w:rFonts w:eastAsia="Calibri"/>
                <w:lang w:val="en-GB" w:eastAsia="en-US"/>
              </w:rPr>
            </w:pPr>
            <w:r>
              <w:rPr>
                <w:rFonts w:eastAsia="Calibri"/>
                <w:lang w:val="en-GB" w:eastAsia="en-US"/>
              </w:rPr>
              <w:t>(95%</w:t>
            </w:r>
            <w:r>
              <w:rPr>
                <w:rFonts w:eastAsia="Calibri"/>
                <w:spacing w:val="-6"/>
                <w:lang w:val="en-GB" w:eastAsia="en-US"/>
              </w:rPr>
              <w:t xml:space="preserve"> </w:t>
            </w:r>
            <w:r>
              <w:rPr>
                <w:rFonts w:eastAsia="Calibri"/>
                <w:spacing w:val="-5"/>
                <w:lang w:val="en-GB" w:eastAsia="en-US"/>
              </w:rPr>
              <w:t>PI)</w:t>
            </w:r>
          </w:p>
        </w:tc>
        <w:tc>
          <w:tcPr>
            <w:tcW w:w="2585" w:type="dxa"/>
            <w:tcBorders>
              <w:bottom w:val="single" w:sz="12" w:space="0" w:color="000000"/>
            </w:tcBorders>
          </w:tcPr>
          <w:p w14:paraId="1199E383" w14:textId="77777777" w:rsidR="00023BBF" w:rsidRDefault="00E17C37">
            <w:pPr>
              <w:spacing w:line="234" w:lineRule="exact"/>
              <w:ind w:left="4" w:right="109"/>
              <w:jc w:val="center"/>
              <w:rPr>
                <w:rFonts w:eastAsia="Calibri"/>
                <w:lang w:val="en-GB" w:eastAsia="en-US"/>
              </w:rPr>
            </w:pPr>
            <w:r>
              <w:rPr>
                <w:rFonts w:eastAsia="Calibri"/>
                <w:lang w:val="en-GB" w:eastAsia="en-US"/>
              </w:rPr>
              <w:t>(-5,14,</w:t>
            </w:r>
            <w:r>
              <w:rPr>
                <w:rFonts w:eastAsia="Calibri"/>
                <w:spacing w:val="-3"/>
                <w:lang w:val="en-GB" w:eastAsia="en-US"/>
              </w:rPr>
              <w:t xml:space="preserve"> </w:t>
            </w:r>
            <w:r>
              <w:rPr>
                <w:rFonts w:eastAsia="Calibri"/>
                <w:lang w:val="en-GB" w:eastAsia="en-US"/>
              </w:rPr>
              <w:t>-</w:t>
            </w:r>
            <w:r>
              <w:rPr>
                <w:rFonts w:eastAsia="Calibri"/>
                <w:spacing w:val="-2"/>
                <w:lang w:val="en-GB" w:eastAsia="en-US"/>
              </w:rPr>
              <w:t>4,17)</w:t>
            </w:r>
          </w:p>
        </w:tc>
        <w:tc>
          <w:tcPr>
            <w:tcW w:w="2122" w:type="dxa"/>
            <w:gridSpan w:val="2"/>
            <w:tcBorders>
              <w:bottom w:val="single" w:sz="12" w:space="0" w:color="000000"/>
            </w:tcBorders>
          </w:tcPr>
          <w:p w14:paraId="57B9E205" w14:textId="77777777" w:rsidR="00023BBF" w:rsidRDefault="00023BBF">
            <w:pPr>
              <w:rPr>
                <w:rFonts w:eastAsia="Calibri"/>
                <w:lang w:val="en-GB" w:eastAsia="en-US"/>
              </w:rPr>
            </w:pPr>
          </w:p>
        </w:tc>
      </w:tr>
    </w:tbl>
    <w:p w14:paraId="2EA48530" w14:textId="77777777" w:rsidR="00023BBF" w:rsidRDefault="00E17C37">
      <w:pPr>
        <w:autoSpaceDE w:val="0"/>
        <w:autoSpaceDN w:val="0"/>
        <w:adjustRightInd w:val="0"/>
        <w:rPr>
          <w:rFonts w:eastAsiaTheme="minorHAnsi"/>
          <w:color w:val="000000"/>
          <w:sz w:val="20"/>
          <w:szCs w:val="20"/>
          <w:lang w:eastAsia="en-US"/>
        </w:rPr>
      </w:pPr>
      <w:r>
        <w:rPr>
          <w:rFonts w:eastAsiaTheme="minorHAnsi"/>
          <w:color w:val="000000"/>
          <w:sz w:val="20"/>
          <w:szCs w:val="20"/>
          <w:vertAlign w:val="superscript"/>
          <w:lang w:eastAsia="en-US"/>
        </w:rPr>
        <w:t>a</w:t>
      </w:r>
      <w:r>
        <w:rPr>
          <w:rFonts w:eastAsiaTheme="minorHAnsi"/>
          <w:color w:val="000000"/>
          <w:sz w:val="20"/>
          <w:szCs w:val="20"/>
          <w:lang w:eastAsia="en-US"/>
        </w:rPr>
        <w:t xml:space="preserve"> LOCF – paskutinė atlikta apžiūra.</w:t>
      </w:r>
    </w:p>
    <w:p w14:paraId="78964B57" w14:textId="77777777" w:rsidR="00023BBF" w:rsidRDefault="00E17C37">
      <w:pPr>
        <w:autoSpaceDE w:val="0"/>
        <w:autoSpaceDN w:val="0"/>
        <w:adjustRightInd w:val="0"/>
        <w:rPr>
          <w:rFonts w:eastAsiaTheme="minorHAnsi"/>
          <w:color w:val="000000"/>
          <w:sz w:val="20"/>
          <w:szCs w:val="20"/>
          <w:lang w:eastAsia="en-US"/>
        </w:rPr>
      </w:pPr>
      <w:r>
        <w:rPr>
          <w:rFonts w:eastAsiaTheme="minorHAnsi"/>
          <w:color w:val="000000"/>
          <w:sz w:val="20"/>
          <w:szCs w:val="20"/>
          <w:vertAlign w:val="superscript"/>
          <w:lang w:eastAsia="en-US"/>
        </w:rPr>
        <w:t>b</w:t>
      </w:r>
      <w:r>
        <w:rPr>
          <w:rFonts w:eastAsiaTheme="minorHAnsi"/>
          <w:color w:val="000000"/>
          <w:sz w:val="20"/>
          <w:szCs w:val="20"/>
          <w:lang w:eastAsia="en-US"/>
        </w:rPr>
        <w:t xml:space="preserve"> Atsitiktinai atrinkti ir gydyti asmenys, kuriems atliktas pradinis ir bent vienas vėlesnis veiksmingumo vertinimas.</w:t>
      </w:r>
    </w:p>
    <w:p w14:paraId="38D53EB1" w14:textId="77777777" w:rsidR="00023BBF" w:rsidRDefault="00E17C37">
      <w:pPr>
        <w:autoSpaceDE w:val="0"/>
        <w:autoSpaceDN w:val="0"/>
        <w:adjustRightInd w:val="0"/>
        <w:rPr>
          <w:rFonts w:eastAsiaTheme="minorHAnsi"/>
          <w:color w:val="000000"/>
          <w:sz w:val="20"/>
          <w:szCs w:val="20"/>
          <w:lang w:eastAsia="en-US"/>
        </w:rPr>
      </w:pPr>
      <w:r>
        <w:rPr>
          <w:rFonts w:eastAsiaTheme="minorHAnsi"/>
          <w:color w:val="000000"/>
          <w:sz w:val="20"/>
          <w:szCs w:val="20"/>
          <w:vertAlign w:val="superscript"/>
          <w:lang w:eastAsia="en-US"/>
        </w:rPr>
        <w:t>c</w:t>
      </w:r>
      <w:r>
        <w:rPr>
          <w:rFonts w:eastAsiaTheme="minorHAnsi"/>
          <w:color w:val="000000"/>
          <w:sz w:val="20"/>
          <w:szCs w:val="20"/>
          <w:lang w:eastAsia="en-US"/>
        </w:rPr>
        <w:t xml:space="preserve"> Mažiausių kvadratų metodu apskaičiuotas vidurkis, koreguotas pagal pradinį dydį.</w:t>
      </w:r>
    </w:p>
    <w:p w14:paraId="67D2F054" w14:textId="77777777" w:rsidR="00023BBF" w:rsidRDefault="00E17C37">
      <w:pPr>
        <w:autoSpaceDE w:val="0"/>
        <w:autoSpaceDN w:val="0"/>
        <w:adjustRightInd w:val="0"/>
        <w:rPr>
          <w:rFonts w:eastAsiaTheme="minorHAnsi"/>
          <w:color w:val="000000"/>
          <w:sz w:val="20"/>
          <w:szCs w:val="20"/>
          <w:lang w:eastAsia="en-US"/>
        </w:rPr>
      </w:pPr>
      <w:r>
        <w:rPr>
          <w:rFonts w:eastAsiaTheme="minorHAnsi"/>
          <w:color w:val="000000"/>
          <w:sz w:val="20"/>
          <w:szCs w:val="20"/>
          <w:vertAlign w:val="superscript"/>
          <w:lang w:eastAsia="en-US"/>
        </w:rPr>
        <w:t>d</w:t>
      </w:r>
      <w:r>
        <w:rPr>
          <w:rFonts w:eastAsiaTheme="minorHAnsi"/>
          <w:color w:val="000000"/>
          <w:sz w:val="20"/>
          <w:szCs w:val="20"/>
          <w:lang w:eastAsia="en-US"/>
        </w:rPr>
        <w:t xml:space="preserve"> Ne blogesnis už </w:t>
      </w:r>
      <w:proofErr w:type="spellStart"/>
      <w:r>
        <w:rPr>
          <w:rFonts w:eastAsiaTheme="minorHAnsi"/>
          <w:color w:val="000000"/>
          <w:sz w:val="20"/>
          <w:szCs w:val="20"/>
          <w:lang w:eastAsia="en-US"/>
        </w:rPr>
        <w:t>glipizido</w:t>
      </w:r>
      <w:proofErr w:type="spellEnd"/>
      <w:r>
        <w:rPr>
          <w:rFonts w:eastAsiaTheme="minorHAnsi"/>
          <w:color w:val="000000"/>
          <w:sz w:val="20"/>
          <w:szCs w:val="20"/>
          <w:lang w:eastAsia="en-US"/>
        </w:rPr>
        <w:t xml:space="preserve"> ir </w:t>
      </w:r>
      <w:proofErr w:type="spellStart"/>
      <w:r>
        <w:rPr>
          <w:rFonts w:eastAsiaTheme="minorHAnsi"/>
          <w:color w:val="000000"/>
          <w:sz w:val="20"/>
          <w:szCs w:val="20"/>
          <w:lang w:eastAsia="en-US"/>
        </w:rPr>
        <w:t>metformino</w:t>
      </w:r>
      <w:proofErr w:type="spellEnd"/>
      <w:r>
        <w:rPr>
          <w:rFonts w:eastAsiaTheme="minorHAnsi"/>
          <w:color w:val="000000"/>
          <w:sz w:val="20"/>
          <w:szCs w:val="20"/>
          <w:lang w:eastAsia="en-US"/>
        </w:rPr>
        <w:t xml:space="preserve"> derinio poveikis.</w:t>
      </w:r>
    </w:p>
    <w:p w14:paraId="225AB32A" w14:textId="77777777" w:rsidR="00023BBF" w:rsidRDefault="00E17C37">
      <w:pPr>
        <w:widowControl w:val="0"/>
        <w:autoSpaceDE w:val="0"/>
        <w:autoSpaceDN w:val="0"/>
        <w:adjustRightInd w:val="0"/>
        <w:rPr>
          <w:rFonts w:eastAsiaTheme="minorHAnsi"/>
          <w:color w:val="000000"/>
          <w:sz w:val="20"/>
          <w:szCs w:val="20"/>
          <w:lang w:eastAsia="en-US"/>
        </w:rPr>
      </w:pPr>
      <w:r>
        <w:rPr>
          <w:rFonts w:eastAsiaTheme="minorHAnsi"/>
          <w:color w:val="000000"/>
          <w:sz w:val="20"/>
          <w:szCs w:val="20"/>
          <w:vertAlign w:val="superscript"/>
          <w:lang w:eastAsia="en-US"/>
        </w:rPr>
        <w:t>*</w:t>
      </w:r>
      <w:r>
        <w:rPr>
          <w:rFonts w:eastAsiaTheme="minorHAnsi"/>
          <w:color w:val="000000"/>
          <w:sz w:val="20"/>
          <w:szCs w:val="20"/>
          <w:lang w:eastAsia="en-US"/>
        </w:rPr>
        <w:t xml:space="preserve"> p &lt; 0,0001.</w:t>
      </w:r>
    </w:p>
    <w:p w14:paraId="0C981446" w14:textId="77777777" w:rsidR="00023BBF" w:rsidRDefault="00023BBF">
      <w:pPr>
        <w:widowControl w:val="0"/>
        <w:autoSpaceDE w:val="0"/>
        <w:autoSpaceDN w:val="0"/>
        <w:adjustRightInd w:val="0"/>
        <w:rPr>
          <w:rFonts w:eastAsiaTheme="minorHAnsi"/>
          <w:color w:val="000000"/>
          <w:sz w:val="20"/>
          <w:szCs w:val="20"/>
          <w:lang w:eastAsia="en-US"/>
        </w:rPr>
      </w:pPr>
    </w:p>
    <w:p w14:paraId="414E75E1" w14:textId="77777777" w:rsidR="00023BBF" w:rsidRDefault="00E17C37">
      <w:pPr>
        <w:widowControl w:val="0"/>
        <w:autoSpaceDE w:val="0"/>
        <w:autoSpaceDN w:val="0"/>
        <w:adjustRightInd w:val="0"/>
        <w:rPr>
          <w:rFonts w:eastAsiaTheme="minorHAnsi"/>
          <w:color w:val="000000"/>
          <w:sz w:val="20"/>
          <w:szCs w:val="20"/>
          <w:lang w:eastAsia="en-US"/>
        </w:rPr>
      </w:pPr>
      <w:r>
        <w:rPr>
          <w:sz w:val="22"/>
          <w:szCs w:val="22"/>
        </w:rPr>
        <w:t xml:space="preserve">Vartojus dapagliflozino vienam </w:t>
      </w:r>
      <w:proofErr w:type="spellStart"/>
      <w:r>
        <w:rPr>
          <w:sz w:val="22"/>
          <w:szCs w:val="22"/>
        </w:rPr>
        <w:t>metformino</w:t>
      </w:r>
      <w:proofErr w:type="spellEnd"/>
      <w:r>
        <w:rPr>
          <w:sz w:val="22"/>
          <w:szCs w:val="22"/>
        </w:rPr>
        <w:t xml:space="preserve">, </w:t>
      </w:r>
      <w:proofErr w:type="spellStart"/>
      <w:r>
        <w:rPr>
          <w:sz w:val="22"/>
          <w:szCs w:val="22"/>
        </w:rPr>
        <w:t>metformino</w:t>
      </w:r>
      <w:proofErr w:type="spellEnd"/>
      <w:r>
        <w:rPr>
          <w:sz w:val="22"/>
          <w:szCs w:val="22"/>
        </w:rPr>
        <w:t xml:space="preserve"> derinio su </w:t>
      </w:r>
      <w:proofErr w:type="spellStart"/>
      <w:r>
        <w:rPr>
          <w:sz w:val="22"/>
          <w:szCs w:val="22"/>
        </w:rPr>
        <w:t>sitagliptinu</w:t>
      </w:r>
      <w:proofErr w:type="spellEnd"/>
      <w:r>
        <w:rPr>
          <w:sz w:val="22"/>
          <w:szCs w:val="22"/>
        </w:rPr>
        <w:t xml:space="preserve"> ar </w:t>
      </w:r>
      <w:proofErr w:type="spellStart"/>
      <w:r>
        <w:rPr>
          <w:sz w:val="22"/>
          <w:szCs w:val="22"/>
        </w:rPr>
        <w:t>sulfonilkarbamido</w:t>
      </w:r>
      <w:proofErr w:type="spellEnd"/>
      <w:r>
        <w:rPr>
          <w:sz w:val="22"/>
          <w:szCs w:val="22"/>
        </w:rPr>
        <w:t xml:space="preserve"> dariniu arba insulino (vieno arba kartu su geriamaisiais gliukozės koncentraciją mažinančiais vaistiniais preparatais, įskaitant </w:t>
      </w:r>
      <w:proofErr w:type="spellStart"/>
      <w:r>
        <w:rPr>
          <w:sz w:val="22"/>
          <w:szCs w:val="22"/>
        </w:rPr>
        <w:t>metforminą</w:t>
      </w:r>
      <w:proofErr w:type="spellEnd"/>
      <w:r>
        <w:rPr>
          <w:sz w:val="22"/>
          <w:szCs w:val="22"/>
        </w:rPr>
        <w:t>) poveikiui papildyti, po 24 savaičių nustatyta statistikai reikšmingai, palyginus su placebo grupe, sumažėjusi HbA1c koncentracija (p &lt; 0,0001, 4, 5 ir 6 lentelės). 16 savaičių vartojus po 5 mg dapagliflozino 2 kartus per parą, nustatyta statistikai reikšmingai, palyginus su placebo grupe, sumažėjusi HbA1c koncentracija (p &lt; 0,0001, 4 lentelė).</w:t>
      </w:r>
    </w:p>
    <w:p w14:paraId="7A0D1845" w14:textId="77777777" w:rsidR="00023BBF" w:rsidRDefault="00023BBF">
      <w:pPr>
        <w:widowControl w:val="0"/>
        <w:autoSpaceDE w:val="0"/>
        <w:autoSpaceDN w:val="0"/>
        <w:adjustRightInd w:val="0"/>
        <w:rPr>
          <w:rFonts w:eastAsiaTheme="minorHAnsi"/>
          <w:color w:val="000000"/>
          <w:sz w:val="20"/>
          <w:szCs w:val="20"/>
          <w:lang w:eastAsia="en-US"/>
        </w:rPr>
      </w:pPr>
    </w:p>
    <w:p w14:paraId="6368FF9B"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 24 savaičių nustatytas HbA1c koncentracijos sumažėjimas ilgai išliko papildomo gydymo tyrimų metu. Tiriant dapagliflozino vartojimą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poveikiui papildyti, po 102 savaičių HbA1c koncentracija išliko sumažėjusi (koreguotas vidutinis jos pokytis, palyginus su pradine, 10 mg dapagliflozino grupės pacientams buvo -0,78 %, placebo –0,02 %). Po 48 savaičių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ir </w:t>
      </w:r>
      <w:proofErr w:type="spellStart"/>
      <w:r>
        <w:rPr>
          <w:rFonts w:eastAsiaTheme="minorHAnsi"/>
          <w:color w:val="000000"/>
          <w:sz w:val="22"/>
          <w:szCs w:val="22"/>
          <w:lang w:eastAsia="en-US"/>
        </w:rPr>
        <w:t>sitagliptino</w:t>
      </w:r>
      <w:proofErr w:type="spellEnd"/>
      <w:r>
        <w:rPr>
          <w:rFonts w:eastAsiaTheme="minorHAnsi"/>
          <w:color w:val="000000"/>
          <w:sz w:val="22"/>
          <w:szCs w:val="22"/>
          <w:lang w:eastAsia="en-US"/>
        </w:rPr>
        <w:t xml:space="preserve"> derinio grupės pacientų koreguotas vidutinis HbA1c koncentracijos, palyginus su pradine, pokytis papildomai vartojus 10 mg dapagliflozino buvo -0,44 %, o vartojus placebo –0,15 %. Po 104 savaičių insulino (vieno arba kartu su geriamaisiais gliukozės koncentraciją mažinančiais vaistiniais preparatais, įskaitant </w:t>
      </w:r>
      <w:proofErr w:type="spellStart"/>
      <w:r>
        <w:rPr>
          <w:rFonts w:eastAsiaTheme="minorHAnsi"/>
          <w:color w:val="000000"/>
          <w:sz w:val="22"/>
          <w:szCs w:val="22"/>
          <w:lang w:eastAsia="en-US"/>
        </w:rPr>
        <w:t>metforminą</w:t>
      </w:r>
      <w:proofErr w:type="spellEnd"/>
      <w:r>
        <w:rPr>
          <w:rFonts w:eastAsiaTheme="minorHAnsi"/>
          <w:color w:val="000000"/>
          <w:sz w:val="22"/>
          <w:szCs w:val="22"/>
          <w:lang w:eastAsia="en-US"/>
        </w:rPr>
        <w:t xml:space="preserve">) grupės pacientų koreguota vidutinė HbA1c koncentracija, palyginus su pradine, papildomai vartojus 10 mg dapagliflozino buvo sumažėjusi -0,71 %, o vartojus placebo – -0,06 %. Po 48 ir 104 savaičių 10 mg dapagliflozino vartojusių pacientų insulino dozė, palyginus su pradine, išliko stabili (vidutiniškai 76 TV per parą). Placebo grupės pacientų insulino paros dozė po 48 ir 104 savaičių buvo atitinkamai 10,5 TV ir </w:t>
      </w:r>
      <w:r>
        <w:rPr>
          <w:rFonts w:eastAsiaTheme="minorHAnsi"/>
          <w:color w:val="000000"/>
          <w:sz w:val="22"/>
          <w:szCs w:val="22"/>
          <w:lang w:eastAsia="en-US"/>
        </w:rPr>
        <w:lastRenderedPageBreak/>
        <w:t>18,3 TV didesnė negu iš pradžių – vidutiniškai atitinkamai 84 ir 92 TV per parą. Po 104 savaičių tyrime toliau dalyvavo 72,4 % 10 mg dapagliflozino ir 54,8 % placebo vartojusių grupės pacientų.</w:t>
      </w:r>
    </w:p>
    <w:p w14:paraId="4E22D6EB" w14:textId="77777777" w:rsidR="00023BBF" w:rsidRDefault="00023BBF">
      <w:pPr>
        <w:autoSpaceDE w:val="0"/>
        <w:autoSpaceDN w:val="0"/>
        <w:adjustRightInd w:val="0"/>
        <w:rPr>
          <w:rFonts w:eastAsiaTheme="minorHAnsi"/>
          <w:color w:val="000000"/>
          <w:sz w:val="22"/>
          <w:szCs w:val="22"/>
          <w:lang w:eastAsia="en-US"/>
        </w:rPr>
      </w:pPr>
    </w:p>
    <w:p w14:paraId="299BC7A5" w14:textId="77777777" w:rsidR="00023BBF" w:rsidRDefault="00E17C37">
      <w:pPr>
        <w:widowControl w:val="0"/>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Dapagliflozino kartu su insulino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deriniu vartojusių pacientų duomenų atskira analizė parodė panašiai kaip visai tirtai populiacijai sumažėjusią HbA1c koncentraciją. Po 24 savaičių dapagliflozino kartu su insulino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deriniu vartojusių pacientų HbA1c koncentracija buvo 0,93 % mažesnė negu iš pradžių.</w:t>
      </w:r>
    </w:p>
    <w:p w14:paraId="5846C95A" w14:textId="77777777" w:rsidR="00023BBF" w:rsidRDefault="00023BBF">
      <w:pPr>
        <w:widowControl w:val="0"/>
        <w:autoSpaceDE w:val="0"/>
        <w:autoSpaceDN w:val="0"/>
        <w:adjustRightInd w:val="0"/>
        <w:rPr>
          <w:rFonts w:eastAsiaTheme="minorHAnsi"/>
          <w:color w:val="000000"/>
          <w:sz w:val="22"/>
          <w:szCs w:val="22"/>
          <w:lang w:eastAsia="en-US"/>
        </w:rPr>
      </w:pPr>
    </w:p>
    <w:p w14:paraId="2EA75551" w14:textId="77777777" w:rsidR="00023BBF" w:rsidRDefault="00E17C37">
      <w:pPr>
        <w:widowControl w:val="0"/>
        <w:autoSpaceDE w:val="0"/>
        <w:autoSpaceDN w:val="0"/>
        <w:adjustRightInd w:val="0"/>
        <w:rPr>
          <w:rFonts w:eastAsiaTheme="minorHAnsi"/>
          <w:b/>
          <w:bCs/>
          <w:color w:val="000000"/>
          <w:sz w:val="22"/>
          <w:szCs w:val="22"/>
          <w:lang w:eastAsia="en-US"/>
        </w:rPr>
      </w:pPr>
      <w:r>
        <w:rPr>
          <w:rFonts w:eastAsiaTheme="minorHAnsi"/>
          <w:b/>
          <w:bCs/>
          <w:color w:val="000000"/>
          <w:sz w:val="22"/>
          <w:szCs w:val="22"/>
          <w:lang w:eastAsia="en-US"/>
        </w:rPr>
        <w:t>4 lentelė. Iki 24 savaičių trukmės placebu kontroliuojamų tyrimų duomenys (</w:t>
      </w:r>
      <w:proofErr w:type="spellStart"/>
      <w:r>
        <w:rPr>
          <w:rFonts w:eastAsiaTheme="minorHAnsi"/>
          <w:b/>
          <w:bCs/>
          <w:color w:val="000000"/>
          <w:sz w:val="22"/>
          <w:szCs w:val="22"/>
          <w:lang w:eastAsia="en-US"/>
        </w:rPr>
        <w:t>LOCF</w:t>
      </w:r>
      <w:r>
        <w:rPr>
          <w:rFonts w:eastAsiaTheme="minorHAnsi"/>
          <w:b/>
          <w:bCs/>
          <w:color w:val="000000"/>
          <w:sz w:val="22"/>
          <w:szCs w:val="22"/>
          <w:vertAlign w:val="superscript"/>
          <w:lang w:eastAsia="en-US"/>
        </w:rPr>
        <w:t>a</w:t>
      </w:r>
      <w:proofErr w:type="spellEnd"/>
      <w:r>
        <w:rPr>
          <w:rFonts w:eastAsiaTheme="minorHAnsi"/>
          <w:b/>
          <w:bCs/>
          <w:color w:val="000000"/>
          <w:sz w:val="22"/>
          <w:szCs w:val="22"/>
          <w:lang w:eastAsia="en-US"/>
        </w:rPr>
        <w:t xml:space="preserve">) tiriant kaip dapagliflozinas papildo </w:t>
      </w:r>
      <w:proofErr w:type="spellStart"/>
      <w:r>
        <w:rPr>
          <w:rFonts w:eastAsiaTheme="minorHAnsi"/>
          <w:b/>
          <w:bCs/>
          <w:color w:val="000000"/>
          <w:sz w:val="22"/>
          <w:szCs w:val="22"/>
          <w:lang w:eastAsia="en-US"/>
        </w:rPr>
        <w:t>metformino</w:t>
      </w:r>
      <w:proofErr w:type="spellEnd"/>
      <w:r>
        <w:rPr>
          <w:rFonts w:eastAsiaTheme="minorHAnsi"/>
          <w:b/>
          <w:bCs/>
          <w:color w:val="000000"/>
          <w:sz w:val="22"/>
          <w:szCs w:val="22"/>
          <w:lang w:eastAsia="en-US"/>
        </w:rPr>
        <w:t xml:space="preserve"> ar </w:t>
      </w:r>
      <w:proofErr w:type="spellStart"/>
      <w:r>
        <w:rPr>
          <w:rFonts w:eastAsiaTheme="minorHAnsi"/>
          <w:b/>
          <w:bCs/>
          <w:color w:val="000000"/>
          <w:sz w:val="22"/>
          <w:szCs w:val="22"/>
          <w:lang w:eastAsia="en-US"/>
        </w:rPr>
        <w:t>metformino</w:t>
      </w:r>
      <w:proofErr w:type="spellEnd"/>
      <w:r>
        <w:rPr>
          <w:rFonts w:eastAsiaTheme="minorHAnsi"/>
          <w:b/>
          <w:bCs/>
          <w:color w:val="000000"/>
          <w:sz w:val="22"/>
          <w:szCs w:val="22"/>
          <w:lang w:eastAsia="en-US"/>
        </w:rPr>
        <w:t xml:space="preserve"> ir </w:t>
      </w:r>
      <w:proofErr w:type="spellStart"/>
      <w:r>
        <w:rPr>
          <w:rFonts w:eastAsiaTheme="minorHAnsi"/>
          <w:b/>
          <w:bCs/>
          <w:color w:val="000000"/>
          <w:sz w:val="22"/>
          <w:szCs w:val="22"/>
          <w:lang w:eastAsia="en-US"/>
        </w:rPr>
        <w:t>sitagliptino</w:t>
      </w:r>
      <w:proofErr w:type="spellEnd"/>
      <w:r>
        <w:rPr>
          <w:rFonts w:eastAsiaTheme="minorHAnsi"/>
          <w:b/>
          <w:bCs/>
          <w:color w:val="000000"/>
          <w:sz w:val="22"/>
          <w:szCs w:val="22"/>
          <w:lang w:eastAsia="en-US"/>
        </w:rPr>
        <w:t xml:space="preserve"> derinio poveikį</w:t>
      </w:r>
    </w:p>
    <w:tbl>
      <w:tblPr>
        <w:tblStyle w:val="TableNormal1"/>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635"/>
        <w:gridCol w:w="1591"/>
        <w:gridCol w:w="981"/>
        <w:gridCol w:w="1627"/>
        <w:gridCol w:w="1080"/>
        <w:gridCol w:w="1611"/>
        <w:gridCol w:w="1118"/>
      </w:tblGrid>
      <w:tr w:rsidR="00023BBF" w14:paraId="3C21CD35" w14:textId="77777777">
        <w:trPr>
          <w:trHeight w:val="253"/>
        </w:trPr>
        <w:tc>
          <w:tcPr>
            <w:tcW w:w="1635" w:type="dxa"/>
            <w:vMerge w:val="restart"/>
            <w:tcBorders>
              <w:left w:val="nil"/>
              <w:bottom w:val="single" w:sz="8" w:space="0" w:color="000000"/>
              <w:right w:val="single" w:sz="8" w:space="0" w:color="000000"/>
            </w:tcBorders>
          </w:tcPr>
          <w:p w14:paraId="6480D32C" w14:textId="77777777" w:rsidR="00023BBF" w:rsidRDefault="00023BBF">
            <w:pPr>
              <w:rPr>
                <w:rFonts w:eastAsia="Calibri"/>
                <w:b/>
                <w:lang w:val="lt-LT" w:eastAsia="en-US"/>
              </w:rPr>
            </w:pPr>
          </w:p>
          <w:p w14:paraId="3D323B84" w14:textId="77777777" w:rsidR="00023BBF" w:rsidRDefault="00023BBF">
            <w:pPr>
              <w:rPr>
                <w:rFonts w:eastAsia="Calibri"/>
                <w:b/>
                <w:lang w:val="lt-LT" w:eastAsia="en-US"/>
              </w:rPr>
            </w:pPr>
          </w:p>
          <w:p w14:paraId="4B220C72" w14:textId="77777777" w:rsidR="00023BBF" w:rsidRDefault="00023BBF">
            <w:pPr>
              <w:rPr>
                <w:rFonts w:eastAsia="Calibri"/>
                <w:b/>
                <w:lang w:val="lt-LT" w:eastAsia="en-US"/>
              </w:rPr>
            </w:pPr>
          </w:p>
          <w:p w14:paraId="744454EA" w14:textId="77777777" w:rsidR="00023BBF" w:rsidRDefault="00023BBF">
            <w:pPr>
              <w:rPr>
                <w:rFonts w:eastAsia="Calibri"/>
                <w:b/>
                <w:lang w:val="lt-LT" w:eastAsia="en-US"/>
              </w:rPr>
            </w:pPr>
          </w:p>
          <w:p w14:paraId="7C7A9D99" w14:textId="77777777" w:rsidR="00023BBF" w:rsidRDefault="00023BBF">
            <w:pPr>
              <w:spacing w:before="76"/>
              <w:rPr>
                <w:rFonts w:eastAsia="Calibri"/>
                <w:b/>
                <w:lang w:val="lt-LT" w:eastAsia="en-US"/>
              </w:rPr>
            </w:pPr>
          </w:p>
          <w:p w14:paraId="06FCFBE2" w14:textId="77777777" w:rsidR="00023BBF" w:rsidRDefault="00023BBF">
            <w:pPr>
              <w:spacing w:line="151" w:lineRule="auto"/>
              <w:ind w:left="110"/>
              <w:rPr>
                <w:rFonts w:eastAsia="Calibri"/>
                <w:b/>
                <w:spacing w:val="-5"/>
                <w:position w:val="-8"/>
                <w:lang w:val="lt-LT" w:eastAsia="en-US"/>
              </w:rPr>
            </w:pPr>
          </w:p>
          <w:p w14:paraId="3257C5F9" w14:textId="77777777" w:rsidR="00023BBF" w:rsidRDefault="00E17C37">
            <w:pPr>
              <w:spacing w:line="151" w:lineRule="auto"/>
              <w:ind w:left="110"/>
              <w:rPr>
                <w:rFonts w:eastAsia="Calibri"/>
                <w:lang w:val="en-GB" w:eastAsia="en-US"/>
              </w:rPr>
            </w:pPr>
            <w:r>
              <w:rPr>
                <w:rFonts w:eastAsia="Calibri"/>
                <w:b/>
                <w:spacing w:val="-5"/>
                <w:position w:val="-8"/>
                <w:lang w:val="en-GB" w:eastAsia="en-US"/>
              </w:rPr>
              <w:t>N</w:t>
            </w:r>
            <w:r>
              <w:rPr>
                <w:rFonts w:eastAsia="Calibri"/>
                <w:spacing w:val="-5"/>
                <w:lang w:val="en-GB" w:eastAsia="en-US"/>
              </w:rPr>
              <w:t>c</w:t>
            </w:r>
          </w:p>
        </w:tc>
        <w:tc>
          <w:tcPr>
            <w:tcW w:w="8008" w:type="dxa"/>
            <w:gridSpan w:val="6"/>
            <w:tcBorders>
              <w:left w:val="single" w:sz="8" w:space="0" w:color="000000"/>
              <w:bottom w:val="single" w:sz="8" w:space="0" w:color="000000"/>
              <w:right w:val="nil"/>
            </w:tcBorders>
          </w:tcPr>
          <w:p w14:paraId="6C52B620" w14:textId="77777777" w:rsidR="00023BBF" w:rsidRDefault="00E17C37">
            <w:pPr>
              <w:spacing w:line="233" w:lineRule="exact"/>
              <w:ind w:right="5"/>
              <w:jc w:val="center"/>
              <w:rPr>
                <w:rFonts w:eastAsia="Calibri"/>
                <w:b/>
                <w:lang w:val="en-GB" w:eastAsia="en-US"/>
              </w:rPr>
            </w:pPr>
            <w:proofErr w:type="spellStart"/>
            <w:r>
              <w:rPr>
                <w:rFonts w:eastAsia="Calibri"/>
                <w:b/>
                <w:lang w:val="en-GB" w:eastAsia="en-US"/>
              </w:rPr>
              <w:t>Papildomo</w:t>
            </w:r>
            <w:proofErr w:type="spellEnd"/>
            <w:r>
              <w:rPr>
                <w:rFonts w:eastAsia="Calibri"/>
                <w:b/>
                <w:lang w:val="en-GB" w:eastAsia="en-US"/>
              </w:rPr>
              <w:t xml:space="preserve"> </w:t>
            </w:r>
            <w:proofErr w:type="spellStart"/>
            <w:r>
              <w:rPr>
                <w:rFonts w:eastAsia="Calibri"/>
                <w:b/>
                <w:lang w:val="en-GB" w:eastAsia="en-US"/>
              </w:rPr>
              <w:t>gydymo</w:t>
            </w:r>
            <w:proofErr w:type="spellEnd"/>
            <w:r>
              <w:rPr>
                <w:rFonts w:eastAsia="Calibri"/>
                <w:b/>
                <w:lang w:val="en-GB" w:eastAsia="en-US"/>
              </w:rPr>
              <w:t xml:space="preserve"> </w:t>
            </w:r>
            <w:proofErr w:type="spellStart"/>
            <w:r>
              <w:rPr>
                <w:rFonts w:eastAsia="Calibri"/>
                <w:b/>
                <w:lang w:val="en-GB" w:eastAsia="en-US"/>
              </w:rPr>
              <w:t>derinys</w:t>
            </w:r>
            <w:proofErr w:type="spellEnd"/>
          </w:p>
        </w:tc>
      </w:tr>
      <w:tr w:rsidR="00023BBF" w14:paraId="309A1F61" w14:textId="77777777">
        <w:trPr>
          <w:trHeight w:val="512"/>
        </w:trPr>
        <w:tc>
          <w:tcPr>
            <w:tcW w:w="1635" w:type="dxa"/>
            <w:vMerge/>
            <w:tcBorders>
              <w:top w:val="nil"/>
              <w:left w:val="nil"/>
              <w:bottom w:val="single" w:sz="8" w:space="0" w:color="000000"/>
              <w:right w:val="single" w:sz="8" w:space="0" w:color="000000"/>
            </w:tcBorders>
          </w:tcPr>
          <w:p w14:paraId="77CA2D29" w14:textId="77777777" w:rsidR="00023BBF" w:rsidRDefault="00023BBF">
            <w:pPr>
              <w:rPr>
                <w:rFonts w:eastAsia="Calibri"/>
                <w:lang w:val="en-GB" w:eastAsia="en-US"/>
              </w:rPr>
            </w:pPr>
          </w:p>
        </w:tc>
        <w:tc>
          <w:tcPr>
            <w:tcW w:w="2572" w:type="dxa"/>
            <w:gridSpan w:val="2"/>
            <w:tcBorders>
              <w:top w:val="single" w:sz="8" w:space="0" w:color="000000"/>
              <w:left w:val="single" w:sz="8" w:space="0" w:color="000000"/>
              <w:bottom w:val="single" w:sz="8" w:space="0" w:color="000000"/>
              <w:right w:val="single" w:sz="8" w:space="0" w:color="000000"/>
            </w:tcBorders>
          </w:tcPr>
          <w:p w14:paraId="223385F7" w14:textId="77777777" w:rsidR="00023BBF" w:rsidRDefault="00E17C37">
            <w:pPr>
              <w:spacing w:before="5"/>
              <w:ind w:left="705"/>
              <w:rPr>
                <w:rFonts w:eastAsia="Calibri"/>
                <w:lang w:val="en-GB" w:eastAsia="en-US"/>
              </w:rPr>
            </w:pPr>
            <w:r>
              <w:rPr>
                <w:rFonts w:eastAsia="Calibri"/>
                <w:b/>
                <w:spacing w:val="-2"/>
                <w:lang w:val="en-GB" w:eastAsia="en-US"/>
              </w:rPr>
              <w:t>Metforminas</w:t>
            </w:r>
            <w:r>
              <w:rPr>
                <w:rFonts w:eastAsia="Calibri"/>
                <w:spacing w:val="-2"/>
                <w:vertAlign w:val="superscript"/>
                <w:lang w:val="en-GB" w:eastAsia="en-US"/>
              </w:rPr>
              <w:t>1</w:t>
            </w:r>
          </w:p>
        </w:tc>
        <w:tc>
          <w:tcPr>
            <w:tcW w:w="2707" w:type="dxa"/>
            <w:gridSpan w:val="2"/>
            <w:tcBorders>
              <w:top w:val="single" w:sz="8" w:space="0" w:color="000000"/>
              <w:left w:val="single" w:sz="8" w:space="0" w:color="000000"/>
              <w:bottom w:val="single" w:sz="8" w:space="0" w:color="000000"/>
              <w:right w:val="single" w:sz="8" w:space="0" w:color="000000"/>
            </w:tcBorders>
          </w:tcPr>
          <w:p w14:paraId="2DA7292D" w14:textId="77777777" w:rsidR="00023BBF" w:rsidRDefault="00E17C37">
            <w:pPr>
              <w:spacing w:before="5"/>
              <w:ind w:left="586"/>
              <w:rPr>
                <w:rFonts w:eastAsia="Calibri"/>
                <w:lang w:val="en-GB" w:eastAsia="en-US"/>
              </w:rPr>
            </w:pPr>
            <w:r>
              <w:rPr>
                <w:rFonts w:eastAsia="Calibri"/>
                <w:b/>
                <w:spacing w:val="-2"/>
                <w:lang w:val="en-GB" w:eastAsia="en-US"/>
              </w:rPr>
              <w:t>Metforminas</w:t>
            </w:r>
            <w:r>
              <w:rPr>
                <w:rFonts w:eastAsia="Calibri"/>
                <w:spacing w:val="-2"/>
                <w:vertAlign w:val="superscript"/>
                <w:lang w:val="en-GB" w:eastAsia="en-US"/>
              </w:rPr>
              <w:t>1,</w:t>
            </w:r>
            <w:r>
              <w:rPr>
                <w:rFonts w:eastAsia="Calibri"/>
                <w:spacing w:val="-8"/>
                <w:lang w:val="en-GB" w:eastAsia="en-US"/>
              </w:rPr>
              <w:t xml:space="preserve"> </w:t>
            </w:r>
            <w:r>
              <w:rPr>
                <w:rFonts w:eastAsia="Calibri"/>
                <w:spacing w:val="-10"/>
                <w:vertAlign w:val="superscript"/>
                <w:lang w:val="en-GB" w:eastAsia="en-US"/>
              </w:rPr>
              <w:t>b</w:t>
            </w:r>
          </w:p>
        </w:tc>
        <w:tc>
          <w:tcPr>
            <w:tcW w:w="2729" w:type="dxa"/>
            <w:gridSpan w:val="2"/>
            <w:tcBorders>
              <w:top w:val="single" w:sz="8" w:space="0" w:color="000000"/>
              <w:left w:val="single" w:sz="8" w:space="0" w:color="000000"/>
              <w:bottom w:val="single" w:sz="8" w:space="0" w:color="000000"/>
              <w:right w:val="nil"/>
            </w:tcBorders>
          </w:tcPr>
          <w:p w14:paraId="00E37207" w14:textId="77777777" w:rsidR="00023BBF" w:rsidRDefault="00E17C37">
            <w:pPr>
              <w:spacing w:before="5"/>
              <w:ind w:left="101"/>
              <w:rPr>
                <w:rFonts w:eastAsia="Calibri"/>
                <w:lang w:val="en-GB" w:eastAsia="en-US"/>
              </w:rPr>
            </w:pPr>
            <w:r>
              <w:rPr>
                <w:rFonts w:eastAsia="Calibri"/>
                <w:b/>
                <w:lang w:val="en-GB" w:eastAsia="en-US"/>
              </w:rPr>
              <w:t>Metforminas</w:t>
            </w:r>
            <w:r>
              <w:rPr>
                <w:rFonts w:eastAsia="Calibri"/>
                <w:vertAlign w:val="superscript"/>
                <w:lang w:val="en-GB" w:eastAsia="en-US"/>
              </w:rPr>
              <w:t>1</w:t>
            </w:r>
            <w:r>
              <w:rPr>
                <w:rFonts w:eastAsia="Calibri"/>
                <w:spacing w:val="-7"/>
                <w:lang w:val="en-GB" w:eastAsia="en-US"/>
              </w:rPr>
              <w:t xml:space="preserve"> </w:t>
            </w:r>
            <w:r>
              <w:rPr>
                <w:rFonts w:eastAsia="Calibri"/>
                <w:b/>
                <w:lang w:val="en-GB" w:eastAsia="en-US"/>
              </w:rPr>
              <w:t>+</w:t>
            </w:r>
            <w:r>
              <w:rPr>
                <w:rFonts w:eastAsia="Calibri"/>
                <w:b/>
                <w:spacing w:val="-5"/>
                <w:lang w:val="en-GB" w:eastAsia="en-US"/>
              </w:rPr>
              <w:t xml:space="preserve"> </w:t>
            </w:r>
            <w:r>
              <w:rPr>
                <w:rFonts w:eastAsia="Calibri"/>
                <w:b/>
                <w:spacing w:val="-2"/>
                <w:lang w:val="en-GB" w:eastAsia="en-US"/>
              </w:rPr>
              <w:t>sitagliptinas</w:t>
            </w:r>
            <w:r>
              <w:rPr>
                <w:rFonts w:eastAsia="Calibri"/>
                <w:spacing w:val="-2"/>
                <w:vertAlign w:val="superscript"/>
                <w:lang w:val="en-GB" w:eastAsia="en-US"/>
              </w:rPr>
              <w:t>2</w:t>
            </w:r>
          </w:p>
        </w:tc>
      </w:tr>
      <w:tr w:rsidR="00023BBF" w14:paraId="36CFA9D3" w14:textId="77777777">
        <w:trPr>
          <w:trHeight w:val="703"/>
        </w:trPr>
        <w:tc>
          <w:tcPr>
            <w:tcW w:w="1635" w:type="dxa"/>
            <w:vMerge/>
            <w:tcBorders>
              <w:top w:val="nil"/>
              <w:left w:val="nil"/>
              <w:bottom w:val="single" w:sz="8" w:space="0" w:color="000000"/>
              <w:right w:val="single" w:sz="8" w:space="0" w:color="000000"/>
            </w:tcBorders>
          </w:tcPr>
          <w:p w14:paraId="23B2A5DB" w14:textId="77777777" w:rsidR="00023BBF" w:rsidRDefault="00023BBF">
            <w:pPr>
              <w:rPr>
                <w:rFonts w:eastAsia="Calibri"/>
                <w:lang w:val="en-GB" w:eastAsia="en-US"/>
              </w:rPr>
            </w:pPr>
          </w:p>
        </w:tc>
        <w:tc>
          <w:tcPr>
            <w:tcW w:w="1591" w:type="dxa"/>
            <w:tcBorders>
              <w:top w:val="single" w:sz="8" w:space="0" w:color="000000"/>
              <w:left w:val="single" w:sz="8" w:space="0" w:color="000000"/>
              <w:bottom w:val="single" w:sz="8" w:space="0" w:color="000000"/>
              <w:right w:val="nil"/>
            </w:tcBorders>
          </w:tcPr>
          <w:p w14:paraId="17918AD4" w14:textId="77777777" w:rsidR="00023BBF" w:rsidRDefault="00E17C37">
            <w:pPr>
              <w:spacing w:line="250" w:lineRule="atLeast"/>
              <w:ind w:left="249" w:hanging="149"/>
              <w:rPr>
                <w:rFonts w:eastAsia="Calibri"/>
                <w:b/>
                <w:lang w:val="en-GB" w:eastAsia="en-US"/>
              </w:rPr>
            </w:pPr>
            <w:proofErr w:type="spellStart"/>
            <w:r>
              <w:rPr>
                <w:rFonts w:eastAsia="Calibri"/>
                <w:b/>
                <w:spacing w:val="-2"/>
                <w:lang w:val="en-GB" w:eastAsia="en-US"/>
              </w:rPr>
              <w:t>Dapagliflozinas</w:t>
            </w:r>
            <w:proofErr w:type="spellEnd"/>
            <w:r>
              <w:rPr>
                <w:rFonts w:eastAsia="Calibri"/>
                <w:b/>
                <w:spacing w:val="-2"/>
                <w:lang w:val="en-GB" w:eastAsia="en-US"/>
              </w:rPr>
              <w:t xml:space="preserve"> </w:t>
            </w:r>
            <w:r>
              <w:rPr>
                <w:rFonts w:eastAsia="Calibri"/>
                <w:b/>
                <w:lang w:val="en-GB" w:eastAsia="en-US"/>
              </w:rPr>
              <w:t>10 mg 1 k/d</w:t>
            </w:r>
          </w:p>
        </w:tc>
        <w:tc>
          <w:tcPr>
            <w:tcW w:w="981" w:type="dxa"/>
            <w:tcBorders>
              <w:top w:val="single" w:sz="8" w:space="0" w:color="000000"/>
              <w:left w:val="nil"/>
              <w:bottom w:val="single" w:sz="8" w:space="0" w:color="000000"/>
              <w:right w:val="single" w:sz="8" w:space="0" w:color="000000"/>
            </w:tcBorders>
          </w:tcPr>
          <w:p w14:paraId="4587B50E" w14:textId="77777777" w:rsidR="00023BBF" w:rsidRDefault="00E17C37">
            <w:pPr>
              <w:spacing w:line="250" w:lineRule="atLeast"/>
              <w:ind w:right="143"/>
              <w:rPr>
                <w:rFonts w:eastAsia="Calibri"/>
                <w:b/>
                <w:lang w:val="en-GB" w:eastAsia="en-US"/>
              </w:rPr>
            </w:pPr>
            <w:proofErr w:type="spellStart"/>
            <w:r>
              <w:rPr>
                <w:rFonts w:eastAsia="Calibri"/>
                <w:b/>
                <w:spacing w:val="-2"/>
                <w:lang w:val="en-GB" w:eastAsia="en-US"/>
              </w:rPr>
              <w:t>Placebas</w:t>
            </w:r>
            <w:proofErr w:type="spellEnd"/>
            <w:r>
              <w:rPr>
                <w:rFonts w:eastAsia="Calibri"/>
                <w:b/>
                <w:spacing w:val="-2"/>
                <w:lang w:val="en-GB" w:eastAsia="en-US"/>
              </w:rPr>
              <w:t xml:space="preserve"> 1 k/d</w:t>
            </w:r>
          </w:p>
        </w:tc>
        <w:tc>
          <w:tcPr>
            <w:tcW w:w="2707" w:type="dxa"/>
            <w:gridSpan w:val="2"/>
            <w:tcBorders>
              <w:top w:val="single" w:sz="8" w:space="0" w:color="000000"/>
              <w:left w:val="single" w:sz="8" w:space="0" w:color="000000"/>
              <w:bottom w:val="single" w:sz="8" w:space="0" w:color="000000"/>
              <w:right w:val="single" w:sz="8" w:space="0" w:color="000000"/>
            </w:tcBorders>
          </w:tcPr>
          <w:p w14:paraId="0239A79A" w14:textId="77777777" w:rsidR="00023BBF" w:rsidRDefault="00E17C37">
            <w:pPr>
              <w:tabs>
                <w:tab w:val="left" w:pos="1574"/>
                <w:tab w:val="left" w:pos="1747"/>
              </w:tabs>
              <w:spacing w:line="250" w:lineRule="atLeast"/>
              <w:ind w:left="278" w:right="98" w:hanging="178"/>
              <w:rPr>
                <w:rFonts w:eastAsia="Calibri"/>
                <w:b/>
                <w:lang w:val="en-GB" w:eastAsia="en-US"/>
              </w:rPr>
            </w:pPr>
            <w:proofErr w:type="spellStart"/>
            <w:r>
              <w:rPr>
                <w:rFonts w:eastAsia="Calibri"/>
                <w:b/>
                <w:spacing w:val="-2"/>
                <w:lang w:val="en-GB" w:eastAsia="en-US"/>
              </w:rPr>
              <w:t>Dapagliflozinas</w:t>
            </w:r>
            <w:proofErr w:type="spellEnd"/>
            <w:r>
              <w:rPr>
                <w:rFonts w:eastAsia="Calibri"/>
                <w:b/>
                <w:lang w:val="en-GB" w:eastAsia="en-US"/>
              </w:rPr>
              <w:tab/>
            </w:r>
            <w:proofErr w:type="spellStart"/>
            <w:r>
              <w:rPr>
                <w:rFonts w:eastAsia="Calibri"/>
                <w:b/>
                <w:spacing w:val="-2"/>
                <w:lang w:val="en-GB" w:eastAsia="en-US"/>
              </w:rPr>
              <w:t>Placebass</w:t>
            </w:r>
            <w:proofErr w:type="spellEnd"/>
            <w:r>
              <w:rPr>
                <w:rFonts w:eastAsia="Calibri"/>
                <w:b/>
                <w:spacing w:val="-2"/>
                <w:lang w:val="en-GB" w:eastAsia="en-US"/>
              </w:rPr>
              <w:t xml:space="preserve"> </w:t>
            </w:r>
            <w:r>
              <w:rPr>
                <w:rFonts w:eastAsia="Calibri"/>
                <w:b/>
                <w:lang w:val="en-GB" w:eastAsia="en-US"/>
              </w:rPr>
              <w:t>5 mg 2 k/d</w:t>
            </w:r>
            <w:r>
              <w:rPr>
                <w:rFonts w:eastAsia="Calibri"/>
                <w:b/>
                <w:lang w:val="en-GB" w:eastAsia="en-US"/>
              </w:rPr>
              <w:tab/>
            </w:r>
            <w:r>
              <w:rPr>
                <w:rFonts w:eastAsia="Calibri"/>
                <w:b/>
                <w:lang w:val="en-GB" w:eastAsia="en-US"/>
              </w:rPr>
              <w:tab/>
            </w:r>
            <w:r>
              <w:rPr>
                <w:rFonts w:eastAsia="Calibri"/>
                <w:b/>
                <w:spacing w:val="-4"/>
                <w:lang w:val="en-GB" w:eastAsia="en-US"/>
              </w:rPr>
              <w:t>2 k/d</w:t>
            </w:r>
          </w:p>
        </w:tc>
        <w:tc>
          <w:tcPr>
            <w:tcW w:w="1611" w:type="dxa"/>
            <w:tcBorders>
              <w:top w:val="single" w:sz="8" w:space="0" w:color="000000"/>
              <w:left w:val="single" w:sz="8" w:space="0" w:color="000000"/>
              <w:bottom w:val="single" w:sz="8" w:space="0" w:color="000000"/>
              <w:right w:val="nil"/>
            </w:tcBorders>
          </w:tcPr>
          <w:p w14:paraId="78DF8214" w14:textId="77777777" w:rsidR="00023BBF" w:rsidRDefault="00E17C37">
            <w:pPr>
              <w:spacing w:line="250" w:lineRule="atLeast"/>
              <w:ind w:left="269" w:hanging="149"/>
              <w:rPr>
                <w:rFonts w:eastAsia="Calibri"/>
                <w:b/>
                <w:lang w:val="en-GB" w:eastAsia="en-US"/>
              </w:rPr>
            </w:pPr>
            <w:proofErr w:type="spellStart"/>
            <w:r>
              <w:rPr>
                <w:rFonts w:eastAsia="Calibri"/>
                <w:b/>
                <w:spacing w:val="-2"/>
                <w:lang w:val="en-GB" w:eastAsia="en-US"/>
              </w:rPr>
              <w:t>Dapagliflozinas</w:t>
            </w:r>
            <w:proofErr w:type="spellEnd"/>
            <w:r>
              <w:rPr>
                <w:rFonts w:eastAsia="Calibri"/>
                <w:b/>
                <w:spacing w:val="-2"/>
                <w:lang w:val="en-GB" w:eastAsia="en-US"/>
              </w:rPr>
              <w:t xml:space="preserve"> </w:t>
            </w:r>
            <w:r>
              <w:rPr>
                <w:rFonts w:eastAsia="Calibri"/>
                <w:b/>
                <w:lang w:val="en-GB" w:eastAsia="en-US"/>
              </w:rPr>
              <w:t>10 mg 1 k/d</w:t>
            </w:r>
          </w:p>
        </w:tc>
        <w:tc>
          <w:tcPr>
            <w:tcW w:w="1118" w:type="dxa"/>
            <w:tcBorders>
              <w:top w:val="single" w:sz="8" w:space="0" w:color="000000"/>
              <w:left w:val="nil"/>
              <w:bottom w:val="single" w:sz="8" w:space="0" w:color="000000"/>
              <w:right w:val="nil"/>
            </w:tcBorders>
          </w:tcPr>
          <w:p w14:paraId="318E2FE1" w14:textId="77777777" w:rsidR="00023BBF" w:rsidRDefault="00E17C37">
            <w:pPr>
              <w:spacing w:line="250" w:lineRule="atLeast"/>
              <w:ind w:left="344" w:right="149" w:hanging="202"/>
              <w:rPr>
                <w:rFonts w:eastAsia="Calibri"/>
                <w:b/>
                <w:lang w:val="en-GB" w:eastAsia="en-US"/>
              </w:rPr>
            </w:pPr>
            <w:proofErr w:type="spellStart"/>
            <w:r>
              <w:rPr>
                <w:rFonts w:eastAsia="Calibri"/>
                <w:b/>
                <w:spacing w:val="-2"/>
                <w:lang w:val="en-GB" w:eastAsia="en-US"/>
              </w:rPr>
              <w:t>Placebas</w:t>
            </w:r>
            <w:proofErr w:type="spellEnd"/>
            <w:r>
              <w:rPr>
                <w:rFonts w:eastAsia="Calibri"/>
                <w:b/>
                <w:spacing w:val="-2"/>
                <w:lang w:val="en-GB" w:eastAsia="en-US"/>
              </w:rPr>
              <w:t xml:space="preserve"> </w:t>
            </w:r>
            <w:r>
              <w:rPr>
                <w:rFonts w:eastAsia="Calibri"/>
                <w:b/>
                <w:spacing w:val="-6"/>
                <w:lang w:val="en-GB" w:eastAsia="en-US"/>
              </w:rPr>
              <w:t>1 k/d</w:t>
            </w:r>
          </w:p>
        </w:tc>
      </w:tr>
      <w:tr w:rsidR="00023BBF" w14:paraId="57BE476B" w14:textId="77777777">
        <w:trPr>
          <w:trHeight w:val="253"/>
        </w:trPr>
        <w:tc>
          <w:tcPr>
            <w:tcW w:w="1635" w:type="dxa"/>
            <w:vMerge/>
            <w:tcBorders>
              <w:top w:val="nil"/>
              <w:left w:val="nil"/>
              <w:bottom w:val="single" w:sz="8" w:space="0" w:color="000000"/>
              <w:right w:val="single" w:sz="8" w:space="0" w:color="000000"/>
            </w:tcBorders>
          </w:tcPr>
          <w:p w14:paraId="57B2CA62" w14:textId="77777777" w:rsidR="00023BBF" w:rsidRDefault="00023BBF">
            <w:pPr>
              <w:rPr>
                <w:rFonts w:eastAsia="Calibri"/>
                <w:lang w:val="en-GB" w:eastAsia="en-US"/>
              </w:rPr>
            </w:pPr>
          </w:p>
        </w:tc>
        <w:tc>
          <w:tcPr>
            <w:tcW w:w="1591" w:type="dxa"/>
            <w:tcBorders>
              <w:top w:val="single" w:sz="8" w:space="0" w:color="000000"/>
              <w:left w:val="single" w:sz="8" w:space="0" w:color="000000"/>
              <w:bottom w:val="single" w:sz="8" w:space="0" w:color="000000"/>
              <w:right w:val="nil"/>
            </w:tcBorders>
          </w:tcPr>
          <w:p w14:paraId="010AFD6D" w14:textId="77777777" w:rsidR="00023BBF" w:rsidRDefault="00E17C37">
            <w:pPr>
              <w:spacing w:line="234" w:lineRule="exact"/>
              <w:ind w:right="35"/>
              <w:jc w:val="center"/>
              <w:rPr>
                <w:rFonts w:eastAsia="Calibri"/>
                <w:lang w:val="en-GB" w:eastAsia="en-US"/>
              </w:rPr>
            </w:pPr>
            <w:r>
              <w:rPr>
                <w:rFonts w:eastAsia="Calibri"/>
                <w:spacing w:val="-5"/>
                <w:lang w:val="en-GB" w:eastAsia="en-US"/>
              </w:rPr>
              <w:t>135</w:t>
            </w:r>
          </w:p>
        </w:tc>
        <w:tc>
          <w:tcPr>
            <w:tcW w:w="981" w:type="dxa"/>
            <w:tcBorders>
              <w:top w:val="single" w:sz="8" w:space="0" w:color="000000"/>
              <w:left w:val="nil"/>
              <w:bottom w:val="single" w:sz="8" w:space="0" w:color="000000"/>
              <w:right w:val="single" w:sz="8" w:space="0" w:color="000000"/>
            </w:tcBorders>
          </w:tcPr>
          <w:p w14:paraId="1DA900B0" w14:textId="77777777" w:rsidR="00023BBF" w:rsidRDefault="00E17C37">
            <w:pPr>
              <w:spacing w:line="234" w:lineRule="exact"/>
              <w:ind w:right="14"/>
              <w:jc w:val="center"/>
              <w:rPr>
                <w:rFonts w:eastAsia="Calibri"/>
                <w:lang w:val="en-GB" w:eastAsia="en-US"/>
              </w:rPr>
            </w:pPr>
            <w:r>
              <w:rPr>
                <w:rFonts w:eastAsia="Calibri"/>
                <w:spacing w:val="-5"/>
                <w:lang w:val="en-GB" w:eastAsia="en-US"/>
              </w:rPr>
              <w:t>137</w:t>
            </w:r>
          </w:p>
        </w:tc>
        <w:tc>
          <w:tcPr>
            <w:tcW w:w="1627" w:type="dxa"/>
            <w:tcBorders>
              <w:top w:val="single" w:sz="8" w:space="0" w:color="000000"/>
              <w:left w:val="single" w:sz="8" w:space="0" w:color="000000"/>
              <w:bottom w:val="single" w:sz="8" w:space="0" w:color="000000"/>
              <w:right w:val="nil"/>
            </w:tcBorders>
          </w:tcPr>
          <w:p w14:paraId="778C1B5B" w14:textId="77777777" w:rsidR="00023BBF" w:rsidRDefault="00E17C37">
            <w:pPr>
              <w:spacing w:line="234" w:lineRule="exact"/>
              <w:ind w:left="1" w:right="9"/>
              <w:jc w:val="center"/>
              <w:rPr>
                <w:rFonts w:eastAsia="Calibri"/>
                <w:lang w:val="en-GB" w:eastAsia="en-US"/>
              </w:rPr>
            </w:pPr>
            <w:r>
              <w:rPr>
                <w:rFonts w:eastAsia="Calibri"/>
                <w:spacing w:val="-5"/>
                <w:lang w:val="en-GB" w:eastAsia="en-US"/>
              </w:rPr>
              <w:t>99</w:t>
            </w:r>
          </w:p>
        </w:tc>
        <w:tc>
          <w:tcPr>
            <w:tcW w:w="1080" w:type="dxa"/>
            <w:tcBorders>
              <w:top w:val="single" w:sz="8" w:space="0" w:color="000000"/>
              <w:left w:val="nil"/>
              <w:bottom w:val="single" w:sz="8" w:space="0" w:color="000000"/>
              <w:right w:val="single" w:sz="8" w:space="0" w:color="000000"/>
            </w:tcBorders>
          </w:tcPr>
          <w:p w14:paraId="550258F9" w14:textId="77777777" w:rsidR="00023BBF" w:rsidRDefault="00E17C37">
            <w:pPr>
              <w:spacing w:line="234" w:lineRule="exact"/>
              <w:ind w:left="16" w:right="5"/>
              <w:jc w:val="center"/>
              <w:rPr>
                <w:rFonts w:eastAsia="Calibri"/>
                <w:lang w:val="en-GB" w:eastAsia="en-US"/>
              </w:rPr>
            </w:pPr>
            <w:r>
              <w:rPr>
                <w:rFonts w:eastAsia="Calibri"/>
                <w:spacing w:val="-5"/>
                <w:lang w:val="en-GB" w:eastAsia="en-US"/>
              </w:rPr>
              <w:t>101</w:t>
            </w:r>
          </w:p>
        </w:tc>
        <w:tc>
          <w:tcPr>
            <w:tcW w:w="1611" w:type="dxa"/>
            <w:tcBorders>
              <w:top w:val="single" w:sz="8" w:space="0" w:color="000000"/>
              <w:left w:val="single" w:sz="8" w:space="0" w:color="000000"/>
              <w:bottom w:val="single" w:sz="8" w:space="0" w:color="000000"/>
              <w:right w:val="nil"/>
            </w:tcBorders>
          </w:tcPr>
          <w:p w14:paraId="561C21B2" w14:textId="77777777" w:rsidR="00023BBF" w:rsidRDefault="00E17C37">
            <w:pPr>
              <w:spacing w:line="234" w:lineRule="exact"/>
              <w:ind w:left="164" w:right="31"/>
              <w:jc w:val="center"/>
              <w:rPr>
                <w:rFonts w:eastAsia="Calibri"/>
                <w:lang w:val="en-GB" w:eastAsia="en-US"/>
              </w:rPr>
            </w:pPr>
            <w:r>
              <w:rPr>
                <w:rFonts w:eastAsia="Calibri"/>
                <w:spacing w:val="-5"/>
                <w:lang w:val="en-GB" w:eastAsia="en-US"/>
              </w:rPr>
              <w:t>113</w:t>
            </w:r>
          </w:p>
        </w:tc>
        <w:tc>
          <w:tcPr>
            <w:tcW w:w="1118" w:type="dxa"/>
            <w:tcBorders>
              <w:top w:val="single" w:sz="8" w:space="0" w:color="000000"/>
              <w:left w:val="nil"/>
              <w:bottom w:val="single" w:sz="8" w:space="0" w:color="000000"/>
              <w:right w:val="nil"/>
            </w:tcBorders>
          </w:tcPr>
          <w:p w14:paraId="10459052" w14:textId="77777777" w:rsidR="00023BBF" w:rsidRDefault="00E17C37">
            <w:pPr>
              <w:spacing w:line="234" w:lineRule="exact"/>
              <w:ind w:right="281"/>
              <w:jc w:val="right"/>
              <w:rPr>
                <w:rFonts w:eastAsia="Calibri"/>
                <w:lang w:val="en-GB" w:eastAsia="en-US"/>
              </w:rPr>
            </w:pPr>
            <w:r>
              <w:rPr>
                <w:rFonts w:eastAsia="Calibri"/>
                <w:spacing w:val="-5"/>
                <w:lang w:val="en-GB" w:eastAsia="en-US"/>
              </w:rPr>
              <w:t>113</w:t>
            </w:r>
          </w:p>
        </w:tc>
      </w:tr>
      <w:tr w:rsidR="00023BBF" w14:paraId="07C6491F" w14:textId="77777777">
        <w:trPr>
          <w:trHeight w:val="620"/>
        </w:trPr>
        <w:tc>
          <w:tcPr>
            <w:tcW w:w="1635" w:type="dxa"/>
            <w:vMerge w:val="restart"/>
            <w:tcBorders>
              <w:top w:val="single" w:sz="8" w:space="0" w:color="000000"/>
              <w:left w:val="nil"/>
              <w:bottom w:val="single" w:sz="8" w:space="0" w:color="000000"/>
              <w:right w:val="single" w:sz="8" w:space="0" w:color="000000"/>
            </w:tcBorders>
          </w:tcPr>
          <w:p w14:paraId="39C6C577" w14:textId="77777777" w:rsidR="00023BBF" w:rsidRDefault="00E17C37">
            <w:pPr>
              <w:spacing w:line="249" w:lineRule="exact"/>
              <w:ind w:left="110"/>
              <w:rPr>
                <w:rFonts w:eastAsia="Calibri"/>
                <w:b/>
                <w:lang w:val="lt-LT" w:eastAsia="en-US"/>
              </w:rPr>
            </w:pPr>
            <w:r>
              <w:rPr>
                <w:rFonts w:eastAsia="Calibri"/>
                <w:b/>
                <w:lang w:val="lt-LT" w:eastAsia="en-US"/>
              </w:rPr>
              <w:t>HbA1c</w:t>
            </w:r>
            <w:r>
              <w:rPr>
                <w:rFonts w:eastAsia="Calibri"/>
                <w:b/>
                <w:spacing w:val="-11"/>
                <w:lang w:val="lt-LT" w:eastAsia="en-US"/>
              </w:rPr>
              <w:t xml:space="preserve"> koncentracija </w:t>
            </w:r>
            <w:r>
              <w:rPr>
                <w:rFonts w:eastAsia="Calibri"/>
                <w:b/>
                <w:spacing w:val="-5"/>
                <w:lang w:val="lt-LT" w:eastAsia="en-US"/>
              </w:rPr>
              <w:t>(%)</w:t>
            </w:r>
          </w:p>
          <w:p w14:paraId="199227CC" w14:textId="77777777" w:rsidR="00023BBF" w:rsidRDefault="00E17C37">
            <w:pPr>
              <w:ind w:left="254" w:right="137"/>
              <w:rPr>
                <w:rFonts w:eastAsia="Calibri"/>
                <w:lang w:val="lt-LT" w:eastAsia="en-US"/>
              </w:rPr>
            </w:pPr>
            <w:r>
              <w:rPr>
                <w:rFonts w:eastAsia="Calibri"/>
                <w:spacing w:val="-2"/>
                <w:lang w:val="lt-LT" w:eastAsia="en-US"/>
              </w:rPr>
              <w:t xml:space="preserve">Pradinė (vidurkis) </w:t>
            </w:r>
            <w:r>
              <w:rPr>
                <w:rFonts w:eastAsia="Calibri"/>
                <w:lang w:val="lt-LT" w:eastAsia="en-US"/>
              </w:rPr>
              <w:t xml:space="preserve">Pokytis palyginus su </w:t>
            </w:r>
            <w:proofErr w:type="spellStart"/>
            <w:r>
              <w:rPr>
                <w:rFonts w:eastAsia="Calibri"/>
                <w:lang w:val="lt-LT" w:eastAsia="en-US"/>
              </w:rPr>
              <w:t>pradine</w:t>
            </w:r>
            <w:r>
              <w:rPr>
                <w:rFonts w:eastAsia="Calibri"/>
                <w:spacing w:val="-2"/>
                <w:vertAlign w:val="superscript"/>
                <w:lang w:val="lt-LT" w:eastAsia="en-US"/>
              </w:rPr>
              <w:t>d</w:t>
            </w:r>
            <w:proofErr w:type="spellEnd"/>
            <w:r>
              <w:rPr>
                <w:rFonts w:eastAsia="Calibri"/>
                <w:spacing w:val="-2"/>
                <w:lang w:val="lt-LT" w:eastAsia="en-US"/>
              </w:rPr>
              <w:t xml:space="preserve"> Skirtumas nuo </w:t>
            </w:r>
            <w:proofErr w:type="spellStart"/>
            <w:r>
              <w:rPr>
                <w:rFonts w:eastAsia="Calibri"/>
                <w:spacing w:val="-2"/>
                <w:lang w:val="lt-LT" w:eastAsia="en-US"/>
              </w:rPr>
              <w:t>placebo</w:t>
            </w:r>
            <w:r>
              <w:rPr>
                <w:rFonts w:eastAsia="Calibri"/>
                <w:spacing w:val="-2"/>
                <w:vertAlign w:val="superscript"/>
                <w:lang w:val="lt-LT" w:eastAsia="en-US"/>
              </w:rPr>
              <w:t>d</w:t>
            </w:r>
            <w:proofErr w:type="spellEnd"/>
          </w:p>
          <w:p w14:paraId="170D6E1E" w14:textId="77777777" w:rsidR="00023BBF" w:rsidRDefault="00E17C37">
            <w:pPr>
              <w:spacing w:line="238" w:lineRule="exact"/>
              <w:ind w:left="480"/>
              <w:rPr>
                <w:rFonts w:eastAsia="Calibri"/>
                <w:lang w:val="en-GB" w:eastAsia="en-US"/>
              </w:rPr>
            </w:pPr>
            <w:r>
              <w:rPr>
                <w:rFonts w:eastAsia="Calibri"/>
                <w:lang w:val="en-GB" w:eastAsia="en-US"/>
              </w:rPr>
              <w:t>(95 %</w:t>
            </w:r>
            <w:r>
              <w:rPr>
                <w:rFonts w:eastAsia="Calibri"/>
                <w:spacing w:val="-6"/>
                <w:lang w:val="en-GB" w:eastAsia="en-US"/>
              </w:rPr>
              <w:t xml:space="preserve"> </w:t>
            </w:r>
            <w:r>
              <w:rPr>
                <w:rFonts w:eastAsia="Calibri"/>
                <w:spacing w:val="-5"/>
                <w:lang w:val="en-GB" w:eastAsia="en-US"/>
              </w:rPr>
              <w:t>PI)</w:t>
            </w:r>
          </w:p>
        </w:tc>
        <w:tc>
          <w:tcPr>
            <w:tcW w:w="1591" w:type="dxa"/>
            <w:tcBorders>
              <w:top w:val="single" w:sz="8" w:space="0" w:color="000000"/>
              <w:left w:val="single" w:sz="8" w:space="0" w:color="000000"/>
              <w:bottom w:val="nil"/>
              <w:right w:val="nil"/>
            </w:tcBorders>
          </w:tcPr>
          <w:p w14:paraId="7946206E" w14:textId="77777777" w:rsidR="00023BBF" w:rsidRDefault="00E17C37">
            <w:pPr>
              <w:spacing w:before="245"/>
              <w:ind w:left="9" w:right="35"/>
              <w:jc w:val="center"/>
              <w:rPr>
                <w:rFonts w:eastAsia="Calibri"/>
                <w:lang w:val="en-GB" w:eastAsia="en-US"/>
              </w:rPr>
            </w:pPr>
            <w:r>
              <w:rPr>
                <w:rFonts w:eastAsia="Calibri"/>
                <w:spacing w:val="-4"/>
                <w:lang w:val="en-GB" w:eastAsia="en-US"/>
              </w:rPr>
              <w:t>7,92</w:t>
            </w:r>
          </w:p>
        </w:tc>
        <w:tc>
          <w:tcPr>
            <w:tcW w:w="981" w:type="dxa"/>
            <w:tcBorders>
              <w:top w:val="single" w:sz="8" w:space="0" w:color="000000"/>
              <w:left w:val="nil"/>
              <w:bottom w:val="nil"/>
              <w:right w:val="single" w:sz="8" w:space="0" w:color="000000"/>
            </w:tcBorders>
          </w:tcPr>
          <w:p w14:paraId="12570A42" w14:textId="77777777" w:rsidR="00023BBF" w:rsidRDefault="00E17C37">
            <w:pPr>
              <w:spacing w:before="245"/>
              <w:ind w:left="10" w:right="14"/>
              <w:jc w:val="center"/>
              <w:rPr>
                <w:rFonts w:eastAsia="Calibri"/>
                <w:lang w:val="en-GB" w:eastAsia="en-US"/>
              </w:rPr>
            </w:pPr>
            <w:r>
              <w:rPr>
                <w:rFonts w:eastAsia="Calibri"/>
                <w:spacing w:val="-4"/>
                <w:lang w:val="en-GB" w:eastAsia="en-US"/>
              </w:rPr>
              <w:t>8,11</w:t>
            </w:r>
          </w:p>
        </w:tc>
        <w:tc>
          <w:tcPr>
            <w:tcW w:w="1627" w:type="dxa"/>
            <w:tcBorders>
              <w:top w:val="single" w:sz="8" w:space="0" w:color="000000"/>
              <w:left w:val="single" w:sz="8" w:space="0" w:color="000000"/>
              <w:bottom w:val="nil"/>
              <w:right w:val="nil"/>
            </w:tcBorders>
          </w:tcPr>
          <w:p w14:paraId="303147D7" w14:textId="77777777" w:rsidR="00023BBF" w:rsidRDefault="00E17C37">
            <w:pPr>
              <w:spacing w:before="245"/>
              <w:ind w:left="8" w:right="9"/>
              <w:jc w:val="center"/>
              <w:rPr>
                <w:rFonts w:eastAsia="Calibri"/>
                <w:lang w:val="en-GB" w:eastAsia="en-US"/>
              </w:rPr>
            </w:pPr>
            <w:r>
              <w:rPr>
                <w:rFonts w:eastAsia="Calibri"/>
                <w:spacing w:val="-4"/>
                <w:lang w:val="en-GB" w:eastAsia="en-US"/>
              </w:rPr>
              <w:t>7,79</w:t>
            </w:r>
          </w:p>
        </w:tc>
        <w:tc>
          <w:tcPr>
            <w:tcW w:w="1080" w:type="dxa"/>
            <w:tcBorders>
              <w:top w:val="single" w:sz="8" w:space="0" w:color="000000"/>
              <w:left w:val="nil"/>
              <w:bottom w:val="nil"/>
              <w:right w:val="single" w:sz="8" w:space="0" w:color="000000"/>
            </w:tcBorders>
          </w:tcPr>
          <w:p w14:paraId="6D9DCFFB" w14:textId="77777777" w:rsidR="00023BBF" w:rsidRDefault="00E17C37">
            <w:pPr>
              <w:spacing w:before="245"/>
              <w:ind w:left="16" w:right="5"/>
              <w:jc w:val="center"/>
              <w:rPr>
                <w:rFonts w:eastAsia="Calibri"/>
                <w:lang w:val="en-GB" w:eastAsia="en-US"/>
              </w:rPr>
            </w:pPr>
            <w:r>
              <w:rPr>
                <w:rFonts w:eastAsia="Calibri"/>
                <w:spacing w:val="-4"/>
                <w:lang w:val="en-GB" w:eastAsia="en-US"/>
              </w:rPr>
              <w:t>7,94</w:t>
            </w:r>
          </w:p>
        </w:tc>
        <w:tc>
          <w:tcPr>
            <w:tcW w:w="1611" w:type="dxa"/>
            <w:tcBorders>
              <w:top w:val="single" w:sz="8" w:space="0" w:color="000000"/>
              <w:left w:val="single" w:sz="8" w:space="0" w:color="000000"/>
              <w:bottom w:val="nil"/>
              <w:right w:val="nil"/>
            </w:tcBorders>
          </w:tcPr>
          <w:p w14:paraId="5A40B7F5" w14:textId="77777777" w:rsidR="00023BBF" w:rsidRDefault="00E17C37">
            <w:pPr>
              <w:spacing w:before="245"/>
              <w:ind w:left="133" w:right="159"/>
              <w:jc w:val="center"/>
              <w:rPr>
                <w:rFonts w:eastAsia="Calibri"/>
                <w:lang w:val="en-GB" w:eastAsia="en-US"/>
              </w:rPr>
            </w:pPr>
            <w:r>
              <w:rPr>
                <w:rFonts w:eastAsia="Calibri"/>
                <w:spacing w:val="-4"/>
                <w:lang w:val="en-GB" w:eastAsia="en-US"/>
              </w:rPr>
              <w:t>7,80</w:t>
            </w:r>
          </w:p>
        </w:tc>
        <w:tc>
          <w:tcPr>
            <w:tcW w:w="1118" w:type="dxa"/>
            <w:tcBorders>
              <w:top w:val="single" w:sz="8" w:space="0" w:color="000000"/>
              <w:left w:val="nil"/>
              <w:bottom w:val="nil"/>
              <w:right w:val="nil"/>
            </w:tcBorders>
          </w:tcPr>
          <w:p w14:paraId="7FDE21DE" w14:textId="77777777" w:rsidR="00023BBF" w:rsidRDefault="00E17C37">
            <w:pPr>
              <w:spacing w:before="245"/>
              <w:ind w:right="357"/>
              <w:jc w:val="right"/>
              <w:rPr>
                <w:rFonts w:eastAsia="Calibri"/>
                <w:lang w:val="en-GB" w:eastAsia="en-US"/>
              </w:rPr>
            </w:pPr>
            <w:r>
              <w:rPr>
                <w:rFonts w:eastAsia="Calibri"/>
                <w:spacing w:val="-4"/>
                <w:lang w:val="en-GB" w:eastAsia="en-US"/>
              </w:rPr>
              <w:t>7,87</w:t>
            </w:r>
          </w:p>
        </w:tc>
      </w:tr>
      <w:tr w:rsidR="00023BBF" w14:paraId="25E8084A" w14:textId="77777777">
        <w:trPr>
          <w:trHeight w:val="486"/>
        </w:trPr>
        <w:tc>
          <w:tcPr>
            <w:tcW w:w="1635" w:type="dxa"/>
            <w:vMerge/>
            <w:tcBorders>
              <w:top w:val="nil"/>
              <w:left w:val="nil"/>
              <w:bottom w:val="single" w:sz="8" w:space="0" w:color="000000"/>
              <w:right w:val="single" w:sz="8" w:space="0" w:color="000000"/>
            </w:tcBorders>
          </w:tcPr>
          <w:p w14:paraId="5CEFED52" w14:textId="77777777" w:rsidR="00023BBF" w:rsidRDefault="00023BBF">
            <w:pPr>
              <w:rPr>
                <w:rFonts w:eastAsia="Calibri"/>
                <w:lang w:val="en-GB" w:eastAsia="en-US"/>
              </w:rPr>
            </w:pPr>
          </w:p>
        </w:tc>
        <w:tc>
          <w:tcPr>
            <w:tcW w:w="1591" w:type="dxa"/>
            <w:tcBorders>
              <w:top w:val="nil"/>
              <w:left w:val="single" w:sz="8" w:space="0" w:color="000000"/>
              <w:bottom w:val="nil"/>
              <w:right w:val="nil"/>
            </w:tcBorders>
          </w:tcPr>
          <w:p w14:paraId="7B70526E" w14:textId="77777777" w:rsidR="00023BBF" w:rsidRDefault="00E17C37">
            <w:pPr>
              <w:spacing w:before="113"/>
              <w:ind w:left="6" w:right="35"/>
              <w:jc w:val="center"/>
              <w:rPr>
                <w:rFonts w:eastAsia="Calibri"/>
                <w:lang w:val="en-GB" w:eastAsia="en-US"/>
              </w:rPr>
            </w:pPr>
            <w:r>
              <w:rPr>
                <w:rFonts w:eastAsia="Calibri"/>
                <w:spacing w:val="-2"/>
                <w:lang w:val="en-GB" w:eastAsia="en-US"/>
              </w:rPr>
              <w:t>-</w:t>
            </w:r>
            <w:r>
              <w:rPr>
                <w:rFonts w:eastAsia="Calibri"/>
                <w:spacing w:val="-4"/>
                <w:lang w:val="en-GB" w:eastAsia="en-US"/>
              </w:rPr>
              <w:t>0,84</w:t>
            </w:r>
          </w:p>
        </w:tc>
        <w:tc>
          <w:tcPr>
            <w:tcW w:w="981" w:type="dxa"/>
            <w:tcBorders>
              <w:top w:val="nil"/>
              <w:left w:val="nil"/>
              <w:bottom w:val="nil"/>
              <w:right w:val="single" w:sz="8" w:space="0" w:color="000000"/>
            </w:tcBorders>
          </w:tcPr>
          <w:p w14:paraId="1F173887" w14:textId="77777777" w:rsidR="00023BBF" w:rsidRDefault="00E17C37">
            <w:pPr>
              <w:spacing w:before="113"/>
              <w:ind w:left="4" w:right="14"/>
              <w:jc w:val="center"/>
              <w:rPr>
                <w:rFonts w:eastAsia="Calibri"/>
                <w:lang w:val="en-GB" w:eastAsia="en-US"/>
              </w:rPr>
            </w:pPr>
            <w:r>
              <w:rPr>
                <w:rFonts w:eastAsia="Calibri"/>
                <w:spacing w:val="-2"/>
                <w:lang w:val="en-GB" w:eastAsia="en-US"/>
              </w:rPr>
              <w:t>-</w:t>
            </w:r>
            <w:r>
              <w:rPr>
                <w:rFonts w:eastAsia="Calibri"/>
                <w:spacing w:val="-4"/>
                <w:lang w:val="en-GB" w:eastAsia="en-US"/>
              </w:rPr>
              <w:t>0,30</w:t>
            </w:r>
          </w:p>
        </w:tc>
        <w:tc>
          <w:tcPr>
            <w:tcW w:w="1627" w:type="dxa"/>
            <w:tcBorders>
              <w:top w:val="nil"/>
              <w:left w:val="single" w:sz="8" w:space="0" w:color="000000"/>
              <w:bottom w:val="nil"/>
              <w:right w:val="nil"/>
            </w:tcBorders>
          </w:tcPr>
          <w:p w14:paraId="58E0628A" w14:textId="77777777" w:rsidR="00023BBF" w:rsidRDefault="00E17C37">
            <w:pPr>
              <w:spacing w:before="113"/>
              <w:ind w:left="3" w:right="9"/>
              <w:jc w:val="center"/>
              <w:rPr>
                <w:rFonts w:eastAsia="Calibri"/>
                <w:lang w:val="en-GB" w:eastAsia="en-US"/>
              </w:rPr>
            </w:pPr>
            <w:r>
              <w:rPr>
                <w:rFonts w:eastAsia="Calibri"/>
                <w:spacing w:val="-2"/>
                <w:lang w:val="en-GB" w:eastAsia="en-US"/>
              </w:rPr>
              <w:t>-</w:t>
            </w:r>
            <w:r>
              <w:rPr>
                <w:rFonts w:eastAsia="Calibri"/>
                <w:spacing w:val="-4"/>
                <w:lang w:val="en-GB" w:eastAsia="en-US"/>
              </w:rPr>
              <w:t>0,65</w:t>
            </w:r>
          </w:p>
        </w:tc>
        <w:tc>
          <w:tcPr>
            <w:tcW w:w="1080" w:type="dxa"/>
            <w:tcBorders>
              <w:top w:val="nil"/>
              <w:left w:val="nil"/>
              <w:bottom w:val="nil"/>
              <w:right w:val="single" w:sz="8" w:space="0" w:color="000000"/>
            </w:tcBorders>
          </w:tcPr>
          <w:p w14:paraId="33313D9F" w14:textId="77777777" w:rsidR="00023BBF" w:rsidRDefault="00E17C37">
            <w:pPr>
              <w:spacing w:before="113"/>
              <w:ind w:left="16"/>
              <w:jc w:val="center"/>
              <w:rPr>
                <w:rFonts w:eastAsia="Calibri"/>
                <w:lang w:val="en-GB" w:eastAsia="en-US"/>
              </w:rPr>
            </w:pPr>
            <w:r>
              <w:rPr>
                <w:rFonts w:eastAsia="Calibri"/>
                <w:spacing w:val="-2"/>
                <w:lang w:val="en-GB" w:eastAsia="en-US"/>
              </w:rPr>
              <w:t>-</w:t>
            </w:r>
            <w:r>
              <w:rPr>
                <w:rFonts w:eastAsia="Calibri"/>
                <w:spacing w:val="-4"/>
                <w:lang w:val="en-GB" w:eastAsia="en-US"/>
              </w:rPr>
              <w:t>0,30</w:t>
            </w:r>
          </w:p>
        </w:tc>
        <w:tc>
          <w:tcPr>
            <w:tcW w:w="1611" w:type="dxa"/>
            <w:tcBorders>
              <w:top w:val="nil"/>
              <w:left w:val="single" w:sz="8" w:space="0" w:color="000000"/>
              <w:bottom w:val="nil"/>
              <w:right w:val="nil"/>
            </w:tcBorders>
          </w:tcPr>
          <w:p w14:paraId="0315CF69" w14:textId="77777777" w:rsidR="00023BBF" w:rsidRDefault="00E17C37">
            <w:pPr>
              <w:spacing w:before="113"/>
              <w:ind w:left="133" w:right="164"/>
              <w:jc w:val="center"/>
              <w:rPr>
                <w:rFonts w:eastAsia="Calibri"/>
                <w:lang w:val="en-GB" w:eastAsia="en-US"/>
              </w:rPr>
            </w:pPr>
            <w:r>
              <w:rPr>
                <w:rFonts w:eastAsia="Calibri"/>
                <w:spacing w:val="-2"/>
                <w:lang w:val="en-GB" w:eastAsia="en-US"/>
              </w:rPr>
              <w:t>-</w:t>
            </w:r>
            <w:r>
              <w:rPr>
                <w:rFonts w:eastAsia="Calibri"/>
                <w:spacing w:val="-4"/>
                <w:lang w:val="en-GB" w:eastAsia="en-US"/>
              </w:rPr>
              <w:t>0,43</w:t>
            </w:r>
          </w:p>
        </w:tc>
        <w:tc>
          <w:tcPr>
            <w:tcW w:w="1118" w:type="dxa"/>
            <w:tcBorders>
              <w:top w:val="nil"/>
              <w:left w:val="nil"/>
              <w:bottom w:val="nil"/>
              <w:right w:val="nil"/>
            </w:tcBorders>
          </w:tcPr>
          <w:p w14:paraId="76C2B008" w14:textId="77777777" w:rsidR="00023BBF" w:rsidRDefault="00E17C37">
            <w:pPr>
              <w:spacing w:before="113"/>
              <w:ind w:right="318"/>
              <w:jc w:val="right"/>
              <w:rPr>
                <w:rFonts w:eastAsia="Calibri"/>
                <w:lang w:val="en-GB" w:eastAsia="en-US"/>
              </w:rPr>
            </w:pPr>
            <w:r>
              <w:rPr>
                <w:rFonts w:eastAsia="Calibri"/>
                <w:spacing w:val="-2"/>
                <w:lang w:val="en-GB" w:eastAsia="en-US"/>
              </w:rPr>
              <w:t>-</w:t>
            </w:r>
            <w:r>
              <w:rPr>
                <w:rFonts w:eastAsia="Calibri"/>
                <w:spacing w:val="-4"/>
                <w:lang w:val="en-GB" w:eastAsia="en-US"/>
              </w:rPr>
              <w:t>0,02</w:t>
            </w:r>
          </w:p>
        </w:tc>
      </w:tr>
      <w:tr w:rsidR="00023BBF" w14:paraId="2D477CCE" w14:textId="77777777">
        <w:trPr>
          <w:trHeight w:val="611"/>
        </w:trPr>
        <w:tc>
          <w:tcPr>
            <w:tcW w:w="1635" w:type="dxa"/>
            <w:vMerge/>
            <w:tcBorders>
              <w:top w:val="nil"/>
              <w:left w:val="nil"/>
              <w:bottom w:val="single" w:sz="8" w:space="0" w:color="000000"/>
              <w:right w:val="single" w:sz="8" w:space="0" w:color="000000"/>
            </w:tcBorders>
          </w:tcPr>
          <w:p w14:paraId="5192C025" w14:textId="77777777" w:rsidR="00023BBF" w:rsidRDefault="00023BBF">
            <w:pPr>
              <w:rPr>
                <w:rFonts w:eastAsia="Calibri"/>
                <w:lang w:val="en-GB" w:eastAsia="en-US"/>
              </w:rPr>
            </w:pPr>
          </w:p>
        </w:tc>
        <w:tc>
          <w:tcPr>
            <w:tcW w:w="1591" w:type="dxa"/>
            <w:tcBorders>
              <w:top w:val="nil"/>
              <w:left w:val="single" w:sz="8" w:space="0" w:color="000000"/>
              <w:bottom w:val="nil"/>
              <w:right w:val="nil"/>
            </w:tcBorders>
          </w:tcPr>
          <w:p w14:paraId="05E22D4D" w14:textId="77777777" w:rsidR="00023BBF" w:rsidRDefault="00E17C37">
            <w:pPr>
              <w:spacing w:before="111"/>
              <w:ind w:left="537"/>
              <w:rPr>
                <w:rFonts w:eastAsia="Calibri"/>
                <w:lang w:val="en-GB" w:eastAsia="en-US"/>
              </w:rPr>
            </w:pPr>
            <w:r>
              <w:rPr>
                <w:rFonts w:eastAsia="Calibri"/>
                <w:spacing w:val="-2"/>
                <w:lang w:val="en-GB" w:eastAsia="en-US"/>
              </w:rPr>
              <w:t>-0,54</w:t>
            </w:r>
            <w:r>
              <w:rPr>
                <w:rFonts w:eastAsia="Calibri"/>
                <w:spacing w:val="-2"/>
                <w:vertAlign w:val="superscript"/>
                <w:lang w:val="en-GB" w:eastAsia="en-US"/>
              </w:rPr>
              <w:t>*</w:t>
            </w:r>
          </w:p>
        </w:tc>
        <w:tc>
          <w:tcPr>
            <w:tcW w:w="981" w:type="dxa"/>
            <w:tcBorders>
              <w:top w:val="nil"/>
              <w:left w:val="nil"/>
              <w:bottom w:val="nil"/>
              <w:right w:val="single" w:sz="8" w:space="0" w:color="000000"/>
            </w:tcBorders>
          </w:tcPr>
          <w:p w14:paraId="50F09EFD" w14:textId="77777777" w:rsidR="00023BBF" w:rsidRDefault="00023BBF">
            <w:pPr>
              <w:rPr>
                <w:rFonts w:eastAsia="Calibri"/>
                <w:lang w:val="en-GB" w:eastAsia="en-US"/>
              </w:rPr>
            </w:pPr>
          </w:p>
        </w:tc>
        <w:tc>
          <w:tcPr>
            <w:tcW w:w="1627" w:type="dxa"/>
            <w:tcBorders>
              <w:top w:val="nil"/>
              <w:left w:val="single" w:sz="8" w:space="0" w:color="000000"/>
              <w:bottom w:val="nil"/>
              <w:right w:val="nil"/>
            </w:tcBorders>
          </w:tcPr>
          <w:p w14:paraId="3A103CB5" w14:textId="77777777" w:rsidR="00023BBF" w:rsidRDefault="00E17C37">
            <w:pPr>
              <w:spacing w:before="111"/>
              <w:ind w:left="5" w:right="9"/>
              <w:jc w:val="center"/>
              <w:rPr>
                <w:rFonts w:eastAsia="Calibri"/>
                <w:lang w:val="en-GB" w:eastAsia="en-US"/>
              </w:rPr>
            </w:pPr>
            <w:r>
              <w:rPr>
                <w:rFonts w:eastAsia="Calibri"/>
                <w:spacing w:val="-2"/>
                <w:lang w:val="en-GB" w:eastAsia="en-US"/>
              </w:rPr>
              <w:t>-0,35</w:t>
            </w:r>
            <w:r>
              <w:rPr>
                <w:rFonts w:eastAsia="Calibri"/>
                <w:spacing w:val="-2"/>
                <w:vertAlign w:val="superscript"/>
                <w:lang w:val="en-GB" w:eastAsia="en-US"/>
              </w:rPr>
              <w:t>*</w:t>
            </w:r>
          </w:p>
        </w:tc>
        <w:tc>
          <w:tcPr>
            <w:tcW w:w="1080" w:type="dxa"/>
            <w:tcBorders>
              <w:top w:val="nil"/>
              <w:left w:val="nil"/>
              <w:bottom w:val="nil"/>
              <w:right w:val="single" w:sz="8" w:space="0" w:color="000000"/>
            </w:tcBorders>
          </w:tcPr>
          <w:p w14:paraId="1BF5BBB4" w14:textId="77777777" w:rsidR="00023BBF" w:rsidRDefault="00023BBF">
            <w:pPr>
              <w:rPr>
                <w:rFonts w:eastAsia="Calibri"/>
                <w:lang w:val="en-GB" w:eastAsia="en-US"/>
              </w:rPr>
            </w:pPr>
          </w:p>
        </w:tc>
        <w:tc>
          <w:tcPr>
            <w:tcW w:w="1611" w:type="dxa"/>
            <w:tcBorders>
              <w:top w:val="nil"/>
              <w:left w:val="single" w:sz="8" w:space="0" w:color="000000"/>
              <w:bottom w:val="nil"/>
              <w:right w:val="nil"/>
            </w:tcBorders>
          </w:tcPr>
          <w:p w14:paraId="3D2EBAF6" w14:textId="77777777" w:rsidR="00023BBF" w:rsidRDefault="00E17C37">
            <w:pPr>
              <w:spacing w:before="111"/>
              <w:ind w:left="552"/>
              <w:rPr>
                <w:rFonts w:eastAsia="Calibri"/>
                <w:lang w:val="en-GB" w:eastAsia="en-US"/>
              </w:rPr>
            </w:pPr>
            <w:r>
              <w:rPr>
                <w:rFonts w:eastAsia="Calibri"/>
                <w:spacing w:val="-2"/>
                <w:lang w:val="en-GB" w:eastAsia="en-US"/>
              </w:rPr>
              <w:t>-0,40</w:t>
            </w:r>
            <w:r>
              <w:rPr>
                <w:rFonts w:eastAsia="Calibri"/>
                <w:spacing w:val="-2"/>
                <w:vertAlign w:val="superscript"/>
                <w:lang w:val="en-GB" w:eastAsia="en-US"/>
              </w:rPr>
              <w:t>*</w:t>
            </w:r>
          </w:p>
        </w:tc>
        <w:tc>
          <w:tcPr>
            <w:tcW w:w="1118" w:type="dxa"/>
            <w:tcBorders>
              <w:top w:val="nil"/>
              <w:left w:val="nil"/>
              <w:bottom w:val="nil"/>
              <w:right w:val="nil"/>
            </w:tcBorders>
          </w:tcPr>
          <w:p w14:paraId="44C74FA6" w14:textId="77777777" w:rsidR="00023BBF" w:rsidRDefault="00023BBF">
            <w:pPr>
              <w:rPr>
                <w:rFonts w:eastAsia="Calibri"/>
                <w:lang w:val="en-GB" w:eastAsia="en-US"/>
              </w:rPr>
            </w:pPr>
          </w:p>
        </w:tc>
      </w:tr>
      <w:tr w:rsidR="00023BBF" w14:paraId="6B0B8633" w14:textId="77777777">
        <w:trPr>
          <w:trHeight w:val="496"/>
        </w:trPr>
        <w:tc>
          <w:tcPr>
            <w:tcW w:w="1635" w:type="dxa"/>
            <w:vMerge/>
            <w:tcBorders>
              <w:top w:val="nil"/>
              <w:left w:val="nil"/>
              <w:bottom w:val="single" w:sz="8" w:space="0" w:color="000000"/>
              <w:right w:val="single" w:sz="8" w:space="0" w:color="000000"/>
            </w:tcBorders>
          </w:tcPr>
          <w:p w14:paraId="2A8BBB16" w14:textId="77777777" w:rsidR="00023BBF" w:rsidRDefault="00023BBF">
            <w:pPr>
              <w:rPr>
                <w:rFonts w:eastAsia="Calibri"/>
                <w:lang w:val="en-GB" w:eastAsia="en-US"/>
              </w:rPr>
            </w:pPr>
          </w:p>
        </w:tc>
        <w:tc>
          <w:tcPr>
            <w:tcW w:w="1591" w:type="dxa"/>
            <w:tcBorders>
              <w:top w:val="nil"/>
              <w:left w:val="single" w:sz="8" w:space="0" w:color="000000"/>
              <w:bottom w:val="single" w:sz="8" w:space="0" w:color="000000"/>
              <w:right w:val="nil"/>
            </w:tcBorders>
          </w:tcPr>
          <w:p w14:paraId="4D950313" w14:textId="77777777" w:rsidR="00023BBF" w:rsidRDefault="00E17C37">
            <w:pPr>
              <w:spacing w:before="238" w:line="238" w:lineRule="exact"/>
              <w:ind w:left="143"/>
              <w:rPr>
                <w:rFonts w:eastAsia="Calibri"/>
                <w:lang w:val="en-GB" w:eastAsia="en-US"/>
              </w:rPr>
            </w:pPr>
            <w:r>
              <w:rPr>
                <w:rFonts w:eastAsia="Calibri"/>
                <w:lang w:val="en-GB" w:eastAsia="en-US"/>
              </w:rPr>
              <w:t>(-0,74,</w:t>
            </w:r>
            <w:r>
              <w:rPr>
                <w:rFonts w:eastAsia="Calibri"/>
                <w:spacing w:val="-3"/>
                <w:lang w:val="en-GB" w:eastAsia="en-US"/>
              </w:rPr>
              <w:t xml:space="preserve"> </w:t>
            </w:r>
            <w:r>
              <w:rPr>
                <w:rFonts w:eastAsia="Calibri"/>
                <w:lang w:val="en-GB" w:eastAsia="en-US"/>
              </w:rPr>
              <w:t>-</w:t>
            </w:r>
            <w:r>
              <w:rPr>
                <w:rFonts w:eastAsia="Calibri"/>
                <w:spacing w:val="-2"/>
                <w:lang w:val="en-GB" w:eastAsia="en-US"/>
              </w:rPr>
              <w:t>0,34)</w:t>
            </w:r>
          </w:p>
        </w:tc>
        <w:tc>
          <w:tcPr>
            <w:tcW w:w="981" w:type="dxa"/>
            <w:tcBorders>
              <w:top w:val="nil"/>
              <w:left w:val="nil"/>
              <w:bottom w:val="single" w:sz="8" w:space="0" w:color="000000"/>
              <w:right w:val="single" w:sz="8" w:space="0" w:color="000000"/>
            </w:tcBorders>
          </w:tcPr>
          <w:p w14:paraId="68A3BFB3" w14:textId="77777777" w:rsidR="00023BBF" w:rsidRDefault="00023BBF">
            <w:pPr>
              <w:rPr>
                <w:rFonts w:eastAsia="Calibri"/>
                <w:lang w:val="en-GB" w:eastAsia="en-US"/>
              </w:rPr>
            </w:pPr>
          </w:p>
        </w:tc>
        <w:tc>
          <w:tcPr>
            <w:tcW w:w="1627" w:type="dxa"/>
            <w:tcBorders>
              <w:top w:val="nil"/>
              <w:left w:val="single" w:sz="8" w:space="0" w:color="000000"/>
              <w:bottom w:val="single" w:sz="8" w:space="0" w:color="000000"/>
              <w:right w:val="nil"/>
            </w:tcBorders>
          </w:tcPr>
          <w:p w14:paraId="6CFE2106" w14:textId="77777777" w:rsidR="00023BBF" w:rsidRDefault="00E17C37">
            <w:pPr>
              <w:spacing w:before="238" w:line="238" w:lineRule="exact"/>
              <w:ind w:left="8" w:right="9"/>
              <w:jc w:val="center"/>
              <w:rPr>
                <w:rFonts w:eastAsia="Calibri"/>
                <w:lang w:val="en-GB" w:eastAsia="en-US"/>
              </w:rPr>
            </w:pPr>
            <w:r>
              <w:rPr>
                <w:rFonts w:eastAsia="Calibri"/>
                <w:lang w:val="en-GB" w:eastAsia="en-US"/>
              </w:rPr>
              <w:t>(-0,52,</w:t>
            </w:r>
            <w:r>
              <w:rPr>
                <w:rFonts w:eastAsia="Calibri"/>
                <w:spacing w:val="-3"/>
                <w:lang w:val="en-GB" w:eastAsia="en-US"/>
              </w:rPr>
              <w:t xml:space="preserve"> </w:t>
            </w:r>
            <w:r>
              <w:rPr>
                <w:rFonts w:eastAsia="Calibri"/>
                <w:lang w:val="en-GB" w:eastAsia="en-US"/>
              </w:rPr>
              <w:t>-</w:t>
            </w:r>
            <w:r>
              <w:rPr>
                <w:rFonts w:eastAsia="Calibri"/>
                <w:spacing w:val="-2"/>
                <w:lang w:val="en-GB" w:eastAsia="en-US"/>
              </w:rPr>
              <w:t>0,18)</w:t>
            </w:r>
          </w:p>
        </w:tc>
        <w:tc>
          <w:tcPr>
            <w:tcW w:w="1080" w:type="dxa"/>
            <w:tcBorders>
              <w:top w:val="nil"/>
              <w:left w:val="nil"/>
              <w:bottom w:val="single" w:sz="8" w:space="0" w:color="000000"/>
              <w:right w:val="single" w:sz="8" w:space="0" w:color="000000"/>
            </w:tcBorders>
          </w:tcPr>
          <w:p w14:paraId="6C45CBB4" w14:textId="77777777" w:rsidR="00023BBF" w:rsidRDefault="00023BBF">
            <w:pPr>
              <w:rPr>
                <w:rFonts w:eastAsia="Calibri"/>
                <w:lang w:val="en-GB" w:eastAsia="en-US"/>
              </w:rPr>
            </w:pPr>
          </w:p>
        </w:tc>
        <w:tc>
          <w:tcPr>
            <w:tcW w:w="1611" w:type="dxa"/>
            <w:tcBorders>
              <w:top w:val="nil"/>
              <w:left w:val="single" w:sz="8" w:space="0" w:color="000000"/>
              <w:bottom w:val="single" w:sz="8" w:space="0" w:color="000000"/>
              <w:right w:val="nil"/>
            </w:tcBorders>
          </w:tcPr>
          <w:p w14:paraId="4CA4A137" w14:textId="77777777" w:rsidR="00023BBF" w:rsidRDefault="00E17C37">
            <w:pPr>
              <w:spacing w:before="238" w:line="238" w:lineRule="exact"/>
              <w:ind w:left="158"/>
              <w:rPr>
                <w:rFonts w:eastAsia="Calibri"/>
                <w:lang w:val="en-GB" w:eastAsia="en-US"/>
              </w:rPr>
            </w:pPr>
            <w:r>
              <w:rPr>
                <w:rFonts w:eastAsia="Calibri"/>
                <w:lang w:val="en-GB" w:eastAsia="en-US"/>
              </w:rPr>
              <w:t>(-0,58,</w:t>
            </w:r>
            <w:r>
              <w:rPr>
                <w:rFonts w:eastAsia="Calibri"/>
                <w:spacing w:val="-3"/>
                <w:lang w:val="en-GB" w:eastAsia="en-US"/>
              </w:rPr>
              <w:t xml:space="preserve"> </w:t>
            </w:r>
            <w:r>
              <w:rPr>
                <w:rFonts w:eastAsia="Calibri"/>
                <w:lang w:val="en-GB" w:eastAsia="en-US"/>
              </w:rPr>
              <w:t>-</w:t>
            </w:r>
            <w:r>
              <w:rPr>
                <w:rFonts w:eastAsia="Calibri"/>
                <w:spacing w:val="-2"/>
                <w:lang w:val="en-GB" w:eastAsia="en-US"/>
              </w:rPr>
              <w:t>0,23)</w:t>
            </w:r>
          </w:p>
        </w:tc>
        <w:tc>
          <w:tcPr>
            <w:tcW w:w="1118" w:type="dxa"/>
            <w:tcBorders>
              <w:top w:val="nil"/>
              <w:left w:val="nil"/>
              <w:bottom w:val="single" w:sz="8" w:space="0" w:color="000000"/>
              <w:right w:val="nil"/>
            </w:tcBorders>
          </w:tcPr>
          <w:p w14:paraId="62C99950" w14:textId="77777777" w:rsidR="00023BBF" w:rsidRDefault="00023BBF">
            <w:pPr>
              <w:rPr>
                <w:rFonts w:eastAsia="Calibri"/>
                <w:lang w:val="en-GB" w:eastAsia="en-US"/>
              </w:rPr>
            </w:pPr>
          </w:p>
        </w:tc>
      </w:tr>
      <w:tr w:rsidR="00023BBF" w14:paraId="0A8D9915" w14:textId="77777777">
        <w:trPr>
          <w:trHeight w:val="1520"/>
        </w:trPr>
        <w:tc>
          <w:tcPr>
            <w:tcW w:w="1635" w:type="dxa"/>
            <w:tcBorders>
              <w:top w:val="single" w:sz="8" w:space="0" w:color="000000"/>
              <w:left w:val="nil"/>
              <w:bottom w:val="single" w:sz="8" w:space="0" w:color="000000"/>
              <w:right w:val="single" w:sz="8" w:space="0" w:color="000000"/>
            </w:tcBorders>
          </w:tcPr>
          <w:p w14:paraId="34284133" w14:textId="77777777" w:rsidR="00023BBF" w:rsidRDefault="00E17C37">
            <w:pPr>
              <w:ind w:left="110" w:right="210"/>
              <w:rPr>
                <w:rFonts w:eastAsia="Calibri"/>
                <w:b/>
                <w:lang w:val="pt-PT" w:eastAsia="en-US"/>
              </w:rPr>
            </w:pPr>
            <w:r>
              <w:rPr>
                <w:rFonts w:eastAsia="Calibri"/>
                <w:b/>
                <w:lang w:val="pt-PT" w:eastAsia="en-US"/>
              </w:rPr>
              <w:t>Pacientai, pasiekę</w:t>
            </w:r>
            <w:r>
              <w:rPr>
                <w:rFonts w:eastAsia="Calibri"/>
                <w:b/>
                <w:spacing w:val="-2"/>
                <w:lang w:val="pt-PT" w:eastAsia="en-US"/>
              </w:rPr>
              <w:t xml:space="preserve">: </w:t>
            </w:r>
            <w:r>
              <w:rPr>
                <w:rFonts w:eastAsia="Calibri"/>
                <w:b/>
                <w:lang w:val="pt-PT" w:eastAsia="en-US"/>
              </w:rPr>
              <w:t>HbA1c</w:t>
            </w:r>
            <w:r>
              <w:rPr>
                <w:rFonts w:eastAsia="Calibri"/>
                <w:b/>
                <w:spacing w:val="-5"/>
                <w:lang w:val="pt-PT" w:eastAsia="en-US"/>
              </w:rPr>
              <w:t xml:space="preserve"> </w:t>
            </w:r>
            <w:r>
              <w:rPr>
                <w:rFonts w:eastAsia="Calibri"/>
                <w:b/>
                <w:lang w:val="pt-PT" w:eastAsia="en-US"/>
              </w:rPr>
              <w:t>&lt;</w:t>
            </w:r>
            <w:r>
              <w:rPr>
                <w:rFonts w:eastAsia="Calibri"/>
                <w:b/>
                <w:spacing w:val="-1"/>
                <w:lang w:val="pt-PT" w:eastAsia="en-US"/>
              </w:rPr>
              <w:t> </w:t>
            </w:r>
            <w:r>
              <w:rPr>
                <w:rFonts w:eastAsia="Calibri"/>
                <w:b/>
                <w:spacing w:val="-5"/>
                <w:lang w:val="pt-PT" w:eastAsia="en-US"/>
              </w:rPr>
              <w:t>7 %</w:t>
            </w:r>
          </w:p>
          <w:p w14:paraId="0759FFF2" w14:textId="77777777" w:rsidR="00023BBF" w:rsidRDefault="00E17C37">
            <w:pPr>
              <w:spacing w:line="242" w:lineRule="auto"/>
              <w:ind w:left="254" w:right="184"/>
              <w:rPr>
                <w:rFonts w:eastAsia="Calibri"/>
                <w:lang w:val="pt-PT" w:eastAsia="en-US"/>
              </w:rPr>
            </w:pPr>
            <w:r>
              <w:rPr>
                <w:rFonts w:eastAsia="Calibri"/>
                <w:lang w:val="pt-PT" w:eastAsia="en-US"/>
              </w:rPr>
              <w:t>Koreguota pagal pradinę</w:t>
            </w:r>
          </w:p>
        </w:tc>
        <w:tc>
          <w:tcPr>
            <w:tcW w:w="1591" w:type="dxa"/>
            <w:tcBorders>
              <w:top w:val="single" w:sz="8" w:space="0" w:color="000000"/>
              <w:left w:val="single" w:sz="8" w:space="0" w:color="000000"/>
              <w:bottom w:val="single" w:sz="8" w:space="0" w:color="000000"/>
              <w:right w:val="nil"/>
            </w:tcBorders>
          </w:tcPr>
          <w:p w14:paraId="22BCA628" w14:textId="77777777" w:rsidR="00023BBF" w:rsidRDefault="00023BBF">
            <w:pPr>
              <w:rPr>
                <w:rFonts w:eastAsia="Calibri"/>
                <w:b/>
                <w:lang w:val="pt-PT" w:eastAsia="en-US"/>
              </w:rPr>
            </w:pPr>
          </w:p>
          <w:p w14:paraId="3A3F0BB2" w14:textId="77777777" w:rsidR="00023BBF" w:rsidRDefault="00023BBF">
            <w:pPr>
              <w:rPr>
                <w:rFonts w:eastAsia="Calibri"/>
                <w:b/>
                <w:lang w:val="pt-PT" w:eastAsia="en-US"/>
              </w:rPr>
            </w:pPr>
          </w:p>
          <w:p w14:paraId="1FB08A3A" w14:textId="77777777" w:rsidR="00023BBF" w:rsidRDefault="00023BBF">
            <w:pPr>
              <w:spacing w:before="249"/>
              <w:rPr>
                <w:rFonts w:eastAsia="Calibri"/>
                <w:b/>
                <w:lang w:val="pt-PT" w:eastAsia="en-US"/>
              </w:rPr>
            </w:pPr>
          </w:p>
          <w:p w14:paraId="52B38F63" w14:textId="77777777" w:rsidR="00023BBF" w:rsidRDefault="00E17C37">
            <w:pPr>
              <w:ind w:left="465"/>
              <w:rPr>
                <w:rFonts w:eastAsia="Calibri"/>
                <w:lang w:val="en-GB" w:eastAsia="en-US"/>
              </w:rPr>
            </w:pPr>
            <w:r>
              <w:rPr>
                <w:rFonts w:eastAsia="Calibri"/>
                <w:spacing w:val="-2"/>
                <w:lang w:val="en-GB" w:eastAsia="en-US"/>
              </w:rPr>
              <w:t>40,6</w:t>
            </w:r>
            <w:r>
              <w:rPr>
                <w:rFonts w:eastAsia="Calibri"/>
                <w:spacing w:val="-2"/>
                <w:vertAlign w:val="superscript"/>
                <w:lang w:val="en-GB" w:eastAsia="en-US"/>
              </w:rPr>
              <w:t>**</w:t>
            </w:r>
          </w:p>
        </w:tc>
        <w:tc>
          <w:tcPr>
            <w:tcW w:w="981" w:type="dxa"/>
            <w:tcBorders>
              <w:top w:val="single" w:sz="8" w:space="0" w:color="000000"/>
              <w:left w:val="nil"/>
              <w:bottom w:val="single" w:sz="8" w:space="0" w:color="000000"/>
              <w:right w:val="single" w:sz="8" w:space="0" w:color="000000"/>
            </w:tcBorders>
          </w:tcPr>
          <w:p w14:paraId="4D90AB45" w14:textId="77777777" w:rsidR="00023BBF" w:rsidRDefault="00023BBF">
            <w:pPr>
              <w:rPr>
                <w:rFonts w:eastAsia="Calibri"/>
                <w:b/>
                <w:lang w:val="en-GB" w:eastAsia="en-US"/>
              </w:rPr>
            </w:pPr>
          </w:p>
          <w:p w14:paraId="42075BE5" w14:textId="77777777" w:rsidR="00023BBF" w:rsidRDefault="00023BBF">
            <w:pPr>
              <w:rPr>
                <w:rFonts w:eastAsia="Calibri"/>
                <w:b/>
                <w:lang w:val="en-GB" w:eastAsia="en-US"/>
              </w:rPr>
            </w:pPr>
          </w:p>
          <w:p w14:paraId="2F5D3443" w14:textId="77777777" w:rsidR="00023BBF" w:rsidRDefault="00023BBF">
            <w:pPr>
              <w:spacing w:before="249"/>
              <w:rPr>
                <w:rFonts w:eastAsia="Calibri"/>
                <w:b/>
                <w:lang w:val="en-GB" w:eastAsia="en-US"/>
              </w:rPr>
            </w:pPr>
          </w:p>
          <w:p w14:paraId="25AAC08A" w14:textId="77777777" w:rsidR="00023BBF" w:rsidRDefault="00E17C37">
            <w:pPr>
              <w:ind w:left="10" w:right="14"/>
              <w:jc w:val="center"/>
              <w:rPr>
                <w:rFonts w:eastAsia="Calibri"/>
                <w:lang w:val="en-GB" w:eastAsia="en-US"/>
              </w:rPr>
            </w:pPr>
            <w:r>
              <w:rPr>
                <w:rFonts w:eastAsia="Calibri"/>
                <w:spacing w:val="-4"/>
                <w:lang w:val="en-GB" w:eastAsia="en-US"/>
              </w:rPr>
              <w:t>25,9</w:t>
            </w:r>
          </w:p>
        </w:tc>
        <w:tc>
          <w:tcPr>
            <w:tcW w:w="1627" w:type="dxa"/>
            <w:tcBorders>
              <w:top w:val="single" w:sz="8" w:space="0" w:color="000000"/>
              <w:left w:val="single" w:sz="8" w:space="0" w:color="000000"/>
              <w:bottom w:val="single" w:sz="8" w:space="0" w:color="000000"/>
              <w:right w:val="nil"/>
            </w:tcBorders>
          </w:tcPr>
          <w:p w14:paraId="22A92B93" w14:textId="77777777" w:rsidR="00023BBF" w:rsidRDefault="00023BBF">
            <w:pPr>
              <w:rPr>
                <w:rFonts w:eastAsia="Calibri"/>
                <w:b/>
                <w:lang w:val="en-GB" w:eastAsia="en-US"/>
              </w:rPr>
            </w:pPr>
          </w:p>
          <w:p w14:paraId="4EF97E25" w14:textId="77777777" w:rsidR="00023BBF" w:rsidRDefault="00023BBF">
            <w:pPr>
              <w:rPr>
                <w:rFonts w:eastAsia="Calibri"/>
                <w:b/>
                <w:lang w:val="en-GB" w:eastAsia="en-US"/>
              </w:rPr>
            </w:pPr>
          </w:p>
          <w:p w14:paraId="54691FD1" w14:textId="77777777" w:rsidR="00023BBF" w:rsidRDefault="00023BBF">
            <w:pPr>
              <w:spacing w:before="235"/>
              <w:rPr>
                <w:rFonts w:eastAsia="Calibri"/>
                <w:b/>
                <w:lang w:val="en-GB" w:eastAsia="en-US"/>
              </w:rPr>
            </w:pPr>
          </w:p>
          <w:p w14:paraId="5FF66E9D" w14:textId="77777777" w:rsidR="00023BBF" w:rsidRDefault="00E17C37">
            <w:pPr>
              <w:spacing w:before="1" w:line="250" w:lineRule="atLeast"/>
              <w:ind w:left="403" w:right="408" w:firstLine="62"/>
              <w:rPr>
                <w:rFonts w:eastAsia="Calibri"/>
                <w:lang w:val="en-GB" w:eastAsia="en-US"/>
              </w:rPr>
            </w:pPr>
            <w:r>
              <w:rPr>
                <w:rFonts w:eastAsia="Calibri"/>
                <w:spacing w:val="-2"/>
                <w:lang w:val="en-GB" w:eastAsia="en-US"/>
              </w:rPr>
              <w:t>38,2</w:t>
            </w:r>
            <w:r>
              <w:rPr>
                <w:rFonts w:eastAsia="Calibri"/>
                <w:spacing w:val="-2"/>
                <w:vertAlign w:val="superscript"/>
                <w:lang w:val="en-GB" w:eastAsia="en-US"/>
              </w:rPr>
              <w:t>**</w:t>
            </w:r>
            <w:r>
              <w:rPr>
                <w:rFonts w:eastAsia="Calibri"/>
                <w:spacing w:val="-2"/>
                <w:lang w:val="en-GB" w:eastAsia="en-US"/>
              </w:rPr>
              <w:t xml:space="preserve"> (N = 90)</w:t>
            </w:r>
          </w:p>
        </w:tc>
        <w:tc>
          <w:tcPr>
            <w:tcW w:w="1080" w:type="dxa"/>
            <w:tcBorders>
              <w:top w:val="single" w:sz="8" w:space="0" w:color="000000"/>
              <w:left w:val="nil"/>
              <w:bottom w:val="single" w:sz="8" w:space="0" w:color="000000"/>
              <w:right w:val="single" w:sz="8" w:space="0" w:color="000000"/>
            </w:tcBorders>
          </w:tcPr>
          <w:p w14:paraId="0BFE6723" w14:textId="77777777" w:rsidR="00023BBF" w:rsidRDefault="00023BBF">
            <w:pPr>
              <w:rPr>
                <w:rFonts w:eastAsia="Calibri"/>
                <w:b/>
                <w:lang w:val="en-GB" w:eastAsia="en-US"/>
              </w:rPr>
            </w:pPr>
          </w:p>
          <w:p w14:paraId="39C764FC" w14:textId="77777777" w:rsidR="00023BBF" w:rsidRDefault="00023BBF">
            <w:pPr>
              <w:rPr>
                <w:rFonts w:eastAsia="Calibri"/>
                <w:b/>
                <w:lang w:val="en-GB" w:eastAsia="en-US"/>
              </w:rPr>
            </w:pPr>
          </w:p>
          <w:p w14:paraId="3179E506" w14:textId="77777777" w:rsidR="00023BBF" w:rsidRDefault="00023BBF">
            <w:pPr>
              <w:spacing w:before="235"/>
              <w:rPr>
                <w:rFonts w:eastAsia="Calibri"/>
                <w:b/>
                <w:lang w:val="en-GB" w:eastAsia="en-US"/>
              </w:rPr>
            </w:pPr>
          </w:p>
          <w:p w14:paraId="2C53E9FA" w14:textId="77777777" w:rsidR="00023BBF" w:rsidRDefault="00E17C37">
            <w:pPr>
              <w:spacing w:before="1" w:line="250" w:lineRule="atLeast"/>
              <w:ind w:left="148" w:right="129" w:firstLine="129"/>
              <w:rPr>
                <w:rFonts w:eastAsia="Calibri"/>
                <w:lang w:val="en-GB" w:eastAsia="en-US"/>
              </w:rPr>
            </w:pPr>
            <w:r>
              <w:rPr>
                <w:rFonts w:eastAsia="Calibri"/>
                <w:spacing w:val="-4"/>
                <w:lang w:val="en-GB" w:eastAsia="en-US"/>
              </w:rPr>
              <w:t xml:space="preserve">21,4 </w:t>
            </w:r>
            <w:r>
              <w:rPr>
                <w:rFonts w:eastAsia="Calibri"/>
                <w:spacing w:val="-2"/>
                <w:lang w:val="en-GB" w:eastAsia="en-US"/>
              </w:rPr>
              <w:t>(N = 87)</w:t>
            </w:r>
          </w:p>
        </w:tc>
        <w:tc>
          <w:tcPr>
            <w:tcW w:w="2729" w:type="dxa"/>
            <w:gridSpan w:val="2"/>
            <w:tcBorders>
              <w:top w:val="single" w:sz="8" w:space="0" w:color="000000"/>
              <w:left w:val="single" w:sz="8" w:space="0" w:color="000000"/>
              <w:bottom w:val="single" w:sz="8" w:space="0" w:color="000000"/>
              <w:right w:val="nil"/>
            </w:tcBorders>
          </w:tcPr>
          <w:p w14:paraId="2A43EAA6" w14:textId="77777777" w:rsidR="00023BBF" w:rsidRDefault="00023BBF">
            <w:pPr>
              <w:rPr>
                <w:rFonts w:eastAsia="Calibri"/>
                <w:lang w:val="en-GB" w:eastAsia="en-US"/>
              </w:rPr>
            </w:pPr>
          </w:p>
        </w:tc>
      </w:tr>
      <w:tr w:rsidR="00023BBF" w14:paraId="780188A3" w14:textId="77777777">
        <w:trPr>
          <w:trHeight w:val="615"/>
        </w:trPr>
        <w:tc>
          <w:tcPr>
            <w:tcW w:w="1635" w:type="dxa"/>
            <w:vMerge w:val="restart"/>
            <w:tcBorders>
              <w:top w:val="single" w:sz="8" w:space="0" w:color="000000"/>
              <w:left w:val="nil"/>
              <w:right w:val="single" w:sz="8" w:space="0" w:color="000000"/>
            </w:tcBorders>
          </w:tcPr>
          <w:p w14:paraId="753665A3" w14:textId="77777777" w:rsidR="00023BBF" w:rsidRDefault="00E17C37">
            <w:pPr>
              <w:spacing w:before="2" w:line="237" w:lineRule="auto"/>
              <w:ind w:left="254" w:right="137" w:hanging="144"/>
              <w:rPr>
                <w:rFonts w:eastAsia="Calibri"/>
                <w:b/>
                <w:spacing w:val="40"/>
                <w:lang w:val="lt-LT" w:eastAsia="en-US"/>
              </w:rPr>
            </w:pPr>
            <w:r>
              <w:rPr>
                <w:rFonts w:eastAsia="Calibri"/>
                <w:b/>
                <w:lang w:val="lt-LT" w:eastAsia="en-US"/>
              </w:rPr>
              <w:t xml:space="preserve">Kūno svoris </w:t>
            </w:r>
            <w:r>
              <w:rPr>
                <w:rFonts w:eastAsia="Calibri"/>
                <w:b/>
                <w:spacing w:val="-4"/>
                <w:lang w:val="lt-LT" w:eastAsia="en-US"/>
              </w:rPr>
              <w:t>(kg)</w:t>
            </w:r>
            <w:r>
              <w:rPr>
                <w:rFonts w:eastAsia="Calibri"/>
                <w:b/>
                <w:spacing w:val="40"/>
                <w:lang w:val="lt-LT" w:eastAsia="en-US"/>
              </w:rPr>
              <w:t xml:space="preserve"> </w:t>
            </w:r>
          </w:p>
          <w:p w14:paraId="42E60218" w14:textId="77777777" w:rsidR="00023BBF" w:rsidRDefault="00E17C37">
            <w:pPr>
              <w:spacing w:before="2" w:line="237" w:lineRule="auto"/>
              <w:ind w:right="137"/>
              <w:rPr>
                <w:rFonts w:eastAsia="Calibri"/>
                <w:spacing w:val="-2"/>
                <w:lang w:val="lt-LT" w:eastAsia="en-US"/>
              </w:rPr>
            </w:pPr>
            <w:r>
              <w:rPr>
                <w:rFonts w:eastAsia="Calibri"/>
                <w:spacing w:val="-2"/>
                <w:lang w:val="lt-LT" w:eastAsia="en-US"/>
              </w:rPr>
              <w:t xml:space="preserve">Pradinė (vidurkis) Pokytis palyginus su </w:t>
            </w:r>
            <w:proofErr w:type="spellStart"/>
            <w:r>
              <w:rPr>
                <w:rFonts w:eastAsia="Calibri"/>
                <w:spacing w:val="-2"/>
                <w:lang w:val="lt-LT" w:eastAsia="en-US"/>
              </w:rPr>
              <w:t>pradined</w:t>
            </w:r>
            <w:proofErr w:type="spellEnd"/>
            <w:r>
              <w:rPr>
                <w:rFonts w:eastAsia="Calibri"/>
                <w:spacing w:val="-2"/>
                <w:lang w:val="lt-LT" w:eastAsia="en-US"/>
              </w:rPr>
              <w:t xml:space="preserve"> Skirtumas nuo </w:t>
            </w:r>
            <w:proofErr w:type="spellStart"/>
            <w:r>
              <w:rPr>
                <w:rFonts w:eastAsia="Calibri"/>
                <w:spacing w:val="-2"/>
                <w:lang w:val="lt-LT" w:eastAsia="en-US"/>
              </w:rPr>
              <w:t>placebod</w:t>
            </w:r>
            <w:proofErr w:type="spellEnd"/>
          </w:p>
          <w:p w14:paraId="0CEB3182" w14:textId="77777777" w:rsidR="00023BBF" w:rsidRDefault="00E17C37">
            <w:pPr>
              <w:spacing w:line="237" w:lineRule="exact"/>
              <w:ind w:left="479"/>
              <w:rPr>
                <w:rFonts w:eastAsia="Calibri"/>
                <w:lang w:val="en-GB" w:eastAsia="en-US"/>
              </w:rPr>
            </w:pPr>
            <w:r>
              <w:rPr>
                <w:rFonts w:eastAsia="Calibri"/>
                <w:spacing w:val="-2"/>
                <w:lang w:val="en-GB" w:eastAsia="en-US"/>
              </w:rPr>
              <w:t>(95 % PI)</w:t>
            </w:r>
          </w:p>
        </w:tc>
        <w:tc>
          <w:tcPr>
            <w:tcW w:w="1591" w:type="dxa"/>
            <w:tcBorders>
              <w:top w:val="single" w:sz="8" w:space="0" w:color="000000"/>
              <w:left w:val="single" w:sz="8" w:space="0" w:color="000000"/>
              <w:bottom w:val="nil"/>
              <w:right w:val="nil"/>
            </w:tcBorders>
          </w:tcPr>
          <w:p w14:paraId="35D6F316" w14:textId="77777777" w:rsidR="00023BBF" w:rsidRDefault="00023BBF">
            <w:pPr>
              <w:spacing w:before="245"/>
              <w:rPr>
                <w:rFonts w:eastAsia="Calibri"/>
                <w:spacing w:val="-2"/>
                <w:lang w:val="en-GB" w:eastAsia="en-US"/>
              </w:rPr>
            </w:pPr>
          </w:p>
          <w:p w14:paraId="123868F0" w14:textId="77777777" w:rsidR="00023BBF" w:rsidRDefault="00E17C37">
            <w:pPr>
              <w:spacing w:before="245"/>
              <w:ind w:left="479"/>
              <w:rPr>
                <w:rFonts w:eastAsia="Calibri"/>
                <w:lang w:val="en-GB" w:eastAsia="en-US"/>
              </w:rPr>
            </w:pPr>
            <w:r>
              <w:rPr>
                <w:rFonts w:eastAsia="Calibri"/>
                <w:spacing w:val="-2"/>
                <w:lang w:val="en-GB" w:eastAsia="en-US"/>
              </w:rPr>
              <w:t>86,28</w:t>
            </w:r>
          </w:p>
        </w:tc>
        <w:tc>
          <w:tcPr>
            <w:tcW w:w="981" w:type="dxa"/>
            <w:tcBorders>
              <w:top w:val="single" w:sz="8" w:space="0" w:color="000000"/>
              <w:left w:val="nil"/>
              <w:bottom w:val="nil"/>
              <w:right w:val="single" w:sz="8" w:space="0" w:color="000000"/>
            </w:tcBorders>
          </w:tcPr>
          <w:p w14:paraId="191E7FC7" w14:textId="77777777" w:rsidR="00023BBF" w:rsidRDefault="00023BBF">
            <w:pPr>
              <w:spacing w:before="245"/>
              <w:ind w:left="5" w:right="14"/>
              <w:jc w:val="center"/>
              <w:rPr>
                <w:rFonts w:eastAsia="Calibri"/>
                <w:spacing w:val="-2"/>
                <w:lang w:val="en-GB" w:eastAsia="en-US"/>
              </w:rPr>
            </w:pPr>
          </w:p>
          <w:p w14:paraId="4218BECC" w14:textId="77777777" w:rsidR="00023BBF" w:rsidRDefault="00E17C37">
            <w:pPr>
              <w:spacing w:before="245"/>
              <w:ind w:left="5" w:right="14"/>
              <w:jc w:val="center"/>
              <w:rPr>
                <w:rFonts w:eastAsia="Calibri"/>
                <w:lang w:val="en-GB" w:eastAsia="en-US"/>
              </w:rPr>
            </w:pPr>
            <w:r>
              <w:rPr>
                <w:rFonts w:eastAsia="Calibri"/>
                <w:spacing w:val="-2"/>
                <w:lang w:val="en-GB" w:eastAsia="en-US"/>
              </w:rPr>
              <w:t>87,74</w:t>
            </w:r>
          </w:p>
        </w:tc>
        <w:tc>
          <w:tcPr>
            <w:tcW w:w="1627" w:type="dxa"/>
            <w:tcBorders>
              <w:top w:val="single" w:sz="8" w:space="0" w:color="000000"/>
              <w:left w:val="single" w:sz="8" w:space="0" w:color="000000"/>
              <w:bottom w:val="nil"/>
              <w:right w:val="nil"/>
            </w:tcBorders>
          </w:tcPr>
          <w:p w14:paraId="4A5C7937" w14:textId="77777777" w:rsidR="00023BBF" w:rsidRDefault="00023BBF">
            <w:pPr>
              <w:spacing w:before="245"/>
              <w:ind w:left="3" w:right="9"/>
              <w:jc w:val="center"/>
              <w:rPr>
                <w:rFonts w:eastAsia="Calibri"/>
                <w:spacing w:val="-2"/>
                <w:lang w:val="en-GB" w:eastAsia="en-US"/>
              </w:rPr>
            </w:pPr>
          </w:p>
          <w:p w14:paraId="58A31C67" w14:textId="77777777" w:rsidR="00023BBF" w:rsidRDefault="00E17C37">
            <w:pPr>
              <w:spacing w:before="245"/>
              <w:ind w:left="3" w:right="9"/>
              <w:jc w:val="center"/>
              <w:rPr>
                <w:rFonts w:eastAsia="Calibri"/>
                <w:lang w:val="en-GB" w:eastAsia="en-US"/>
              </w:rPr>
            </w:pPr>
            <w:r>
              <w:rPr>
                <w:rFonts w:eastAsia="Calibri"/>
                <w:spacing w:val="-2"/>
                <w:lang w:val="en-GB" w:eastAsia="en-US"/>
              </w:rPr>
              <w:t>93,62</w:t>
            </w:r>
          </w:p>
        </w:tc>
        <w:tc>
          <w:tcPr>
            <w:tcW w:w="1080" w:type="dxa"/>
            <w:tcBorders>
              <w:top w:val="single" w:sz="8" w:space="0" w:color="000000"/>
              <w:left w:val="nil"/>
              <w:bottom w:val="nil"/>
              <w:right w:val="single" w:sz="8" w:space="0" w:color="000000"/>
            </w:tcBorders>
          </w:tcPr>
          <w:p w14:paraId="04858B11" w14:textId="77777777" w:rsidR="00023BBF" w:rsidRDefault="00023BBF">
            <w:pPr>
              <w:spacing w:before="245"/>
              <w:ind w:left="16"/>
              <w:jc w:val="center"/>
              <w:rPr>
                <w:rFonts w:eastAsia="Calibri"/>
                <w:spacing w:val="-2"/>
                <w:lang w:val="en-GB" w:eastAsia="en-US"/>
              </w:rPr>
            </w:pPr>
          </w:p>
          <w:p w14:paraId="1234B105" w14:textId="77777777" w:rsidR="00023BBF" w:rsidRDefault="00E17C37">
            <w:pPr>
              <w:spacing w:before="245"/>
              <w:ind w:left="16"/>
              <w:jc w:val="center"/>
              <w:rPr>
                <w:rFonts w:eastAsia="Calibri"/>
                <w:lang w:val="en-GB" w:eastAsia="en-US"/>
              </w:rPr>
            </w:pPr>
            <w:r>
              <w:rPr>
                <w:rFonts w:eastAsia="Calibri"/>
                <w:spacing w:val="-2"/>
                <w:lang w:val="en-GB" w:eastAsia="en-US"/>
              </w:rPr>
              <w:t>88,82</w:t>
            </w:r>
          </w:p>
        </w:tc>
        <w:tc>
          <w:tcPr>
            <w:tcW w:w="1611" w:type="dxa"/>
            <w:tcBorders>
              <w:top w:val="single" w:sz="8" w:space="0" w:color="000000"/>
              <w:left w:val="single" w:sz="8" w:space="0" w:color="000000"/>
              <w:bottom w:val="nil"/>
              <w:right w:val="nil"/>
            </w:tcBorders>
          </w:tcPr>
          <w:p w14:paraId="0A77B5E1" w14:textId="77777777" w:rsidR="00023BBF" w:rsidRDefault="00023BBF">
            <w:pPr>
              <w:spacing w:before="245"/>
              <w:ind w:left="494"/>
              <w:rPr>
                <w:rFonts w:eastAsia="Calibri"/>
                <w:spacing w:val="-2"/>
                <w:lang w:val="en-GB" w:eastAsia="en-US"/>
              </w:rPr>
            </w:pPr>
          </w:p>
          <w:p w14:paraId="2D8940E5" w14:textId="77777777" w:rsidR="00023BBF" w:rsidRDefault="00E17C37">
            <w:pPr>
              <w:spacing w:before="245"/>
              <w:ind w:left="494"/>
              <w:rPr>
                <w:rFonts w:eastAsia="Calibri"/>
                <w:lang w:val="en-GB" w:eastAsia="en-US"/>
              </w:rPr>
            </w:pPr>
            <w:r>
              <w:rPr>
                <w:rFonts w:eastAsia="Calibri"/>
                <w:spacing w:val="-2"/>
                <w:lang w:val="en-GB" w:eastAsia="en-US"/>
              </w:rPr>
              <w:t>93,95</w:t>
            </w:r>
          </w:p>
        </w:tc>
        <w:tc>
          <w:tcPr>
            <w:tcW w:w="1118" w:type="dxa"/>
            <w:tcBorders>
              <w:top w:val="single" w:sz="8" w:space="0" w:color="000000"/>
              <w:left w:val="nil"/>
              <w:bottom w:val="nil"/>
              <w:right w:val="nil"/>
            </w:tcBorders>
          </w:tcPr>
          <w:p w14:paraId="058B67F6" w14:textId="77777777" w:rsidR="00023BBF" w:rsidRDefault="00023BBF">
            <w:pPr>
              <w:spacing w:before="245"/>
              <w:ind w:right="299"/>
              <w:jc w:val="right"/>
              <w:rPr>
                <w:rFonts w:eastAsia="Calibri"/>
                <w:spacing w:val="-2"/>
                <w:lang w:val="en-GB" w:eastAsia="en-US"/>
              </w:rPr>
            </w:pPr>
          </w:p>
          <w:p w14:paraId="502008E1" w14:textId="77777777" w:rsidR="00023BBF" w:rsidRDefault="00E17C37">
            <w:pPr>
              <w:spacing w:before="245"/>
              <w:ind w:right="299"/>
              <w:jc w:val="right"/>
              <w:rPr>
                <w:rFonts w:eastAsia="Calibri"/>
                <w:lang w:val="en-GB" w:eastAsia="en-US"/>
              </w:rPr>
            </w:pPr>
            <w:r>
              <w:rPr>
                <w:rFonts w:eastAsia="Calibri"/>
                <w:spacing w:val="-2"/>
                <w:lang w:val="en-GB" w:eastAsia="en-US"/>
              </w:rPr>
              <w:t>94,17</w:t>
            </w:r>
          </w:p>
        </w:tc>
      </w:tr>
      <w:tr w:rsidR="00023BBF" w14:paraId="3A6C8AED" w14:textId="77777777">
        <w:trPr>
          <w:trHeight w:val="476"/>
        </w:trPr>
        <w:tc>
          <w:tcPr>
            <w:tcW w:w="1635" w:type="dxa"/>
            <w:vMerge/>
            <w:tcBorders>
              <w:top w:val="nil"/>
              <w:left w:val="nil"/>
              <w:right w:val="single" w:sz="8" w:space="0" w:color="000000"/>
            </w:tcBorders>
          </w:tcPr>
          <w:p w14:paraId="6DE3BA71" w14:textId="77777777" w:rsidR="00023BBF" w:rsidRDefault="00023BBF">
            <w:pPr>
              <w:rPr>
                <w:rFonts w:eastAsia="Calibri"/>
                <w:lang w:val="en-GB" w:eastAsia="en-US"/>
              </w:rPr>
            </w:pPr>
          </w:p>
        </w:tc>
        <w:tc>
          <w:tcPr>
            <w:tcW w:w="1591" w:type="dxa"/>
            <w:tcBorders>
              <w:top w:val="nil"/>
              <w:left w:val="single" w:sz="8" w:space="0" w:color="000000"/>
              <w:bottom w:val="nil"/>
              <w:right w:val="nil"/>
            </w:tcBorders>
          </w:tcPr>
          <w:p w14:paraId="54746A2D" w14:textId="77777777" w:rsidR="00023BBF" w:rsidRDefault="00E17C37">
            <w:pPr>
              <w:spacing w:before="108"/>
              <w:ind w:left="6" w:right="35"/>
              <w:jc w:val="center"/>
              <w:rPr>
                <w:rFonts w:eastAsia="Calibri"/>
                <w:lang w:val="en-GB" w:eastAsia="en-US"/>
              </w:rPr>
            </w:pPr>
            <w:r>
              <w:rPr>
                <w:rFonts w:eastAsia="Calibri"/>
                <w:spacing w:val="-2"/>
                <w:lang w:val="en-GB" w:eastAsia="en-US"/>
              </w:rPr>
              <w:t>-</w:t>
            </w:r>
            <w:r>
              <w:rPr>
                <w:rFonts w:eastAsia="Calibri"/>
                <w:spacing w:val="-4"/>
                <w:lang w:val="en-GB" w:eastAsia="en-US"/>
              </w:rPr>
              <w:t>2,86</w:t>
            </w:r>
          </w:p>
        </w:tc>
        <w:tc>
          <w:tcPr>
            <w:tcW w:w="981" w:type="dxa"/>
            <w:tcBorders>
              <w:top w:val="nil"/>
              <w:left w:val="nil"/>
              <w:bottom w:val="nil"/>
              <w:right w:val="single" w:sz="8" w:space="0" w:color="000000"/>
            </w:tcBorders>
          </w:tcPr>
          <w:p w14:paraId="111A1432" w14:textId="77777777" w:rsidR="00023BBF" w:rsidRDefault="00E17C37">
            <w:pPr>
              <w:spacing w:before="108"/>
              <w:ind w:left="4" w:right="14"/>
              <w:jc w:val="center"/>
              <w:rPr>
                <w:rFonts w:eastAsia="Calibri"/>
                <w:lang w:val="en-GB" w:eastAsia="en-US"/>
              </w:rPr>
            </w:pPr>
            <w:r>
              <w:rPr>
                <w:rFonts w:eastAsia="Calibri"/>
                <w:spacing w:val="-2"/>
                <w:lang w:val="en-GB" w:eastAsia="en-US"/>
              </w:rPr>
              <w:t>-</w:t>
            </w:r>
            <w:r>
              <w:rPr>
                <w:rFonts w:eastAsia="Calibri"/>
                <w:spacing w:val="-4"/>
                <w:lang w:val="en-GB" w:eastAsia="en-US"/>
              </w:rPr>
              <w:t>0,89</w:t>
            </w:r>
          </w:p>
        </w:tc>
        <w:tc>
          <w:tcPr>
            <w:tcW w:w="1627" w:type="dxa"/>
            <w:tcBorders>
              <w:top w:val="nil"/>
              <w:left w:val="single" w:sz="8" w:space="0" w:color="000000"/>
              <w:bottom w:val="nil"/>
              <w:right w:val="nil"/>
            </w:tcBorders>
          </w:tcPr>
          <w:p w14:paraId="30857F75" w14:textId="77777777" w:rsidR="00023BBF" w:rsidRDefault="00E17C37">
            <w:pPr>
              <w:spacing w:before="108"/>
              <w:ind w:left="3" w:right="9"/>
              <w:jc w:val="center"/>
              <w:rPr>
                <w:rFonts w:eastAsia="Calibri"/>
                <w:lang w:val="en-GB" w:eastAsia="en-US"/>
              </w:rPr>
            </w:pPr>
            <w:r>
              <w:rPr>
                <w:rFonts w:eastAsia="Calibri"/>
                <w:spacing w:val="-2"/>
                <w:lang w:val="en-GB" w:eastAsia="en-US"/>
              </w:rPr>
              <w:t>-</w:t>
            </w:r>
            <w:r>
              <w:rPr>
                <w:rFonts w:eastAsia="Calibri"/>
                <w:spacing w:val="-4"/>
                <w:lang w:val="en-GB" w:eastAsia="en-US"/>
              </w:rPr>
              <w:t>2,74</w:t>
            </w:r>
          </w:p>
        </w:tc>
        <w:tc>
          <w:tcPr>
            <w:tcW w:w="1080" w:type="dxa"/>
            <w:tcBorders>
              <w:top w:val="nil"/>
              <w:left w:val="nil"/>
              <w:bottom w:val="nil"/>
              <w:right w:val="single" w:sz="8" w:space="0" w:color="000000"/>
            </w:tcBorders>
          </w:tcPr>
          <w:p w14:paraId="0C777550" w14:textId="77777777" w:rsidR="00023BBF" w:rsidRDefault="00E17C37">
            <w:pPr>
              <w:spacing w:before="108"/>
              <w:ind w:left="16"/>
              <w:jc w:val="center"/>
              <w:rPr>
                <w:rFonts w:eastAsia="Calibri"/>
                <w:lang w:val="en-GB" w:eastAsia="en-US"/>
              </w:rPr>
            </w:pPr>
            <w:r>
              <w:rPr>
                <w:rFonts w:eastAsia="Calibri"/>
                <w:spacing w:val="-2"/>
                <w:lang w:val="en-GB" w:eastAsia="en-US"/>
              </w:rPr>
              <w:t>-</w:t>
            </w:r>
            <w:r>
              <w:rPr>
                <w:rFonts w:eastAsia="Calibri"/>
                <w:spacing w:val="-4"/>
                <w:lang w:val="en-GB" w:eastAsia="en-US"/>
              </w:rPr>
              <w:t>0,86</w:t>
            </w:r>
          </w:p>
        </w:tc>
        <w:tc>
          <w:tcPr>
            <w:tcW w:w="1611" w:type="dxa"/>
            <w:tcBorders>
              <w:top w:val="nil"/>
              <w:left w:val="single" w:sz="8" w:space="0" w:color="000000"/>
              <w:bottom w:val="nil"/>
              <w:right w:val="nil"/>
            </w:tcBorders>
          </w:tcPr>
          <w:p w14:paraId="5DDC2E51" w14:textId="77777777" w:rsidR="00023BBF" w:rsidRDefault="00E17C37">
            <w:pPr>
              <w:spacing w:before="108"/>
              <w:ind w:left="133" w:right="164"/>
              <w:jc w:val="center"/>
              <w:rPr>
                <w:rFonts w:eastAsia="Calibri"/>
                <w:lang w:val="en-GB" w:eastAsia="en-US"/>
              </w:rPr>
            </w:pPr>
            <w:r>
              <w:rPr>
                <w:rFonts w:eastAsia="Calibri"/>
                <w:spacing w:val="-2"/>
                <w:lang w:val="en-GB" w:eastAsia="en-US"/>
              </w:rPr>
              <w:t>-</w:t>
            </w:r>
            <w:r>
              <w:rPr>
                <w:rFonts w:eastAsia="Calibri"/>
                <w:spacing w:val="-4"/>
                <w:lang w:val="en-GB" w:eastAsia="en-US"/>
              </w:rPr>
              <w:t>2,35</w:t>
            </w:r>
          </w:p>
        </w:tc>
        <w:tc>
          <w:tcPr>
            <w:tcW w:w="1118" w:type="dxa"/>
            <w:tcBorders>
              <w:top w:val="nil"/>
              <w:left w:val="nil"/>
              <w:bottom w:val="nil"/>
              <w:right w:val="nil"/>
            </w:tcBorders>
          </w:tcPr>
          <w:p w14:paraId="62E9B25D" w14:textId="77777777" w:rsidR="00023BBF" w:rsidRDefault="00E17C37">
            <w:pPr>
              <w:spacing w:before="108"/>
              <w:ind w:right="318"/>
              <w:jc w:val="right"/>
              <w:rPr>
                <w:rFonts w:eastAsia="Calibri"/>
                <w:lang w:val="en-GB" w:eastAsia="en-US"/>
              </w:rPr>
            </w:pPr>
            <w:r>
              <w:rPr>
                <w:rFonts w:eastAsia="Calibri"/>
                <w:spacing w:val="-2"/>
                <w:lang w:val="en-GB" w:eastAsia="en-US"/>
              </w:rPr>
              <w:t>-</w:t>
            </w:r>
            <w:r>
              <w:rPr>
                <w:rFonts w:eastAsia="Calibri"/>
                <w:spacing w:val="-4"/>
                <w:lang w:val="en-GB" w:eastAsia="en-US"/>
              </w:rPr>
              <w:t>0,47</w:t>
            </w:r>
          </w:p>
        </w:tc>
      </w:tr>
      <w:tr w:rsidR="00023BBF" w14:paraId="17BAA39C" w14:textId="77777777">
        <w:trPr>
          <w:trHeight w:val="728"/>
        </w:trPr>
        <w:tc>
          <w:tcPr>
            <w:tcW w:w="1635" w:type="dxa"/>
            <w:vMerge/>
            <w:tcBorders>
              <w:top w:val="nil"/>
              <w:left w:val="nil"/>
              <w:right w:val="single" w:sz="8" w:space="0" w:color="000000"/>
            </w:tcBorders>
          </w:tcPr>
          <w:p w14:paraId="711A8A93" w14:textId="77777777" w:rsidR="00023BBF" w:rsidRDefault="00023BBF">
            <w:pPr>
              <w:rPr>
                <w:rFonts w:eastAsia="Calibri"/>
                <w:lang w:val="en-GB" w:eastAsia="en-US"/>
              </w:rPr>
            </w:pPr>
          </w:p>
        </w:tc>
        <w:tc>
          <w:tcPr>
            <w:tcW w:w="1591" w:type="dxa"/>
            <w:tcBorders>
              <w:top w:val="nil"/>
              <w:left w:val="single" w:sz="8" w:space="0" w:color="000000"/>
              <w:bottom w:val="nil"/>
              <w:right w:val="nil"/>
            </w:tcBorders>
          </w:tcPr>
          <w:p w14:paraId="2243197F" w14:textId="77777777" w:rsidR="00023BBF" w:rsidRDefault="00E17C37">
            <w:pPr>
              <w:spacing w:before="106"/>
              <w:ind w:left="465"/>
              <w:rPr>
                <w:rFonts w:eastAsia="Calibri"/>
                <w:lang w:val="en-GB" w:eastAsia="en-US"/>
              </w:rPr>
            </w:pPr>
            <w:r>
              <w:rPr>
                <w:rFonts w:eastAsia="Calibri"/>
                <w:spacing w:val="-2"/>
                <w:lang w:val="en-GB" w:eastAsia="en-US"/>
              </w:rPr>
              <w:t>-1,97</w:t>
            </w:r>
            <w:r>
              <w:rPr>
                <w:rFonts w:eastAsia="Calibri"/>
                <w:spacing w:val="-2"/>
                <w:vertAlign w:val="superscript"/>
                <w:lang w:val="en-GB" w:eastAsia="en-US"/>
              </w:rPr>
              <w:t>*</w:t>
            </w:r>
          </w:p>
        </w:tc>
        <w:tc>
          <w:tcPr>
            <w:tcW w:w="981" w:type="dxa"/>
            <w:tcBorders>
              <w:top w:val="nil"/>
              <w:left w:val="nil"/>
              <w:bottom w:val="nil"/>
              <w:right w:val="single" w:sz="8" w:space="0" w:color="000000"/>
            </w:tcBorders>
          </w:tcPr>
          <w:p w14:paraId="0335ECCA" w14:textId="77777777" w:rsidR="00023BBF" w:rsidRDefault="00023BBF">
            <w:pPr>
              <w:rPr>
                <w:rFonts w:eastAsia="Calibri"/>
                <w:lang w:val="en-GB" w:eastAsia="en-US"/>
              </w:rPr>
            </w:pPr>
          </w:p>
        </w:tc>
        <w:tc>
          <w:tcPr>
            <w:tcW w:w="1627" w:type="dxa"/>
            <w:tcBorders>
              <w:top w:val="nil"/>
              <w:left w:val="single" w:sz="8" w:space="0" w:color="000000"/>
              <w:bottom w:val="nil"/>
              <w:right w:val="nil"/>
            </w:tcBorders>
          </w:tcPr>
          <w:p w14:paraId="46C9B815" w14:textId="77777777" w:rsidR="00023BBF" w:rsidRDefault="00E17C37">
            <w:pPr>
              <w:spacing w:before="106"/>
              <w:ind w:right="9"/>
              <w:jc w:val="center"/>
              <w:rPr>
                <w:rFonts w:eastAsia="Calibri"/>
                <w:lang w:val="en-GB" w:eastAsia="en-US"/>
              </w:rPr>
            </w:pPr>
            <w:r>
              <w:rPr>
                <w:rFonts w:eastAsia="Calibri"/>
                <w:spacing w:val="-2"/>
                <w:lang w:val="en-GB" w:eastAsia="en-US"/>
              </w:rPr>
              <w:t>-1,88</w:t>
            </w:r>
            <w:r>
              <w:rPr>
                <w:rFonts w:eastAsia="Calibri"/>
                <w:spacing w:val="-2"/>
                <w:vertAlign w:val="superscript"/>
                <w:lang w:val="en-GB" w:eastAsia="en-US"/>
              </w:rPr>
              <w:t>***</w:t>
            </w:r>
          </w:p>
        </w:tc>
        <w:tc>
          <w:tcPr>
            <w:tcW w:w="1080" w:type="dxa"/>
            <w:tcBorders>
              <w:top w:val="nil"/>
              <w:left w:val="nil"/>
              <w:bottom w:val="nil"/>
              <w:right w:val="single" w:sz="8" w:space="0" w:color="000000"/>
            </w:tcBorders>
          </w:tcPr>
          <w:p w14:paraId="43A7C809" w14:textId="77777777" w:rsidR="00023BBF" w:rsidRDefault="00023BBF">
            <w:pPr>
              <w:rPr>
                <w:rFonts w:eastAsia="Calibri"/>
                <w:lang w:val="en-GB" w:eastAsia="en-US"/>
              </w:rPr>
            </w:pPr>
          </w:p>
        </w:tc>
        <w:tc>
          <w:tcPr>
            <w:tcW w:w="1611" w:type="dxa"/>
            <w:tcBorders>
              <w:top w:val="nil"/>
              <w:left w:val="single" w:sz="8" w:space="0" w:color="000000"/>
              <w:bottom w:val="nil"/>
              <w:right w:val="nil"/>
            </w:tcBorders>
          </w:tcPr>
          <w:p w14:paraId="16B1D9EA" w14:textId="77777777" w:rsidR="00023BBF" w:rsidRDefault="00E17C37">
            <w:pPr>
              <w:spacing w:before="106"/>
              <w:ind w:left="480"/>
              <w:rPr>
                <w:rFonts w:eastAsia="Calibri"/>
                <w:lang w:val="en-GB" w:eastAsia="en-US"/>
              </w:rPr>
            </w:pPr>
            <w:r>
              <w:rPr>
                <w:rFonts w:eastAsia="Calibri"/>
                <w:spacing w:val="-2"/>
                <w:lang w:val="en-GB" w:eastAsia="en-US"/>
              </w:rPr>
              <w:t>-1,87</w:t>
            </w:r>
            <w:r>
              <w:rPr>
                <w:rFonts w:eastAsia="Calibri"/>
                <w:spacing w:val="-2"/>
                <w:vertAlign w:val="superscript"/>
                <w:lang w:val="en-GB" w:eastAsia="en-US"/>
              </w:rPr>
              <w:t>*</w:t>
            </w:r>
          </w:p>
        </w:tc>
        <w:tc>
          <w:tcPr>
            <w:tcW w:w="1118" w:type="dxa"/>
            <w:tcBorders>
              <w:top w:val="nil"/>
              <w:left w:val="nil"/>
              <w:bottom w:val="nil"/>
              <w:right w:val="nil"/>
            </w:tcBorders>
          </w:tcPr>
          <w:p w14:paraId="400194EA" w14:textId="77777777" w:rsidR="00023BBF" w:rsidRDefault="00023BBF">
            <w:pPr>
              <w:rPr>
                <w:rFonts w:eastAsia="Calibri"/>
                <w:lang w:val="en-GB" w:eastAsia="en-US"/>
              </w:rPr>
            </w:pPr>
          </w:p>
        </w:tc>
      </w:tr>
      <w:tr w:rsidR="00023BBF" w14:paraId="76FB1088" w14:textId="77777777">
        <w:trPr>
          <w:trHeight w:val="287"/>
        </w:trPr>
        <w:tc>
          <w:tcPr>
            <w:tcW w:w="1635" w:type="dxa"/>
            <w:vMerge/>
            <w:tcBorders>
              <w:top w:val="nil"/>
              <w:left w:val="nil"/>
              <w:right w:val="single" w:sz="8" w:space="0" w:color="000000"/>
            </w:tcBorders>
          </w:tcPr>
          <w:p w14:paraId="6E235FE6" w14:textId="77777777" w:rsidR="00023BBF" w:rsidRDefault="00023BBF">
            <w:pPr>
              <w:rPr>
                <w:rFonts w:eastAsia="Calibri"/>
                <w:lang w:val="en-GB" w:eastAsia="en-US"/>
              </w:rPr>
            </w:pPr>
          </w:p>
        </w:tc>
        <w:tc>
          <w:tcPr>
            <w:tcW w:w="1591" w:type="dxa"/>
            <w:tcBorders>
              <w:top w:val="nil"/>
              <w:left w:val="single" w:sz="8" w:space="0" w:color="000000"/>
              <w:right w:val="nil"/>
            </w:tcBorders>
          </w:tcPr>
          <w:p w14:paraId="5E22FEA7" w14:textId="77777777" w:rsidR="00023BBF" w:rsidRDefault="00E17C37">
            <w:pPr>
              <w:spacing w:line="238" w:lineRule="exact"/>
              <w:rPr>
                <w:rFonts w:eastAsia="Calibri"/>
                <w:lang w:val="en-GB" w:eastAsia="en-US"/>
              </w:rPr>
            </w:pPr>
            <w:r>
              <w:rPr>
                <w:rFonts w:eastAsia="Calibri"/>
                <w:b/>
                <w:lang w:val="en-GB" w:eastAsia="en-US"/>
              </w:rPr>
              <w:t xml:space="preserve">  </w:t>
            </w:r>
            <w:r>
              <w:rPr>
                <w:rFonts w:eastAsia="Calibri"/>
                <w:lang w:val="en-GB" w:eastAsia="en-US"/>
              </w:rPr>
              <w:t>(-2,63,</w:t>
            </w:r>
            <w:r>
              <w:rPr>
                <w:rFonts w:eastAsia="Calibri"/>
                <w:spacing w:val="-3"/>
                <w:lang w:val="en-GB" w:eastAsia="en-US"/>
              </w:rPr>
              <w:t xml:space="preserve"> </w:t>
            </w:r>
            <w:r>
              <w:rPr>
                <w:rFonts w:eastAsia="Calibri"/>
                <w:lang w:val="en-GB" w:eastAsia="en-US"/>
              </w:rPr>
              <w:t>-</w:t>
            </w:r>
            <w:r>
              <w:rPr>
                <w:rFonts w:eastAsia="Calibri"/>
                <w:spacing w:val="-2"/>
                <w:lang w:val="en-GB" w:eastAsia="en-US"/>
              </w:rPr>
              <w:t>1,31)</w:t>
            </w:r>
          </w:p>
        </w:tc>
        <w:tc>
          <w:tcPr>
            <w:tcW w:w="981" w:type="dxa"/>
            <w:tcBorders>
              <w:top w:val="nil"/>
              <w:left w:val="nil"/>
              <w:right w:val="single" w:sz="8" w:space="0" w:color="000000"/>
            </w:tcBorders>
          </w:tcPr>
          <w:p w14:paraId="7F902F7F" w14:textId="77777777" w:rsidR="00023BBF" w:rsidRDefault="00023BBF">
            <w:pPr>
              <w:rPr>
                <w:rFonts w:eastAsia="Calibri"/>
                <w:lang w:val="en-GB" w:eastAsia="en-US"/>
              </w:rPr>
            </w:pPr>
          </w:p>
        </w:tc>
        <w:tc>
          <w:tcPr>
            <w:tcW w:w="1627" w:type="dxa"/>
            <w:tcBorders>
              <w:top w:val="nil"/>
              <w:left w:val="single" w:sz="8" w:space="0" w:color="000000"/>
              <w:right w:val="nil"/>
            </w:tcBorders>
          </w:tcPr>
          <w:p w14:paraId="597B0B61" w14:textId="77777777" w:rsidR="00023BBF" w:rsidRDefault="00E17C37">
            <w:pPr>
              <w:spacing w:line="238" w:lineRule="exact"/>
              <w:ind w:right="9"/>
              <w:rPr>
                <w:rFonts w:eastAsia="Calibri"/>
                <w:lang w:val="en-GB" w:eastAsia="en-US"/>
              </w:rPr>
            </w:pPr>
            <w:r>
              <w:rPr>
                <w:rFonts w:eastAsia="Calibri"/>
                <w:lang w:val="en-GB" w:eastAsia="en-US"/>
              </w:rPr>
              <w:t xml:space="preserve">  (-2,52,</w:t>
            </w:r>
            <w:r>
              <w:rPr>
                <w:rFonts w:eastAsia="Calibri"/>
                <w:spacing w:val="-3"/>
                <w:lang w:val="en-GB" w:eastAsia="en-US"/>
              </w:rPr>
              <w:t xml:space="preserve"> </w:t>
            </w:r>
            <w:r>
              <w:rPr>
                <w:rFonts w:eastAsia="Calibri"/>
                <w:lang w:val="en-GB" w:eastAsia="en-US"/>
              </w:rPr>
              <w:t>-</w:t>
            </w:r>
            <w:r>
              <w:rPr>
                <w:rFonts w:eastAsia="Calibri"/>
                <w:spacing w:val="-2"/>
                <w:lang w:val="en-GB" w:eastAsia="en-US"/>
              </w:rPr>
              <w:t>1,24)</w:t>
            </w:r>
          </w:p>
        </w:tc>
        <w:tc>
          <w:tcPr>
            <w:tcW w:w="1080" w:type="dxa"/>
            <w:tcBorders>
              <w:top w:val="nil"/>
              <w:left w:val="nil"/>
              <w:right w:val="single" w:sz="8" w:space="0" w:color="000000"/>
            </w:tcBorders>
          </w:tcPr>
          <w:p w14:paraId="607065F9" w14:textId="77777777" w:rsidR="00023BBF" w:rsidRDefault="00023BBF">
            <w:pPr>
              <w:rPr>
                <w:rFonts w:eastAsia="Calibri"/>
                <w:lang w:val="en-GB" w:eastAsia="en-US"/>
              </w:rPr>
            </w:pPr>
          </w:p>
        </w:tc>
        <w:tc>
          <w:tcPr>
            <w:tcW w:w="1611" w:type="dxa"/>
            <w:tcBorders>
              <w:top w:val="nil"/>
              <w:left w:val="single" w:sz="8" w:space="0" w:color="000000"/>
              <w:right w:val="nil"/>
            </w:tcBorders>
          </w:tcPr>
          <w:p w14:paraId="5304E436" w14:textId="77777777" w:rsidR="00023BBF" w:rsidRDefault="00E17C37">
            <w:pPr>
              <w:spacing w:line="238" w:lineRule="exact"/>
              <w:rPr>
                <w:rFonts w:eastAsia="Calibri"/>
                <w:lang w:val="en-GB" w:eastAsia="en-US"/>
              </w:rPr>
            </w:pPr>
            <w:r>
              <w:rPr>
                <w:rFonts w:eastAsia="Calibri"/>
                <w:b/>
                <w:lang w:val="en-GB" w:eastAsia="en-US"/>
              </w:rPr>
              <w:t xml:space="preserve">  </w:t>
            </w:r>
            <w:r>
              <w:rPr>
                <w:rFonts w:eastAsia="Calibri"/>
                <w:lang w:val="en-GB" w:eastAsia="en-US"/>
              </w:rPr>
              <w:t>(-2,61,</w:t>
            </w:r>
            <w:r>
              <w:rPr>
                <w:rFonts w:eastAsia="Calibri"/>
                <w:spacing w:val="-3"/>
                <w:lang w:val="en-GB" w:eastAsia="en-US"/>
              </w:rPr>
              <w:t xml:space="preserve"> </w:t>
            </w:r>
            <w:r>
              <w:rPr>
                <w:rFonts w:eastAsia="Calibri"/>
                <w:lang w:val="en-GB" w:eastAsia="en-US"/>
              </w:rPr>
              <w:t>-</w:t>
            </w:r>
            <w:r>
              <w:rPr>
                <w:rFonts w:eastAsia="Calibri"/>
                <w:spacing w:val="-2"/>
                <w:lang w:val="en-GB" w:eastAsia="en-US"/>
              </w:rPr>
              <w:t>1,13)</w:t>
            </w:r>
          </w:p>
        </w:tc>
        <w:tc>
          <w:tcPr>
            <w:tcW w:w="1118" w:type="dxa"/>
            <w:tcBorders>
              <w:top w:val="nil"/>
              <w:left w:val="nil"/>
              <w:right w:val="nil"/>
            </w:tcBorders>
          </w:tcPr>
          <w:p w14:paraId="7DB3D4E3" w14:textId="77777777" w:rsidR="00023BBF" w:rsidRDefault="00023BBF">
            <w:pPr>
              <w:rPr>
                <w:rFonts w:eastAsia="Calibri"/>
                <w:lang w:val="en-GB" w:eastAsia="en-US"/>
              </w:rPr>
            </w:pPr>
          </w:p>
        </w:tc>
      </w:tr>
    </w:tbl>
    <w:p w14:paraId="18B62C37" w14:textId="77777777" w:rsidR="00023BBF" w:rsidRDefault="00E17C37">
      <w:pPr>
        <w:widowControl w:val="0"/>
        <w:autoSpaceDE w:val="0"/>
        <w:autoSpaceDN w:val="0"/>
        <w:adjustRightInd w:val="0"/>
        <w:rPr>
          <w:rFonts w:eastAsiaTheme="minorHAnsi"/>
          <w:color w:val="000000"/>
          <w:sz w:val="20"/>
          <w:szCs w:val="20"/>
          <w:lang w:eastAsia="en-US"/>
        </w:rPr>
      </w:pPr>
      <w:r>
        <w:rPr>
          <w:rFonts w:eastAsiaTheme="minorHAnsi"/>
          <w:color w:val="000000"/>
          <w:sz w:val="20"/>
          <w:szCs w:val="20"/>
          <w:lang w:eastAsia="en-US"/>
        </w:rPr>
        <w:t>Santrumpos: 1 k/d – 1 kartą per parą, 2 k/d – 2 kartus per parą.</w:t>
      </w:r>
    </w:p>
    <w:p w14:paraId="1FCB08BB" w14:textId="77777777" w:rsidR="00023BBF" w:rsidRDefault="00E17C37">
      <w:pPr>
        <w:widowControl w:val="0"/>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1</w:t>
      </w:r>
      <w:r>
        <w:rPr>
          <w:rFonts w:eastAsiaTheme="minorHAnsi"/>
          <w:color w:val="000000"/>
          <w:sz w:val="18"/>
          <w:szCs w:val="18"/>
          <w:lang w:eastAsia="en-US"/>
        </w:rPr>
        <w:t xml:space="preserve"> </w:t>
      </w:r>
      <w:proofErr w:type="spellStart"/>
      <w:r>
        <w:rPr>
          <w:rFonts w:eastAsiaTheme="minorHAnsi"/>
          <w:color w:val="000000"/>
          <w:sz w:val="18"/>
          <w:szCs w:val="18"/>
          <w:lang w:eastAsia="en-US"/>
        </w:rPr>
        <w:t>Metforminas</w:t>
      </w:r>
      <w:proofErr w:type="spellEnd"/>
      <w:r>
        <w:rPr>
          <w:rFonts w:eastAsiaTheme="minorHAnsi"/>
          <w:color w:val="000000"/>
          <w:sz w:val="18"/>
          <w:szCs w:val="18"/>
          <w:lang w:eastAsia="en-US"/>
        </w:rPr>
        <w:t xml:space="preserve"> ≥ 1 500 mg per parą.</w:t>
      </w:r>
    </w:p>
    <w:p w14:paraId="4B1AC41A" w14:textId="77777777" w:rsidR="00023BBF" w:rsidRDefault="00E17C37">
      <w:pPr>
        <w:widowControl w:val="0"/>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2</w:t>
      </w:r>
      <w:r>
        <w:rPr>
          <w:rFonts w:eastAsiaTheme="minorHAnsi"/>
          <w:color w:val="000000"/>
          <w:sz w:val="18"/>
          <w:szCs w:val="18"/>
          <w:lang w:eastAsia="en-US"/>
        </w:rPr>
        <w:t xml:space="preserve"> </w:t>
      </w:r>
      <w:proofErr w:type="spellStart"/>
      <w:r>
        <w:rPr>
          <w:rFonts w:eastAsiaTheme="minorHAnsi"/>
          <w:color w:val="000000"/>
          <w:sz w:val="18"/>
          <w:szCs w:val="18"/>
          <w:lang w:eastAsia="en-US"/>
        </w:rPr>
        <w:t>Sitagliptinas</w:t>
      </w:r>
      <w:proofErr w:type="spellEnd"/>
      <w:r>
        <w:rPr>
          <w:rFonts w:eastAsiaTheme="minorHAnsi"/>
          <w:color w:val="000000"/>
          <w:sz w:val="18"/>
          <w:szCs w:val="18"/>
          <w:lang w:eastAsia="en-US"/>
        </w:rPr>
        <w:t xml:space="preserve"> 100 mg per parą.</w:t>
      </w:r>
    </w:p>
    <w:p w14:paraId="5CE1EEF0" w14:textId="77777777" w:rsidR="00023BBF" w:rsidRDefault="00E17C37">
      <w:pPr>
        <w:widowControl w:val="0"/>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a</w:t>
      </w:r>
      <w:r>
        <w:rPr>
          <w:rFonts w:eastAsiaTheme="minorHAnsi"/>
          <w:color w:val="000000"/>
          <w:sz w:val="18"/>
          <w:szCs w:val="18"/>
          <w:lang w:eastAsia="en-US"/>
        </w:rPr>
        <w:t xml:space="preserve"> LOCF – paskutinė atlikta apžiūra (jei prireikė pagalbos </w:t>
      </w:r>
      <w:proofErr w:type="spellStart"/>
      <w:r>
        <w:rPr>
          <w:rFonts w:eastAsiaTheme="minorHAnsi"/>
          <w:color w:val="000000"/>
          <w:sz w:val="18"/>
          <w:szCs w:val="18"/>
          <w:lang w:eastAsia="en-US"/>
        </w:rPr>
        <w:t>glikemijai</w:t>
      </w:r>
      <w:proofErr w:type="spellEnd"/>
      <w:r>
        <w:rPr>
          <w:rFonts w:eastAsiaTheme="minorHAnsi"/>
          <w:color w:val="000000"/>
          <w:sz w:val="18"/>
          <w:szCs w:val="18"/>
          <w:lang w:eastAsia="en-US"/>
        </w:rPr>
        <w:t xml:space="preserve"> koreguoti, tai paskutinė apžiūra iki jos).</w:t>
      </w:r>
    </w:p>
    <w:p w14:paraId="629850B1" w14:textId="77777777" w:rsidR="00023BBF" w:rsidRDefault="00E17C37">
      <w:pPr>
        <w:widowControl w:val="0"/>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b</w:t>
      </w:r>
      <w:r>
        <w:rPr>
          <w:rFonts w:eastAsiaTheme="minorHAnsi"/>
          <w:color w:val="000000"/>
          <w:sz w:val="18"/>
          <w:szCs w:val="18"/>
          <w:lang w:eastAsia="en-US"/>
        </w:rPr>
        <w:t xml:space="preserve"> Placebu kontroliuojamas 16 savaičių tyrimas.</w:t>
      </w:r>
    </w:p>
    <w:p w14:paraId="085C7889" w14:textId="77777777" w:rsidR="00023BBF" w:rsidRDefault="00E17C37">
      <w:pPr>
        <w:widowControl w:val="0"/>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c</w:t>
      </w:r>
      <w:r>
        <w:rPr>
          <w:rFonts w:eastAsiaTheme="minorHAnsi"/>
          <w:color w:val="000000"/>
          <w:sz w:val="18"/>
          <w:szCs w:val="18"/>
          <w:lang w:eastAsia="en-US"/>
        </w:rPr>
        <w:t xml:space="preserve"> Visi atsitiktinai atrinkti asmenys, dvigubai aklai vartoję bent vieną dozę trumpu dvigubai aklu laikotarpiu.</w:t>
      </w:r>
    </w:p>
    <w:p w14:paraId="5E88D844" w14:textId="77777777" w:rsidR="00023BBF" w:rsidRDefault="00E17C37">
      <w:pPr>
        <w:widowControl w:val="0"/>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d</w:t>
      </w:r>
      <w:r>
        <w:rPr>
          <w:rFonts w:eastAsiaTheme="minorHAnsi"/>
          <w:color w:val="000000"/>
          <w:sz w:val="18"/>
          <w:szCs w:val="18"/>
          <w:lang w:eastAsia="en-US"/>
        </w:rPr>
        <w:t xml:space="preserve"> Mažiausių kvadratų metodu apskaičiuotas vidurkis, koreguotas pagal pradinį dydį.</w:t>
      </w:r>
    </w:p>
    <w:p w14:paraId="42DD80E5" w14:textId="77777777" w:rsidR="00023BBF" w:rsidRDefault="00E17C37">
      <w:pPr>
        <w:widowControl w:val="0"/>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w:t>
      </w:r>
      <w:r>
        <w:rPr>
          <w:rFonts w:eastAsiaTheme="minorHAnsi"/>
          <w:color w:val="000000"/>
          <w:sz w:val="18"/>
          <w:szCs w:val="18"/>
          <w:lang w:eastAsia="en-US"/>
        </w:rPr>
        <w:t xml:space="preserve"> p &lt; 0,0001 palyginus su placebo ir geriamojo gliukozės koncentraciją mažinančio vaistinio preparato deriniu.</w:t>
      </w:r>
    </w:p>
    <w:p w14:paraId="46A6A303" w14:textId="77777777" w:rsidR="00023BBF" w:rsidRDefault="00E17C37">
      <w:pPr>
        <w:widowControl w:val="0"/>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w:t>
      </w:r>
      <w:r>
        <w:rPr>
          <w:rFonts w:eastAsiaTheme="minorHAnsi"/>
          <w:color w:val="000000"/>
          <w:sz w:val="18"/>
          <w:szCs w:val="18"/>
          <w:lang w:eastAsia="en-US"/>
        </w:rPr>
        <w:t>p &lt; 0,05 palyginus su placebo ir geriamojo gliukozės koncentraciją mažinančio vaistinio preparato deriniu.</w:t>
      </w:r>
    </w:p>
    <w:p w14:paraId="01C8916C" w14:textId="77777777" w:rsidR="00023BBF" w:rsidRDefault="00E17C37">
      <w:pPr>
        <w:widowControl w:val="0"/>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w:t>
      </w:r>
      <w:r>
        <w:rPr>
          <w:rFonts w:eastAsiaTheme="minorHAnsi"/>
          <w:color w:val="000000"/>
          <w:sz w:val="18"/>
          <w:szCs w:val="18"/>
          <w:lang w:eastAsia="en-US"/>
        </w:rPr>
        <w:t xml:space="preserve"> Procentinis kūno svorio pokytis analizuotas kaip svarbiausia antrinė vertinamoji baigtis (p &lt; 0,0001), absoliutus kūno svorio pokytis (kg) analizuotas naudojant nominalią p reikšmę (p &lt; 0,0001).</w:t>
      </w:r>
    </w:p>
    <w:p w14:paraId="067F7BDC" w14:textId="77777777" w:rsidR="00023BBF" w:rsidRDefault="00023BBF">
      <w:pPr>
        <w:widowControl w:val="0"/>
        <w:tabs>
          <w:tab w:val="left" w:pos="567"/>
        </w:tabs>
        <w:ind w:left="567" w:hanging="567"/>
        <w:outlineLvl w:val="2"/>
        <w:rPr>
          <w:rFonts w:eastAsia="TimesNewRoman"/>
          <w:sz w:val="22"/>
          <w:szCs w:val="22"/>
          <w:lang w:eastAsia="en-US"/>
        </w:rPr>
      </w:pPr>
    </w:p>
    <w:p w14:paraId="63BF4D10" w14:textId="77777777" w:rsidR="00023BBF" w:rsidRDefault="00E17C37">
      <w:pPr>
        <w:widowControl w:val="0"/>
        <w:tabs>
          <w:tab w:val="left" w:pos="567"/>
        </w:tabs>
        <w:ind w:left="567" w:hanging="567"/>
        <w:outlineLvl w:val="2"/>
        <w:rPr>
          <w:rFonts w:eastAsia="TimesNewRoman"/>
          <w:b/>
          <w:bCs/>
          <w:sz w:val="22"/>
          <w:szCs w:val="22"/>
          <w:lang w:eastAsia="en-US"/>
        </w:rPr>
      </w:pPr>
      <w:r>
        <w:rPr>
          <w:rFonts w:eastAsia="TimesNewRoman"/>
          <w:b/>
          <w:bCs/>
          <w:sz w:val="22"/>
          <w:szCs w:val="22"/>
          <w:lang w:eastAsia="en-US"/>
        </w:rPr>
        <w:t xml:space="preserve">5 lentelė. 24 savaičių trukmės placebu kontroliuojamo tyrimo duomenys tiriant kaip dapagliflozinas papildo </w:t>
      </w:r>
      <w:proofErr w:type="spellStart"/>
      <w:r>
        <w:rPr>
          <w:rFonts w:eastAsia="TimesNewRoman"/>
          <w:b/>
          <w:bCs/>
          <w:sz w:val="22"/>
          <w:szCs w:val="22"/>
          <w:lang w:eastAsia="en-US"/>
        </w:rPr>
        <w:t>metformino</w:t>
      </w:r>
      <w:proofErr w:type="spellEnd"/>
      <w:r>
        <w:rPr>
          <w:rFonts w:eastAsia="TimesNewRoman"/>
          <w:b/>
          <w:bCs/>
          <w:sz w:val="22"/>
          <w:szCs w:val="22"/>
          <w:lang w:eastAsia="en-US"/>
        </w:rPr>
        <w:t xml:space="preserve"> ir </w:t>
      </w:r>
      <w:proofErr w:type="spellStart"/>
      <w:r>
        <w:rPr>
          <w:rFonts w:eastAsia="TimesNewRoman"/>
          <w:b/>
          <w:bCs/>
          <w:sz w:val="22"/>
          <w:szCs w:val="22"/>
          <w:lang w:eastAsia="en-US"/>
        </w:rPr>
        <w:t>sulfonilkarbamido</w:t>
      </w:r>
      <w:proofErr w:type="spellEnd"/>
      <w:r>
        <w:rPr>
          <w:rFonts w:eastAsia="TimesNewRoman"/>
          <w:b/>
          <w:bCs/>
          <w:sz w:val="22"/>
          <w:szCs w:val="22"/>
          <w:lang w:eastAsia="en-US"/>
        </w:rPr>
        <w:t xml:space="preserve"> darinio derinio poveikį</w:t>
      </w:r>
    </w:p>
    <w:tbl>
      <w:tblPr>
        <w:tblStyle w:val="TableNormal1"/>
        <w:tblW w:w="0" w:type="auto"/>
        <w:tblInd w:w="-156" w:type="dxa"/>
        <w:tblLayout w:type="fixed"/>
        <w:tblLook w:val="01E0" w:firstRow="1" w:lastRow="1" w:firstColumn="1" w:lastColumn="1" w:noHBand="0" w:noVBand="0"/>
      </w:tblPr>
      <w:tblGrid>
        <w:gridCol w:w="3309"/>
        <w:gridCol w:w="3032"/>
        <w:gridCol w:w="2731"/>
      </w:tblGrid>
      <w:tr w:rsidR="00023BBF" w14:paraId="773306BE" w14:textId="77777777">
        <w:trPr>
          <w:trHeight w:val="213"/>
        </w:trPr>
        <w:tc>
          <w:tcPr>
            <w:tcW w:w="3309" w:type="dxa"/>
            <w:tcBorders>
              <w:top w:val="single" w:sz="4" w:space="0" w:color="auto"/>
            </w:tcBorders>
          </w:tcPr>
          <w:p w14:paraId="3CFC3ABE" w14:textId="77777777" w:rsidR="00023BBF" w:rsidRDefault="00023BBF">
            <w:pPr>
              <w:spacing w:before="39" w:line="144" w:lineRule="auto"/>
              <w:ind w:left="110"/>
              <w:rPr>
                <w:rFonts w:ascii="Calibri" w:eastAsia="Calibri" w:hAnsi="Calibri"/>
                <w:noProof/>
                <w:lang w:val="sl-SI" w:eastAsia="sl-SI"/>
              </w:rPr>
            </w:pPr>
          </w:p>
        </w:tc>
        <w:tc>
          <w:tcPr>
            <w:tcW w:w="5763" w:type="dxa"/>
            <w:gridSpan w:val="2"/>
            <w:tcBorders>
              <w:top w:val="single" w:sz="4" w:space="0" w:color="auto"/>
              <w:bottom w:val="single" w:sz="4" w:space="0" w:color="auto"/>
            </w:tcBorders>
          </w:tcPr>
          <w:p w14:paraId="336650B5" w14:textId="77777777" w:rsidR="00023BBF" w:rsidRDefault="00E17C37">
            <w:pPr>
              <w:spacing w:before="10"/>
              <w:ind w:left="1118"/>
              <w:jc w:val="center"/>
              <w:rPr>
                <w:rFonts w:eastAsia="Calibri"/>
                <w:b/>
                <w:spacing w:val="-5"/>
                <w:lang w:val="en-GB" w:eastAsia="en-US"/>
              </w:rPr>
            </w:pPr>
            <w:proofErr w:type="spellStart"/>
            <w:r>
              <w:rPr>
                <w:rFonts w:eastAsia="Calibri"/>
                <w:b/>
                <w:lang w:val="en-GB" w:eastAsia="en-US"/>
              </w:rPr>
              <w:t>Papildomo</w:t>
            </w:r>
            <w:proofErr w:type="spellEnd"/>
            <w:r>
              <w:rPr>
                <w:rFonts w:eastAsia="Calibri"/>
                <w:b/>
                <w:lang w:val="en-GB" w:eastAsia="en-US"/>
              </w:rPr>
              <w:t xml:space="preserve"> </w:t>
            </w:r>
            <w:proofErr w:type="spellStart"/>
            <w:r>
              <w:rPr>
                <w:rFonts w:eastAsia="Calibri"/>
                <w:b/>
                <w:lang w:val="en-GB" w:eastAsia="en-US"/>
              </w:rPr>
              <w:t>gydymo</w:t>
            </w:r>
            <w:proofErr w:type="spellEnd"/>
            <w:r>
              <w:rPr>
                <w:rFonts w:eastAsia="Calibri"/>
                <w:b/>
                <w:lang w:val="en-GB" w:eastAsia="en-US"/>
              </w:rPr>
              <w:t xml:space="preserve"> </w:t>
            </w:r>
            <w:proofErr w:type="spellStart"/>
            <w:r>
              <w:rPr>
                <w:rFonts w:eastAsia="Calibri"/>
                <w:b/>
                <w:lang w:val="en-GB" w:eastAsia="en-US"/>
              </w:rPr>
              <w:t>derinys</w:t>
            </w:r>
            <w:proofErr w:type="spellEnd"/>
          </w:p>
        </w:tc>
      </w:tr>
      <w:tr w:rsidR="00023BBF" w14:paraId="149F43F1" w14:textId="77777777">
        <w:trPr>
          <w:trHeight w:val="230"/>
        </w:trPr>
        <w:tc>
          <w:tcPr>
            <w:tcW w:w="3309" w:type="dxa"/>
            <w:tcBorders>
              <w:bottom w:val="single" w:sz="4" w:space="0" w:color="auto"/>
            </w:tcBorders>
          </w:tcPr>
          <w:p w14:paraId="7B96A2CD" w14:textId="77777777" w:rsidR="00023BBF" w:rsidRDefault="00023BBF">
            <w:pPr>
              <w:spacing w:before="39" w:line="144" w:lineRule="auto"/>
              <w:ind w:left="110"/>
              <w:rPr>
                <w:rFonts w:ascii="Calibri" w:eastAsia="Calibri" w:hAnsi="Calibri"/>
                <w:noProof/>
                <w:lang w:val="sl-SI" w:eastAsia="sl-SI"/>
              </w:rPr>
            </w:pPr>
          </w:p>
        </w:tc>
        <w:tc>
          <w:tcPr>
            <w:tcW w:w="5763" w:type="dxa"/>
            <w:gridSpan w:val="2"/>
            <w:tcBorders>
              <w:top w:val="single" w:sz="4" w:space="0" w:color="auto"/>
              <w:bottom w:val="single" w:sz="4" w:space="0" w:color="auto"/>
            </w:tcBorders>
          </w:tcPr>
          <w:p w14:paraId="5CF0955F" w14:textId="77777777" w:rsidR="00023BBF" w:rsidRDefault="00E17C37">
            <w:pPr>
              <w:spacing w:before="10"/>
              <w:ind w:left="1118"/>
              <w:jc w:val="center"/>
              <w:rPr>
                <w:rFonts w:eastAsia="Calibri"/>
                <w:b/>
                <w:spacing w:val="-5"/>
                <w:lang w:val="en-GB" w:eastAsia="en-US"/>
              </w:rPr>
            </w:pPr>
            <w:proofErr w:type="spellStart"/>
            <w:r>
              <w:rPr>
                <w:rFonts w:eastAsia="Calibri"/>
                <w:b/>
                <w:spacing w:val="-2"/>
                <w:lang w:val="en-GB" w:eastAsia="en-US"/>
              </w:rPr>
              <w:t>Sulfonilkarbamido</w:t>
            </w:r>
            <w:proofErr w:type="spellEnd"/>
            <w:r>
              <w:rPr>
                <w:rFonts w:eastAsia="Calibri"/>
                <w:b/>
                <w:spacing w:val="-2"/>
                <w:lang w:val="en-GB" w:eastAsia="en-US"/>
              </w:rPr>
              <w:t xml:space="preserve"> </w:t>
            </w:r>
            <w:proofErr w:type="spellStart"/>
            <w:r>
              <w:rPr>
                <w:rFonts w:eastAsia="Calibri"/>
                <w:b/>
                <w:spacing w:val="-2"/>
                <w:lang w:val="en-GB" w:eastAsia="en-US"/>
              </w:rPr>
              <w:t>darinys</w:t>
            </w:r>
            <w:proofErr w:type="spellEnd"/>
            <w:r>
              <w:rPr>
                <w:rFonts w:eastAsia="Calibri"/>
                <w:b/>
                <w:spacing w:val="-2"/>
                <w:lang w:val="en-GB" w:eastAsia="en-US"/>
              </w:rPr>
              <w:t xml:space="preserve"> </w:t>
            </w:r>
            <w:proofErr w:type="spellStart"/>
            <w:r>
              <w:rPr>
                <w:rFonts w:eastAsia="Calibri"/>
                <w:b/>
                <w:spacing w:val="-2"/>
                <w:lang w:val="en-GB" w:eastAsia="en-US"/>
              </w:rPr>
              <w:t>ir</w:t>
            </w:r>
            <w:proofErr w:type="spellEnd"/>
            <w:r>
              <w:rPr>
                <w:rFonts w:eastAsia="Calibri"/>
                <w:b/>
                <w:spacing w:val="-2"/>
                <w:lang w:val="en-GB" w:eastAsia="en-US"/>
              </w:rPr>
              <w:t xml:space="preserve"> metforminas</w:t>
            </w:r>
            <w:r>
              <w:rPr>
                <w:rFonts w:eastAsia="Calibri"/>
                <w:b/>
                <w:spacing w:val="-2"/>
                <w:vertAlign w:val="superscript"/>
                <w:lang w:val="en-GB" w:eastAsia="en-US"/>
              </w:rPr>
              <w:t>1</w:t>
            </w:r>
          </w:p>
        </w:tc>
      </w:tr>
      <w:tr w:rsidR="00023BBF" w14:paraId="67630B2A" w14:textId="77777777">
        <w:trPr>
          <w:trHeight w:val="234"/>
        </w:trPr>
        <w:tc>
          <w:tcPr>
            <w:tcW w:w="3309" w:type="dxa"/>
            <w:tcBorders>
              <w:top w:val="single" w:sz="4" w:space="0" w:color="auto"/>
            </w:tcBorders>
          </w:tcPr>
          <w:p w14:paraId="3CFE33A4" w14:textId="77777777" w:rsidR="00023BBF" w:rsidRDefault="00023BBF">
            <w:pPr>
              <w:spacing w:before="39" w:line="144" w:lineRule="auto"/>
              <w:ind w:left="110"/>
              <w:rPr>
                <w:rFonts w:ascii="Calibri" w:eastAsia="Calibri" w:hAnsi="Calibri"/>
                <w:noProof/>
                <w:lang w:val="sl-SI" w:eastAsia="sl-SI"/>
              </w:rPr>
            </w:pPr>
          </w:p>
        </w:tc>
        <w:tc>
          <w:tcPr>
            <w:tcW w:w="3032" w:type="dxa"/>
            <w:tcBorders>
              <w:top w:val="single" w:sz="4" w:space="0" w:color="auto"/>
            </w:tcBorders>
          </w:tcPr>
          <w:p w14:paraId="7F0FF22A" w14:textId="77777777" w:rsidR="00023BBF" w:rsidRDefault="00E17C37">
            <w:pPr>
              <w:spacing w:before="10"/>
              <w:ind w:right="225"/>
              <w:jc w:val="center"/>
              <w:rPr>
                <w:rFonts w:eastAsia="Calibri"/>
                <w:b/>
                <w:spacing w:val="-5"/>
                <w:lang w:val="en-GB" w:eastAsia="en-US"/>
              </w:rPr>
            </w:pPr>
            <w:proofErr w:type="spellStart"/>
            <w:r>
              <w:rPr>
                <w:rFonts w:eastAsia="Calibri"/>
                <w:b/>
                <w:spacing w:val="-2"/>
                <w:lang w:val="en-GB" w:eastAsia="en-US"/>
              </w:rPr>
              <w:t>Dapagliflozinas</w:t>
            </w:r>
            <w:proofErr w:type="spellEnd"/>
            <w:r>
              <w:rPr>
                <w:rFonts w:eastAsia="Calibri"/>
                <w:b/>
                <w:spacing w:val="-2"/>
                <w:lang w:val="en-GB" w:eastAsia="en-US"/>
              </w:rPr>
              <w:t xml:space="preserve"> </w:t>
            </w:r>
            <w:r>
              <w:rPr>
                <w:rFonts w:eastAsia="Calibri"/>
                <w:b/>
                <w:lang w:val="en-GB" w:eastAsia="en-US"/>
              </w:rPr>
              <w:t>10 mg</w:t>
            </w:r>
          </w:p>
        </w:tc>
        <w:tc>
          <w:tcPr>
            <w:tcW w:w="2731" w:type="dxa"/>
            <w:tcBorders>
              <w:top w:val="single" w:sz="4" w:space="0" w:color="auto"/>
            </w:tcBorders>
          </w:tcPr>
          <w:p w14:paraId="21CA426D" w14:textId="77777777" w:rsidR="00023BBF" w:rsidRDefault="00E17C37">
            <w:pPr>
              <w:spacing w:before="10"/>
              <w:ind w:left="1118"/>
              <w:rPr>
                <w:rFonts w:eastAsia="Calibri"/>
                <w:b/>
                <w:spacing w:val="-5"/>
                <w:lang w:val="en-GB" w:eastAsia="en-US"/>
              </w:rPr>
            </w:pPr>
            <w:proofErr w:type="spellStart"/>
            <w:r>
              <w:rPr>
                <w:rFonts w:eastAsia="Calibri"/>
                <w:b/>
                <w:spacing w:val="-2"/>
                <w:lang w:val="en-GB" w:eastAsia="en-US"/>
              </w:rPr>
              <w:t>Placebas</w:t>
            </w:r>
            <w:proofErr w:type="spellEnd"/>
          </w:p>
        </w:tc>
      </w:tr>
      <w:tr w:rsidR="00023BBF" w14:paraId="3F55FB7E" w14:textId="77777777">
        <w:trPr>
          <w:trHeight w:val="541"/>
        </w:trPr>
        <w:tc>
          <w:tcPr>
            <w:tcW w:w="3309" w:type="dxa"/>
          </w:tcPr>
          <w:p w14:paraId="5DB0339B" w14:textId="77777777" w:rsidR="00023BBF" w:rsidRDefault="00E17C37">
            <w:pPr>
              <w:spacing w:before="39" w:line="144" w:lineRule="auto"/>
              <w:ind w:left="110"/>
              <w:rPr>
                <w:rFonts w:eastAsia="Calibri"/>
                <w:lang w:val="en-GB" w:eastAsia="en-US"/>
              </w:rPr>
            </w:pPr>
            <w:r w:rsidRPr="00EE5BE7">
              <w:rPr>
                <w:rFonts w:ascii="Calibri" w:hAnsi="Calibri"/>
                <w:noProof/>
                <w:lang w:val="sl-SI"/>
              </w:rPr>
              <mc:AlternateContent>
                <mc:Choice Requires="wpg">
                  <w:drawing>
                    <wp:anchor distT="0" distB="0" distL="0" distR="0" simplePos="0" relativeHeight="251659264" behindDoc="0" locked="0" layoutInCell="1" allowOverlap="1" wp14:anchorId="74E68AE4" wp14:editId="4B6B4BC2">
                      <wp:simplePos x="0" y="0"/>
                      <wp:positionH relativeFrom="column">
                        <wp:posOffset>0</wp:posOffset>
                      </wp:positionH>
                      <wp:positionV relativeFrom="paragraph">
                        <wp:posOffset>-3843</wp:posOffset>
                      </wp:positionV>
                      <wp:extent cx="5760720" cy="1270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720" cy="12700"/>
                                <a:chOff x="0" y="0"/>
                                <a:chExt cx="5760720" cy="12700"/>
                              </a:xfrm>
                            </wpg:grpSpPr>
                            <wps:wsp>
                              <wps:cNvPr id="11" name="Graphic 11"/>
                              <wps:cNvSpPr/>
                              <wps:spPr>
                                <a:xfrm>
                                  <a:off x="0" y="0"/>
                                  <a:ext cx="5760720" cy="12700"/>
                                </a:xfrm>
                                <a:custGeom>
                                  <a:avLst/>
                                  <a:gdLst/>
                                  <a:ahLst/>
                                  <a:cxnLst/>
                                  <a:rect l="l" t="t" r="r" b="b"/>
                                  <a:pathLst>
                                    <a:path w="5760720" h="12700">
                                      <a:moveTo>
                                        <a:pt x="3934955" y="0"/>
                                      </a:moveTo>
                                      <a:lnTo>
                                        <a:pt x="3922776" y="0"/>
                                      </a:lnTo>
                                      <a:lnTo>
                                        <a:pt x="2072640" y="0"/>
                                      </a:lnTo>
                                      <a:lnTo>
                                        <a:pt x="2060448" y="0"/>
                                      </a:lnTo>
                                      <a:lnTo>
                                        <a:pt x="0" y="0"/>
                                      </a:lnTo>
                                      <a:lnTo>
                                        <a:pt x="0" y="12192"/>
                                      </a:lnTo>
                                      <a:lnTo>
                                        <a:pt x="2060448" y="12192"/>
                                      </a:lnTo>
                                      <a:lnTo>
                                        <a:pt x="2072640" y="12192"/>
                                      </a:lnTo>
                                      <a:lnTo>
                                        <a:pt x="3922776" y="12192"/>
                                      </a:lnTo>
                                      <a:lnTo>
                                        <a:pt x="3934955" y="12192"/>
                                      </a:lnTo>
                                      <a:lnTo>
                                        <a:pt x="3934955" y="0"/>
                                      </a:lnTo>
                                      <a:close/>
                                    </a:path>
                                    <a:path w="5760720" h="12700">
                                      <a:moveTo>
                                        <a:pt x="5760720" y="0"/>
                                      </a:moveTo>
                                      <a:lnTo>
                                        <a:pt x="3934968" y="0"/>
                                      </a:lnTo>
                                      <a:lnTo>
                                        <a:pt x="3934968" y="12192"/>
                                      </a:lnTo>
                                      <a:lnTo>
                                        <a:pt x="5760720" y="12192"/>
                                      </a:lnTo>
                                      <a:lnTo>
                                        <a:pt x="57607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5A65E17" id="Group 10" o:spid="_x0000_s1026" style="position:absolute;margin-left:0;margin-top:-.3pt;width:453.6pt;height:1pt;z-index:251659264;mso-wrap-distance-left:0;mso-wrap-distance-right:0" coordsize="5760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">
                      <v:shape id="Graphic 11" o:spid="_x0000_s1027" style="position:absolute;width:57607;height:127;visibility:visible;mso-wrap-style:square;v-text-anchor:top" coordsize="57607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" path="m3934955,r-12179,l2072640,r-12192,l,,,12192r2060448,l2072640,12192r1850136,l3934955,12192r,-12192xem5760720,l3934968,r,12192l5760720,12192r,-12192xe" fillcolor="black" stroked="f">
                        <v:path arrowok="t"/>
                      </v:shape>
                    </v:group>
                  </w:pict>
                </mc:Fallback>
              </mc:AlternateContent>
            </w:r>
            <w:r>
              <w:rPr>
                <w:rFonts w:eastAsia="Calibri"/>
                <w:b/>
                <w:spacing w:val="-5"/>
                <w:position w:val="-8"/>
                <w:lang w:val="en-GB" w:eastAsia="en-US"/>
              </w:rPr>
              <w:t>N</w:t>
            </w:r>
            <w:r>
              <w:rPr>
                <w:rFonts w:eastAsia="Calibri"/>
                <w:spacing w:val="-5"/>
                <w:lang w:val="en-GB" w:eastAsia="en-US"/>
              </w:rPr>
              <w:t>a</w:t>
            </w:r>
          </w:p>
          <w:p w14:paraId="4BB8A9FC" w14:textId="77777777" w:rsidR="00023BBF" w:rsidRDefault="00E17C37">
            <w:pPr>
              <w:spacing w:before="77" w:line="238" w:lineRule="exact"/>
              <w:ind w:left="110"/>
              <w:rPr>
                <w:rFonts w:eastAsia="Calibri"/>
                <w:lang w:val="en-GB" w:eastAsia="en-US"/>
              </w:rPr>
            </w:pPr>
            <w:r w:rsidRPr="00EE5BE7">
              <w:rPr>
                <w:rFonts w:ascii="Calibri" w:hAnsi="Calibri"/>
                <w:noProof/>
                <w:lang w:val="sl-SI"/>
              </w:rPr>
              <mc:AlternateContent>
                <mc:Choice Requires="wpg">
                  <w:drawing>
                    <wp:anchor distT="0" distB="0" distL="0" distR="0" simplePos="0" relativeHeight="251660288" behindDoc="1" locked="0" layoutInCell="1" allowOverlap="1" wp14:anchorId="6E461FED" wp14:editId="1343A7C2">
                      <wp:simplePos x="0" y="0"/>
                      <wp:positionH relativeFrom="column">
                        <wp:posOffset>0</wp:posOffset>
                      </wp:positionH>
                      <wp:positionV relativeFrom="paragraph">
                        <wp:posOffset>39109</wp:posOffset>
                      </wp:positionV>
                      <wp:extent cx="5760720" cy="1270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720" cy="12700"/>
                                <a:chOff x="0" y="0"/>
                                <a:chExt cx="5760720" cy="12700"/>
                              </a:xfrm>
                            </wpg:grpSpPr>
                            <wps:wsp>
                              <wps:cNvPr id="13" name="Graphic 13"/>
                              <wps:cNvSpPr/>
                              <wps:spPr>
                                <a:xfrm>
                                  <a:off x="0" y="0"/>
                                  <a:ext cx="5760720" cy="12700"/>
                                </a:xfrm>
                                <a:custGeom>
                                  <a:avLst/>
                                  <a:gdLst/>
                                  <a:ahLst/>
                                  <a:cxnLst/>
                                  <a:rect l="l" t="t" r="r" b="b"/>
                                  <a:pathLst>
                                    <a:path w="5760720" h="12700">
                                      <a:moveTo>
                                        <a:pt x="3934955" y="0"/>
                                      </a:moveTo>
                                      <a:lnTo>
                                        <a:pt x="3922776" y="0"/>
                                      </a:lnTo>
                                      <a:lnTo>
                                        <a:pt x="2072640" y="0"/>
                                      </a:lnTo>
                                      <a:lnTo>
                                        <a:pt x="2060448" y="0"/>
                                      </a:lnTo>
                                      <a:lnTo>
                                        <a:pt x="0" y="0"/>
                                      </a:lnTo>
                                      <a:lnTo>
                                        <a:pt x="0" y="12192"/>
                                      </a:lnTo>
                                      <a:lnTo>
                                        <a:pt x="2060448" y="12192"/>
                                      </a:lnTo>
                                      <a:lnTo>
                                        <a:pt x="2072640" y="12192"/>
                                      </a:lnTo>
                                      <a:lnTo>
                                        <a:pt x="3922776" y="12192"/>
                                      </a:lnTo>
                                      <a:lnTo>
                                        <a:pt x="3934955" y="12192"/>
                                      </a:lnTo>
                                      <a:lnTo>
                                        <a:pt x="3934955" y="0"/>
                                      </a:lnTo>
                                      <a:close/>
                                    </a:path>
                                    <a:path w="5760720" h="12700">
                                      <a:moveTo>
                                        <a:pt x="5760720" y="0"/>
                                      </a:moveTo>
                                      <a:lnTo>
                                        <a:pt x="3934968" y="0"/>
                                      </a:lnTo>
                                      <a:lnTo>
                                        <a:pt x="3934968" y="12192"/>
                                      </a:lnTo>
                                      <a:lnTo>
                                        <a:pt x="5760720" y="12192"/>
                                      </a:lnTo>
                                      <a:lnTo>
                                        <a:pt x="57607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080446B" id="Group 12" o:spid="_x0000_s1026" style="position:absolute;margin-left:0;margin-top:3.1pt;width:453.6pt;height:1pt;z-index:-251656192;mso-wrap-distance-left:0;mso-wrap-distance-right:0" coordsize="5760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">
                      <v:shape id="Graphic 13" o:spid="_x0000_s1027" style="position:absolute;width:57607;height:127;visibility:visible;mso-wrap-style:square;v-text-anchor:top" coordsize="576072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" path="m3934955,r-12179,l2072640,r-12192,l,,,12192r2060448,l2072640,12192r1850136,l3934955,12192r,-12192xem5760720,l3934968,r,12192l5760720,12192r,-12192xe" fillcolor="black" stroked="f">
                        <v:path arrowok="t"/>
                      </v:shape>
                    </v:group>
                  </w:pict>
                </mc:Fallback>
              </mc:AlternateContent>
            </w:r>
            <w:r>
              <w:rPr>
                <w:rFonts w:eastAsia="Calibri"/>
                <w:b/>
                <w:lang w:val="en-GB" w:eastAsia="en-US"/>
              </w:rPr>
              <w:t xml:space="preserve">HbA1c </w:t>
            </w:r>
            <w:r>
              <w:rPr>
                <w:rFonts w:eastAsia="Calibri"/>
                <w:b/>
                <w:spacing w:val="-4"/>
                <w:lang w:val="en-GB" w:eastAsia="en-US"/>
              </w:rPr>
              <w:t>(</w:t>
            </w:r>
            <w:proofErr w:type="gramStart"/>
            <w:r>
              <w:rPr>
                <w:rFonts w:eastAsia="Calibri"/>
                <w:b/>
                <w:spacing w:val="-4"/>
                <w:lang w:val="en-GB" w:eastAsia="en-US"/>
              </w:rPr>
              <w:t>%)</w:t>
            </w:r>
            <w:r>
              <w:rPr>
                <w:rFonts w:eastAsia="Calibri"/>
                <w:spacing w:val="-4"/>
                <w:vertAlign w:val="superscript"/>
                <w:lang w:val="en-GB" w:eastAsia="en-US"/>
              </w:rPr>
              <w:t>b</w:t>
            </w:r>
            <w:proofErr w:type="gramEnd"/>
          </w:p>
        </w:tc>
        <w:tc>
          <w:tcPr>
            <w:tcW w:w="3032" w:type="dxa"/>
          </w:tcPr>
          <w:p w14:paraId="065DF8E0" w14:textId="77777777" w:rsidR="00023BBF" w:rsidRDefault="00E17C37">
            <w:pPr>
              <w:spacing w:before="10"/>
              <w:ind w:right="225"/>
              <w:jc w:val="center"/>
              <w:rPr>
                <w:rFonts w:eastAsia="Calibri"/>
                <w:lang w:val="en-GB" w:eastAsia="en-US"/>
              </w:rPr>
            </w:pPr>
            <w:r>
              <w:rPr>
                <w:rFonts w:eastAsia="Calibri"/>
                <w:spacing w:val="-5"/>
                <w:lang w:val="en-GB" w:eastAsia="en-US"/>
              </w:rPr>
              <w:t>108</w:t>
            </w:r>
          </w:p>
        </w:tc>
        <w:tc>
          <w:tcPr>
            <w:tcW w:w="2731" w:type="dxa"/>
          </w:tcPr>
          <w:p w14:paraId="5E21520F" w14:textId="77777777" w:rsidR="00023BBF" w:rsidRDefault="00E17C37">
            <w:pPr>
              <w:spacing w:before="10"/>
              <w:ind w:left="1118"/>
              <w:rPr>
                <w:rFonts w:eastAsia="Calibri"/>
                <w:lang w:val="en-GB" w:eastAsia="en-US"/>
              </w:rPr>
            </w:pPr>
            <w:r>
              <w:rPr>
                <w:rFonts w:eastAsia="Calibri"/>
                <w:spacing w:val="-5"/>
                <w:lang w:val="en-GB" w:eastAsia="en-US"/>
              </w:rPr>
              <w:t>108</w:t>
            </w:r>
          </w:p>
        </w:tc>
      </w:tr>
      <w:tr w:rsidR="00023BBF" w14:paraId="3F15604C" w14:textId="77777777">
        <w:trPr>
          <w:trHeight w:val="240"/>
        </w:trPr>
        <w:tc>
          <w:tcPr>
            <w:tcW w:w="3309" w:type="dxa"/>
          </w:tcPr>
          <w:p w14:paraId="609DD5C8" w14:textId="77777777" w:rsidR="00023BBF" w:rsidRDefault="00E17C37">
            <w:pPr>
              <w:spacing w:line="220" w:lineRule="exact"/>
              <w:ind w:right="1620"/>
              <w:jc w:val="right"/>
              <w:rPr>
                <w:rFonts w:eastAsia="Calibri"/>
                <w:lang w:val="en-GB" w:eastAsia="en-US"/>
              </w:rPr>
            </w:pPr>
            <w:proofErr w:type="spellStart"/>
            <w:r>
              <w:rPr>
                <w:rFonts w:eastAsia="Calibri"/>
                <w:lang w:val="en-GB" w:eastAsia="en-US"/>
              </w:rPr>
              <w:t>Pradinė</w:t>
            </w:r>
            <w:proofErr w:type="spellEnd"/>
            <w:r>
              <w:rPr>
                <w:rFonts w:eastAsia="Calibri"/>
                <w:spacing w:val="-8"/>
                <w:lang w:val="en-GB" w:eastAsia="en-US"/>
              </w:rPr>
              <w:t xml:space="preserve"> </w:t>
            </w:r>
            <w:r>
              <w:rPr>
                <w:rFonts w:eastAsia="Calibri"/>
                <w:spacing w:val="-2"/>
                <w:lang w:val="en-GB" w:eastAsia="en-US"/>
              </w:rPr>
              <w:t>(</w:t>
            </w:r>
            <w:proofErr w:type="spellStart"/>
            <w:r>
              <w:rPr>
                <w:rFonts w:eastAsia="Calibri"/>
                <w:spacing w:val="-2"/>
                <w:lang w:val="en-GB" w:eastAsia="en-US"/>
              </w:rPr>
              <w:t>vidurkis</w:t>
            </w:r>
            <w:proofErr w:type="spellEnd"/>
            <w:r>
              <w:rPr>
                <w:rFonts w:eastAsia="Calibri"/>
                <w:spacing w:val="-2"/>
                <w:lang w:val="en-GB" w:eastAsia="en-US"/>
              </w:rPr>
              <w:t>)</w:t>
            </w:r>
          </w:p>
        </w:tc>
        <w:tc>
          <w:tcPr>
            <w:tcW w:w="3032" w:type="dxa"/>
          </w:tcPr>
          <w:p w14:paraId="221F3EA9" w14:textId="77777777" w:rsidR="00023BBF" w:rsidRDefault="00E17C37">
            <w:pPr>
              <w:spacing w:line="220" w:lineRule="exact"/>
              <w:ind w:left="10" w:right="225"/>
              <w:jc w:val="center"/>
              <w:rPr>
                <w:rFonts w:eastAsia="Calibri"/>
                <w:lang w:val="en-GB" w:eastAsia="en-US"/>
              </w:rPr>
            </w:pPr>
            <w:r>
              <w:rPr>
                <w:rFonts w:eastAsia="Calibri"/>
                <w:spacing w:val="-4"/>
                <w:lang w:val="en-GB" w:eastAsia="en-US"/>
              </w:rPr>
              <w:t>8,08</w:t>
            </w:r>
          </w:p>
        </w:tc>
        <w:tc>
          <w:tcPr>
            <w:tcW w:w="2731" w:type="dxa"/>
          </w:tcPr>
          <w:p w14:paraId="23B3AD8B" w14:textId="77777777" w:rsidR="00023BBF" w:rsidRDefault="00E17C37">
            <w:pPr>
              <w:spacing w:line="220" w:lineRule="exact"/>
              <w:ind w:left="1094"/>
              <w:rPr>
                <w:rFonts w:eastAsia="Calibri"/>
                <w:lang w:val="en-GB" w:eastAsia="en-US"/>
              </w:rPr>
            </w:pPr>
            <w:r>
              <w:rPr>
                <w:rFonts w:eastAsia="Calibri"/>
                <w:spacing w:val="-4"/>
                <w:lang w:val="en-GB" w:eastAsia="en-US"/>
              </w:rPr>
              <w:t>8,24</w:t>
            </w:r>
          </w:p>
        </w:tc>
      </w:tr>
      <w:tr w:rsidR="00023BBF" w14:paraId="0E061D3E" w14:textId="77777777">
        <w:trPr>
          <w:trHeight w:val="515"/>
        </w:trPr>
        <w:tc>
          <w:tcPr>
            <w:tcW w:w="3309" w:type="dxa"/>
          </w:tcPr>
          <w:p w14:paraId="321C234B" w14:textId="77777777" w:rsidR="00023BBF" w:rsidRDefault="00E17C37">
            <w:pPr>
              <w:spacing w:line="250" w:lineRule="atLeast"/>
              <w:ind w:left="254" w:right="350"/>
              <w:rPr>
                <w:rFonts w:eastAsia="Calibri"/>
                <w:lang w:val="pt-PT" w:eastAsia="en-US"/>
              </w:rPr>
            </w:pPr>
            <w:r>
              <w:rPr>
                <w:rFonts w:eastAsia="Calibri"/>
                <w:lang w:val="pt-PT" w:eastAsia="en-US"/>
              </w:rPr>
              <w:t>Pokytis palyginus su pradine</w:t>
            </w:r>
            <w:r>
              <w:rPr>
                <w:rFonts w:eastAsia="Calibri"/>
                <w:vertAlign w:val="superscript"/>
                <w:lang w:val="pt-PT" w:eastAsia="en-US"/>
              </w:rPr>
              <w:t>c</w:t>
            </w:r>
            <w:r>
              <w:rPr>
                <w:rFonts w:eastAsia="Calibri"/>
                <w:lang w:val="pt-PT" w:eastAsia="en-US"/>
              </w:rPr>
              <w:t xml:space="preserve"> Skirtumas nuo placebo</w:t>
            </w:r>
            <w:r>
              <w:rPr>
                <w:rFonts w:eastAsia="Calibri"/>
                <w:vertAlign w:val="superscript"/>
                <w:lang w:val="pt-PT" w:eastAsia="en-US"/>
              </w:rPr>
              <w:t>c</w:t>
            </w:r>
          </w:p>
        </w:tc>
        <w:tc>
          <w:tcPr>
            <w:tcW w:w="3032" w:type="dxa"/>
          </w:tcPr>
          <w:p w14:paraId="7C82CC5C" w14:textId="77777777" w:rsidR="00023BBF" w:rsidRDefault="00E17C37">
            <w:pPr>
              <w:spacing w:before="5"/>
              <w:ind w:left="4" w:right="225"/>
              <w:jc w:val="center"/>
              <w:rPr>
                <w:rFonts w:eastAsia="Calibri"/>
                <w:lang w:val="en-GB" w:eastAsia="en-US"/>
              </w:rPr>
            </w:pPr>
            <w:r>
              <w:rPr>
                <w:rFonts w:eastAsia="Calibri"/>
                <w:spacing w:val="-2"/>
                <w:lang w:val="en-GB" w:eastAsia="en-US"/>
              </w:rPr>
              <w:t>-</w:t>
            </w:r>
            <w:r>
              <w:rPr>
                <w:rFonts w:eastAsia="Calibri"/>
                <w:spacing w:val="-4"/>
                <w:lang w:val="en-GB" w:eastAsia="en-US"/>
              </w:rPr>
              <w:t>0,86</w:t>
            </w:r>
          </w:p>
          <w:p w14:paraId="40E6D6A4" w14:textId="77777777" w:rsidR="00023BBF" w:rsidRDefault="00E17C37">
            <w:pPr>
              <w:spacing w:before="2" w:line="236" w:lineRule="exact"/>
              <w:ind w:left="7" w:right="225"/>
              <w:jc w:val="center"/>
              <w:rPr>
                <w:rFonts w:eastAsia="Calibri"/>
                <w:lang w:val="en-GB" w:eastAsia="en-US"/>
              </w:rPr>
            </w:pPr>
            <w:r>
              <w:rPr>
                <w:rFonts w:eastAsia="Calibri"/>
                <w:spacing w:val="-2"/>
                <w:lang w:val="en-GB" w:eastAsia="en-US"/>
              </w:rPr>
              <w:t>-0,69</w:t>
            </w:r>
            <w:r>
              <w:rPr>
                <w:rFonts w:eastAsia="Calibri"/>
                <w:spacing w:val="-2"/>
                <w:vertAlign w:val="superscript"/>
                <w:lang w:val="en-GB" w:eastAsia="en-US"/>
              </w:rPr>
              <w:t>*</w:t>
            </w:r>
          </w:p>
        </w:tc>
        <w:tc>
          <w:tcPr>
            <w:tcW w:w="2731" w:type="dxa"/>
          </w:tcPr>
          <w:p w14:paraId="72C516BC" w14:textId="77777777" w:rsidR="00023BBF" w:rsidRDefault="00E17C37">
            <w:pPr>
              <w:spacing w:before="5"/>
              <w:ind w:left="1055"/>
              <w:rPr>
                <w:rFonts w:eastAsia="Calibri"/>
                <w:lang w:val="en-GB" w:eastAsia="en-US"/>
              </w:rPr>
            </w:pPr>
            <w:r>
              <w:rPr>
                <w:rFonts w:eastAsia="Calibri"/>
                <w:spacing w:val="-2"/>
                <w:lang w:val="en-GB" w:eastAsia="en-US"/>
              </w:rPr>
              <w:t>-</w:t>
            </w:r>
            <w:r>
              <w:rPr>
                <w:rFonts w:eastAsia="Calibri"/>
                <w:spacing w:val="-4"/>
                <w:lang w:val="en-GB" w:eastAsia="en-US"/>
              </w:rPr>
              <w:t>0,17</w:t>
            </w:r>
          </w:p>
        </w:tc>
      </w:tr>
      <w:tr w:rsidR="00023BBF" w14:paraId="0FDA394B" w14:textId="77777777">
        <w:trPr>
          <w:trHeight w:val="251"/>
        </w:trPr>
        <w:tc>
          <w:tcPr>
            <w:tcW w:w="3309" w:type="dxa"/>
            <w:tcBorders>
              <w:bottom w:val="single" w:sz="8" w:space="0" w:color="000000"/>
            </w:tcBorders>
          </w:tcPr>
          <w:p w14:paraId="1B9C7937" w14:textId="77777777" w:rsidR="00023BBF" w:rsidRDefault="00E17C37">
            <w:pPr>
              <w:spacing w:line="232" w:lineRule="exact"/>
              <w:ind w:left="479"/>
              <w:rPr>
                <w:rFonts w:eastAsia="Calibri"/>
                <w:lang w:val="en-GB" w:eastAsia="en-US"/>
              </w:rPr>
            </w:pPr>
            <w:r>
              <w:rPr>
                <w:rFonts w:eastAsia="Calibri"/>
                <w:lang w:val="en-GB" w:eastAsia="en-US"/>
              </w:rPr>
              <w:t>(95 %</w:t>
            </w:r>
            <w:r>
              <w:rPr>
                <w:rFonts w:eastAsia="Calibri"/>
                <w:spacing w:val="-5"/>
                <w:lang w:val="en-GB" w:eastAsia="en-US"/>
              </w:rPr>
              <w:t xml:space="preserve"> PI)</w:t>
            </w:r>
          </w:p>
        </w:tc>
        <w:tc>
          <w:tcPr>
            <w:tcW w:w="3032" w:type="dxa"/>
            <w:tcBorders>
              <w:bottom w:val="single" w:sz="8" w:space="0" w:color="000000"/>
            </w:tcBorders>
          </w:tcPr>
          <w:p w14:paraId="5CE2F477" w14:textId="77777777" w:rsidR="00023BBF" w:rsidRDefault="00E17C37">
            <w:pPr>
              <w:spacing w:line="232" w:lineRule="exact"/>
              <w:ind w:left="10" w:right="225"/>
              <w:jc w:val="center"/>
              <w:rPr>
                <w:rFonts w:eastAsia="Calibri"/>
                <w:lang w:val="en-GB" w:eastAsia="en-US"/>
              </w:rPr>
            </w:pPr>
            <w:r>
              <w:rPr>
                <w:rFonts w:eastAsia="Calibri"/>
                <w:lang w:val="en-GB" w:eastAsia="en-US"/>
              </w:rPr>
              <w:t>(-0,89,</w:t>
            </w:r>
            <w:r>
              <w:rPr>
                <w:rFonts w:eastAsia="Calibri"/>
                <w:spacing w:val="-3"/>
                <w:lang w:val="en-GB" w:eastAsia="en-US"/>
              </w:rPr>
              <w:t xml:space="preserve"> </w:t>
            </w:r>
            <w:r>
              <w:rPr>
                <w:rFonts w:eastAsia="Calibri"/>
                <w:lang w:val="en-GB" w:eastAsia="en-US"/>
              </w:rPr>
              <w:t>-</w:t>
            </w:r>
            <w:r>
              <w:rPr>
                <w:rFonts w:eastAsia="Calibri"/>
                <w:spacing w:val="-2"/>
                <w:lang w:val="en-GB" w:eastAsia="en-US"/>
              </w:rPr>
              <w:t>0,49)</w:t>
            </w:r>
          </w:p>
        </w:tc>
        <w:tc>
          <w:tcPr>
            <w:tcW w:w="2731" w:type="dxa"/>
            <w:tcBorders>
              <w:bottom w:val="single" w:sz="8" w:space="0" w:color="000000"/>
            </w:tcBorders>
          </w:tcPr>
          <w:p w14:paraId="09C96FFF" w14:textId="77777777" w:rsidR="00023BBF" w:rsidRDefault="00023BBF">
            <w:pPr>
              <w:rPr>
                <w:rFonts w:eastAsia="Calibri"/>
                <w:lang w:val="en-GB" w:eastAsia="en-US"/>
              </w:rPr>
            </w:pPr>
          </w:p>
        </w:tc>
      </w:tr>
      <w:tr w:rsidR="00023BBF" w14:paraId="3F169094" w14:textId="77777777">
        <w:trPr>
          <w:trHeight w:val="762"/>
        </w:trPr>
        <w:tc>
          <w:tcPr>
            <w:tcW w:w="3309" w:type="dxa"/>
            <w:tcBorders>
              <w:bottom w:val="single" w:sz="8" w:space="0" w:color="000000"/>
            </w:tcBorders>
          </w:tcPr>
          <w:p w14:paraId="41D4B9CE" w14:textId="77777777" w:rsidR="00023BBF" w:rsidRDefault="00E17C37">
            <w:pPr>
              <w:ind w:left="110" w:right="350"/>
              <w:rPr>
                <w:rFonts w:eastAsia="Calibri"/>
                <w:b/>
                <w:lang w:val="pt-PT" w:eastAsia="en-US"/>
              </w:rPr>
            </w:pPr>
            <w:r>
              <w:rPr>
                <w:rFonts w:eastAsia="Calibri"/>
                <w:b/>
                <w:lang w:val="pt-PT" w:eastAsia="en-US"/>
              </w:rPr>
              <w:t>Pacientai, kurie pasiekė HbA1c &lt; 7 % (%)</w:t>
            </w:r>
          </w:p>
          <w:p w14:paraId="18E8D939" w14:textId="77777777" w:rsidR="00023BBF" w:rsidRDefault="00E17C37">
            <w:pPr>
              <w:spacing w:line="236" w:lineRule="exact"/>
              <w:ind w:left="254"/>
              <w:rPr>
                <w:rFonts w:eastAsia="Calibri"/>
                <w:lang w:val="pt-PT" w:eastAsia="en-US"/>
              </w:rPr>
            </w:pPr>
            <w:r>
              <w:rPr>
                <w:rFonts w:eastAsia="Calibri"/>
                <w:lang w:val="pt-PT" w:eastAsia="en-US"/>
              </w:rPr>
              <w:t>Koreguota pagal pradinę</w:t>
            </w:r>
          </w:p>
        </w:tc>
        <w:tc>
          <w:tcPr>
            <w:tcW w:w="3032" w:type="dxa"/>
            <w:tcBorders>
              <w:bottom w:val="single" w:sz="8" w:space="0" w:color="000000"/>
            </w:tcBorders>
          </w:tcPr>
          <w:p w14:paraId="37E21AD4" w14:textId="77777777" w:rsidR="00023BBF" w:rsidRDefault="00023BBF">
            <w:pPr>
              <w:spacing w:before="251"/>
              <w:rPr>
                <w:rFonts w:eastAsia="Calibri"/>
                <w:b/>
                <w:lang w:val="pt-PT" w:eastAsia="en-US"/>
              </w:rPr>
            </w:pPr>
          </w:p>
          <w:p w14:paraId="782BF68D" w14:textId="77777777" w:rsidR="00023BBF" w:rsidRDefault="00E17C37">
            <w:pPr>
              <w:spacing w:line="238" w:lineRule="exact"/>
              <w:ind w:left="2" w:right="225"/>
              <w:jc w:val="center"/>
              <w:rPr>
                <w:rFonts w:eastAsia="Calibri"/>
                <w:lang w:val="en-GB" w:eastAsia="en-US"/>
              </w:rPr>
            </w:pPr>
            <w:r>
              <w:rPr>
                <w:rFonts w:eastAsia="Calibri"/>
                <w:spacing w:val="-2"/>
                <w:lang w:val="en-GB" w:eastAsia="en-US"/>
              </w:rPr>
              <w:t>31,8</w:t>
            </w:r>
            <w:r>
              <w:rPr>
                <w:rFonts w:eastAsia="Calibri"/>
                <w:spacing w:val="-2"/>
                <w:vertAlign w:val="superscript"/>
                <w:lang w:val="en-GB" w:eastAsia="en-US"/>
              </w:rPr>
              <w:t>*</w:t>
            </w:r>
          </w:p>
        </w:tc>
        <w:tc>
          <w:tcPr>
            <w:tcW w:w="2731" w:type="dxa"/>
            <w:tcBorders>
              <w:bottom w:val="single" w:sz="8" w:space="0" w:color="000000"/>
            </w:tcBorders>
          </w:tcPr>
          <w:p w14:paraId="499E80A0" w14:textId="77777777" w:rsidR="00023BBF" w:rsidRDefault="00023BBF">
            <w:pPr>
              <w:spacing w:before="251"/>
              <w:rPr>
                <w:rFonts w:eastAsia="Calibri"/>
                <w:b/>
                <w:lang w:val="en-GB" w:eastAsia="en-US"/>
              </w:rPr>
            </w:pPr>
          </w:p>
          <w:p w14:paraId="60B94846" w14:textId="77777777" w:rsidR="00023BBF" w:rsidRDefault="00E17C37">
            <w:pPr>
              <w:spacing w:line="238" w:lineRule="exact"/>
              <w:ind w:left="1094"/>
              <w:rPr>
                <w:rFonts w:eastAsia="Calibri"/>
                <w:lang w:val="en-GB" w:eastAsia="en-US"/>
              </w:rPr>
            </w:pPr>
            <w:r>
              <w:rPr>
                <w:rFonts w:eastAsia="Calibri"/>
                <w:spacing w:val="-4"/>
                <w:lang w:val="en-GB" w:eastAsia="en-US"/>
              </w:rPr>
              <w:t>11,1</w:t>
            </w:r>
          </w:p>
        </w:tc>
      </w:tr>
      <w:tr w:rsidR="00023BBF" w14:paraId="2D294F45" w14:textId="77777777">
        <w:trPr>
          <w:trHeight w:val="251"/>
        </w:trPr>
        <w:tc>
          <w:tcPr>
            <w:tcW w:w="3309" w:type="dxa"/>
            <w:tcBorders>
              <w:top w:val="single" w:sz="8" w:space="0" w:color="000000"/>
            </w:tcBorders>
          </w:tcPr>
          <w:p w14:paraId="5FB54DDD" w14:textId="77777777" w:rsidR="00023BBF" w:rsidRDefault="00E17C37">
            <w:pPr>
              <w:spacing w:line="232" w:lineRule="exact"/>
              <w:ind w:right="1596"/>
              <w:jc w:val="right"/>
              <w:rPr>
                <w:rFonts w:eastAsia="Calibri"/>
                <w:b/>
                <w:lang w:val="en-GB" w:eastAsia="en-US"/>
              </w:rPr>
            </w:pPr>
            <w:proofErr w:type="spellStart"/>
            <w:r>
              <w:rPr>
                <w:rFonts w:eastAsia="Calibri"/>
                <w:b/>
                <w:lang w:val="en-GB" w:eastAsia="en-US"/>
              </w:rPr>
              <w:t>Kūno</w:t>
            </w:r>
            <w:proofErr w:type="spellEnd"/>
            <w:r>
              <w:rPr>
                <w:rFonts w:eastAsia="Calibri"/>
                <w:b/>
                <w:lang w:val="en-GB" w:eastAsia="en-US"/>
              </w:rPr>
              <w:t xml:space="preserve"> </w:t>
            </w:r>
            <w:proofErr w:type="spellStart"/>
            <w:r>
              <w:rPr>
                <w:rFonts w:eastAsia="Calibri"/>
                <w:b/>
                <w:lang w:val="en-GB" w:eastAsia="en-US"/>
              </w:rPr>
              <w:t>svoris</w:t>
            </w:r>
            <w:proofErr w:type="spellEnd"/>
            <w:r>
              <w:rPr>
                <w:rFonts w:eastAsia="Calibri"/>
                <w:b/>
                <w:spacing w:val="-5"/>
                <w:lang w:val="en-GB" w:eastAsia="en-US"/>
              </w:rPr>
              <w:t xml:space="preserve"> </w:t>
            </w:r>
            <w:r>
              <w:rPr>
                <w:rFonts w:eastAsia="Calibri"/>
                <w:b/>
                <w:spacing w:val="-4"/>
                <w:lang w:val="en-GB" w:eastAsia="en-US"/>
              </w:rPr>
              <w:t>(kg)</w:t>
            </w:r>
          </w:p>
        </w:tc>
        <w:tc>
          <w:tcPr>
            <w:tcW w:w="3032" w:type="dxa"/>
            <w:tcBorders>
              <w:top w:val="single" w:sz="8" w:space="0" w:color="000000"/>
            </w:tcBorders>
          </w:tcPr>
          <w:p w14:paraId="4978F7CB" w14:textId="77777777" w:rsidR="00023BBF" w:rsidRDefault="00023BBF">
            <w:pPr>
              <w:rPr>
                <w:rFonts w:eastAsia="Calibri"/>
                <w:lang w:val="en-GB" w:eastAsia="en-US"/>
              </w:rPr>
            </w:pPr>
          </w:p>
        </w:tc>
        <w:tc>
          <w:tcPr>
            <w:tcW w:w="2731" w:type="dxa"/>
            <w:tcBorders>
              <w:top w:val="single" w:sz="8" w:space="0" w:color="000000"/>
            </w:tcBorders>
          </w:tcPr>
          <w:p w14:paraId="40C6FECA" w14:textId="77777777" w:rsidR="00023BBF" w:rsidRDefault="00023BBF">
            <w:pPr>
              <w:rPr>
                <w:rFonts w:eastAsia="Calibri"/>
                <w:lang w:val="en-GB" w:eastAsia="en-US"/>
              </w:rPr>
            </w:pPr>
          </w:p>
        </w:tc>
      </w:tr>
      <w:tr w:rsidR="00023BBF" w14:paraId="2C63621E" w14:textId="77777777">
        <w:trPr>
          <w:trHeight w:val="242"/>
        </w:trPr>
        <w:tc>
          <w:tcPr>
            <w:tcW w:w="3309" w:type="dxa"/>
          </w:tcPr>
          <w:p w14:paraId="24D2D346" w14:textId="77777777" w:rsidR="00023BBF" w:rsidRDefault="00E17C37">
            <w:pPr>
              <w:spacing w:line="223" w:lineRule="exact"/>
              <w:ind w:right="1620"/>
              <w:jc w:val="right"/>
              <w:rPr>
                <w:rFonts w:eastAsia="Calibri"/>
                <w:lang w:val="en-GB" w:eastAsia="en-US"/>
              </w:rPr>
            </w:pPr>
            <w:proofErr w:type="spellStart"/>
            <w:r>
              <w:rPr>
                <w:rFonts w:eastAsia="Calibri"/>
                <w:lang w:val="en-GB" w:eastAsia="en-US"/>
              </w:rPr>
              <w:t>Pradinis</w:t>
            </w:r>
            <w:proofErr w:type="spellEnd"/>
            <w:r>
              <w:rPr>
                <w:rFonts w:eastAsia="Calibri"/>
                <w:spacing w:val="-8"/>
                <w:lang w:val="en-GB" w:eastAsia="en-US"/>
              </w:rPr>
              <w:t xml:space="preserve"> </w:t>
            </w:r>
            <w:r>
              <w:rPr>
                <w:rFonts w:eastAsia="Calibri"/>
                <w:spacing w:val="-2"/>
                <w:lang w:val="en-GB" w:eastAsia="en-US"/>
              </w:rPr>
              <w:t>(</w:t>
            </w:r>
            <w:proofErr w:type="spellStart"/>
            <w:r>
              <w:rPr>
                <w:rFonts w:eastAsia="Calibri"/>
                <w:spacing w:val="-2"/>
                <w:lang w:val="en-GB" w:eastAsia="en-US"/>
              </w:rPr>
              <w:t>vidurkis</w:t>
            </w:r>
            <w:proofErr w:type="spellEnd"/>
            <w:r>
              <w:rPr>
                <w:rFonts w:eastAsia="Calibri"/>
                <w:spacing w:val="-2"/>
                <w:lang w:val="en-GB" w:eastAsia="en-US"/>
              </w:rPr>
              <w:t>)</w:t>
            </w:r>
          </w:p>
        </w:tc>
        <w:tc>
          <w:tcPr>
            <w:tcW w:w="3032" w:type="dxa"/>
          </w:tcPr>
          <w:p w14:paraId="46FFE9AA" w14:textId="77777777" w:rsidR="00023BBF" w:rsidRDefault="00E17C37">
            <w:pPr>
              <w:spacing w:line="223" w:lineRule="exact"/>
              <w:ind w:left="5" w:right="225"/>
              <w:jc w:val="center"/>
              <w:rPr>
                <w:rFonts w:eastAsia="Calibri"/>
                <w:lang w:val="en-GB" w:eastAsia="en-US"/>
              </w:rPr>
            </w:pPr>
            <w:r>
              <w:rPr>
                <w:rFonts w:eastAsia="Calibri"/>
                <w:spacing w:val="-2"/>
                <w:lang w:val="en-GB" w:eastAsia="en-US"/>
              </w:rPr>
              <w:t>88,57</w:t>
            </w:r>
          </w:p>
        </w:tc>
        <w:tc>
          <w:tcPr>
            <w:tcW w:w="2731" w:type="dxa"/>
          </w:tcPr>
          <w:p w14:paraId="62B3F24D" w14:textId="77777777" w:rsidR="00023BBF" w:rsidRDefault="00E17C37">
            <w:pPr>
              <w:spacing w:line="223" w:lineRule="exact"/>
              <w:ind w:left="1036"/>
              <w:rPr>
                <w:rFonts w:eastAsia="Calibri"/>
                <w:lang w:val="en-GB" w:eastAsia="en-US"/>
              </w:rPr>
            </w:pPr>
            <w:r>
              <w:rPr>
                <w:rFonts w:eastAsia="Calibri"/>
                <w:spacing w:val="-2"/>
                <w:lang w:val="en-GB" w:eastAsia="en-US"/>
              </w:rPr>
              <w:t>90,07</w:t>
            </w:r>
          </w:p>
        </w:tc>
      </w:tr>
      <w:tr w:rsidR="00023BBF" w14:paraId="28C60B7E" w14:textId="77777777">
        <w:trPr>
          <w:trHeight w:val="515"/>
        </w:trPr>
        <w:tc>
          <w:tcPr>
            <w:tcW w:w="3309" w:type="dxa"/>
          </w:tcPr>
          <w:p w14:paraId="7BB7F32F" w14:textId="77777777" w:rsidR="00023BBF" w:rsidRDefault="00E17C37">
            <w:pPr>
              <w:spacing w:line="250" w:lineRule="atLeast"/>
              <w:ind w:left="254" w:right="350"/>
              <w:rPr>
                <w:rFonts w:eastAsia="Calibri"/>
                <w:lang w:val="pt-PT" w:eastAsia="en-US"/>
              </w:rPr>
            </w:pPr>
            <w:r>
              <w:rPr>
                <w:rFonts w:eastAsia="Calibri"/>
                <w:lang w:val="pt-PT" w:eastAsia="en-US"/>
              </w:rPr>
              <w:t>Pokytis palyginus su pradiniu</w:t>
            </w:r>
            <w:r>
              <w:rPr>
                <w:rFonts w:eastAsia="Calibri"/>
                <w:vertAlign w:val="superscript"/>
                <w:lang w:val="pt-PT" w:eastAsia="en-US"/>
              </w:rPr>
              <w:t>c</w:t>
            </w:r>
          </w:p>
          <w:p w14:paraId="5AF94D8E" w14:textId="77777777" w:rsidR="00023BBF" w:rsidRDefault="00E17C37">
            <w:pPr>
              <w:spacing w:line="250" w:lineRule="atLeast"/>
              <w:ind w:left="254" w:right="350"/>
              <w:rPr>
                <w:rFonts w:eastAsia="Calibri"/>
                <w:lang w:val="pt-PT" w:eastAsia="en-US"/>
              </w:rPr>
            </w:pPr>
            <w:r>
              <w:rPr>
                <w:rFonts w:eastAsia="Calibri"/>
                <w:lang w:val="pt-PT" w:eastAsia="en-US"/>
              </w:rPr>
              <w:t>Skirtumas nuo placebo</w:t>
            </w:r>
            <w:r>
              <w:rPr>
                <w:rFonts w:eastAsia="Calibri"/>
                <w:vertAlign w:val="superscript"/>
                <w:lang w:val="pt-PT" w:eastAsia="en-US"/>
              </w:rPr>
              <w:t>c</w:t>
            </w:r>
          </w:p>
        </w:tc>
        <w:tc>
          <w:tcPr>
            <w:tcW w:w="3032" w:type="dxa"/>
          </w:tcPr>
          <w:p w14:paraId="2921279D" w14:textId="77777777" w:rsidR="00023BBF" w:rsidRDefault="00E17C37">
            <w:pPr>
              <w:spacing w:before="5"/>
              <w:ind w:left="4" w:right="225"/>
              <w:jc w:val="center"/>
              <w:rPr>
                <w:rFonts w:eastAsia="Calibri"/>
                <w:lang w:val="en-GB" w:eastAsia="en-US"/>
              </w:rPr>
            </w:pPr>
            <w:r>
              <w:rPr>
                <w:rFonts w:eastAsia="Calibri"/>
                <w:spacing w:val="-2"/>
                <w:lang w:val="en-GB" w:eastAsia="en-US"/>
              </w:rPr>
              <w:t>-</w:t>
            </w:r>
            <w:r>
              <w:rPr>
                <w:rFonts w:eastAsia="Calibri"/>
                <w:spacing w:val="-4"/>
                <w:lang w:val="en-GB" w:eastAsia="en-US"/>
              </w:rPr>
              <w:t>2,65</w:t>
            </w:r>
          </w:p>
          <w:p w14:paraId="77F98281" w14:textId="77777777" w:rsidR="00023BBF" w:rsidRDefault="00E17C37">
            <w:pPr>
              <w:spacing w:before="2" w:line="236" w:lineRule="exact"/>
              <w:ind w:left="7" w:right="225"/>
              <w:jc w:val="center"/>
              <w:rPr>
                <w:rFonts w:eastAsia="Calibri"/>
                <w:lang w:val="en-GB" w:eastAsia="en-US"/>
              </w:rPr>
            </w:pPr>
            <w:r>
              <w:rPr>
                <w:rFonts w:eastAsia="Calibri"/>
                <w:spacing w:val="-2"/>
                <w:lang w:val="en-GB" w:eastAsia="en-US"/>
              </w:rPr>
              <w:t>-2,07</w:t>
            </w:r>
            <w:r>
              <w:rPr>
                <w:rFonts w:eastAsia="Calibri"/>
                <w:spacing w:val="-2"/>
                <w:vertAlign w:val="superscript"/>
                <w:lang w:val="en-GB" w:eastAsia="en-US"/>
              </w:rPr>
              <w:t>*</w:t>
            </w:r>
          </w:p>
        </w:tc>
        <w:tc>
          <w:tcPr>
            <w:tcW w:w="2731" w:type="dxa"/>
          </w:tcPr>
          <w:p w14:paraId="3A109237" w14:textId="77777777" w:rsidR="00023BBF" w:rsidRDefault="00E17C37">
            <w:pPr>
              <w:spacing w:before="5"/>
              <w:ind w:left="1055"/>
              <w:rPr>
                <w:rFonts w:eastAsia="Calibri"/>
                <w:lang w:val="en-GB" w:eastAsia="en-US"/>
              </w:rPr>
            </w:pPr>
            <w:r>
              <w:rPr>
                <w:rFonts w:eastAsia="Calibri"/>
                <w:spacing w:val="-2"/>
                <w:lang w:val="en-GB" w:eastAsia="en-US"/>
              </w:rPr>
              <w:t>-</w:t>
            </w:r>
            <w:r>
              <w:rPr>
                <w:rFonts w:eastAsia="Calibri"/>
                <w:spacing w:val="-4"/>
                <w:lang w:val="en-GB" w:eastAsia="en-US"/>
              </w:rPr>
              <w:t>0,58</w:t>
            </w:r>
          </w:p>
        </w:tc>
      </w:tr>
      <w:tr w:rsidR="00023BBF" w14:paraId="3DB6B52F" w14:textId="77777777">
        <w:trPr>
          <w:trHeight w:val="251"/>
        </w:trPr>
        <w:tc>
          <w:tcPr>
            <w:tcW w:w="3309" w:type="dxa"/>
            <w:tcBorders>
              <w:bottom w:val="single" w:sz="12" w:space="0" w:color="000000"/>
            </w:tcBorders>
          </w:tcPr>
          <w:p w14:paraId="50B3AD80" w14:textId="77777777" w:rsidR="00023BBF" w:rsidRDefault="00E17C37">
            <w:pPr>
              <w:spacing w:line="231" w:lineRule="exact"/>
              <w:ind w:left="479"/>
              <w:rPr>
                <w:rFonts w:eastAsia="Calibri"/>
                <w:lang w:val="en-GB" w:eastAsia="en-US"/>
              </w:rPr>
            </w:pPr>
            <w:r>
              <w:rPr>
                <w:rFonts w:eastAsia="Calibri"/>
                <w:lang w:val="en-GB" w:eastAsia="en-US"/>
              </w:rPr>
              <w:t>(95 %</w:t>
            </w:r>
            <w:r>
              <w:rPr>
                <w:rFonts w:eastAsia="Calibri"/>
                <w:spacing w:val="-5"/>
                <w:lang w:val="en-GB" w:eastAsia="en-US"/>
              </w:rPr>
              <w:t xml:space="preserve"> PI)</w:t>
            </w:r>
          </w:p>
        </w:tc>
        <w:tc>
          <w:tcPr>
            <w:tcW w:w="3032" w:type="dxa"/>
            <w:tcBorders>
              <w:bottom w:val="single" w:sz="12" w:space="0" w:color="000000"/>
            </w:tcBorders>
          </w:tcPr>
          <w:p w14:paraId="1813E157" w14:textId="77777777" w:rsidR="00023BBF" w:rsidRDefault="00E17C37">
            <w:pPr>
              <w:spacing w:line="231" w:lineRule="exact"/>
              <w:ind w:left="10" w:right="225"/>
              <w:jc w:val="center"/>
              <w:rPr>
                <w:rFonts w:eastAsia="Calibri"/>
                <w:lang w:val="en-GB" w:eastAsia="en-US"/>
              </w:rPr>
            </w:pPr>
            <w:r>
              <w:rPr>
                <w:rFonts w:eastAsia="Calibri"/>
                <w:lang w:val="en-GB" w:eastAsia="en-US"/>
              </w:rPr>
              <w:t>(-2,79,</w:t>
            </w:r>
            <w:r>
              <w:rPr>
                <w:rFonts w:eastAsia="Calibri"/>
                <w:spacing w:val="-3"/>
                <w:lang w:val="en-GB" w:eastAsia="en-US"/>
              </w:rPr>
              <w:t xml:space="preserve"> </w:t>
            </w:r>
            <w:r>
              <w:rPr>
                <w:rFonts w:eastAsia="Calibri"/>
                <w:lang w:val="en-GB" w:eastAsia="en-US"/>
              </w:rPr>
              <w:t>-</w:t>
            </w:r>
            <w:r>
              <w:rPr>
                <w:rFonts w:eastAsia="Calibri"/>
                <w:spacing w:val="-2"/>
                <w:lang w:val="en-GB" w:eastAsia="en-US"/>
              </w:rPr>
              <w:t>1,35)</w:t>
            </w:r>
          </w:p>
        </w:tc>
        <w:tc>
          <w:tcPr>
            <w:tcW w:w="2731" w:type="dxa"/>
            <w:tcBorders>
              <w:bottom w:val="single" w:sz="12" w:space="0" w:color="000000"/>
            </w:tcBorders>
          </w:tcPr>
          <w:p w14:paraId="4DB89847" w14:textId="77777777" w:rsidR="00023BBF" w:rsidRDefault="00023BBF">
            <w:pPr>
              <w:rPr>
                <w:rFonts w:eastAsia="Calibri"/>
                <w:lang w:val="en-GB" w:eastAsia="en-US"/>
              </w:rPr>
            </w:pPr>
          </w:p>
        </w:tc>
      </w:tr>
    </w:tbl>
    <w:p w14:paraId="25519A4D" w14:textId="77777777" w:rsidR="00023BBF" w:rsidRDefault="00E17C37">
      <w:pPr>
        <w:widowControl w:val="0"/>
        <w:tabs>
          <w:tab w:val="left" w:pos="567"/>
        </w:tabs>
        <w:ind w:left="567" w:hanging="567"/>
        <w:outlineLvl w:val="2"/>
        <w:rPr>
          <w:rFonts w:eastAsia="TimesNewRoman"/>
          <w:sz w:val="18"/>
          <w:szCs w:val="18"/>
          <w:lang w:eastAsia="en-US"/>
        </w:rPr>
      </w:pPr>
      <w:r>
        <w:rPr>
          <w:rFonts w:eastAsia="TimesNewRoman"/>
          <w:sz w:val="18"/>
          <w:szCs w:val="18"/>
          <w:vertAlign w:val="superscript"/>
          <w:lang w:eastAsia="en-US"/>
        </w:rPr>
        <w:t>1</w:t>
      </w:r>
      <w:r>
        <w:rPr>
          <w:rFonts w:eastAsia="TimesNewRoman"/>
          <w:sz w:val="18"/>
          <w:szCs w:val="18"/>
          <w:lang w:eastAsia="en-US"/>
        </w:rPr>
        <w:t xml:space="preserve"> </w:t>
      </w:r>
      <w:proofErr w:type="spellStart"/>
      <w:r>
        <w:rPr>
          <w:rFonts w:eastAsia="TimesNewRoman"/>
          <w:sz w:val="18"/>
          <w:szCs w:val="18"/>
          <w:lang w:eastAsia="en-US"/>
        </w:rPr>
        <w:t>Metforminas</w:t>
      </w:r>
      <w:proofErr w:type="spellEnd"/>
      <w:r>
        <w:rPr>
          <w:rFonts w:eastAsia="TimesNewRoman"/>
          <w:sz w:val="18"/>
          <w:szCs w:val="18"/>
          <w:lang w:eastAsia="en-US"/>
        </w:rPr>
        <w:t xml:space="preserve"> (greito arba pailginto atpalaidavimo formos) ≥ 1500 mg per parą ir didžiausia toleruojama </w:t>
      </w:r>
      <w:proofErr w:type="spellStart"/>
      <w:r>
        <w:rPr>
          <w:rFonts w:eastAsia="TimesNewRoman"/>
          <w:sz w:val="18"/>
          <w:szCs w:val="18"/>
          <w:lang w:eastAsia="en-US"/>
        </w:rPr>
        <w:t>sulfonilkarbamido</w:t>
      </w:r>
      <w:proofErr w:type="spellEnd"/>
      <w:r>
        <w:rPr>
          <w:rFonts w:eastAsia="TimesNewRoman"/>
          <w:sz w:val="18"/>
          <w:szCs w:val="18"/>
          <w:lang w:eastAsia="en-US"/>
        </w:rPr>
        <w:t xml:space="preserve"> darinio dozė, ne mažesnė už pusę maksimalios, bent 8 savaites iki įtraukimo į tyrimą.</w:t>
      </w:r>
    </w:p>
    <w:p w14:paraId="469947BA" w14:textId="77777777" w:rsidR="00023BBF" w:rsidRDefault="00E17C37">
      <w:pPr>
        <w:widowControl w:val="0"/>
        <w:tabs>
          <w:tab w:val="left" w:pos="567"/>
        </w:tabs>
        <w:ind w:left="567" w:hanging="567"/>
        <w:outlineLvl w:val="2"/>
        <w:rPr>
          <w:rFonts w:eastAsia="TimesNewRoman"/>
          <w:sz w:val="18"/>
          <w:szCs w:val="18"/>
          <w:lang w:eastAsia="en-US"/>
        </w:rPr>
      </w:pPr>
      <w:r>
        <w:rPr>
          <w:rFonts w:eastAsia="TimesNewRoman"/>
          <w:sz w:val="18"/>
          <w:szCs w:val="18"/>
          <w:vertAlign w:val="superscript"/>
          <w:lang w:eastAsia="en-US"/>
        </w:rPr>
        <w:t>a</w:t>
      </w:r>
      <w:r>
        <w:rPr>
          <w:rFonts w:eastAsia="TimesNewRoman"/>
          <w:sz w:val="18"/>
          <w:szCs w:val="18"/>
          <w:lang w:eastAsia="en-US"/>
        </w:rPr>
        <w:t xml:space="preserve"> Atsitiktinai atrinkti ir gydyti asmenys, kuriems atliktas pradinis ir bent vienas vėlesnis veiksmingumo vertinimas.</w:t>
      </w:r>
    </w:p>
    <w:p w14:paraId="0161768D" w14:textId="77777777" w:rsidR="00023BBF" w:rsidRDefault="00E17C37">
      <w:pPr>
        <w:widowControl w:val="0"/>
        <w:tabs>
          <w:tab w:val="left" w:pos="567"/>
        </w:tabs>
        <w:ind w:left="567" w:hanging="567"/>
        <w:outlineLvl w:val="2"/>
        <w:rPr>
          <w:rFonts w:eastAsia="TimesNewRoman"/>
          <w:sz w:val="18"/>
          <w:szCs w:val="18"/>
          <w:lang w:eastAsia="en-US"/>
        </w:rPr>
      </w:pPr>
      <w:r>
        <w:rPr>
          <w:rFonts w:eastAsia="TimesNewRoman"/>
          <w:sz w:val="18"/>
          <w:szCs w:val="18"/>
          <w:vertAlign w:val="superscript"/>
          <w:lang w:eastAsia="en-US"/>
        </w:rPr>
        <w:t>b</w:t>
      </w:r>
      <w:r>
        <w:rPr>
          <w:rFonts w:eastAsia="TimesNewRoman"/>
          <w:sz w:val="18"/>
          <w:szCs w:val="18"/>
          <w:lang w:eastAsia="en-US"/>
        </w:rPr>
        <w:t xml:space="preserve"> HbA1c koncentracija tirta atliekant LRM (angl. </w:t>
      </w:r>
      <w:proofErr w:type="spellStart"/>
      <w:r>
        <w:rPr>
          <w:rFonts w:eastAsia="TimesNewRoman"/>
          <w:i/>
          <w:iCs/>
          <w:sz w:val="18"/>
          <w:szCs w:val="18"/>
          <w:lang w:eastAsia="en-US"/>
        </w:rPr>
        <w:t>Longitudinal</w:t>
      </w:r>
      <w:proofErr w:type="spellEnd"/>
      <w:r>
        <w:rPr>
          <w:rFonts w:eastAsia="TimesNewRoman"/>
          <w:i/>
          <w:iCs/>
          <w:sz w:val="18"/>
          <w:szCs w:val="18"/>
          <w:lang w:eastAsia="en-US"/>
        </w:rPr>
        <w:t xml:space="preserve"> </w:t>
      </w:r>
      <w:proofErr w:type="spellStart"/>
      <w:r>
        <w:rPr>
          <w:rFonts w:eastAsia="TimesNewRoman"/>
          <w:i/>
          <w:iCs/>
          <w:sz w:val="18"/>
          <w:szCs w:val="18"/>
          <w:lang w:eastAsia="en-US"/>
        </w:rPr>
        <w:t>repeated</w:t>
      </w:r>
      <w:proofErr w:type="spellEnd"/>
      <w:r>
        <w:rPr>
          <w:rFonts w:eastAsia="TimesNewRoman"/>
          <w:i/>
          <w:iCs/>
          <w:sz w:val="18"/>
          <w:szCs w:val="18"/>
          <w:lang w:eastAsia="en-US"/>
        </w:rPr>
        <w:t xml:space="preserve"> </w:t>
      </w:r>
      <w:proofErr w:type="spellStart"/>
      <w:r>
        <w:rPr>
          <w:rFonts w:eastAsia="TimesNewRoman"/>
          <w:i/>
          <w:iCs/>
          <w:sz w:val="18"/>
          <w:szCs w:val="18"/>
          <w:lang w:eastAsia="en-US"/>
        </w:rPr>
        <w:t>measures</w:t>
      </w:r>
      <w:proofErr w:type="spellEnd"/>
      <w:r>
        <w:rPr>
          <w:rFonts w:eastAsia="TimesNewRoman"/>
          <w:i/>
          <w:iCs/>
          <w:sz w:val="18"/>
          <w:szCs w:val="18"/>
          <w:lang w:eastAsia="en-US"/>
        </w:rPr>
        <w:t xml:space="preserve"> </w:t>
      </w:r>
      <w:proofErr w:type="spellStart"/>
      <w:r>
        <w:rPr>
          <w:rFonts w:eastAsia="TimesNewRoman"/>
          <w:i/>
          <w:iCs/>
          <w:sz w:val="18"/>
          <w:szCs w:val="18"/>
          <w:lang w:eastAsia="en-US"/>
        </w:rPr>
        <w:t>analysis</w:t>
      </w:r>
      <w:proofErr w:type="spellEnd"/>
      <w:r>
        <w:rPr>
          <w:rFonts w:eastAsia="TimesNewRoman"/>
          <w:sz w:val="18"/>
          <w:szCs w:val="18"/>
          <w:lang w:eastAsia="en-US"/>
        </w:rPr>
        <w:t>) – kartotų matavimų duomenų analizę.</w:t>
      </w:r>
    </w:p>
    <w:p w14:paraId="130DB9BF" w14:textId="77777777" w:rsidR="00023BBF" w:rsidRDefault="00E17C37">
      <w:pPr>
        <w:widowControl w:val="0"/>
        <w:tabs>
          <w:tab w:val="left" w:pos="567"/>
        </w:tabs>
        <w:ind w:left="567" w:hanging="567"/>
        <w:outlineLvl w:val="2"/>
        <w:rPr>
          <w:rFonts w:eastAsia="TimesNewRoman"/>
          <w:sz w:val="18"/>
          <w:szCs w:val="18"/>
          <w:lang w:eastAsia="en-US"/>
        </w:rPr>
      </w:pPr>
      <w:r>
        <w:rPr>
          <w:rFonts w:eastAsia="TimesNewRoman"/>
          <w:sz w:val="18"/>
          <w:szCs w:val="18"/>
          <w:vertAlign w:val="superscript"/>
          <w:lang w:eastAsia="en-US"/>
        </w:rPr>
        <w:t>c</w:t>
      </w:r>
      <w:r>
        <w:rPr>
          <w:rFonts w:eastAsia="TimesNewRoman"/>
          <w:sz w:val="18"/>
          <w:szCs w:val="18"/>
          <w:lang w:eastAsia="en-US"/>
        </w:rPr>
        <w:t xml:space="preserve"> Mažiausių kvadratų metodu apskaičiuotas vidurkis, koreguotas pagal pradinį dydį.</w:t>
      </w:r>
    </w:p>
    <w:p w14:paraId="109B828C" w14:textId="77777777" w:rsidR="00023BBF" w:rsidRDefault="00E17C37">
      <w:pPr>
        <w:widowControl w:val="0"/>
        <w:tabs>
          <w:tab w:val="left" w:pos="567"/>
        </w:tabs>
        <w:ind w:left="567" w:hanging="567"/>
        <w:outlineLvl w:val="2"/>
        <w:rPr>
          <w:rFonts w:eastAsia="TimesNewRoman"/>
          <w:sz w:val="18"/>
          <w:szCs w:val="18"/>
          <w:lang w:eastAsia="en-US"/>
        </w:rPr>
      </w:pPr>
      <w:r>
        <w:rPr>
          <w:rFonts w:eastAsia="TimesNewRoman"/>
          <w:sz w:val="18"/>
          <w:szCs w:val="18"/>
          <w:vertAlign w:val="superscript"/>
          <w:lang w:eastAsia="en-US"/>
        </w:rPr>
        <w:t>*</w:t>
      </w:r>
      <w:r>
        <w:rPr>
          <w:rFonts w:eastAsia="TimesNewRoman"/>
          <w:sz w:val="18"/>
          <w:szCs w:val="18"/>
          <w:lang w:eastAsia="en-US"/>
        </w:rPr>
        <w:t xml:space="preserve"> p &lt; 0,0001 palyginus su placebo ir geriamojo gliukozės koncentraciją mažinančio vaistinio preparato ar preparatų deriniu.</w:t>
      </w:r>
    </w:p>
    <w:p w14:paraId="38EBEFA4" w14:textId="77777777" w:rsidR="00023BBF" w:rsidRDefault="00023BBF">
      <w:pPr>
        <w:widowControl w:val="0"/>
        <w:tabs>
          <w:tab w:val="left" w:pos="567"/>
        </w:tabs>
        <w:ind w:left="567" w:hanging="567"/>
        <w:outlineLvl w:val="2"/>
        <w:rPr>
          <w:rFonts w:eastAsia="TimesNewRoman"/>
          <w:sz w:val="22"/>
          <w:szCs w:val="22"/>
          <w:lang w:eastAsia="en-US"/>
        </w:rPr>
      </w:pPr>
    </w:p>
    <w:p w14:paraId="4E55404E" w14:textId="77777777" w:rsidR="00023BBF" w:rsidRDefault="00E17C37">
      <w:pPr>
        <w:widowControl w:val="0"/>
        <w:tabs>
          <w:tab w:val="left" w:pos="567"/>
        </w:tabs>
        <w:ind w:left="567" w:hanging="567"/>
        <w:outlineLvl w:val="2"/>
        <w:rPr>
          <w:rFonts w:eastAsia="TimesNewRoman"/>
          <w:b/>
          <w:bCs/>
          <w:sz w:val="22"/>
          <w:szCs w:val="22"/>
          <w:lang w:eastAsia="en-US"/>
        </w:rPr>
      </w:pPr>
      <w:r>
        <w:rPr>
          <w:rFonts w:eastAsia="TimesNewRoman"/>
          <w:b/>
          <w:bCs/>
          <w:sz w:val="22"/>
          <w:szCs w:val="22"/>
          <w:lang w:eastAsia="en-US"/>
        </w:rPr>
        <w:t xml:space="preserve">6 lentelė. Placebu kontroliuojamo dapagliflozino derinio su insulinu (vieno arba kartu su geriamaisiais gliukozės koncentraciją mažinančiais vaistiniais preparatais, įskaitant </w:t>
      </w:r>
      <w:proofErr w:type="spellStart"/>
      <w:r>
        <w:rPr>
          <w:rFonts w:eastAsia="TimesNewRoman"/>
          <w:b/>
          <w:bCs/>
          <w:sz w:val="22"/>
          <w:szCs w:val="22"/>
          <w:lang w:eastAsia="en-US"/>
        </w:rPr>
        <w:t>metforminą</w:t>
      </w:r>
      <w:proofErr w:type="spellEnd"/>
      <w:r>
        <w:rPr>
          <w:rFonts w:eastAsia="TimesNewRoman"/>
          <w:b/>
          <w:bCs/>
          <w:sz w:val="22"/>
          <w:szCs w:val="22"/>
          <w:lang w:eastAsia="en-US"/>
        </w:rPr>
        <w:t>) tyrimo duomenys po 24 savaičių (</w:t>
      </w:r>
      <w:proofErr w:type="spellStart"/>
      <w:r>
        <w:rPr>
          <w:rFonts w:eastAsia="TimesNewRoman"/>
          <w:b/>
          <w:bCs/>
          <w:sz w:val="22"/>
          <w:szCs w:val="22"/>
          <w:lang w:eastAsia="en-US"/>
        </w:rPr>
        <w:t>LOCF</w:t>
      </w:r>
      <w:r>
        <w:rPr>
          <w:rFonts w:eastAsia="TimesNewRoman"/>
          <w:b/>
          <w:bCs/>
          <w:sz w:val="22"/>
          <w:szCs w:val="22"/>
          <w:vertAlign w:val="superscript"/>
          <w:lang w:eastAsia="en-US"/>
        </w:rPr>
        <w:t>a</w:t>
      </w:r>
      <w:proofErr w:type="spellEnd"/>
      <w:r>
        <w:rPr>
          <w:rFonts w:eastAsia="TimesNewRoman"/>
          <w:b/>
          <w:bCs/>
          <w:sz w:val="22"/>
          <w:szCs w:val="22"/>
          <w:lang w:eastAsia="en-US"/>
        </w:rPr>
        <w:t>)</w:t>
      </w:r>
    </w:p>
    <w:p w14:paraId="3790CAB3" w14:textId="77777777" w:rsidR="00023BBF" w:rsidRDefault="00023BBF">
      <w:pPr>
        <w:widowControl w:val="0"/>
        <w:tabs>
          <w:tab w:val="left" w:pos="567"/>
        </w:tabs>
        <w:ind w:left="567" w:hanging="567"/>
        <w:outlineLvl w:val="2"/>
        <w:rPr>
          <w:rFonts w:eastAsia="TimesNewRoman"/>
          <w:sz w:val="22"/>
          <w:szCs w:val="22"/>
          <w:lang w:eastAsia="en-US"/>
        </w:rPr>
      </w:pPr>
    </w:p>
    <w:tbl>
      <w:tblPr>
        <w:tblStyle w:val="TableNormal1"/>
        <w:tblW w:w="9043" w:type="dxa"/>
        <w:tblInd w:w="-142" w:type="dxa"/>
        <w:tblLayout w:type="fixed"/>
        <w:tblLook w:val="01E0" w:firstRow="1" w:lastRow="1" w:firstColumn="1" w:lastColumn="1" w:noHBand="0" w:noVBand="0"/>
      </w:tblPr>
      <w:tblGrid>
        <w:gridCol w:w="3624"/>
        <w:gridCol w:w="2703"/>
        <w:gridCol w:w="2716"/>
      </w:tblGrid>
      <w:tr w:rsidR="00023BBF" w14:paraId="6FE91D86" w14:textId="77777777">
        <w:trPr>
          <w:trHeight w:val="249"/>
        </w:trPr>
        <w:tc>
          <w:tcPr>
            <w:tcW w:w="3624" w:type="dxa"/>
            <w:tcBorders>
              <w:top w:val="single" w:sz="4" w:space="0" w:color="auto"/>
              <w:bottom w:val="single" w:sz="4" w:space="0" w:color="auto"/>
            </w:tcBorders>
          </w:tcPr>
          <w:p w14:paraId="48BD111D" w14:textId="77777777" w:rsidR="00023BBF" w:rsidRDefault="00E17C37">
            <w:pPr>
              <w:spacing w:before="1" w:line="249" w:lineRule="exact"/>
              <w:ind w:firstLine="142"/>
              <w:rPr>
                <w:rFonts w:eastAsia="Calibri"/>
                <w:b/>
                <w:sz w:val="24"/>
                <w:lang w:val="en-GB" w:eastAsia="en-US"/>
              </w:rPr>
            </w:pPr>
            <w:proofErr w:type="spellStart"/>
            <w:r>
              <w:rPr>
                <w:rFonts w:eastAsia="Calibri"/>
                <w:b/>
                <w:spacing w:val="-2"/>
                <w:lang w:val="en-GB" w:eastAsia="en-US"/>
              </w:rPr>
              <w:t>Rodiklis</w:t>
            </w:r>
            <w:proofErr w:type="spellEnd"/>
          </w:p>
          <w:p w14:paraId="18466871" w14:textId="77777777" w:rsidR="00023BBF" w:rsidRDefault="00023BBF">
            <w:pPr>
              <w:spacing w:line="230" w:lineRule="exact"/>
              <w:ind w:left="110"/>
              <w:rPr>
                <w:rFonts w:eastAsia="Calibri"/>
                <w:b/>
                <w:lang w:val="en-GB" w:eastAsia="en-US"/>
              </w:rPr>
            </w:pPr>
          </w:p>
        </w:tc>
        <w:tc>
          <w:tcPr>
            <w:tcW w:w="2703" w:type="dxa"/>
            <w:tcBorders>
              <w:top w:val="single" w:sz="4" w:space="0" w:color="auto"/>
              <w:bottom w:val="single" w:sz="4" w:space="0" w:color="auto"/>
            </w:tcBorders>
          </w:tcPr>
          <w:p w14:paraId="602187E6" w14:textId="77777777" w:rsidR="00023BBF" w:rsidRDefault="00E17C37">
            <w:pPr>
              <w:spacing w:before="28"/>
              <w:ind w:left="296" w:right="18"/>
              <w:jc w:val="center"/>
              <w:rPr>
                <w:rFonts w:eastAsia="Calibri"/>
                <w:b/>
                <w:sz w:val="24"/>
                <w:lang w:val="pt-PT" w:eastAsia="en-US"/>
              </w:rPr>
            </w:pPr>
            <w:r>
              <w:rPr>
                <w:rFonts w:eastAsia="Calibri"/>
                <w:b/>
                <w:lang w:val="pt-PT" w:eastAsia="en-US"/>
              </w:rPr>
              <w:t>Dapagliflozinas</w:t>
            </w:r>
            <w:r>
              <w:rPr>
                <w:rFonts w:eastAsia="Calibri"/>
                <w:b/>
                <w:spacing w:val="-8"/>
                <w:lang w:val="pt-PT" w:eastAsia="en-US"/>
              </w:rPr>
              <w:t xml:space="preserve"> </w:t>
            </w:r>
            <w:r>
              <w:rPr>
                <w:rFonts w:eastAsia="Calibri"/>
                <w:b/>
                <w:lang w:val="pt-PT" w:eastAsia="en-US"/>
              </w:rPr>
              <w:t>10</w:t>
            </w:r>
            <w:r>
              <w:rPr>
                <w:rFonts w:eastAsia="Calibri"/>
                <w:b/>
                <w:bCs/>
                <w:lang w:val="pt-PT" w:eastAsia="en-US"/>
              </w:rPr>
              <w:t> </w:t>
            </w:r>
            <w:r>
              <w:rPr>
                <w:rFonts w:eastAsia="Calibri"/>
                <w:b/>
                <w:spacing w:val="-5"/>
                <w:lang w:val="pt-PT" w:eastAsia="en-US"/>
              </w:rPr>
              <w:t>mg</w:t>
            </w:r>
          </w:p>
          <w:p w14:paraId="01675C06" w14:textId="77777777" w:rsidR="00023BBF" w:rsidRDefault="00E17C37">
            <w:pPr>
              <w:spacing w:before="2"/>
              <w:ind w:left="296"/>
              <w:jc w:val="center"/>
              <w:rPr>
                <w:rFonts w:eastAsia="Calibri"/>
                <w:b/>
                <w:sz w:val="24"/>
                <w:lang w:val="pt-PT" w:eastAsia="en-US"/>
              </w:rPr>
            </w:pPr>
            <w:r>
              <w:rPr>
                <w:rFonts w:eastAsia="Calibri"/>
                <w:b/>
                <w:lang w:val="pt-PT" w:eastAsia="en-US"/>
              </w:rPr>
              <w:t>+</w:t>
            </w:r>
            <w:r>
              <w:rPr>
                <w:rFonts w:eastAsia="Calibri"/>
                <w:b/>
                <w:spacing w:val="1"/>
                <w:lang w:val="pt-PT" w:eastAsia="en-US"/>
              </w:rPr>
              <w:t xml:space="preserve"> </w:t>
            </w:r>
            <w:r>
              <w:rPr>
                <w:rFonts w:eastAsia="Calibri"/>
                <w:b/>
                <w:spacing w:val="-2"/>
                <w:lang w:val="pt-PT" w:eastAsia="en-US"/>
              </w:rPr>
              <w:t>insulinas</w:t>
            </w:r>
          </w:p>
          <w:p w14:paraId="75420102" w14:textId="77777777" w:rsidR="00023BBF" w:rsidRDefault="00E17C37">
            <w:pPr>
              <w:ind w:left="109"/>
              <w:jc w:val="center"/>
              <w:rPr>
                <w:rFonts w:eastAsia="Calibri"/>
                <w:lang w:val="pt-PT" w:eastAsia="en-US"/>
              </w:rPr>
            </w:pPr>
            <w:r>
              <w:rPr>
                <w:rFonts w:eastAsia="Calibri"/>
                <w:b/>
                <w:lang w:val="pt-PT" w:eastAsia="en-US"/>
              </w:rPr>
              <w:t>±</w:t>
            </w:r>
            <w:r>
              <w:rPr>
                <w:rFonts w:eastAsia="Calibri"/>
                <w:b/>
                <w:spacing w:val="-14"/>
                <w:lang w:val="pt-PT" w:eastAsia="en-US"/>
              </w:rPr>
              <w:t xml:space="preserve"> </w:t>
            </w:r>
            <w:r>
              <w:rPr>
                <w:rFonts w:eastAsia="Calibri"/>
                <w:b/>
                <w:lang w:val="pt-PT" w:eastAsia="en-US"/>
              </w:rPr>
              <w:t>geriamieji gliukozės koncentraciją mažinantys vaistai</w:t>
            </w:r>
            <w:r>
              <w:rPr>
                <w:rFonts w:eastAsia="Calibri"/>
                <w:vertAlign w:val="superscript"/>
                <w:lang w:val="pt-PT" w:eastAsia="en-US"/>
              </w:rPr>
              <w:t>2</w:t>
            </w:r>
          </w:p>
        </w:tc>
        <w:tc>
          <w:tcPr>
            <w:tcW w:w="2716" w:type="dxa"/>
            <w:tcBorders>
              <w:top w:val="single" w:sz="4" w:space="0" w:color="auto"/>
              <w:bottom w:val="single" w:sz="4" w:space="0" w:color="auto"/>
            </w:tcBorders>
          </w:tcPr>
          <w:p w14:paraId="002D97BA" w14:textId="77777777" w:rsidR="00023BBF" w:rsidRDefault="00E17C37">
            <w:pPr>
              <w:spacing w:before="28"/>
              <w:ind w:left="103" w:right="223"/>
              <w:jc w:val="center"/>
              <w:rPr>
                <w:rFonts w:eastAsia="Calibri"/>
                <w:b/>
                <w:sz w:val="24"/>
                <w:lang w:val="pt-PT" w:eastAsia="en-US"/>
              </w:rPr>
            </w:pPr>
            <w:r>
              <w:rPr>
                <w:rFonts w:eastAsia="Calibri"/>
                <w:b/>
                <w:spacing w:val="-2"/>
                <w:lang w:val="pt-PT" w:eastAsia="en-US"/>
              </w:rPr>
              <w:t>Placebas</w:t>
            </w:r>
          </w:p>
          <w:p w14:paraId="70226C18" w14:textId="77777777" w:rsidR="00023BBF" w:rsidRDefault="00E17C37">
            <w:pPr>
              <w:spacing w:before="2"/>
              <w:ind w:left="103" w:right="223"/>
              <w:jc w:val="center"/>
              <w:rPr>
                <w:rFonts w:eastAsia="Calibri"/>
                <w:b/>
                <w:sz w:val="24"/>
                <w:lang w:val="pt-PT" w:eastAsia="en-US"/>
              </w:rPr>
            </w:pPr>
            <w:r>
              <w:rPr>
                <w:rFonts w:eastAsia="Calibri"/>
                <w:b/>
                <w:lang w:val="pt-PT" w:eastAsia="en-US"/>
              </w:rPr>
              <w:t>+</w:t>
            </w:r>
            <w:r>
              <w:rPr>
                <w:rFonts w:eastAsia="Calibri"/>
                <w:b/>
                <w:spacing w:val="1"/>
                <w:lang w:val="pt-PT" w:eastAsia="en-US"/>
              </w:rPr>
              <w:t xml:space="preserve"> </w:t>
            </w:r>
            <w:r>
              <w:rPr>
                <w:rFonts w:eastAsia="Calibri"/>
                <w:b/>
                <w:spacing w:val="-2"/>
                <w:lang w:val="pt-PT" w:eastAsia="en-US"/>
              </w:rPr>
              <w:t>insulinas</w:t>
            </w:r>
          </w:p>
          <w:p w14:paraId="7399D764" w14:textId="77777777" w:rsidR="00023BBF" w:rsidRDefault="00E17C37">
            <w:pPr>
              <w:ind w:left="103"/>
              <w:jc w:val="center"/>
              <w:rPr>
                <w:rFonts w:eastAsia="Calibri"/>
                <w:lang w:val="pt-PT" w:eastAsia="en-US"/>
              </w:rPr>
            </w:pPr>
            <w:r>
              <w:rPr>
                <w:rFonts w:eastAsia="Calibri"/>
                <w:b/>
                <w:lang w:val="pt-PT" w:eastAsia="en-US"/>
              </w:rPr>
              <w:t>±</w:t>
            </w:r>
            <w:r>
              <w:rPr>
                <w:rFonts w:eastAsia="Calibri"/>
                <w:b/>
                <w:spacing w:val="-14"/>
                <w:lang w:val="pt-PT" w:eastAsia="en-US"/>
              </w:rPr>
              <w:t xml:space="preserve"> </w:t>
            </w:r>
            <w:r>
              <w:rPr>
                <w:rFonts w:eastAsia="Calibri"/>
                <w:b/>
                <w:lang w:val="pt-PT" w:eastAsia="en-US"/>
              </w:rPr>
              <w:t>geriamieji gliukozės koncentraciją mažinantys vaistai</w:t>
            </w:r>
            <w:r>
              <w:rPr>
                <w:rFonts w:eastAsia="Calibri"/>
                <w:b/>
                <w:vertAlign w:val="superscript"/>
                <w:lang w:val="pt-PT" w:eastAsia="en-US"/>
              </w:rPr>
              <w:t>2</w:t>
            </w:r>
          </w:p>
        </w:tc>
      </w:tr>
      <w:tr w:rsidR="00023BBF" w14:paraId="3EEE447E" w14:textId="77777777">
        <w:trPr>
          <w:trHeight w:val="249"/>
        </w:trPr>
        <w:tc>
          <w:tcPr>
            <w:tcW w:w="3624" w:type="dxa"/>
            <w:tcBorders>
              <w:top w:val="single" w:sz="4" w:space="0" w:color="auto"/>
              <w:bottom w:val="single" w:sz="4" w:space="0" w:color="auto"/>
            </w:tcBorders>
          </w:tcPr>
          <w:p w14:paraId="5D1E83CE" w14:textId="77777777" w:rsidR="00023BBF" w:rsidRDefault="00E17C37">
            <w:pPr>
              <w:spacing w:line="230" w:lineRule="exact"/>
              <w:ind w:left="110"/>
              <w:rPr>
                <w:rFonts w:eastAsia="Calibri"/>
                <w:b/>
                <w:lang w:val="en-GB" w:eastAsia="en-US"/>
              </w:rPr>
            </w:pPr>
            <w:r>
              <w:rPr>
                <w:rFonts w:eastAsia="Calibri"/>
                <w:b/>
                <w:spacing w:val="-5"/>
                <w:lang w:val="en-GB" w:eastAsia="en-US"/>
              </w:rPr>
              <w:t>N</w:t>
            </w:r>
            <w:r>
              <w:rPr>
                <w:rFonts w:eastAsia="Calibri"/>
                <w:spacing w:val="-5"/>
                <w:vertAlign w:val="superscript"/>
                <w:lang w:val="en-GB" w:eastAsia="en-US"/>
              </w:rPr>
              <w:t>b</w:t>
            </w:r>
          </w:p>
        </w:tc>
        <w:tc>
          <w:tcPr>
            <w:tcW w:w="2703" w:type="dxa"/>
            <w:tcBorders>
              <w:top w:val="single" w:sz="4" w:space="0" w:color="auto"/>
              <w:bottom w:val="single" w:sz="4" w:space="0" w:color="auto"/>
            </w:tcBorders>
          </w:tcPr>
          <w:p w14:paraId="76B365DA" w14:textId="77777777" w:rsidR="00023BBF" w:rsidRDefault="00E17C37">
            <w:pPr>
              <w:ind w:left="64"/>
              <w:jc w:val="center"/>
              <w:rPr>
                <w:rFonts w:eastAsia="Calibri"/>
                <w:lang w:val="en-GB" w:eastAsia="en-US"/>
              </w:rPr>
            </w:pPr>
            <w:r>
              <w:rPr>
                <w:rFonts w:eastAsia="Calibri"/>
                <w:spacing w:val="-5"/>
                <w:lang w:val="en-GB" w:eastAsia="en-US"/>
              </w:rPr>
              <w:t>194</w:t>
            </w:r>
          </w:p>
        </w:tc>
        <w:tc>
          <w:tcPr>
            <w:tcW w:w="2716" w:type="dxa"/>
            <w:tcBorders>
              <w:top w:val="single" w:sz="4" w:space="0" w:color="auto"/>
              <w:bottom w:val="single" w:sz="4" w:space="0" w:color="auto"/>
            </w:tcBorders>
          </w:tcPr>
          <w:p w14:paraId="5B574B3D" w14:textId="77777777" w:rsidR="00023BBF" w:rsidRDefault="00E17C37">
            <w:pPr>
              <w:ind w:left="47"/>
              <w:jc w:val="center"/>
              <w:rPr>
                <w:rFonts w:eastAsia="Calibri"/>
                <w:lang w:val="en-GB" w:eastAsia="en-US"/>
              </w:rPr>
            </w:pPr>
            <w:r>
              <w:rPr>
                <w:rFonts w:eastAsia="Calibri"/>
                <w:spacing w:val="-5"/>
                <w:lang w:val="en-GB" w:eastAsia="en-US"/>
              </w:rPr>
              <w:t>193</w:t>
            </w:r>
          </w:p>
        </w:tc>
      </w:tr>
      <w:tr w:rsidR="00023BBF" w14:paraId="12333C9A" w14:textId="77777777">
        <w:trPr>
          <w:trHeight w:val="249"/>
        </w:trPr>
        <w:tc>
          <w:tcPr>
            <w:tcW w:w="3624" w:type="dxa"/>
            <w:tcBorders>
              <w:top w:val="single" w:sz="4" w:space="0" w:color="auto"/>
            </w:tcBorders>
          </w:tcPr>
          <w:p w14:paraId="55C66DBD" w14:textId="77777777" w:rsidR="00023BBF" w:rsidRDefault="00E17C37">
            <w:pPr>
              <w:spacing w:line="230" w:lineRule="exact"/>
              <w:ind w:left="110"/>
              <w:rPr>
                <w:rFonts w:ascii="Calibri" w:eastAsia="Calibri" w:hAnsi="Calibri"/>
                <w:b/>
                <w:lang w:val="en-GB" w:eastAsia="en-US"/>
              </w:rPr>
            </w:pPr>
            <w:bookmarkStart w:id="2" w:name="_Hlk164424220"/>
            <w:bookmarkStart w:id="3" w:name="_Hlk164424314"/>
            <w:r>
              <w:rPr>
                <w:rFonts w:eastAsia="Calibri"/>
                <w:b/>
                <w:lang w:val="en-GB" w:eastAsia="en-US"/>
              </w:rPr>
              <w:t>HbA1c</w:t>
            </w:r>
            <w:r>
              <w:rPr>
                <w:rFonts w:eastAsia="Calibri"/>
                <w:b/>
                <w:spacing w:val="-11"/>
                <w:lang w:val="en-GB" w:eastAsia="en-US"/>
              </w:rPr>
              <w:t xml:space="preserve"> </w:t>
            </w:r>
            <w:proofErr w:type="spellStart"/>
            <w:r>
              <w:rPr>
                <w:rFonts w:eastAsia="Calibri"/>
                <w:b/>
                <w:spacing w:val="-11"/>
                <w:lang w:val="en-GB" w:eastAsia="en-US"/>
              </w:rPr>
              <w:t>koncentracija</w:t>
            </w:r>
            <w:proofErr w:type="spellEnd"/>
            <w:r>
              <w:rPr>
                <w:rFonts w:eastAsia="Calibri"/>
                <w:b/>
                <w:spacing w:val="-11"/>
                <w:lang w:val="en-GB" w:eastAsia="en-US"/>
              </w:rPr>
              <w:t xml:space="preserve"> </w:t>
            </w:r>
            <w:r>
              <w:rPr>
                <w:rFonts w:eastAsia="Calibri"/>
                <w:b/>
                <w:spacing w:val="-5"/>
                <w:lang w:val="en-GB" w:eastAsia="en-US"/>
              </w:rPr>
              <w:t>(%)</w:t>
            </w:r>
          </w:p>
        </w:tc>
        <w:tc>
          <w:tcPr>
            <w:tcW w:w="2703" w:type="dxa"/>
            <w:tcBorders>
              <w:top w:val="single" w:sz="4" w:space="0" w:color="auto"/>
            </w:tcBorders>
          </w:tcPr>
          <w:p w14:paraId="386CCEF1" w14:textId="77777777" w:rsidR="00023BBF" w:rsidRDefault="00023BBF">
            <w:pPr>
              <w:rPr>
                <w:rFonts w:ascii="Calibri" w:eastAsia="Calibri" w:hAnsi="Calibri"/>
                <w:lang w:val="en-GB" w:eastAsia="en-US"/>
              </w:rPr>
            </w:pPr>
          </w:p>
        </w:tc>
        <w:tc>
          <w:tcPr>
            <w:tcW w:w="2716" w:type="dxa"/>
            <w:tcBorders>
              <w:top w:val="single" w:sz="4" w:space="0" w:color="auto"/>
            </w:tcBorders>
          </w:tcPr>
          <w:p w14:paraId="414BC0E1" w14:textId="77777777" w:rsidR="00023BBF" w:rsidRDefault="00023BBF">
            <w:pPr>
              <w:rPr>
                <w:rFonts w:ascii="Calibri" w:eastAsia="Calibri" w:hAnsi="Calibri"/>
                <w:lang w:val="en-GB" w:eastAsia="en-US"/>
              </w:rPr>
            </w:pPr>
          </w:p>
        </w:tc>
      </w:tr>
      <w:tr w:rsidR="00023BBF" w14:paraId="3EA0E535" w14:textId="77777777">
        <w:trPr>
          <w:trHeight w:val="237"/>
        </w:trPr>
        <w:tc>
          <w:tcPr>
            <w:tcW w:w="3624" w:type="dxa"/>
          </w:tcPr>
          <w:p w14:paraId="52A890A6" w14:textId="77777777" w:rsidR="00023BBF" w:rsidRDefault="00E17C37">
            <w:pPr>
              <w:spacing w:line="218" w:lineRule="exact"/>
              <w:ind w:left="254"/>
              <w:rPr>
                <w:rFonts w:eastAsia="Calibri"/>
                <w:lang w:val="en-GB" w:eastAsia="en-US"/>
              </w:rPr>
            </w:pPr>
            <w:proofErr w:type="spellStart"/>
            <w:r>
              <w:rPr>
                <w:rFonts w:eastAsia="Calibri"/>
                <w:lang w:val="en-GB" w:eastAsia="en-US"/>
              </w:rPr>
              <w:t>Pradinė</w:t>
            </w:r>
            <w:proofErr w:type="spellEnd"/>
            <w:r>
              <w:rPr>
                <w:rFonts w:eastAsia="Calibri"/>
                <w:spacing w:val="-8"/>
                <w:lang w:val="en-GB" w:eastAsia="en-US"/>
              </w:rPr>
              <w:t xml:space="preserve"> </w:t>
            </w:r>
            <w:r>
              <w:rPr>
                <w:rFonts w:eastAsia="Calibri"/>
                <w:spacing w:val="-2"/>
                <w:lang w:val="en-GB" w:eastAsia="en-US"/>
              </w:rPr>
              <w:t>(</w:t>
            </w:r>
            <w:proofErr w:type="spellStart"/>
            <w:r>
              <w:rPr>
                <w:rFonts w:eastAsia="Calibri"/>
                <w:spacing w:val="-2"/>
                <w:lang w:val="en-GB" w:eastAsia="en-US"/>
              </w:rPr>
              <w:t>vidurkis</w:t>
            </w:r>
            <w:proofErr w:type="spellEnd"/>
            <w:r>
              <w:rPr>
                <w:rFonts w:eastAsia="Calibri"/>
                <w:spacing w:val="-2"/>
                <w:lang w:val="en-GB" w:eastAsia="en-US"/>
              </w:rPr>
              <w:t>)</w:t>
            </w:r>
          </w:p>
        </w:tc>
        <w:tc>
          <w:tcPr>
            <w:tcW w:w="2703" w:type="dxa"/>
          </w:tcPr>
          <w:p w14:paraId="27C20CB1" w14:textId="77777777" w:rsidR="00023BBF" w:rsidRDefault="00E17C37">
            <w:pPr>
              <w:spacing w:line="218" w:lineRule="exact"/>
              <w:ind w:left="2" w:right="518"/>
              <w:jc w:val="center"/>
              <w:rPr>
                <w:rFonts w:eastAsia="Calibri"/>
                <w:lang w:val="en-GB" w:eastAsia="en-US"/>
              </w:rPr>
            </w:pPr>
            <w:r>
              <w:rPr>
                <w:rFonts w:eastAsia="Calibri"/>
                <w:spacing w:val="-4"/>
                <w:lang w:val="en-GB" w:eastAsia="en-US"/>
              </w:rPr>
              <w:t>8,58</w:t>
            </w:r>
          </w:p>
        </w:tc>
        <w:tc>
          <w:tcPr>
            <w:tcW w:w="2716" w:type="dxa"/>
          </w:tcPr>
          <w:p w14:paraId="5A6DBAB7" w14:textId="77777777" w:rsidR="00023BBF" w:rsidRDefault="00E17C37">
            <w:pPr>
              <w:spacing w:line="218" w:lineRule="exact"/>
              <w:ind w:left="1079"/>
              <w:rPr>
                <w:rFonts w:eastAsia="Calibri"/>
                <w:lang w:val="en-GB" w:eastAsia="en-US"/>
              </w:rPr>
            </w:pPr>
            <w:r>
              <w:rPr>
                <w:rFonts w:eastAsia="Calibri"/>
                <w:spacing w:val="-4"/>
                <w:lang w:val="en-GB" w:eastAsia="en-US"/>
              </w:rPr>
              <w:t>8,46</w:t>
            </w:r>
          </w:p>
        </w:tc>
      </w:tr>
      <w:tr w:rsidR="00023BBF" w14:paraId="65D5E2D1" w14:textId="77777777">
        <w:trPr>
          <w:trHeight w:val="515"/>
        </w:trPr>
        <w:tc>
          <w:tcPr>
            <w:tcW w:w="3624" w:type="dxa"/>
          </w:tcPr>
          <w:p w14:paraId="3D85FD38" w14:textId="77777777" w:rsidR="00023BBF" w:rsidRDefault="00E17C37">
            <w:pPr>
              <w:spacing w:line="250" w:lineRule="atLeast"/>
              <w:ind w:left="254" w:right="457"/>
              <w:rPr>
                <w:rFonts w:eastAsia="Calibri"/>
                <w:lang w:val="pt-PT" w:eastAsia="en-US"/>
              </w:rPr>
            </w:pPr>
            <w:r>
              <w:rPr>
                <w:rFonts w:eastAsia="Calibri"/>
                <w:lang w:val="pt-PT" w:eastAsia="en-US"/>
              </w:rPr>
              <w:t>Pokytis palyginus su pradine</w:t>
            </w:r>
            <w:r>
              <w:rPr>
                <w:rFonts w:eastAsia="Calibri"/>
                <w:vertAlign w:val="superscript"/>
                <w:lang w:val="pt-PT" w:eastAsia="en-US"/>
              </w:rPr>
              <w:t>c</w:t>
            </w:r>
            <w:r>
              <w:rPr>
                <w:rFonts w:eastAsia="Calibri"/>
                <w:lang w:val="pt-PT" w:eastAsia="en-US"/>
              </w:rPr>
              <w:t xml:space="preserve"> </w:t>
            </w:r>
          </w:p>
          <w:p w14:paraId="58501473" w14:textId="77777777" w:rsidR="00023BBF" w:rsidRDefault="00E17C37">
            <w:pPr>
              <w:spacing w:line="250" w:lineRule="atLeast"/>
              <w:ind w:left="254" w:right="457"/>
              <w:rPr>
                <w:rFonts w:eastAsia="Calibri"/>
                <w:lang w:val="pt-PT" w:eastAsia="en-US"/>
              </w:rPr>
            </w:pPr>
            <w:r>
              <w:rPr>
                <w:rFonts w:eastAsia="Calibri"/>
                <w:lang w:val="pt-PT" w:eastAsia="en-US"/>
              </w:rPr>
              <w:t>Skirtumas nuo placebo</w:t>
            </w:r>
            <w:r>
              <w:rPr>
                <w:rFonts w:eastAsia="Calibri"/>
                <w:vertAlign w:val="superscript"/>
                <w:lang w:val="pt-PT" w:eastAsia="en-US"/>
              </w:rPr>
              <w:t>c</w:t>
            </w:r>
          </w:p>
        </w:tc>
        <w:tc>
          <w:tcPr>
            <w:tcW w:w="2703" w:type="dxa"/>
          </w:tcPr>
          <w:p w14:paraId="132D6815" w14:textId="77777777" w:rsidR="00023BBF" w:rsidRDefault="00E17C37">
            <w:pPr>
              <w:spacing w:before="3"/>
              <w:ind w:left="863"/>
              <w:rPr>
                <w:rFonts w:eastAsia="Calibri"/>
                <w:lang w:val="en-GB" w:eastAsia="en-US"/>
              </w:rPr>
            </w:pPr>
            <w:r>
              <w:rPr>
                <w:rFonts w:eastAsia="Calibri"/>
                <w:spacing w:val="-2"/>
                <w:lang w:val="en-GB" w:eastAsia="en-US"/>
              </w:rPr>
              <w:t>-</w:t>
            </w:r>
            <w:r>
              <w:rPr>
                <w:rFonts w:eastAsia="Calibri"/>
                <w:spacing w:val="-4"/>
                <w:lang w:val="en-GB" w:eastAsia="en-US"/>
              </w:rPr>
              <w:t>0,90</w:t>
            </w:r>
          </w:p>
          <w:p w14:paraId="4FFE9B1C" w14:textId="77777777" w:rsidR="00023BBF" w:rsidRDefault="00E17C37">
            <w:pPr>
              <w:spacing w:before="1" w:line="238" w:lineRule="exact"/>
              <w:ind w:left="825"/>
              <w:rPr>
                <w:rFonts w:eastAsia="Calibri"/>
                <w:lang w:val="en-GB" w:eastAsia="en-US"/>
              </w:rPr>
            </w:pPr>
            <w:r>
              <w:rPr>
                <w:rFonts w:eastAsia="Calibri"/>
                <w:spacing w:val="-2"/>
                <w:lang w:val="en-GB" w:eastAsia="en-US"/>
              </w:rPr>
              <w:t>-0,60</w:t>
            </w:r>
            <w:r>
              <w:rPr>
                <w:rFonts w:eastAsia="Calibri"/>
                <w:spacing w:val="-2"/>
                <w:vertAlign w:val="superscript"/>
                <w:lang w:val="en-GB" w:eastAsia="en-US"/>
              </w:rPr>
              <w:t>*</w:t>
            </w:r>
          </w:p>
        </w:tc>
        <w:tc>
          <w:tcPr>
            <w:tcW w:w="2716" w:type="dxa"/>
          </w:tcPr>
          <w:p w14:paraId="759164D3" w14:textId="77777777" w:rsidR="00023BBF" w:rsidRDefault="00E17C37">
            <w:pPr>
              <w:spacing w:before="3"/>
              <w:ind w:left="1041"/>
              <w:rPr>
                <w:rFonts w:eastAsia="Calibri"/>
                <w:lang w:val="en-GB" w:eastAsia="en-US"/>
              </w:rPr>
            </w:pPr>
            <w:r>
              <w:rPr>
                <w:rFonts w:eastAsia="Calibri"/>
                <w:spacing w:val="-2"/>
                <w:lang w:val="en-GB" w:eastAsia="en-US"/>
              </w:rPr>
              <w:t>-</w:t>
            </w:r>
            <w:r>
              <w:rPr>
                <w:rFonts w:eastAsia="Calibri"/>
                <w:spacing w:val="-4"/>
                <w:lang w:val="en-GB" w:eastAsia="en-US"/>
              </w:rPr>
              <w:t>0,30</w:t>
            </w:r>
          </w:p>
        </w:tc>
      </w:tr>
      <w:tr w:rsidR="00023BBF" w14:paraId="226DF7BB" w14:textId="77777777">
        <w:trPr>
          <w:trHeight w:val="254"/>
        </w:trPr>
        <w:tc>
          <w:tcPr>
            <w:tcW w:w="3624" w:type="dxa"/>
            <w:tcBorders>
              <w:bottom w:val="single" w:sz="4" w:space="0" w:color="000000"/>
            </w:tcBorders>
          </w:tcPr>
          <w:p w14:paraId="596B68FB" w14:textId="77777777" w:rsidR="00023BBF" w:rsidRDefault="00E17C37">
            <w:pPr>
              <w:spacing w:line="234" w:lineRule="exact"/>
              <w:ind w:left="479"/>
              <w:rPr>
                <w:rFonts w:eastAsia="Calibri"/>
                <w:lang w:val="en-GB" w:eastAsia="en-US"/>
              </w:rPr>
            </w:pPr>
            <w:r>
              <w:rPr>
                <w:rFonts w:eastAsia="Calibri"/>
                <w:lang w:val="en-GB" w:eastAsia="en-US"/>
              </w:rPr>
              <w:t>(95 %</w:t>
            </w:r>
            <w:r>
              <w:rPr>
                <w:rFonts w:eastAsia="Calibri"/>
                <w:spacing w:val="-6"/>
                <w:lang w:val="en-GB" w:eastAsia="en-US"/>
              </w:rPr>
              <w:t xml:space="preserve"> </w:t>
            </w:r>
            <w:r>
              <w:rPr>
                <w:rFonts w:eastAsia="Calibri"/>
                <w:spacing w:val="-5"/>
                <w:lang w:val="en-GB" w:eastAsia="en-US"/>
              </w:rPr>
              <w:t>PI)</w:t>
            </w:r>
          </w:p>
        </w:tc>
        <w:tc>
          <w:tcPr>
            <w:tcW w:w="2703" w:type="dxa"/>
            <w:tcBorders>
              <w:bottom w:val="single" w:sz="4" w:space="0" w:color="000000"/>
            </w:tcBorders>
          </w:tcPr>
          <w:p w14:paraId="08A74518" w14:textId="77777777" w:rsidR="00023BBF" w:rsidRDefault="00E17C37">
            <w:pPr>
              <w:spacing w:line="234" w:lineRule="exact"/>
              <w:ind w:left="2" w:right="518"/>
              <w:jc w:val="center"/>
              <w:rPr>
                <w:rFonts w:eastAsia="Calibri"/>
                <w:lang w:val="en-GB" w:eastAsia="en-US"/>
              </w:rPr>
            </w:pPr>
            <w:r>
              <w:rPr>
                <w:rFonts w:eastAsia="Calibri"/>
                <w:lang w:val="en-GB" w:eastAsia="en-US"/>
              </w:rPr>
              <w:t>(-0,74,</w:t>
            </w:r>
            <w:r>
              <w:rPr>
                <w:rFonts w:eastAsia="Calibri"/>
                <w:spacing w:val="-3"/>
                <w:lang w:val="en-GB" w:eastAsia="en-US"/>
              </w:rPr>
              <w:t xml:space="preserve"> </w:t>
            </w:r>
            <w:r>
              <w:rPr>
                <w:rFonts w:eastAsia="Calibri"/>
                <w:lang w:val="en-GB" w:eastAsia="en-US"/>
              </w:rPr>
              <w:t>-</w:t>
            </w:r>
            <w:r>
              <w:rPr>
                <w:rFonts w:eastAsia="Calibri"/>
                <w:spacing w:val="-2"/>
                <w:lang w:val="en-GB" w:eastAsia="en-US"/>
              </w:rPr>
              <w:t>0,45)</w:t>
            </w:r>
          </w:p>
        </w:tc>
        <w:tc>
          <w:tcPr>
            <w:tcW w:w="2716" w:type="dxa"/>
            <w:tcBorders>
              <w:bottom w:val="single" w:sz="4" w:space="0" w:color="000000"/>
            </w:tcBorders>
          </w:tcPr>
          <w:p w14:paraId="14127061" w14:textId="77777777" w:rsidR="00023BBF" w:rsidRDefault="00023BBF">
            <w:pPr>
              <w:rPr>
                <w:rFonts w:eastAsia="Calibri"/>
                <w:lang w:val="en-GB" w:eastAsia="en-US"/>
              </w:rPr>
            </w:pPr>
          </w:p>
        </w:tc>
      </w:tr>
      <w:tr w:rsidR="00023BBF" w14:paraId="6510E9D1" w14:textId="77777777">
        <w:trPr>
          <w:trHeight w:val="494"/>
        </w:trPr>
        <w:tc>
          <w:tcPr>
            <w:tcW w:w="3624" w:type="dxa"/>
            <w:tcBorders>
              <w:top w:val="single" w:sz="4" w:space="0" w:color="000000"/>
            </w:tcBorders>
          </w:tcPr>
          <w:p w14:paraId="6FC58724" w14:textId="77777777" w:rsidR="00023BBF" w:rsidRDefault="00E17C37">
            <w:pPr>
              <w:spacing w:before="1" w:line="249" w:lineRule="exact"/>
              <w:ind w:right="1911"/>
              <w:jc w:val="right"/>
              <w:rPr>
                <w:rFonts w:eastAsia="Calibri"/>
                <w:b/>
                <w:lang w:val="en-GB" w:eastAsia="en-US"/>
              </w:rPr>
            </w:pPr>
            <w:proofErr w:type="spellStart"/>
            <w:r>
              <w:rPr>
                <w:rFonts w:eastAsia="Calibri"/>
                <w:b/>
                <w:lang w:val="en-GB" w:eastAsia="en-US"/>
              </w:rPr>
              <w:t>Kūno</w:t>
            </w:r>
            <w:proofErr w:type="spellEnd"/>
            <w:r>
              <w:rPr>
                <w:rFonts w:eastAsia="Calibri"/>
                <w:b/>
                <w:lang w:val="en-GB" w:eastAsia="en-US"/>
              </w:rPr>
              <w:t xml:space="preserve"> </w:t>
            </w:r>
            <w:proofErr w:type="spellStart"/>
            <w:r>
              <w:rPr>
                <w:rFonts w:eastAsia="Calibri"/>
                <w:b/>
                <w:lang w:val="en-GB" w:eastAsia="en-US"/>
              </w:rPr>
              <w:t>svoris</w:t>
            </w:r>
            <w:proofErr w:type="spellEnd"/>
            <w:r>
              <w:rPr>
                <w:rFonts w:eastAsia="Calibri"/>
                <w:b/>
                <w:spacing w:val="-5"/>
                <w:lang w:val="en-GB" w:eastAsia="en-US"/>
              </w:rPr>
              <w:t xml:space="preserve"> </w:t>
            </w:r>
            <w:r>
              <w:rPr>
                <w:rFonts w:eastAsia="Calibri"/>
                <w:b/>
                <w:spacing w:val="-4"/>
                <w:lang w:val="en-GB" w:eastAsia="en-US"/>
              </w:rPr>
              <w:t>(kg)</w:t>
            </w:r>
          </w:p>
          <w:p w14:paraId="07DE517D" w14:textId="77777777" w:rsidR="00023BBF" w:rsidRDefault="00E17C37">
            <w:pPr>
              <w:spacing w:line="225" w:lineRule="exact"/>
              <w:ind w:right="1935"/>
              <w:jc w:val="right"/>
              <w:rPr>
                <w:rFonts w:eastAsia="Calibri"/>
                <w:lang w:val="en-GB" w:eastAsia="en-US"/>
              </w:rPr>
            </w:pPr>
            <w:proofErr w:type="spellStart"/>
            <w:r>
              <w:rPr>
                <w:rFonts w:eastAsia="Calibri"/>
                <w:lang w:val="en-GB" w:eastAsia="en-US"/>
              </w:rPr>
              <w:t>Pradinė</w:t>
            </w:r>
            <w:proofErr w:type="spellEnd"/>
            <w:r>
              <w:rPr>
                <w:rFonts w:eastAsia="Calibri"/>
                <w:spacing w:val="-8"/>
                <w:lang w:val="en-GB" w:eastAsia="en-US"/>
              </w:rPr>
              <w:t xml:space="preserve"> </w:t>
            </w:r>
            <w:r>
              <w:rPr>
                <w:rFonts w:eastAsia="Calibri"/>
                <w:spacing w:val="-2"/>
                <w:lang w:val="en-GB" w:eastAsia="en-US"/>
              </w:rPr>
              <w:t>(</w:t>
            </w:r>
            <w:proofErr w:type="spellStart"/>
            <w:r>
              <w:rPr>
                <w:rFonts w:eastAsia="Calibri"/>
                <w:spacing w:val="-2"/>
                <w:lang w:val="en-GB" w:eastAsia="en-US"/>
              </w:rPr>
              <w:t>vidurkis</w:t>
            </w:r>
            <w:proofErr w:type="spellEnd"/>
            <w:r>
              <w:rPr>
                <w:rFonts w:eastAsia="Calibri"/>
                <w:spacing w:val="-2"/>
                <w:lang w:val="en-GB" w:eastAsia="en-US"/>
              </w:rPr>
              <w:t>)</w:t>
            </w:r>
          </w:p>
        </w:tc>
        <w:tc>
          <w:tcPr>
            <w:tcW w:w="2703" w:type="dxa"/>
            <w:tcBorders>
              <w:top w:val="single" w:sz="4" w:space="0" w:color="000000"/>
            </w:tcBorders>
          </w:tcPr>
          <w:p w14:paraId="76E8E0FA" w14:textId="77777777" w:rsidR="00023BBF" w:rsidRDefault="00E17C37">
            <w:pPr>
              <w:spacing w:before="245" w:line="229" w:lineRule="exact"/>
              <w:ind w:left="7" w:right="518"/>
              <w:jc w:val="center"/>
              <w:rPr>
                <w:rFonts w:eastAsia="Calibri"/>
                <w:lang w:val="en-GB" w:eastAsia="en-US"/>
              </w:rPr>
            </w:pPr>
            <w:r>
              <w:rPr>
                <w:rFonts w:eastAsia="Calibri"/>
                <w:spacing w:val="-2"/>
                <w:lang w:val="en-GB" w:eastAsia="en-US"/>
              </w:rPr>
              <w:t>94,63</w:t>
            </w:r>
          </w:p>
        </w:tc>
        <w:tc>
          <w:tcPr>
            <w:tcW w:w="2716" w:type="dxa"/>
            <w:tcBorders>
              <w:top w:val="single" w:sz="4" w:space="0" w:color="000000"/>
            </w:tcBorders>
          </w:tcPr>
          <w:p w14:paraId="5F0BDC57" w14:textId="77777777" w:rsidR="00023BBF" w:rsidRDefault="00E17C37">
            <w:pPr>
              <w:spacing w:before="245" w:line="229" w:lineRule="exact"/>
              <w:ind w:left="1021"/>
              <w:rPr>
                <w:rFonts w:eastAsia="Calibri"/>
                <w:lang w:val="en-GB" w:eastAsia="en-US"/>
              </w:rPr>
            </w:pPr>
            <w:r>
              <w:rPr>
                <w:rFonts w:eastAsia="Calibri"/>
                <w:spacing w:val="-2"/>
                <w:lang w:val="en-GB" w:eastAsia="en-US"/>
              </w:rPr>
              <w:t>94,21</w:t>
            </w:r>
          </w:p>
        </w:tc>
      </w:tr>
      <w:tr w:rsidR="00023BBF" w14:paraId="0DC620C0" w14:textId="77777777">
        <w:trPr>
          <w:trHeight w:val="515"/>
        </w:trPr>
        <w:tc>
          <w:tcPr>
            <w:tcW w:w="3624" w:type="dxa"/>
          </w:tcPr>
          <w:p w14:paraId="54E6EC90" w14:textId="77777777" w:rsidR="00023BBF" w:rsidRDefault="00E17C37">
            <w:pPr>
              <w:spacing w:line="250" w:lineRule="atLeast"/>
              <w:ind w:left="254" w:right="457"/>
              <w:rPr>
                <w:rFonts w:eastAsia="Calibri"/>
                <w:lang w:val="pt-PT" w:eastAsia="en-US"/>
              </w:rPr>
            </w:pPr>
            <w:r>
              <w:rPr>
                <w:rFonts w:eastAsia="Calibri"/>
                <w:lang w:val="pt-PT" w:eastAsia="en-US"/>
              </w:rPr>
              <w:t>Pokytis palyginus su pradine</w:t>
            </w:r>
            <w:r>
              <w:rPr>
                <w:rFonts w:eastAsia="Calibri"/>
                <w:vertAlign w:val="superscript"/>
                <w:lang w:val="pt-PT" w:eastAsia="en-US"/>
              </w:rPr>
              <w:t>c</w:t>
            </w:r>
            <w:r>
              <w:rPr>
                <w:rFonts w:eastAsia="Calibri"/>
                <w:lang w:val="pt-PT" w:eastAsia="en-US"/>
              </w:rPr>
              <w:t xml:space="preserve"> </w:t>
            </w:r>
          </w:p>
          <w:p w14:paraId="3A0E30E5" w14:textId="77777777" w:rsidR="00023BBF" w:rsidRDefault="00E17C37">
            <w:pPr>
              <w:spacing w:line="250" w:lineRule="atLeast"/>
              <w:ind w:left="254" w:right="457"/>
              <w:rPr>
                <w:rFonts w:eastAsia="Calibri"/>
                <w:lang w:val="pt-PT" w:eastAsia="en-US"/>
              </w:rPr>
            </w:pPr>
            <w:r>
              <w:rPr>
                <w:rFonts w:eastAsia="Calibri"/>
                <w:lang w:val="pt-PT" w:eastAsia="en-US"/>
              </w:rPr>
              <w:t>Skirtumas nuo</w:t>
            </w:r>
            <w:r>
              <w:rPr>
                <w:rFonts w:eastAsia="Calibri"/>
                <w:spacing w:val="-14"/>
                <w:lang w:val="pt-PT" w:eastAsia="en-US"/>
              </w:rPr>
              <w:t xml:space="preserve"> </w:t>
            </w:r>
            <w:r>
              <w:rPr>
                <w:rFonts w:eastAsia="Calibri"/>
                <w:lang w:val="pt-PT" w:eastAsia="en-US"/>
              </w:rPr>
              <w:t>placebo</w:t>
            </w:r>
            <w:r>
              <w:rPr>
                <w:rFonts w:eastAsia="Calibri"/>
                <w:vertAlign w:val="superscript"/>
                <w:lang w:val="pt-PT" w:eastAsia="en-US"/>
              </w:rPr>
              <w:t>c</w:t>
            </w:r>
          </w:p>
        </w:tc>
        <w:tc>
          <w:tcPr>
            <w:tcW w:w="2703" w:type="dxa"/>
          </w:tcPr>
          <w:p w14:paraId="4D76A033" w14:textId="77777777" w:rsidR="00023BBF" w:rsidRDefault="00E17C37">
            <w:pPr>
              <w:spacing w:before="5"/>
              <w:ind w:left="863"/>
              <w:rPr>
                <w:rFonts w:eastAsia="Calibri"/>
                <w:lang w:val="en-GB" w:eastAsia="en-US"/>
              </w:rPr>
            </w:pPr>
            <w:r>
              <w:rPr>
                <w:rFonts w:eastAsia="Calibri"/>
                <w:spacing w:val="-2"/>
                <w:lang w:val="en-GB" w:eastAsia="en-US"/>
              </w:rPr>
              <w:t>-</w:t>
            </w:r>
            <w:r>
              <w:rPr>
                <w:rFonts w:eastAsia="Calibri"/>
                <w:spacing w:val="-4"/>
                <w:lang w:val="en-GB" w:eastAsia="en-US"/>
              </w:rPr>
              <w:t>1,67</w:t>
            </w:r>
          </w:p>
          <w:p w14:paraId="5AECAAA7" w14:textId="77777777" w:rsidR="00023BBF" w:rsidRDefault="00E17C37">
            <w:pPr>
              <w:spacing w:before="2" w:line="236" w:lineRule="exact"/>
              <w:ind w:left="897"/>
              <w:rPr>
                <w:rFonts w:eastAsia="Calibri"/>
                <w:lang w:val="en-GB" w:eastAsia="en-US"/>
              </w:rPr>
            </w:pPr>
            <w:r>
              <w:rPr>
                <w:rFonts w:eastAsia="Calibri"/>
                <w:spacing w:val="-2"/>
                <w:lang w:val="en-GB" w:eastAsia="en-US"/>
              </w:rPr>
              <w:t>-1,68</w:t>
            </w:r>
            <w:r>
              <w:rPr>
                <w:rFonts w:eastAsia="Calibri"/>
                <w:spacing w:val="-2"/>
                <w:vertAlign w:val="superscript"/>
                <w:lang w:val="en-GB" w:eastAsia="en-US"/>
              </w:rPr>
              <w:t>*</w:t>
            </w:r>
          </w:p>
        </w:tc>
        <w:tc>
          <w:tcPr>
            <w:tcW w:w="2716" w:type="dxa"/>
          </w:tcPr>
          <w:p w14:paraId="445BB89C" w14:textId="77777777" w:rsidR="00023BBF" w:rsidRDefault="00E17C37">
            <w:pPr>
              <w:spacing w:before="5"/>
              <w:ind w:left="1079"/>
              <w:rPr>
                <w:rFonts w:eastAsia="Calibri"/>
                <w:lang w:val="en-GB" w:eastAsia="en-US"/>
              </w:rPr>
            </w:pPr>
            <w:r>
              <w:rPr>
                <w:rFonts w:eastAsia="Calibri"/>
                <w:spacing w:val="-4"/>
                <w:lang w:val="en-GB" w:eastAsia="en-US"/>
              </w:rPr>
              <w:t>0,02</w:t>
            </w:r>
          </w:p>
        </w:tc>
      </w:tr>
      <w:tr w:rsidR="00023BBF" w14:paraId="55BBF8C1" w14:textId="77777777">
        <w:trPr>
          <w:trHeight w:val="251"/>
        </w:trPr>
        <w:tc>
          <w:tcPr>
            <w:tcW w:w="3624" w:type="dxa"/>
            <w:tcBorders>
              <w:bottom w:val="single" w:sz="4" w:space="0" w:color="000000"/>
            </w:tcBorders>
          </w:tcPr>
          <w:p w14:paraId="04E324B2" w14:textId="77777777" w:rsidR="00023BBF" w:rsidRDefault="00E17C37">
            <w:pPr>
              <w:spacing w:line="232" w:lineRule="exact"/>
              <w:ind w:left="479"/>
              <w:rPr>
                <w:rFonts w:eastAsia="Calibri"/>
                <w:lang w:val="en-GB" w:eastAsia="en-US"/>
              </w:rPr>
            </w:pPr>
            <w:r>
              <w:rPr>
                <w:rFonts w:eastAsia="Calibri"/>
                <w:lang w:val="en-GB" w:eastAsia="en-US"/>
              </w:rPr>
              <w:t>(95 %</w:t>
            </w:r>
            <w:r>
              <w:rPr>
                <w:rFonts w:eastAsia="Calibri"/>
                <w:spacing w:val="-6"/>
                <w:lang w:val="en-GB" w:eastAsia="en-US"/>
              </w:rPr>
              <w:t xml:space="preserve"> </w:t>
            </w:r>
            <w:r>
              <w:rPr>
                <w:rFonts w:eastAsia="Calibri"/>
                <w:spacing w:val="-5"/>
                <w:lang w:val="en-GB" w:eastAsia="en-US"/>
              </w:rPr>
              <w:t>PI)</w:t>
            </w:r>
          </w:p>
        </w:tc>
        <w:tc>
          <w:tcPr>
            <w:tcW w:w="2703" w:type="dxa"/>
            <w:tcBorders>
              <w:bottom w:val="single" w:sz="4" w:space="0" w:color="000000"/>
            </w:tcBorders>
          </w:tcPr>
          <w:p w14:paraId="190363F5" w14:textId="77777777" w:rsidR="00023BBF" w:rsidRDefault="00E17C37">
            <w:pPr>
              <w:spacing w:line="232" w:lineRule="exact"/>
              <w:ind w:left="2" w:right="518"/>
              <w:jc w:val="center"/>
              <w:rPr>
                <w:rFonts w:eastAsia="Calibri"/>
                <w:lang w:val="en-GB" w:eastAsia="en-US"/>
              </w:rPr>
            </w:pPr>
            <w:r>
              <w:rPr>
                <w:rFonts w:eastAsia="Calibri"/>
                <w:lang w:val="en-GB" w:eastAsia="en-US"/>
              </w:rPr>
              <w:t>(-2,19,</w:t>
            </w:r>
            <w:r>
              <w:rPr>
                <w:rFonts w:eastAsia="Calibri"/>
                <w:spacing w:val="-3"/>
                <w:lang w:val="en-GB" w:eastAsia="en-US"/>
              </w:rPr>
              <w:t xml:space="preserve"> </w:t>
            </w:r>
            <w:r>
              <w:rPr>
                <w:rFonts w:eastAsia="Calibri"/>
                <w:lang w:val="en-GB" w:eastAsia="en-US"/>
              </w:rPr>
              <w:t>-</w:t>
            </w:r>
            <w:r>
              <w:rPr>
                <w:rFonts w:eastAsia="Calibri"/>
                <w:spacing w:val="-2"/>
                <w:lang w:val="en-GB" w:eastAsia="en-US"/>
              </w:rPr>
              <w:t>1,18)</w:t>
            </w:r>
          </w:p>
        </w:tc>
        <w:tc>
          <w:tcPr>
            <w:tcW w:w="2716" w:type="dxa"/>
            <w:tcBorders>
              <w:bottom w:val="single" w:sz="4" w:space="0" w:color="000000"/>
            </w:tcBorders>
          </w:tcPr>
          <w:p w14:paraId="321E76AF" w14:textId="77777777" w:rsidR="00023BBF" w:rsidRDefault="00023BBF">
            <w:pPr>
              <w:rPr>
                <w:rFonts w:eastAsia="Calibri"/>
                <w:lang w:val="en-GB" w:eastAsia="en-US"/>
              </w:rPr>
            </w:pPr>
          </w:p>
        </w:tc>
      </w:tr>
      <w:tr w:rsidR="00023BBF" w14:paraId="78D5E8F7" w14:textId="77777777">
        <w:trPr>
          <w:trHeight w:val="499"/>
        </w:trPr>
        <w:tc>
          <w:tcPr>
            <w:tcW w:w="3624" w:type="dxa"/>
          </w:tcPr>
          <w:p w14:paraId="2742F482" w14:textId="77777777" w:rsidR="00023BBF" w:rsidRDefault="00E17C37">
            <w:pPr>
              <w:spacing w:line="249" w:lineRule="exact"/>
              <w:ind w:left="110"/>
              <w:rPr>
                <w:rFonts w:eastAsia="Calibri"/>
                <w:lang w:val="pt-PT" w:eastAsia="en-US"/>
              </w:rPr>
            </w:pPr>
            <w:r>
              <w:rPr>
                <w:rFonts w:eastAsia="Calibri"/>
                <w:b/>
                <w:lang w:val="pt-PT" w:eastAsia="en-US"/>
              </w:rPr>
              <w:t>Vidutinė insulino paros dozė</w:t>
            </w:r>
            <w:r>
              <w:rPr>
                <w:rFonts w:eastAsia="Calibri"/>
                <w:b/>
                <w:spacing w:val="-5"/>
                <w:lang w:val="pt-PT" w:eastAsia="en-US"/>
              </w:rPr>
              <w:t xml:space="preserve"> </w:t>
            </w:r>
            <w:r>
              <w:rPr>
                <w:rFonts w:eastAsia="Calibri"/>
                <w:b/>
                <w:spacing w:val="-2"/>
                <w:lang w:val="pt-PT" w:eastAsia="en-US"/>
              </w:rPr>
              <w:t>(IU)</w:t>
            </w:r>
            <w:r>
              <w:rPr>
                <w:rFonts w:eastAsia="Calibri"/>
                <w:spacing w:val="-2"/>
                <w:vertAlign w:val="superscript"/>
                <w:lang w:val="pt-PT" w:eastAsia="en-US"/>
              </w:rPr>
              <w:t>1</w:t>
            </w:r>
          </w:p>
          <w:p w14:paraId="4EAAE463" w14:textId="77777777" w:rsidR="00023BBF" w:rsidRDefault="00E17C37">
            <w:pPr>
              <w:spacing w:before="1" w:line="229" w:lineRule="exact"/>
              <w:ind w:left="254"/>
              <w:rPr>
                <w:rFonts w:eastAsia="Calibri"/>
                <w:lang w:val="en-GB" w:eastAsia="en-US"/>
              </w:rPr>
            </w:pPr>
            <w:proofErr w:type="spellStart"/>
            <w:r>
              <w:rPr>
                <w:rFonts w:eastAsia="Calibri"/>
                <w:lang w:val="en-GB" w:eastAsia="en-US"/>
              </w:rPr>
              <w:t>Pradinė</w:t>
            </w:r>
            <w:proofErr w:type="spellEnd"/>
            <w:r>
              <w:rPr>
                <w:rFonts w:eastAsia="Calibri"/>
                <w:spacing w:val="-8"/>
                <w:lang w:val="en-GB" w:eastAsia="en-US"/>
              </w:rPr>
              <w:t xml:space="preserve"> </w:t>
            </w:r>
            <w:r>
              <w:rPr>
                <w:rFonts w:eastAsia="Calibri"/>
                <w:spacing w:val="-2"/>
                <w:lang w:val="en-GB" w:eastAsia="en-US"/>
              </w:rPr>
              <w:t>(</w:t>
            </w:r>
            <w:proofErr w:type="spellStart"/>
            <w:r>
              <w:rPr>
                <w:rFonts w:eastAsia="Calibri"/>
                <w:spacing w:val="-2"/>
                <w:lang w:val="en-GB" w:eastAsia="en-US"/>
              </w:rPr>
              <w:t>vidurkis</w:t>
            </w:r>
            <w:proofErr w:type="spellEnd"/>
            <w:r>
              <w:rPr>
                <w:rFonts w:eastAsia="Calibri"/>
                <w:spacing w:val="-2"/>
                <w:lang w:val="en-GB" w:eastAsia="en-US"/>
              </w:rPr>
              <w:t>)</w:t>
            </w:r>
          </w:p>
        </w:tc>
        <w:tc>
          <w:tcPr>
            <w:tcW w:w="2703" w:type="dxa"/>
          </w:tcPr>
          <w:p w14:paraId="0D08768C" w14:textId="77777777" w:rsidR="00023BBF" w:rsidRDefault="00E17C37">
            <w:pPr>
              <w:spacing w:before="250" w:line="229" w:lineRule="exact"/>
              <w:ind w:left="7" w:right="518"/>
              <w:jc w:val="center"/>
              <w:rPr>
                <w:rFonts w:eastAsia="Calibri"/>
                <w:lang w:val="en-GB" w:eastAsia="en-US"/>
              </w:rPr>
            </w:pPr>
            <w:r>
              <w:rPr>
                <w:rFonts w:eastAsia="Calibri"/>
                <w:spacing w:val="-2"/>
                <w:lang w:val="en-GB" w:eastAsia="en-US"/>
              </w:rPr>
              <w:t>77,96</w:t>
            </w:r>
          </w:p>
        </w:tc>
        <w:tc>
          <w:tcPr>
            <w:tcW w:w="2716" w:type="dxa"/>
          </w:tcPr>
          <w:p w14:paraId="18B87E67" w14:textId="77777777" w:rsidR="00023BBF" w:rsidRDefault="00E17C37">
            <w:pPr>
              <w:spacing w:before="250" w:line="229" w:lineRule="exact"/>
              <w:ind w:left="1021"/>
              <w:rPr>
                <w:rFonts w:eastAsia="Calibri"/>
                <w:lang w:val="en-GB" w:eastAsia="en-US"/>
              </w:rPr>
            </w:pPr>
            <w:r>
              <w:rPr>
                <w:rFonts w:eastAsia="Calibri"/>
                <w:spacing w:val="-2"/>
                <w:lang w:val="en-GB" w:eastAsia="en-US"/>
              </w:rPr>
              <w:t>73,96</w:t>
            </w:r>
          </w:p>
        </w:tc>
      </w:tr>
      <w:tr w:rsidR="00023BBF" w14:paraId="0EC5501F" w14:textId="77777777">
        <w:trPr>
          <w:trHeight w:val="513"/>
        </w:trPr>
        <w:tc>
          <w:tcPr>
            <w:tcW w:w="3624" w:type="dxa"/>
          </w:tcPr>
          <w:p w14:paraId="41574ABC" w14:textId="77777777" w:rsidR="00023BBF" w:rsidRDefault="00E17C37">
            <w:pPr>
              <w:spacing w:line="250" w:lineRule="exact"/>
              <w:ind w:left="254" w:right="457"/>
              <w:rPr>
                <w:rFonts w:eastAsia="Calibri"/>
                <w:lang w:val="pt-PT" w:eastAsia="en-US"/>
              </w:rPr>
            </w:pPr>
            <w:r>
              <w:rPr>
                <w:rFonts w:eastAsia="Calibri"/>
                <w:lang w:val="pt-PT" w:eastAsia="en-US"/>
              </w:rPr>
              <w:t>Pokytis palyginus su pradine</w:t>
            </w:r>
            <w:r>
              <w:rPr>
                <w:rFonts w:eastAsia="Calibri"/>
                <w:vertAlign w:val="superscript"/>
                <w:lang w:val="pt-PT" w:eastAsia="en-US"/>
              </w:rPr>
              <w:t>c</w:t>
            </w:r>
            <w:r>
              <w:rPr>
                <w:rFonts w:eastAsia="Calibri"/>
                <w:lang w:val="pt-PT" w:eastAsia="en-US"/>
              </w:rPr>
              <w:t xml:space="preserve"> Skirtumas nuo</w:t>
            </w:r>
            <w:r>
              <w:rPr>
                <w:rFonts w:eastAsia="Calibri"/>
                <w:spacing w:val="-14"/>
                <w:lang w:val="pt-PT" w:eastAsia="en-US"/>
              </w:rPr>
              <w:t xml:space="preserve"> </w:t>
            </w:r>
            <w:r>
              <w:rPr>
                <w:rFonts w:eastAsia="Calibri"/>
                <w:lang w:val="pt-PT" w:eastAsia="en-US"/>
              </w:rPr>
              <w:t>placebo</w:t>
            </w:r>
            <w:r>
              <w:rPr>
                <w:rFonts w:eastAsia="Calibri"/>
                <w:vertAlign w:val="superscript"/>
                <w:lang w:val="pt-PT" w:eastAsia="en-US"/>
              </w:rPr>
              <w:t>c</w:t>
            </w:r>
          </w:p>
        </w:tc>
        <w:tc>
          <w:tcPr>
            <w:tcW w:w="2703" w:type="dxa"/>
          </w:tcPr>
          <w:p w14:paraId="4CDAE3A4" w14:textId="77777777" w:rsidR="00023BBF" w:rsidRDefault="00E17C37">
            <w:pPr>
              <w:spacing w:before="5" w:line="251" w:lineRule="exact"/>
              <w:ind w:left="863"/>
              <w:rPr>
                <w:rFonts w:eastAsia="Calibri"/>
                <w:lang w:val="en-GB" w:eastAsia="en-US"/>
              </w:rPr>
            </w:pPr>
            <w:r>
              <w:rPr>
                <w:rFonts w:eastAsia="Calibri"/>
                <w:spacing w:val="-2"/>
                <w:lang w:val="en-GB" w:eastAsia="en-US"/>
              </w:rPr>
              <w:t>-</w:t>
            </w:r>
            <w:r>
              <w:rPr>
                <w:rFonts w:eastAsia="Calibri"/>
                <w:spacing w:val="-4"/>
                <w:lang w:val="en-GB" w:eastAsia="en-US"/>
              </w:rPr>
              <w:t>1,16</w:t>
            </w:r>
          </w:p>
          <w:p w14:paraId="045BE026" w14:textId="77777777" w:rsidR="00023BBF" w:rsidRDefault="00E17C37">
            <w:pPr>
              <w:spacing w:line="236" w:lineRule="exact"/>
              <w:ind w:left="825"/>
              <w:rPr>
                <w:rFonts w:eastAsia="Calibri"/>
                <w:lang w:val="en-GB" w:eastAsia="en-US"/>
              </w:rPr>
            </w:pPr>
            <w:r>
              <w:rPr>
                <w:rFonts w:eastAsia="Calibri"/>
                <w:spacing w:val="-2"/>
                <w:lang w:val="en-GB" w:eastAsia="en-US"/>
              </w:rPr>
              <w:t>-6,23</w:t>
            </w:r>
            <w:r>
              <w:rPr>
                <w:rFonts w:eastAsia="Calibri"/>
                <w:spacing w:val="-2"/>
                <w:vertAlign w:val="superscript"/>
                <w:lang w:val="en-GB" w:eastAsia="en-US"/>
              </w:rPr>
              <w:t>*</w:t>
            </w:r>
          </w:p>
        </w:tc>
        <w:tc>
          <w:tcPr>
            <w:tcW w:w="2716" w:type="dxa"/>
          </w:tcPr>
          <w:p w14:paraId="53B2D5EA" w14:textId="77777777" w:rsidR="00023BBF" w:rsidRDefault="00E17C37">
            <w:pPr>
              <w:spacing w:before="5"/>
              <w:ind w:left="1079"/>
              <w:rPr>
                <w:rFonts w:eastAsia="Calibri"/>
                <w:lang w:val="en-GB" w:eastAsia="en-US"/>
              </w:rPr>
            </w:pPr>
            <w:r>
              <w:rPr>
                <w:rFonts w:eastAsia="Calibri"/>
                <w:spacing w:val="-4"/>
                <w:lang w:val="en-GB" w:eastAsia="en-US"/>
              </w:rPr>
              <w:t>5,08</w:t>
            </w:r>
          </w:p>
        </w:tc>
      </w:tr>
      <w:tr w:rsidR="00023BBF" w14:paraId="4A5B7DF7" w14:textId="77777777">
        <w:trPr>
          <w:trHeight w:val="254"/>
        </w:trPr>
        <w:tc>
          <w:tcPr>
            <w:tcW w:w="3624" w:type="dxa"/>
          </w:tcPr>
          <w:p w14:paraId="429F6E22" w14:textId="77777777" w:rsidR="00023BBF" w:rsidRDefault="00E17C37">
            <w:pPr>
              <w:spacing w:line="234" w:lineRule="exact"/>
              <w:ind w:left="479"/>
              <w:rPr>
                <w:rFonts w:eastAsia="Calibri"/>
                <w:lang w:val="en-GB" w:eastAsia="en-US"/>
              </w:rPr>
            </w:pPr>
            <w:r>
              <w:rPr>
                <w:rFonts w:eastAsia="Calibri"/>
                <w:lang w:val="en-GB" w:eastAsia="en-US"/>
              </w:rPr>
              <w:t>(95 %</w:t>
            </w:r>
            <w:r>
              <w:rPr>
                <w:rFonts w:eastAsia="Calibri"/>
                <w:spacing w:val="-6"/>
                <w:lang w:val="en-GB" w:eastAsia="en-US"/>
              </w:rPr>
              <w:t xml:space="preserve"> </w:t>
            </w:r>
            <w:r>
              <w:rPr>
                <w:rFonts w:eastAsia="Calibri"/>
                <w:spacing w:val="-5"/>
                <w:lang w:val="en-GB" w:eastAsia="en-US"/>
              </w:rPr>
              <w:t>PI)</w:t>
            </w:r>
          </w:p>
        </w:tc>
        <w:tc>
          <w:tcPr>
            <w:tcW w:w="2703" w:type="dxa"/>
          </w:tcPr>
          <w:p w14:paraId="7950E304" w14:textId="77777777" w:rsidR="00023BBF" w:rsidRDefault="00E17C37">
            <w:pPr>
              <w:spacing w:line="234" w:lineRule="exact"/>
              <w:ind w:left="2" w:right="518"/>
              <w:jc w:val="center"/>
              <w:rPr>
                <w:rFonts w:eastAsia="Calibri"/>
                <w:lang w:val="en-GB" w:eastAsia="en-US"/>
              </w:rPr>
            </w:pPr>
            <w:r>
              <w:rPr>
                <w:rFonts w:eastAsia="Calibri"/>
                <w:lang w:val="en-GB" w:eastAsia="en-US"/>
              </w:rPr>
              <w:t>(-8,84,</w:t>
            </w:r>
            <w:r>
              <w:rPr>
                <w:rFonts w:eastAsia="Calibri"/>
                <w:spacing w:val="-3"/>
                <w:lang w:val="en-GB" w:eastAsia="en-US"/>
              </w:rPr>
              <w:t xml:space="preserve"> </w:t>
            </w:r>
            <w:r>
              <w:rPr>
                <w:rFonts w:eastAsia="Calibri"/>
                <w:lang w:val="en-GB" w:eastAsia="en-US"/>
              </w:rPr>
              <w:t>-</w:t>
            </w:r>
            <w:r>
              <w:rPr>
                <w:rFonts w:eastAsia="Calibri"/>
                <w:spacing w:val="-2"/>
                <w:lang w:val="en-GB" w:eastAsia="en-US"/>
              </w:rPr>
              <w:t>3,63)</w:t>
            </w:r>
          </w:p>
        </w:tc>
        <w:tc>
          <w:tcPr>
            <w:tcW w:w="2716" w:type="dxa"/>
          </w:tcPr>
          <w:p w14:paraId="2F221A66" w14:textId="77777777" w:rsidR="00023BBF" w:rsidRDefault="00023BBF">
            <w:pPr>
              <w:rPr>
                <w:rFonts w:eastAsia="Calibri"/>
                <w:lang w:val="en-GB" w:eastAsia="en-US"/>
              </w:rPr>
            </w:pPr>
          </w:p>
        </w:tc>
      </w:tr>
      <w:tr w:rsidR="00023BBF" w14:paraId="48DF91BE" w14:textId="77777777">
        <w:trPr>
          <w:trHeight w:val="504"/>
        </w:trPr>
        <w:tc>
          <w:tcPr>
            <w:tcW w:w="3624" w:type="dxa"/>
          </w:tcPr>
          <w:p w14:paraId="32FC4E70" w14:textId="77777777" w:rsidR="00023BBF" w:rsidRDefault="00E17C37">
            <w:pPr>
              <w:spacing w:line="250" w:lineRule="exact"/>
              <w:ind w:left="254" w:right="457"/>
              <w:rPr>
                <w:rFonts w:eastAsia="Calibri"/>
                <w:lang w:val="pt-PT" w:eastAsia="en-US"/>
              </w:rPr>
            </w:pPr>
            <w:r>
              <w:rPr>
                <w:rFonts w:eastAsia="Calibri"/>
                <w:lang w:val="pt-PT" w:eastAsia="en-US"/>
              </w:rPr>
              <w:t>Pacientai, kuriems vidutinė insulino paros dozė buvo sumažinta bent</w:t>
            </w:r>
          </w:p>
        </w:tc>
        <w:tc>
          <w:tcPr>
            <w:tcW w:w="2703" w:type="dxa"/>
          </w:tcPr>
          <w:p w14:paraId="1459F322" w14:textId="77777777" w:rsidR="00023BBF" w:rsidRDefault="00E17C37">
            <w:pPr>
              <w:spacing w:before="246" w:line="238" w:lineRule="exact"/>
              <w:ind w:right="518"/>
              <w:jc w:val="center"/>
              <w:rPr>
                <w:rFonts w:eastAsia="Calibri"/>
                <w:lang w:val="en-GB" w:eastAsia="en-US"/>
              </w:rPr>
            </w:pPr>
            <w:r>
              <w:rPr>
                <w:rFonts w:eastAsia="Calibri"/>
                <w:spacing w:val="-2"/>
                <w:lang w:val="en-GB" w:eastAsia="en-US"/>
              </w:rPr>
              <w:t>19,7</w:t>
            </w:r>
            <w:r>
              <w:rPr>
                <w:rFonts w:eastAsia="Calibri"/>
                <w:spacing w:val="-2"/>
                <w:vertAlign w:val="superscript"/>
                <w:lang w:val="en-GB" w:eastAsia="en-US"/>
              </w:rPr>
              <w:t>**</w:t>
            </w:r>
          </w:p>
        </w:tc>
        <w:tc>
          <w:tcPr>
            <w:tcW w:w="2716" w:type="dxa"/>
          </w:tcPr>
          <w:p w14:paraId="59D12E06" w14:textId="77777777" w:rsidR="00023BBF" w:rsidRDefault="00E17C37">
            <w:pPr>
              <w:spacing w:before="246" w:line="238" w:lineRule="exact"/>
              <w:ind w:left="1079"/>
              <w:rPr>
                <w:rFonts w:eastAsia="Calibri"/>
                <w:lang w:val="en-GB" w:eastAsia="en-US"/>
              </w:rPr>
            </w:pPr>
            <w:r>
              <w:rPr>
                <w:rFonts w:eastAsia="Calibri"/>
                <w:spacing w:val="-4"/>
                <w:lang w:val="en-GB" w:eastAsia="en-US"/>
              </w:rPr>
              <w:t>11,0</w:t>
            </w:r>
          </w:p>
        </w:tc>
      </w:tr>
      <w:tr w:rsidR="00023BBF" w14:paraId="56D6F24F" w14:textId="77777777">
        <w:trPr>
          <w:trHeight w:val="254"/>
        </w:trPr>
        <w:tc>
          <w:tcPr>
            <w:tcW w:w="3624" w:type="dxa"/>
            <w:tcBorders>
              <w:bottom w:val="single" w:sz="4" w:space="0" w:color="000000"/>
            </w:tcBorders>
          </w:tcPr>
          <w:p w14:paraId="43E6FFA3" w14:textId="77777777" w:rsidR="00023BBF" w:rsidRDefault="00E17C37">
            <w:pPr>
              <w:spacing w:line="234" w:lineRule="exact"/>
              <w:ind w:left="254"/>
              <w:rPr>
                <w:rFonts w:eastAsia="Calibri"/>
                <w:lang w:val="en-GB" w:eastAsia="en-US"/>
              </w:rPr>
            </w:pPr>
            <w:r>
              <w:rPr>
                <w:rFonts w:eastAsia="Calibri"/>
                <w:lang w:val="en-GB" w:eastAsia="en-US"/>
              </w:rPr>
              <w:t>10 %</w:t>
            </w:r>
            <w:r>
              <w:rPr>
                <w:rFonts w:eastAsia="Calibri"/>
                <w:spacing w:val="1"/>
                <w:lang w:val="en-GB" w:eastAsia="en-US"/>
              </w:rPr>
              <w:t xml:space="preserve"> </w:t>
            </w:r>
            <w:r>
              <w:rPr>
                <w:rFonts w:eastAsia="Calibri"/>
                <w:spacing w:val="-5"/>
                <w:lang w:val="en-GB" w:eastAsia="en-US"/>
              </w:rPr>
              <w:t>(%)</w:t>
            </w:r>
          </w:p>
        </w:tc>
        <w:tc>
          <w:tcPr>
            <w:tcW w:w="2703" w:type="dxa"/>
            <w:tcBorders>
              <w:bottom w:val="single" w:sz="4" w:space="0" w:color="000000"/>
            </w:tcBorders>
          </w:tcPr>
          <w:p w14:paraId="0FE9F359" w14:textId="77777777" w:rsidR="00023BBF" w:rsidRDefault="00023BBF">
            <w:pPr>
              <w:rPr>
                <w:rFonts w:eastAsia="Calibri"/>
                <w:lang w:val="en-GB" w:eastAsia="en-US"/>
              </w:rPr>
            </w:pPr>
          </w:p>
        </w:tc>
        <w:tc>
          <w:tcPr>
            <w:tcW w:w="2716" w:type="dxa"/>
            <w:tcBorders>
              <w:bottom w:val="single" w:sz="4" w:space="0" w:color="000000"/>
            </w:tcBorders>
          </w:tcPr>
          <w:p w14:paraId="1D295CB9" w14:textId="77777777" w:rsidR="00023BBF" w:rsidRDefault="00023BBF">
            <w:pPr>
              <w:rPr>
                <w:rFonts w:eastAsia="Calibri"/>
                <w:lang w:val="en-GB" w:eastAsia="en-US"/>
              </w:rPr>
            </w:pPr>
          </w:p>
        </w:tc>
      </w:tr>
    </w:tbl>
    <w:bookmarkEnd w:id="2"/>
    <w:bookmarkEnd w:id="3"/>
    <w:p w14:paraId="0F1A9705"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a</w:t>
      </w:r>
      <w:r>
        <w:rPr>
          <w:rFonts w:eastAsiaTheme="minorHAnsi"/>
          <w:color w:val="000000"/>
          <w:sz w:val="18"/>
          <w:szCs w:val="18"/>
          <w:lang w:eastAsia="en-US"/>
        </w:rPr>
        <w:t xml:space="preserve"> LOCF – paskutinė atlikta apžiūra iki pirmo insulino dozės padidinimo (jei jo reikėjo) arba padidinimo dieną. </w:t>
      </w:r>
    </w:p>
    <w:p w14:paraId="0A2057E3"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b</w:t>
      </w:r>
      <w:r>
        <w:rPr>
          <w:rFonts w:eastAsiaTheme="minorHAnsi"/>
          <w:color w:val="000000"/>
          <w:sz w:val="18"/>
          <w:szCs w:val="18"/>
          <w:lang w:eastAsia="en-US"/>
        </w:rPr>
        <w:t xml:space="preserve"> Visi atsitiktinai atrinkti asmenys, dvigubai aklai vartoję bent vieną dozę trumpu dvigubai aklu laikotarpiu. </w:t>
      </w:r>
    </w:p>
    <w:p w14:paraId="15D8545E"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c</w:t>
      </w:r>
      <w:r>
        <w:rPr>
          <w:rFonts w:eastAsiaTheme="minorHAnsi"/>
          <w:color w:val="000000"/>
          <w:sz w:val="18"/>
          <w:szCs w:val="18"/>
          <w:lang w:eastAsia="en-US"/>
        </w:rPr>
        <w:t xml:space="preserve"> Mažiausių kvadratų metodu apskaičiuotas vidurkis, koreguotas pagal pradinį dydį ir geriamojo gliukozės koncentraciją mažinančio vaistinio preparato vartojimą. </w:t>
      </w:r>
    </w:p>
    <w:p w14:paraId="272956C4"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lastRenderedPageBreak/>
        <w:t>*</w:t>
      </w:r>
      <w:r>
        <w:rPr>
          <w:rFonts w:eastAsiaTheme="minorHAnsi"/>
          <w:color w:val="000000"/>
          <w:sz w:val="18"/>
          <w:szCs w:val="18"/>
          <w:lang w:eastAsia="en-US"/>
        </w:rPr>
        <w:t xml:space="preserve"> p &lt; 0,0001 palyginus su placebo ir insulino deriniu (taip pat kartu vartota arba nevartota geriamojo gliukozės koncentraciją mažinančio vaistinio preparato). </w:t>
      </w:r>
    </w:p>
    <w:p w14:paraId="77F27504"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w:t>
      </w:r>
      <w:r>
        <w:rPr>
          <w:rFonts w:eastAsiaTheme="minorHAnsi"/>
          <w:color w:val="000000"/>
          <w:sz w:val="18"/>
          <w:szCs w:val="18"/>
          <w:lang w:eastAsia="en-US"/>
        </w:rPr>
        <w:t xml:space="preserve">p &lt; 0,05 palyginus su placebo ir insulino deriniu (taip pat kartu vartota arba nevartota geriamojo gliukozės koncentraciją mažinančio vaistinio preparato). </w:t>
      </w:r>
    </w:p>
    <w:p w14:paraId="2B801629"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1</w:t>
      </w:r>
      <w:r>
        <w:rPr>
          <w:rFonts w:eastAsiaTheme="minorHAnsi"/>
          <w:color w:val="000000"/>
          <w:sz w:val="18"/>
          <w:szCs w:val="18"/>
          <w:lang w:eastAsia="en-US"/>
        </w:rPr>
        <w:t xml:space="preserve"> Insulino (trumpos, vidutinės veikimo trukmės, bazinio) dozę buvo leidžiama didinti tik pacientams, atitikusiems iš anksto numatytus gliukozės koncentracijos plazmoje nevalgius kriterijus.</w:t>
      </w:r>
    </w:p>
    <w:p w14:paraId="6BDEF889" w14:textId="77777777" w:rsidR="00023BBF" w:rsidRDefault="00E17C37">
      <w:pPr>
        <w:widowControl w:val="0"/>
        <w:autoSpaceDE w:val="0"/>
        <w:autoSpaceDN w:val="0"/>
        <w:adjustRightInd w:val="0"/>
        <w:rPr>
          <w:sz w:val="18"/>
          <w:szCs w:val="18"/>
        </w:rPr>
      </w:pPr>
      <w:r>
        <w:rPr>
          <w:sz w:val="18"/>
          <w:szCs w:val="18"/>
          <w:vertAlign w:val="superscript"/>
        </w:rPr>
        <w:t>2</w:t>
      </w:r>
      <w:r>
        <w:rPr>
          <w:sz w:val="18"/>
          <w:szCs w:val="18"/>
        </w:rPr>
        <w:t xml:space="preserve"> Iš pradžių 50 % pacientų vartojo vien insulino, 50 % – kartu su juo 1-2 geriamųjų gliukozės koncentraciją mažinančių vaistinių preparatų (80 % pastarųjų – tik </w:t>
      </w:r>
      <w:proofErr w:type="spellStart"/>
      <w:r>
        <w:rPr>
          <w:sz w:val="18"/>
          <w:szCs w:val="18"/>
        </w:rPr>
        <w:t>metformino</w:t>
      </w:r>
      <w:proofErr w:type="spellEnd"/>
      <w:r>
        <w:rPr>
          <w:sz w:val="18"/>
          <w:szCs w:val="18"/>
        </w:rPr>
        <w:t xml:space="preserve">, 12 % – </w:t>
      </w:r>
      <w:proofErr w:type="spellStart"/>
      <w:r>
        <w:rPr>
          <w:sz w:val="18"/>
          <w:szCs w:val="18"/>
        </w:rPr>
        <w:t>metformino</w:t>
      </w:r>
      <w:proofErr w:type="spellEnd"/>
      <w:r>
        <w:rPr>
          <w:sz w:val="18"/>
          <w:szCs w:val="18"/>
        </w:rPr>
        <w:t xml:space="preserve"> ir </w:t>
      </w:r>
      <w:proofErr w:type="spellStart"/>
      <w:r>
        <w:rPr>
          <w:sz w:val="18"/>
          <w:szCs w:val="18"/>
        </w:rPr>
        <w:t>sulfonilkarbamido</w:t>
      </w:r>
      <w:proofErr w:type="spellEnd"/>
      <w:r>
        <w:rPr>
          <w:sz w:val="18"/>
          <w:szCs w:val="18"/>
        </w:rPr>
        <w:t xml:space="preserve"> darinio, likusieji – kitų geriamųjų gliukozės koncentraciją mažinančių vaistinių preparatų).</w:t>
      </w:r>
    </w:p>
    <w:p w14:paraId="63F19136" w14:textId="77777777" w:rsidR="00023BBF" w:rsidRDefault="00023BBF">
      <w:pPr>
        <w:widowControl w:val="0"/>
        <w:tabs>
          <w:tab w:val="left" w:pos="567"/>
        </w:tabs>
        <w:ind w:left="567" w:hanging="567"/>
        <w:outlineLvl w:val="2"/>
        <w:rPr>
          <w:rFonts w:eastAsia="TimesNewRoman"/>
          <w:sz w:val="22"/>
          <w:szCs w:val="22"/>
          <w:lang w:eastAsia="en-US"/>
        </w:rPr>
      </w:pPr>
    </w:p>
    <w:p w14:paraId="455C9EC2"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 xml:space="preserve">Derinys su </w:t>
      </w:r>
      <w:proofErr w:type="spellStart"/>
      <w:r>
        <w:rPr>
          <w:rFonts w:eastAsiaTheme="minorHAnsi"/>
          <w:i/>
          <w:iCs/>
          <w:color w:val="000000"/>
          <w:sz w:val="22"/>
          <w:szCs w:val="22"/>
          <w:lang w:eastAsia="en-US"/>
        </w:rPr>
        <w:t>metforminu</w:t>
      </w:r>
      <w:proofErr w:type="spellEnd"/>
      <w:r>
        <w:rPr>
          <w:rFonts w:eastAsiaTheme="minorHAnsi"/>
          <w:i/>
          <w:iCs/>
          <w:color w:val="000000"/>
          <w:sz w:val="22"/>
          <w:szCs w:val="22"/>
          <w:lang w:eastAsia="en-US"/>
        </w:rPr>
        <w:t xml:space="preserve"> anksčiau vaistinių preparatų nevartojusiems pacientams</w:t>
      </w:r>
    </w:p>
    <w:p w14:paraId="0D433FA9"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Dviejuose 24 savaičių aktyvios kontrolės dapagliflozino (5 mg arba 10 mg) derinio su </w:t>
      </w:r>
      <w:proofErr w:type="spellStart"/>
      <w:r>
        <w:rPr>
          <w:rFonts w:eastAsiaTheme="minorHAnsi"/>
          <w:color w:val="000000"/>
          <w:sz w:val="22"/>
          <w:szCs w:val="22"/>
          <w:lang w:eastAsia="en-US"/>
        </w:rPr>
        <w:t>metforminu</w:t>
      </w:r>
      <w:proofErr w:type="spellEnd"/>
      <w:r>
        <w:rPr>
          <w:rFonts w:eastAsiaTheme="minorHAnsi"/>
          <w:color w:val="000000"/>
          <w:sz w:val="22"/>
          <w:szCs w:val="22"/>
          <w:lang w:eastAsia="en-US"/>
        </w:rPr>
        <w:t xml:space="preserve"> veiksmingumo ir saugumo, palyginus su atskirais komponentais, tyrimuose iš viso dalyvavo 1 236 anksčiau vaistinių preparatų nevartoję pacientai, sirgę tinkamai nekontroliuojamu 2 tipo diabetu (HbA1c ≥ 7,5 % ir ≤ 12 %).</w:t>
      </w:r>
    </w:p>
    <w:p w14:paraId="67EDFF4C" w14:textId="77777777" w:rsidR="00023BBF" w:rsidRDefault="00E17C37">
      <w:pPr>
        <w:widowControl w:val="0"/>
        <w:autoSpaceDE w:val="0"/>
        <w:autoSpaceDN w:val="0"/>
        <w:adjustRightInd w:val="0"/>
        <w:rPr>
          <w:sz w:val="22"/>
          <w:szCs w:val="22"/>
        </w:rPr>
      </w:pPr>
      <w:r>
        <w:rPr>
          <w:sz w:val="22"/>
          <w:szCs w:val="22"/>
        </w:rPr>
        <w:t xml:space="preserve">Kartu vartojus 10 mg dapagliflozino ir iki 2 000 mg </w:t>
      </w:r>
      <w:proofErr w:type="spellStart"/>
      <w:r>
        <w:rPr>
          <w:sz w:val="22"/>
          <w:szCs w:val="22"/>
        </w:rPr>
        <w:t>metformino</w:t>
      </w:r>
      <w:proofErr w:type="spellEnd"/>
      <w:r>
        <w:rPr>
          <w:sz w:val="22"/>
          <w:szCs w:val="22"/>
        </w:rPr>
        <w:t xml:space="preserve"> per parą, HbA1c koncentracija buvo reikšmingai mažesnė negu vartojus atskirų komponentų (7 lentelė)ir lėmė didesnį gliukozės koncentracijos plazmoje sumažėjimą nevalgius bei labiau už </w:t>
      </w:r>
      <w:proofErr w:type="spellStart"/>
      <w:r>
        <w:rPr>
          <w:sz w:val="22"/>
          <w:szCs w:val="22"/>
        </w:rPr>
        <w:t>metforminą</w:t>
      </w:r>
      <w:proofErr w:type="spellEnd"/>
      <w:r>
        <w:rPr>
          <w:sz w:val="22"/>
          <w:szCs w:val="22"/>
        </w:rPr>
        <w:t xml:space="preserve"> sumažino kūno svorį.</w:t>
      </w:r>
    </w:p>
    <w:p w14:paraId="3067FCB3" w14:textId="77777777" w:rsidR="00023BBF" w:rsidRDefault="00023BBF">
      <w:pPr>
        <w:widowControl w:val="0"/>
        <w:tabs>
          <w:tab w:val="left" w:pos="567"/>
        </w:tabs>
        <w:outlineLvl w:val="2"/>
        <w:rPr>
          <w:rFonts w:eastAsia="TimesNewRoman"/>
          <w:sz w:val="22"/>
          <w:szCs w:val="22"/>
          <w:lang w:eastAsia="en-US"/>
        </w:rPr>
      </w:pPr>
    </w:p>
    <w:p w14:paraId="20561CB2" w14:textId="77777777" w:rsidR="00023BBF" w:rsidRDefault="00E17C37">
      <w:pPr>
        <w:widowControl w:val="0"/>
        <w:tabs>
          <w:tab w:val="left" w:pos="567"/>
        </w:tabs>
        <w:ind w:left="567" w:hanging="567"/>
        <w:outlineLvl w:val="2"/>
        <w:rPr>
          <w:rFonts w:eastAsia="TimesNewRoman"/>
          <w:b/>
          <w:bCs/>
          <w:sz w:val="22"/>
          <w:szCs w:val="22"/>
          <w:lang w:eastAsia="en-US"/>
        </w:rPr>
      </w:pPr>
      <w:r>
        <w:rPr>
          <w:rFonts w:eastAsia="TimesNewRoman"/>
          <w:b/>
          <w:bCs/>
          <w:sz w:val="22"/>
          <w:szCs w:val="22"/>
          <w:lang w:eastAsia="en-US"/>
        </w:rPr>
        <w:t xml:space="preserve">7 lentelė. Aktyviai kontroliuoto dapagliflozino ir </w:t>
      </w:r>
      <w:proofErr w:type="spellStart"/>
      <w:r>
        <w:rPr>
          <w:rFonts w:eastAsia="TimesNewRoman"/>
          <w:b/>
          <w:bCs/>
          <w:sz w:val="22"/>
          <w:szCs w:val="22"/>
          <w:lang w:eastAsia="en-US"/>
        </w:rPr>
        <w:t>metformino</w:t>
      </w:r>
      <w:proofErr w:type="spellEnd"/>
      <w:r>
        <w:rPr>
          <w:rFonts w:eastAsia="TimesNewRoman"/>
          <w:b/>
          <w:bCs/>
          <w:sz w:val="22"/>
          <w:szCs w:val="22"/>
          <w:lang w:eastAsia="en-US"/>
        </w:rPr>
        <w:t xml:space="preserve"> derinio poveikio anksčiau vaistinių preparatų nevartojusiems pacientams tyrimo duomenys po 24 savaičių (</w:t>
      </w:r>
      <w:proofErr w:type="spellStart"/>
      <w:r>
        <w:rPr>
          <w:rFonts w:eastAsia="TimesNewRoman"/>
          <w:b/>
          <w:bCs/>
          <w:sz w:val="22"/>
          <w:szCs w:val="22"/>
          <w:lang w:eastAsia="en-US"/>
        </w:rPr>
        <w:t>LOCF</w:t>
      </w:r>
      <w:r>
        <w:rPr>
          <w:rFonts w:eastAsia="TimesNewRoman"/>
          <w:b/>
          <w:bCs/>
          <w:sz w:val="22"/>
          <w:szCs w:val="22"/>
          <w:vertAlign w:val="superscript"/>
          <w:lang w:eastAsia="en-US"/>
        </w:rPr>
        <w:t>a</w:t>
      </w:r>
      <w:proofErr w:type="spellEnd"/>
      <w:r>
        <w:rPr>
          <w:rFonts w:eastAsia="TimesNewRoman"/>
          <w:b/>
          <w:bCs/>
          <w:sz w:val="22"/>
          <w:szCs w:val="22"/>
          <w:lang w:eastAsia="en-US"/>
        </w:rPr>
        <w:t>)</w:t>
      </w:r>
    </w:p>
    <w:tbl>
      <w:tblPr>
        <w:tblStyle w:val="Lentelstinklelis3"/>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7"/>
        <w:gridCol w:w="2552"/>
        <w:gridCol w:w="1671"/>
        <w:gridCol w:w="1698"/>
      </w:tblGrid>
      <w:tr w:rsidR="00023BBF" w14:paraId="0F4EBBDA" w14:textId="77777777">
        <w:tc>
          <w:tcPr>
            <w:tcW w:w="3407" w:type="dxa"/>
            <w:tcBorders>
              <w:top w:val="single" w:sz="4" w:space="0" w:color="auto"/>
              <w:bottom w:val="single" w:sz="4" w:space="0" w:color="auto"/>
            </w:tcBorders>
          </w:tcPr>
          <w:p w14:paraId="22979EF3" w14:textId="77777777" w:rsidR="00023BBF" w:rsidRDefault="00E17C37">
            <w:pPr>
              <w:numPr>
                <w:ilvl w:val="12"/>
                <w:numId w:val="0"/>
              </w:numPr>
              <w:tabs>
                <w:tab w:val="left" w:pos="8505"/>
              </w:tabs>
              <w:ind w:right="201"/>
              <w:rPr>
                <w:b/>
                <w:sz w:val="22"/>
                <w:lang w:val="en-GB" w:eastAsia="sl-SI"/>
              </w:rPr>
            </w:pPr>
            <w:proofErr w:type="spellStart"/>
            <w:r>
              <w:rPr>
                <w:b/>
                <w:sz w:val="22"/>
                <w:lang w:val="en-GB" w:eastAsia="sl-SI"/>
              </w:rPr>
              <w:t>Rodiklis</w:t>
            </w:r>
            <w:proofErr w:type="spellEnd"/>
          </w:p>
          <w:p w14:paraId="2DB9924A" w14:textId="77777777" w:rsidR="00023BBF" w:rsidRDefault="00023BBF">
            <w:pPr>
              <w:numPr>
                <w:ilvl w:val="12"/>
                <w:numId w:val="0"/>
              </w:numPr>
              <w:tabs>
                <w:tab w:val="left" w:pos="8505"/>
              </w:tabs>
              <w:spacing w:line="251" w:lineRule="exact"/>
              <w:ind w:right="-2"/>
              <w:rPr>
                <w:b/>
                <w:sz w:val="22"/>
                <w:lang w:val="en-GB" w:eastAsia="sl-SI"/>
              </w:rPr>
            </w:pPr>
          </w:p>
        </w:tc>
        <w:tc>
          <w:tcPr>
            <w:tcW w:w="2552" w:type="dxa"/>
            <w:tcBorders>
              <w:top w:val="single" w:sz="4" w:space="0" w:color="auto"/>
              <w:bottom w:val="single" w:sz="4" w:space="0" w:color="auto"/>
            </w:tcBorders>
          </w:tcPr>
          <w:p w14:paraId="432DFBB2" w14:textId="77777777" w:rsidR="00023BBF" w:rsidRDefault="00E17C37">
            <w:pPr>
              <w:numPr>
                <w:ilvl w:val="12"/>
                <w:numId w:val="0"/>
              </w:numPr>
              <w:tabs>
                <w:tab w:val="left" w:pos="8505"/>
              </w:tabs>
              <w:ind w:right="201"/>
              <w:jc w:val="center"/>
              <w:rPr>
                <w:b/>
                <w:sz w:val="22"/>
                <w:lang w:val="en-GB" w:eastAsia="sl-SI"/>
              </w:rPr>
            </w:pPr>
            <w:proofErr w:type="spellStart"/>
            <w:r>
              <w:rPr>
                <w:b/>
                <w:sz w:val="22"/>
                <w:lang w:val="en-GB" w:eastAsia="sl-SI"/>
              </w:rPr>
              <w:t>Dapagliflozinas</w:t>
            </w:r>
            <w:proofErr w:type="spellEnd"/>
            <w:r>
              <w:rPr>
                <w:b/>
                <w:sz w:val="22"/>
                <w:lang w:val="en-GB" w:eastAsia="sl-SI"/>
              </w:rPr>
              <w:t xml:space="preserve"> 10 mg + </w:t>
            </w:r>
            <w:proofErr w:type="spellStart"/>
            <w:r>
              <w:rPr>
                <w:b/>
                <w:sz w:val="22"/>
                <w:lang w:val="en-GB" w:eastAsia="sl-SI"/>
              </w:rPr>
              <w:t>metforminas</w:t>
            </w:r>
            <w:proofErr w:type="spellEnd"/>
          </w:p>
        </w:tc>
        <w:tc>
          <w:tcPr>
            <w:tcW w:w="1412" w:type="dxa"/>
            <w:tcBorders>
              <w:top w:val="single" w:sz="4" w:space="0" w:color="auto"/>
              <w:bottom w:val="single" w:sz="4" w:space="0" w:color="auto"/>
            </w:tcBorders>
          </w:tcPr>
          <w:p w14:paraId="561DBB32" w14:textId="77777777" w:rsidR="00023BBF" w:rsidRDefault="00E17C37">
            <w:pPr>
              <w:numPr>
                <w:ilvl w:val="12"/>
                <w:numId w:val="0"/>
              </w:numPr>
              <w:tabs>
                <w:tab w:val="left" w:pos="8505"/>
              </w:tabs>
              <w:spacing w:line="251" w:lineRule="exact"/>
              <w:ind w:right="-2"/>
              <w:jc w:val="center"/>
              <w:rPr>
                <w:b/>
                <w:sz w:val="22"/>
                <w:lang w:val="en-GB" w:eastAsia="sl-SI"/>
              </w:rPr>
            </w:pPr>
            <w:proofErr w:type="spellStart"/>
            <w:r>
              <w:rPr>
                <w:b/>
                <w:sz w:val="22"/>
                <w:lang w:val="en-GB" w:eastAsia="sl-SI"/>
              </w:rPr>
              <w:t>Dapagliflozinas</w:t>
            </w:r>
            <w:proofErr w:type="spellEnd"/>
            <w:r>
              <w:rPr>
                <w:b/>
                <w:sz w:val="22"/>
                <w:lang w:val="en-GB" w:eastAsia="sl-SI"/>
              </w:rPr>
              <w:t xml:space="preserve"> 10 mg</w:t>
            </w:r>
          </w:p>
        </w:tc>
        <w:tc>
          <w:tcPr>
            <w:tcW w:w="1698" w:type="dxa"/>
            <w:tcBorders>
              <w:top w:val="single" w:sz="4" w:space="0" w:color="auto"/>
              <w:bottom w:val="single" w:sz="4" w:space="0" w:color="auto"/>
            </w:tcBorders>
          </w:tcPr>
          <w:p w14:paraId="4DA35DB5" w14:textId="77777777" w:rsidR="00023BBF" w:rsidRDefault="00E17C37">
            <w:pPr>
              <w:numPr>
                <w:ilvl w:val="12"/>
                <w:numId w:val="0"/>
              </w:numPr>
              <w:tabs>
                <w:tab w:val="left" w:pos="8505"/>
              </w:tabs>
              <w:spacing w:line="251" w:lineRule="exact"/>
              <w:ind w:right="-2"/>
              <w:jc w:val="center"/>
              <w:rPr>
                <w:b/>
                <w:sz w:val="22"/>
                <w:lang w:val="en-GB" w:eastAsia="sl-SI"/>
              </w:rPr>
            </w:pPr>
            <w:proofErr w:type="spellStart"/>
            <w:r>
              <w:rPr>
                <w:b/>
                <w:sz w:val="22"/>
                <w:lang w:val="en-GB" w:eastAsia="sl-SI"/>
              </w:rPr>
              <w:t>Metforminas</w:t>
            </w:r>
            <w:proofErr w:type="spellEnd"/>
          </w:p>
        </w:tc>
      </w:tr>
      <w:tr w:rsidR="00023BBF" w14:paraId="478A3625" w14:textId="77777777">
        <w:tc>
          <w:tcPr>
            <w:tcW w:w="3407" w:type="dxa"/>
            <w:tcBorders>
              <w:top w:val="single" w:sz="4" w:space="0" w:color="auto"/>
              <w:bottom w:val="single" w:sz="4" w:space="0" w:color="auto"/>
            </w:tcBorders>
          </w:tcPr>
          <w:p w14:paraId="5A895E87" w14:textId="77777777" w:rsidR="00023BBF" w:rsidRDefault="00E17C37">
            <w:pPr>
              <w:numPr>
                <w:ilvl w:val="12"/>
                <w:numId w:val="0"/>
              </w:numPr>
              <w:tabs>
                <w:tab w:val="left" w:pos="8505"/>
              </w:tabs>
              <w:ind w:right="201"/>
              <w:rPr>
                <w:sz w:val="22"/>
                <w:lang w:val="en-GB" w:eastAsia="sl-SI"/>
              </w:rPr>
            </w:pPr>
            <w:r>
              <w:rPr>
                <w:b/>
                <w:spacing w:val="-5"/>
                <w:sz w:val="22"/>
                <w:lang w:val="en-GB" w:eastAsia="sl-SI"/>
              </w:rPr>
              <w:t>N</w:t>
            </w:r>
            <w:r>
              <w:rPr>
                <w:spacing w:val="-5"/>
                <w:sz w:val="22"/>
                <w:vertAlign w:val="superscript"/>
                <w:lang w:val="en-GB" w:eastAsia="sl-SI"/>
              </w:rPr>
              <w:t>b</w:t>
            </w:r>
          </w:p>
        </w:tc>
        <w:tc>
          <w:tcPr>
            <w:tcW w:w="2552" w:type="dxa"/>
            <w:tcBorders>
              <w:top w:val="single" w:sz="4" w:space="0" w:color="auto"/>
              <w:bottom w:val="single" w:sz="4" w:space="0" w:color="auto"/>
            </w:tcBorders>
          </w:tcPr>
          <w:p w14:paraId="62FC540E" w14:textId="77777777" w:rsidR="00023BBF" w:rsidRDefault="00E17C37">
            <w:pPr>
              <w:numPr>
                <w:ilvl w:val="12"/>
                <w:numId w:val="0"/>
              </w:numPr>
              <w:tabs>
                <w:tab w:val="left" w:pos="8505"/>
              </w:tabs>
              <w:ind w:right="201"/>
              <w:jc w:val="center"/>
              <w:rPr>
                <w:sz w:val="22"/>
                <w:lang w:val="en-GB" w:eastAsia="sl-SI"/>
              </w:rPr>
            </w:pPr>
            <w:r>
              <w:rPr>
                <w:spacing w:val="-4"/>
                <w:sz w:val="22"/>
                <w:lang w:val="en-GB" w:eastAsia="sl-SI"/>
              </w:rPr>
              <w:t>211</w:t>
            </w:r>
            <w:r>
              <w:rPr>
                <w:spacing w:val="-4"/>
                <w:sz w:val="22"/>
                <w:vertAlign w:val="superscript"/>
                <w:lang w:val="en-GB" w:eastAsia="sl-SI"/>
              </w:rPr>
              <w:t>b</w:t>
            </w:r>
          </w:p>
        </w:tc>
        <w:tc>
          <w:tcPr>
            <w:tcW w:w="1412" w:type="dxa"/>
            <w:tcBorders>
              <w:top w:val="single" w:sz="4" w:space="0" w:color="auto"/>
              <w:bottom w:val="single" w:sz="4" w:space="0" w:color="auto"/>
            </w:tcBorders>
          </w:tcPr>
          <w:p w14:paraId="05319653" w14:textId="77777777" w:rsidR="00023BBF" w:rsidRDefault="00E17C37">
            <w:pPr>
              <w:numPr>
                <w:ilvl w:val="12"/>
                <w:numId w:val="0"/>
              </w:numPr>
              <w:tabs>
                <w:tab w:val="left" w:pos="8505"/>
              </w:tabs>
              <w:spacing w:line="251" w:lineRule="exact"/>
              <w:ind w:right="-2"/>
              <w:jc w:val="center"/>
              <w:rPr>
                <w:sz w:val="22"/>
                <w:lang w:val="en-GB" w:eastAsia="sl-SI"/>
              </w:rPr>
            </w:pPr>
            <w:r>
              <w:rPr>
                <w:spacing w:val="-4"/>
                <w:sz w:val="22"/>
                <w:lang w:val="en-GB" w:eastAsia="sl-SI"/>
              </w:rPr>
              <w:t>219</w:t>
            </w:r>
            <w:r>
              <w:rPr>
                <w:spacing w:val="-4"/>
                <w:sz w:val="22"/>
                <w:vertAlign w:val="superscript"/>
                <w:lang w:val="en-GB" w:eastAsia="sl-SI"/>
              </w:rPr>
              <w:t>b</w:t>
            </w:r>
          </w:p>
        </w:tc>
        <w:tc>
          <w:tcPr>
            <w:tcW w:w="1698" w:type="dxa"/>
            <w:tcBorders>
              <w:top w:val="single" w:sz="4" w:space="0" w:color="auto"/>
              <w:bottom w:val="single" w:sz="4" w:space="0" w:color="auto"/>
            </w:tcBorders>
          </w:tcPr>
          <w:p w14:paraId="5A609D95" w14:textId="77777777" w:rsidR="00023BBF" w:rsidRDefault="00E17C37">
            <w:pPr>
              <w:numPr>
                <w:ilvl w:val="12"/>
                <w:numId w:val="0"/>
              </w:numPr>
              <w:tabs>
                <w:tab w:val="left" w:pos="8505"/>
              </w:tabs>
              <w:spacing w:line="251" w:lineRule="exact"/>
              <w:ind w:right="-2"/>
              <w:jc w:val="center"/>
              <w:rPr>
                <w:sz w:val="22"/>
                <w:lang w:val="en-GB" w:eastAsia="sl-SI"/>
              </w:rPr>
            </w:pPr>
            <w:r>
              <w:rPr>
                <w:spacing w:val="-4"/>
                <w:sz w:val="22"/>
                <w:lang w:val="en-GB" w:eastAsia="sl-SI"/>
              </w:rPr>
              <w:t>208</w:t>
            </w:r>
            <w:r>
              <w:rPr>
                <w:spacing w:val="-4"/>
                <w:sz w:val="22"/>
                <w:vertAlign w:val="superscript"/>
                <w:lang w:val="en-GB" w:eastAsia="sl-SI"/>
              </w:rPr>
              <w:t>b</w:t>
            </w:r>
          </w:p>
        </w:tc>
      </w:tr>
      <w:tr w:rsidR="00023BBF" w14:paraId="50DA18A1" w14:textId="77777777">
        <w:tc>
          <w:tcPr>
            <w:tcW w:w="3407" w:type="dxa"/>
            <w:tcBorders>
              <w:top w:val="single" w:sz="4" w:space="0" w:color="auto"/>
            </w:tcBorders>
          </w:tcPr>
          <w:p w14:paraId="1C4BFB31" w14:textId="77777777" w:rsidR="00023BBF" w:rsidRDefault="00E17C37">
            <w:pPr>
              <w:numPr>
                <w:ilvl w:val="12"/>
                <w:numId w:val="0"/>
              </w:numPr>
              <w:tabs>
                <w:tab w:val="left" w:pos="8505"/>
              </w:tabs>
              <w:ind w:right="201"/>
              <w:rPr>
                <w:b/>
                <w:spacing w:val="-5"/>
                <w:sz w:val="22"/>
                <w:lang w:val="en-GB" w:eastAsia="sl-SI"/>
              </w:rPr>
            </w:pPr>
            <w:r>
              <w:rPr>
                <w:b/>
                <w:sz w:val="22"/>
                <w:lang w:val="en-GB" w:eastAsia="sl-SI"/>
              </w:rPr>
              <w:t>HbA1c (%)</w:t>
            </w:r>
          </w:p>
        </w:tc>
        <w:tc>
          <w:tcPr>
            <w:tcW w:w="2552" w:type="dxa"/>
            <w:tcBorders>
              <w:top w:val="single" w:sz="4" w:space="0" w:color="auto"/>
            </w:tcBorders>
          </w:tcPr>
          <w:p w14:paraId="29F040CC" w14:textId="77777777" w:rsidR="00023BBF" w:rsidRDefault="00023BBF">
            <w:pPr>
              <w:numPr>
                <w:ilvl w:val="12"/>
                <w:numId w:val="0"/>
              </w:numPr>
              <w:tabs>
                <w:tab w:val="left" w:pos="8505"/>
              </w:tabs>
              <w:ind w:right="201"/>
              <w:jc w:val="center"/>
              <w:rPr>
                <w:spacing w:val="-4"/>
                <w:sz w:val="22"/>
                <w:lang w:val="en-GB" w:eastAsia="sl-SI"/>
              </w:rPr>
            </w:pPr>
          </w:p>
        </w:tc>
        <w:tc>
          <w:tcPr>
            <w:tcW w:w="1412" w:type="dxa"/>
            <w:tcBorders>
              <w:top w:val="single" w:sz="4" w:space="0" w:color="auto"/>
            </w:tcBorders>
          </w:tcPr>
          <w:p w14:paraId="00F29C38" w14:textId="77777777" w:rsidR="00023BBF" w:rsidRDefault="00023BBF">
            <w:pPr>
              <w:numPr>
                <w:ilvl w:val="12"/>
                <w:numId w:val="0"/>
              </w:numPr>
              <w:tabs>
                <w:tab w:val="left" w:pos="8505"/>
              </w:tabs>
              <w:spacing w:line="251" w:lineRule="exact"/>
              <w:ind w:right="-2"/>
              <w:jc w:val="center"/>
              <w:rPr>
                <w:spacing w:val="-4"/>
                <w:sz w:val="22"/>
                <w:lang w:val="en-GB" w:eastAsia="sl-SI"/>
              </w:rPr>
            </w:pPr>
          </w:p>
        </w:tc>
        <w:tc>
          <w:tcPr>
            <w:tcW w:w="1698" w:type="dxa"/>
            <w:tcBorders>
              <w:top w:val="single" w:sz="4" w:space="0" w:color="auto"/>
            </w:tcBorders>
          </w:tcPr>
          <w:p w14:paraId="765FB61B" w14:textId="77777777" w:rsidR="00023BBF" w:rsidRDefault="00023BBF">
            <w:pPr>
              <w:numPr>
                <w:ilvl w:val="12"/>
                <w:numId w:val="0"/>
              </w:numPr>
              <w:tabs>
                <w:tab w:val="left" w:pos="8505"/>
              </w:tabs>
              <w:spacing w:line="251" w:lineRule="exact"/>
              <w:ind w:right="-2"/>
              <w:jc w:val="center"/>
              <w:rPr>
                <w:spacing w:val="-4"/>
                <w:sz w:val="22"/>
                <w:lang w:val="en-GB" w:eastAsia="sl-SI"/>
              </w:rPr>
            </w:pPr>
          </w:p>
        </w:tc>
      </w:tr>
      <w:tr w:rsidR="00023BBF" w14:paraId="25EED1AF" w14:textId="77777777">
        <w:tc>
          <w:tcPr>
            <w:tcW w:w="3407" w:type="dxa"/>
          </w:tcPr>
          <w:p w14:paraId="59EFB061" w14:textId="77777777" w:rsidR="00023BBF" w:rsidRDefault="00E17C37">
            <w:pPr>
              <w:numPr>
                <w:ilvl w:val="12"/>
                <w:numId w:val="0"/>
              </w:numPr>
              <w:tabs>
                <w:tab w:val="left" w:pos="8505"/>
              </w:tabs>
              <w:ind w:right="201"/>
              <w:rPr>
                <w:b/>
                <w:sz w:val="22"/>
                <w:lang w:val="en-GB" w:eastAsia="sl-SI"/>
              </w:rPr>
            </w:pPr>
            <w:r>
              <w:rPr>
                <w:sz w:val="22"/>
                <w:lang w:val="en-GB" w:eastAsia="sl-SI"/>
              </w:rPr>
              <w:t xml:space="preserve">   </w:t>
            </w:r>
            <w:proofErr w:type="spellStart"/>
            <w:r>
              <w:rPr>
                <w:sz w:val="22"/>
                <w:lang w:val="en-GB" w:eastAsia="sl-SI"/>
              </w:rPr>
              <w:t>Pradinė</w:t>
            </w:r>
            <w:proofErr w:type="spellEnd"/>
            <w:r>
              <w:rPr>
                <w:sz w:val="22"/>
                <w:lang w:val="en-GB" w:eastAsia="sl-SI"/>
              </w:rPr>
              <w:t xml:space="preserve"> (</w:t>
            </w:r>
            <w:proofErr w:type="spellStart"/>
            <w:r>
              <w:rPr>
                <w:sz w:val="22"/>
                <w:lang w:val="en-GB" w:eastAsia="sl-SI"/>
              </w:rPr>
              <w:t>vidurkis</w:t>
            </w:r>
            <w:proofErr w:type="spellEnd"/>
            <w:r>
              <w:rPr>
                <w:sz w:val="22"/>
                <w:lang w:val="en-GB" w:eastAsia="sl-SI"/>
              </w:rPr>
              <w:t>)</w:t>
            </w:r>
          </w:p>
        </w:tc>
        <w:tc>
          <w:tcPr>
            <w:tcW w:w="2552" w:type="dxa"/>
          </w:tcPr>
          <w:p w14:paraId="5B4E558C" w14:textId="77777777" w:rsidR="00023BBF" w:rsidRDefault="00E17C37">
            <w:pPr>
              <w:numPr>
                <w:ilvl w:val="12"/>
                <w:numId w:val="0"/>
              </w:numPr>
              <w:tabs>
                <w:tab w:val="left" w:pos="8505"/>
              </w:tabs>
              <w:ind w:right="201"/>
              <w:jc w:val="center"/>
              <w:rPr>
                <w:spacing w:val="-4"/>
                <w:sz w:val="22"/>
                <w:lang w:val="en-GB" w:eastAsia="sl-SI"/>
              </w:rPr>
            </w:pPr>
            <w:r>
              <w:rPr>
                <w:sz w:val="22"/>
                <w:lang w:val="en-GB" w:eastAsia="sl-SI"/>
              </w:rPr>
              <w:t>9,10</w:t>
            </w:r>
          </w:p>
        </w:tc>
        <w:tc>
          <w:tcPr>
            <w:tcW w:w="1412" w:type="dxa"/>
          </w:tcPr>
          <w:p w14:paraId="6734D3AB" w14:textId="77777777" w:rsidR="00023BBF" w:rsidRDefault="00E17C37">
            <w:pPr>
              <w:numPr>
                <w:ilvl w:val="12"/>
                <w:numId w:val="0"/>
              </w:numPr>
              <w:tabs>
                <w:tab w:val="left" w:pos="8505"/>
              </w:tabs>
              <w:spacing w:line="251" w:lineRule="exact"/>
              <w:ind w:right="-2"/>
              <w:jc w:val="center"/>
              <w:rPr>
                <w:spacing w:val="-4"/>
                <w:sz w:val="22"/>
                <w:lang w:val="en-GB" w:eastAsia="sl-SI"/>
              </w:rPr>
            </w:pPr>
            <w:r>
              <w:rPr>
                <w:sz w:val="22"/>
                <w:lang w:val="en-GB" w:eastAsia="sl-SI"/>
              </w:rPr>
              <w:t>9,03</w:t>
            </w:r>
          </w:p>
        </w:tc>
        <w:tc>
          <w:tcPr>
            <w:tcW w:w="1698" w:type="dxa"/>
          </w:tcPr>
          <w:p w14:paraId="70A931F7" w14:textId="77777777" w:rsidR="00023BBF" w:rsidRDefault="00E17C37">
            <w:pPr>
              <w:numPr>
                <w:ilvl w:val="12"/>
                <w:numId w:val="0"/>
              </w:numPr>
              <w:tabs>
                <w:tab w:val="left" w:pos="8505"/>
              </w:tabs>
              <w:spacing w:line="251" w:lineRule="exact"/>
              <w:ind w:right="-2"/>
              <w:jc w:val="center"/>
              <w:rPr>
                <w:spacing w:val="-4"/>
                <w:sz w:val="22"/>
                <w:lang w:val="en-GB" w:eastAsia="sl-SI"/>
              </w:rPr>
            </w:pPr>
            <w:r>
              <w:rPr>
                <w:sz w:val="22"/>
                <w:lang w:val="en-GB" w:eastAsia="sl-SI"/>
              </w:rPr>
              <w:t>9,03</w:t>
            </w:r>
          </w:p>
        </w:tc>
      </w:tr>
      <w:tr w:rsidR="00023BBF" w14:paraId="68F45AB3" w14:textId="77777777">
        <w:tc>
          <w:tcPr>
            <w:tcW w:w="3407" w:type="dxa"/>
          </w:tcPr>
          <w:p w14:paraId="55EEF147" w14:textId="77777777" w:rsidR="00023BBF" w:rsidRDefault="00E17C37">
            <w:pPr>
              <w:numPr>
                <w:ilvl w:val="12"/>
                <w:numId w:val="0"/>
              </w:numPr>
              <w:tabs>
                <w:tab w:val="left" w:pos="8505"/>
              </w:tabs>
              <w:ind w:right="201"/>
              <w:rPr>
                <w:b/>
                <w:sz w:val="22"/>
                <w:lang w:val="en-GB" w:eastAsia="sl-SI"/>
              </w:rPr>
            </w:pPr>
            <w:r>
              <w:rPr>
                <w:sz w:val="22"/>
                <w:lang w:val="en-GB" w:eastAsia="sl-SI"/>
              </w:rPr>
              <w:t xml:space="preserve">   </w:t>
            </w:r>
            <w:proofErr w:type="spellStart"/>
            <w:r>
              <w:rPr>
                <w:sz w:val="22"/>
                <w:lang w:val="en-GB" w:eastAsia="sl-SI"/>
              </w:rPr>
              <w:t>Pokytis</w:t>
            </w:r>
            <w:proofErr w:type="spellEnd"/>
            <w:r>
              <w:rPr>
                <w:sz w:val="22"/>
                <w:lang w:val="en-GB" w:eastAsia="sl-SI"/>
              </w:rPr>
              <w:t xml:space="preserve"> </w:t>
            </w:r>
            <w:proofErr w:type="spellStart"/>
            <w:r>
              <w:rPr>
                <w:sz w:val="22"/>
                <w:lang w:val="en-GB" w:eastAsia="sl-SI"/>
              </w:rPr>
              <w:t>palyginus</w:t>
            </w:r>
            <w:proofErr w:type="spellEnd"/>
            <w:r>
              <w:rPr>
                <w:sz w:val="22"/>
                <w:lang w:val="en-GB" w:eastAsia="sl-SI"/>
              </w:rPr>
              <w:t xml:space="preserve"> </w:t>
            </w:r>
            <w:proofErr w:type="spellStart"/>
            <w:r>
              <w:rPr>
                <w:sz w:val="22"/>
                <w:lang w:val="en-GB" w:eastAsia="sl-SI"/>
              </w:rPr>
              <w:t>su</w:t>
            </w:r>
            <w:proofErr w:type="spellEnd"/>
            <w:r>
              <w:rPr>
                <w:sz w:val="22"/>
                <w:lang w:val="en-GB" w:eastAsia="sl-SI"/>
              </w:rPr>
              <w:t xml:space="preserve"> </w:t>
            </w:r>
            <w:proofErr w:type="spellStart"/>
            <w:r>
              <w:rPr>
                <w:sz w:val="22"/>
                <w:lang w:val="en-GB" w:eastAsia="sl-SI"/>
              </w:rPr>
              <w:t>pradine</w:t>
            </w:r>
            <w:r>
              <w:rPr>
                <w:sz w:val="22"/>
                <w:vertAlign w:val="superscript"/>
                <w:lang w:val="en-GB" w:eastAsia="sl-SI"/>
              </w:rPr>
              <w:t>c</w:t>
            </w:r>
            <w:proofErr w:type="spellEnd"/>
            <w:r>
              <w:rPr>
                <w:sz w:val="22"/>
                <w:lang w:val="en-GB" w:eastAsia="sl-SI"/>
              </w:rPr>
              <w:t xml:space="preserve"> </w:t>
            </w:r>
          </w:p>
        </w:tc>
        <w:tc>
          <w:tcPr>
            <w:tcW w:w="2552" w:type="dxa"/>
          </w:tcPr>
          <w:p w14:paraId="4AAB0E4E" w14:textId="77777777" w:rsidR="00023BBF" w:rsidRDefault="00E17C37">
            <w:pPr>
              <w:numPr>
                <w:ilvl w:val="12"/>
                <w:numId w:val="0"/>
              </w:numPr>
              <w:tabs>
                <w:tab w:val="left" w:pos="8505"/>
              </w:tabs>
              <w:ind w:right="201"/>
              <w:jc w:val="center"/>
              <w:rPr>
                <w:sz w:val="22"/>
                <w:lang w:val="en-GB" w:eastAsia="sl-SI"/>
              </w:rPr>
            </w:pPr>
            <w:r>
              <w:rPr>
                <w:sz w:val="22"/>
                <w:lang w:val="en-GB" w:eastAsia="sl-SI"/>
              </w:rPr>
              <w:t>-1,98</w:t>
            </w:r>
          </w:p>
        </w:tc>
        <w:tc>
          <w:tcPr>
            <w:tcW w:w="1412" w:type="dxa"/>
          </w:tcPr>
          <w:p w14:paraId="1F509430" w14:textId="77777777" w:rsidR="00023BBF" w:rsidRDefault="00E17C37">
            <w:pPr>
              <w:numPr>
                <w:ilvl w:val="12"/>
                <w:numId w:val="0"/>
              </w:numPr>
              <w:tabs>
                <w:tab w:val="left" w:pos="8505"/>
              </w:tabs>
              <w:spacing w:line="251" w:lineRule="exact"/>
              <w:ind w:right="-2"/>
              <w:jc w:val="center"/>
              <w:rPr>
                <w:spacing w:val="-4"/>
                <w:sz w:val="22"/>
                <w:lang w:val="en-GB" w:eastAsia="sl-SI"/>
              </w:rPr>
            </w:pPr>
            <w:r>
              <w:rPr>
                <w:sz w:val="22"/>
                <w:lang w:val="en-GB" w:eastAsia="sl-SI"/>
              </w:rPr>
              <w:t>-1,45</w:t>
            </w:r>
          </w:p>
        </w:tc>
        <w:tc>
          <w:tcPr>
            <w:tcW w:w="1698" w:type="dxa"/>
          </w:tcPr>
          <w:p w14:paraId="7151C4B5" w14:textId="77777777" w:rsidR="00023BBF" w:rsidRDefault="00E17C37">
            <w:pPr>
              <w:numPr>
                <w:ilvl w:val="12"/>
                <w:numId w:val="0"/>
              </w:numPr>
              <w:tabs>
                <w:tab w:val="left" w:pos="8505"/>
              </w:tabs>
              <w:spacing w:line="251" w:lineRule="exact"/>
              <w:ind w:right="-2"/>
              <w:jc w:val="center"/>
              <w:rPr>
                <w:spacing w:val="-4"/>
                <w:sz w:val="22"/>
                <w:lang w:val="en-GB" w:eastAsia="sl-SI"/>
              </w:rPr>
            </w:pPr>
            <w:r>
              <w:rPr>
                <w:sz w:val="22"/>
                <w:lang w:val="en-GB" w:eastAsia="sl-SI"/>
              </w:rPr>
              <w:t>-1,44</w:t>
            </w:r>
          </w:p>
        </w:tc>
      </w:tr>
      <w:tr w:rsidR="00023BBF" w14:paraId="6A9725C2" w14:textId="77777777">
        <w:tc>
          <w:tcPr>
            <w:tcW w:w="3407" w:type="dxa"/>
          </w:tcPr>
          <w:p w14:paraId="0148641E" w14:textId="77777777" w:rsidR="00023BBF" w:rsidRDefault="00E17C37">
            <w:pPr>
              <w:numPr>
                <w:ilvl w:val="12"/>
                <w:numId w:val="0"/>
              </w:numPr>
              <w:tabs>
                <w:tab w:val="left" w:pos="8505"/>
              </w:tabs>
              <w:ind w:right="201"/>
              <w:rPr>
                <w:sz w:val="22"/>
                <w:lang w:val="en-GB" w:eastAsia="sl-SI"/>
              </w:rPr>
            </w:pPr>
            <w:r>
              <w:rPr>
                <w:sz w:val="22"/>
                <w:lang w:val="en-GB" w:eastAsia="sl-SI"/>
              </w:rPr>
              <w:t xml:space="preserve">   </w:t>
            </w:r>
            <w:proofErr w:type="spellStart"/>
            <w:r>
              <w:rPr>
                <w:sz w:val="22"/>
                <w:lang w:val="en-GB" w:eastAsia="sl-SI"/>
              </w:rPr>
              <w:t>Skirtumas</w:t>
            </w:r>
            <w:proofErr w:type="spellEnd"/>
            <w:r>
              <w:rPr>
                <w:sz w:val="22"/>
                <w:lang w:val="en-GB" w:eastAsia="sl-SI"/>
              </w:rPr>
              <w:t xml:space="preserve"> </w:t>
            </w:r>
            <w:proofErr w:type="spellStart"/>
            <w:r>
              <w:rPr>
                <w:sz w:val="22"/>
                <w:lang w:val="en-GB" w:eastAsia="sl-SI"/>
              </w:rPr>
              <w:t>nuo</w:t>
            </w:r>
            <w:proofErr w:type="spellEnd"/>
            <w:r>
              <w:rPr>
                <w:sz w:val="22"/>
                <w:lang w:val="en-GB" w:eastAsia="sl-SI"/>
              </w:rPr>
              <w:t xml:space="preserve"> </w:t>
            </w:r>
            <w:proofErr w:type="spellStart"/>
            <w:r>
              <w:rPr>
                <w:sz w:val="22"/>
                <w:lang w:val="en-GB" w:eastAsia="sl-SI"/>
              </w:rPr>
              <w:t>dapagliflozino</w:t>
            </w:r>
            <w:r>
              <w:rPr>
                <w:sz w:val="22"/>
                <w:vertAlign w:val="superscript"/>
                <w:lang w:val="en-GB" w:eastAsia="sl-SI"/>
              </w:rPr>
              <w:t>c</w:t>
            </w:r>
            <w:proofErr w:type="spellEnd"/>
          </w:p>
          <w:p w14:paraId="51357344" w14:textId="77777777" w:rsidR="00023BBF" w:rsidRDefault="00E17C37">
            <w:pPr>
              <w:numPr>
                <w:ilvl w:val="12"/>
                <w:numId w:val="0"/>
              </w:numPr>
              <w:tabs>
                <w:tab w:val="left" w:pos="8505"/>
              </w:tabs>
              <w:ind w:right="201"/>
              <w:rPr>
                <w:b/>
                <w:sz w:val="22"/>
                <w:lang w:val="en-GB" w:eastAsia="sl-SI"/>
              </w:rPr>
            </w:pPr>
            <w:r>
              <w:rPr>
                <w:sz w:val="22"/>
                <w:lang w:val="en-GB" w:eastAsia="sl-SI"/>
              </w:rPr>
              <w:t xml:space="preserve">        (95 % PI)</w:t>
            </w:r>
          </w:p>
        </w:tc>
        <w:tc>
          <w:tcPr>
            <w:tcW w:w="2552" w:type="dxa"/>
          </w:tcPr>
          <w:p w14:paraId="0A93E388" w14:textId="77777777" w:rsidR="00023BBF" w:rsidRDefault="00E17C37">
            <w:pPr>
              <w:numPr>
                <w:ilvl w:val="12"/>
                <w:numId w:val="0"/>
              </w:numPr>
              <w:tabs>
                <w:tab w:val="left" w:pos="8505"/>
              </w:tabs>
              <w:ind w:right="201"/>
              <w:jc w:val="center"/>
              <w:rPr>
                <w:sz w:val="22"/>
                <w:lang w:val="en-GB" w:eastAsia="sl-SI"/>
              </w:rPr>
            </w:pPr>
            <w:r>
              <w:rPr>
                <w:sz w:val="22"/>
                <w:lang w:val="en-GB" w:eastAsia="sl-SI"/>
              </w:rPr>
              <w:t>-0,53*</w:t>
            </w:r>
          </w:p>
          <w:p w14:paraId="668C7F97" w14:textId="77777777" w:rsidR="00023BBF" w:rsidRDefault="00E17C37">
            <w:pPr>
              <w:numPr>
                <w:ilvl w:val="12"/>
                <w:numId w:val="0"/>
              </w:numPr>
              <w:tabs>
                <w:tab w:val="left" w:pos="8505"/>
              </w:tabs>
              <w:ind w:right="201"/>
              <w:jc w:val="center"/>
              <w:rPr>
                <w:sz w:val="22"/>
                <w:lang w:val="en-GB" w:eastAsia="sl-SI"/>
              </w:rPr>
            </w:pPr>
            <w:r>
              <w:rPr>
                <w:sz w:val="22"/>
                <w:lang w:val="en-GB" w:eastAsia="sl-SI"/>
              </w:rPr>
              <w:t>(-0,74, -0,32)</w:t>
            </w:r>
          </w:p>
        </w:tc>
        <w:tc>
          <w:tcPr>
            <w:tcW w:w="1412" w:type="dxa"/>
          </w:tcPr>
          <w:p w14:paraId="3707C3FC" w14:textId="77777777" w:rsidR="00023BBF" w:rsidRDefault="00023BBF">
            <w:pPr>
              <w:numPr>
                <w:ilvl w:val="12"/>
                <w:numId w:val="0"/>
              </w:numPr>
              <w:tabs>
                <w:tab w:val="left" w:pos="8505"/>
              </w:tabs>
              <w:spacing w:line="251" w:lineRule="exact"/>
              <w:ind w:right="-2"/>
              <w:jc w:val="center"/>
              <w:rPr>
                <w:spacing w:val="-4"/>
                <w:sz w:val="22"/>
                <w:lang w:val="en-GB" w:eastAsia="sl-SI"/>
              </w:rPr>
            </w:pPr>
          </w:p>
        </w:tc>
        <w:tc>
          <w:tcPr>
            <w:tcW w:w="1698" w:type="dxa"/>
          </w:tcPr>
          <w:p w14:paraId="3FF66540" w14:textId="77777777" w:rsidR="00023BBF" w:rsidRDefault="00023BBF">
            <w:pPr>
              <w:numPr>
                <w:ilvl w:val="12"/>
                <w:numId w:val="0"/>
              </w:numPr>
              <w:tabs>
                <w:tab w:val="left" w:pos="8505"/>
              </w:tabs>
              <w:spacing w:line="251" w:lineRule="exact"/>
              <w:ind w:right="-2"/>
              <w:jc w:val="center"/>
              <w:rPr>
                <w:spacing w:val="-4"/>
                <w:sz w:val="22"/>
                <w:lang w:val="en-GB" w:eastAsia="sl-SI"/>
              </w:rPr>
            </w:pPr>
          </w:p>
        </w:tc>
      </w:tr>
      <w:tr w:rsidR="00023BBF" w14:paraId="48A1990F" w14:textId="77777777">
        <w:tc>
          <w:tcPr>
            <w:tcW w:w="3407" w:type="dxa"/>
            <w:tcBorders>
              <w:bottom w:val="single" w:sz="4" w:space="0" w:color="auto"/>
            </w:tcBorders>
          </w:tcPr>
          <w:p w14:paraId="439077B1" w14:textId="77777777" w:rsidR="00023BBF" w:rsidRDefault="00E17C37">
            <w:pPr>
              <w:numPr>
                <w:ilvl w:val="12"/>
                <w:numId w:val="0"/>
              </w:numPr>
              <w:tabs>
                <w:tab w:val="left" w:pos="8505"/>
              </w:tabs>
              <w:ind w:right="201"/>
              <w:rPr>
                <w:sz w:val="22"/>
                <w:lang w:val="en-GB" w:eastAsia="sl-SI"/>
              </w:rPr>
            </w:pPr>
            <w:r>
              <w:rPr>
                <w:sz w:val="22"/>
                <w:lang w:val="en-GB" w:eastAsia="sl-SI"/>
              </w:rPr>
              <w:t xml:space="preserve">   </w:t>
            </w:r>
            <w:proofErr w:type="spellStart"/>
            <w:r>
              <w:rPr>
                <w:sz w:val="22"/>
                <w:lang w:val="en-GB" w:eastAsia="sl-SI"/>
              </w:rPr>
              <w:t>Skirtumas</w:t>
            </w:r>
            <w:proofErr w:type="spellEnd"/>
            <w:r>
              <w:rPr>
                <w:sz w:val="22"/>
                <w:lang w:val="en-GB" w:eastAsia="sl-SI"/>
              </w:rPr>
              <w:t xml:space="preserve"> </w:t>
            </w:r>
            <w:proofErr w:type="spellStart"/>
            <w:r>
              <w:rPr>
                <w:sz w:val="22"/>
                <w:lang w:val="en-GB" w:eastAsia="sl-SI"/>
              </w:rPr>
              <w:t>nuo</w:t>
            </w:r>
            <w:proofErr w:type="spellEnd"/>
            <w:r>
              <w:rPr>
                <w:sz w:val="22"/>
                <w:lang w:val="en-GB" w:eastAsia="sl-SI"/>
              </w:rPr>
              <w:t xml:space="preserve"> </w:t>
            </w:r>
            <w:proofErr w:type="spellStart"/>
            <w:r>
              <w:rPr>
                <w:sz w:val="22"/>
                <w:lang w:val="en-GB" w:eastAsia="sl-SI"/>
              </w:rPr>
              <w:t>metformino</w:t>
            </w:r>
            <w:r>
              <w:rPr>
                <w:sz w:val="22"/>
                <w:vertAlign w:val="superscript"/>
                <w:lang w:val="en-GB" w:eastAsia="sl-SI"/>
              </w:rPr>
              <w:t>c</w:t>
            </w:r>
            <w:proofErr w:type="spellEnd"/>
          </w:p>
          <w:p w14:paraId="184C9094" w14:textId="77777777" w:rsidR="00023BBF" w:rsidRDefault="00E17C37">
            <w:pPr>
              <w:numPr>
                <w:ilvl w:val="12"/>
                <w:numId w:val="0"/>
              </w:numPr>
              <w:tabs>
                <w:tab w:val="left" w:pos="8505"/>
              </w:tabs>
              <w:ind w:right="201"/>
              <w:rPr>
                <w:b/>
                <w:sz w:val="22"/>
                <w:lang w:val="en-GB" w:eastAsia="sl-SI"/>
              </w:rPr>
            </w:pPr>
            <w:r>
              <w:rPr>
                <w:sz w:val="22"/>
                <w:lang w:val="en-GB" w:eastAsia="sl-SI"/>
              </w:rPr>
              <w:t xml:space="preserve">        (95 % PI)</w:t>
            </w:r>
          </w:p>
        </w:tc>
        <w:tc>
          <w:tcPr>
            <w:tcW w:w="2552" w:type="dxa"/>
            <w:tcBorders>
              <w:bottom w:val="single" w:sz="4" w:space="0" w:color="auto"/>
            </w:tcBorders>
          </w:tcPr>
          <w:p w14:paraId="4C5337FC" w14:textId="77777777" w:rsidR="00023BBF" w:rsidRDefault="00E17C37">
            <w:pPr>
              <w:numPr>
                <w:ilvl w:val="12"/>
                <w:numId w:val="0"/>
              </w:numPr>
              <w:tabs>
                <w:tab w:val="left" w:pos="8505"/>
              </w:tabs>
              <w:ind w:right="201"/>
              <w:jc w:val="center"/>
              <w:rPr>
                <w:sz w:val="22"/>
                <w:lang w:val="en-GB" w:eastAsia="sl-SI"/>
              </w:rPr>
            </w:pPr>
            <w:r>
              <w:rPr>
                <w:sz w:val="22"/>
                <w:lang w:val="en-GB" w:eastAsia="sl-SI"/>
              </w:rPr>
              <w:t>-0,54*</w:t>
            </w:r>
          </w:p>
          <w:p w14:paraId="2F979D8F" w14:textId="77777777" w:rsidR="00023BBF" w:rsidRDefault="00E17C37">
            <w:pPr>
              <w:numPr>
                <w:ilvl w:val="12"/>
                <w:numId w:val="0"/>
              </w:numPr>
              <w:tabs>
                <w:tab w:val="left" w:pos="8505"/>
              </w:tabs>
              <w:ind w:right="201"/>
              <w:jc w:val="center"/>
              <w:rPr>
                <w:spacing w:val="-4"/>
                <w:sz w:val="22"/>
                <w:lang w:val="en-GB" w:eastAsia="sl-SI"/>
              </w:rPr>
            </w:pPr>
            <w:r>
              <w:rPr>
                <w:sz w:val="22"/>
                <w:lang w:val="en-GB" w:eastAsia="sl-SI"/>
              </w:rPr>
              <w:t>(-0,75, -0,33)</w:t>
            </w:r>
          </w:p>
        </w:tc>
        <w:tc>
          <w:tcPr>
            <w:tcW w:w="1412" w:type="dxa"/>
            <w:tcBorders>
              <w:bottom w:val="single" w:sz="4" w:space="0" w:color="auto"/>
            </w:tcBorders>
          </w:tcPr>
          <w:p w14:paraId="668436B6" w14:textId="77777777" w:rsidR="00023BBF" w:rsidRDefault="00E17C37">
            <w:pPr>
              <w:numPr>
                <w:ilvl w:val="12"/>
                <w:numId w:val="0"/>
              </w:numPr>
              <w:tabs>
                <w:tab w:val="left" w:pos="8505"/>
              </w:tabs>
              <w:ind w:right="201"/>
              <w:jc w:val="center"/>
              <w:rPr>
                <w:sz w:val="22"/>
                <w:lang w:val="en-GB" w:eastAsia="sl-SI"/>
              </w:rPr>
            </w:pPr>
            <w:r>
              <w:rPr>
                <w:sz w:val="22"/>
                <w:lang w:val="en-GB" w:eastAsia="sl-SI"/>
              </w:rPr>
              <w:t>-0,01</w:t>
            </w:r>
          </w:p>
          <w:p w14:paraId="7933D40F" w14:textId="77777777" w:rsidR="00023BBF" w:rsidRDefault="00E17C37">
            <w:pPr>
              <w:numPr>
                <w:ilvl w:val="12"/>
                <w:numId w:val="0"/>
              </w:numPr>
              <w:tabs>
                <w:tab w:val="left" w:pos="8505"/>
              </w:tabs>
              <w:spacing w:line="251" w:lineRule="exact"/>
              <w:ind w:right="-2"/>
              <w:jc w:val="center"/>
              <w:rPr>
                <w:spacing w:val="-4"/>
                <w:sz w:val="22"/>
                <w:lang w:val="en-GB" w:eastAsia="sl-SI"/>
              </w:rPr>
            </w:pPr>
            <w:r>
              <w:rPr>
                <w:sz w:val="22"/>
                <w:lang w:val="en-GB" w:eastAsia="sl-SI"/>
              </w:rPr>
              <w:t>(-0,22, 0,20)</w:t>
            </w:r>
          </w:p>
        </w:tc>
        <w:tc>
          <w:tcPr>
            <w:tcW w:w="1698" w:type="dxa"/>
            <w:tcBorders>
              <w:bottom w:val="single" w:sz="4" w:space="0" w:color="auto"/>
            </w:tcBorders>
          </w:tcPr>
          <w:p w14:paraId="545B2B86" w14:textId="77777777" w:rsidR="00023BBF" w:rsidRDefault="00023BBF">
            <w:pPr>
              <w:numPr>
                <w:ilvl w:val="12"/>
                <w:numId w:val="0"/>
              </w:numPr>
              <w:tabs>
                <w:tab w:val="left" w:pos="8505"/>
              </w:tabs>
              <w:spacing w:line="251" w:lineRule="exact"/>
              <w:ind w:right="-2"/>
              <w:jc w:val="center"/>
              <w:rPr>
                <w:spacing w:val="-4"/>
                <w:sz w:val="22"/>
                <w:lang w:val="en-GB" w:eastAsia="sl-SI"/>
              </w:rPr>
            </w:pPr>
          </w:p>
        </w:tc>
      </w:tr>
      <w:tr w:rsidR="00023BBF" w14:paraId="300A4E9E" w14:textId="77777777">
        <w:tc>
          <w:tcPr>
            <w:tcW w:w="9069" w:type="dxa"/>
            <w:gridSpan w:val="4"/>
            <w:tcBorders>
              <w:top w:val="single" w:sz="4" w:space="0" w:color="auto"/>
            </w:tcBorders>
          </w:tcPr>
          <w:p w14:paraId="7A79A512" w14:textId="77777777" w:rsidR="00023BBF" w:rsidRDefault="00E17C37">
            <w:pPr>
              <w:ind w:left="110"/>
              <w:rPr>
                <w:sz w:val="18"/>
                <w:szCs w:val="18"/>
                <w:lang w:val="lt-LT" w:eastAsia="sl-SI"/>
              </w:rPr>
            </w:pPr>
            <w:r>
              <w:rPr>
                <w:sz w:val="18"/>
                <w:szCs w:val="18"/>
                <w:lang w:eastAsia="sl-SI"/>
              </w:rPr>
              <w:t>a LOCF – paskutinė atlikta apžiūra (jei prireikė pagalbos glikemijai koreguoti, tai paskutinė apžiūra iki jos).</w:t>
            </w:r>
          </w:p>
          <w:p w14:paraId="27BE8E77" w14:textId="77777777" w:rsidR="00023BBF" w:rsidRDefault="00E17C37">
            <w:pPr>
              <w:ind w:left="110"/>
              <w:rPr>
                <w:sz w:val="18"/>
                <w:szCs w:val="18"/>
                <w:lang w:val="lt-LT" w:eastAsia="sl-SI"/>
              </w:rPr>
            </w:pPr>
            <w:r>
              <w:rPr>
                <w:sz w:val="18"/>
                <w:szCs w:val="18"/>
                <w:lang w:eastAsia="sl-SI"/>
              </w:rPr>
              <w:t>b Visi randomizuoti pacientai, kurie trumpu dvigubai aklu laikotarpiu dvigubai aklu būdu vartojo bent vieną tiriamojo vaistinio preparato dozę.</w:t>
            </w:r>
          </w:p>
          <w:p w14:paraId="546C267F" w14:textId="77777777" w:rsidR="00023BBF" w:rsidRDefault="00E17C37">
            <w:pPr>
              <w:ind w:left="110"/>
              <w:rPr>
                <w:sz w:val="18"/>
                <w:szCs w:val="18"/>
                <w:lang w:val="lt-LT" w:eastAsia="sl-SI"/>
              </w:rPr>
            </w:pPr>
            <w:r>
              <w:rPr>
                <w:sz w:val="18"/>
                <w:szCs w:val="18"/>
                <w:lang w:eastAsia="sl-SI"/>
              </w:rPr>
              <w:t>c Mažiausių kvadratų metodu apskaičiuotas vidurkis, koreguotas pagal pradinę reikšmę.</w:t>
            </w:r>
          </w:p>
          <w:p w14:paraId="540DC9FA" w14:textId="77777777" w:rsidR="00023BBF" w:rsidRDefault="00E17C37">
            <w:pPr>
              <w:ind w:left="110"/>
              <w:rPr>
                <w:lang w:val="en-GB" w:eastAsia="sl-SI"/>
              </w:rPr>
            </w:pPr>
            <w:r>
              <w:rPr>
                <w:sz w:val="18"/>
                <w:szCs w:val="18"/>
                <w:lang w:val="en-GB" w:eastAsia="sl-SI"/>
              </w:rPr>
              <w:t>* p &lt; 0,0001.</w:t>
            </w:r>
          </w:p>
        </w:tc>
      </w:tr>
    </w:tbl>
    <w:p w14:paraId="1676D23A" w14:textId="77777777" w:rsidR="00023BBF" w:rsidRDefault="00023BBF">
      <w:pPr>
        <w:widowControl w:val="0"/>
        <w:tabs>
          <w:tab w:val="left" w:pos="567"/>
        </w:tabs>
        <w:ind w:left="567" w:hanging="567"/>
        <w:outlineLvl w:val="2"/>
        <w:rPr>
          <w:rFonts w:eastAsia="TimesNewRoman"/>
          <w:sz w:val="22"/>
          <w:szCs w:val="22"/>
          <w:lang w:eastAsia="en-US"/>
        </w:rPr>
      </w:pPr>
    </w:p>
    <w:p w14:paraId="676BB1D7" w14:textId="77777777" w:rsidR="00023BBF" w:rsidRDefault="00E17C37">
      <w:pPr>
        <w:widowControl w:val="0"/>
        <w:autoSpaceDE w:val="0"/>
        <w:autoSpaceDN w:val="0"/>
        <w:adjustRightInd w:val="0"/>
        <w:rPr>
          <w:i/>
          <w:iCs/>
          <w:sz w:val="22"/>
          <w:szCs w:val="22"/>
        </w:rPr>
      </w:pPr>
      <w:r>
        <w:rPr>
          <w:i/>
          <w:iCs/>
          <w:sz w:val="22"/>
          <w:szCs w:val="22"/>
        </w:rPr>
        <w:t xml:space="preserve">Derinys su pailginto atpalaidavimo </w:t>
      </w:r>
      <w:proofErr w:type="spellStart"/>
      <w:r>
        <w:rPr>
          <w:i/>
          <w:iCs/>
          <w:sz w:val="22"/>
          <w:szCs w:val="22"/>
        </w:rPr>
        <w:t>eksenatidu</w:t>
      </w:r>
      <w:proofErr w:type="spellEnd"/>
    </w:p>
    <w:p w14:paraId="29927CD8" w14:textId="77777777" w:rsidR="00023BBF" w:rsidRDefault="00E17C37">
      <w:pPr>
        <w:widowControl w:val="0"/>
        <w:autoSpaceDE w:val="0"/>
        <w:autoSpaceDN w:val="0"/>
        <w:adjustRightInd w:val="0"/>
      </w:pPr>
      <w:r>
        <w:rPr>
          <w:sz w:val="22"/>
          <w:szCs w:val="22"/>
        </w:rPr>
        <w:t xml:space="preserve">28 savaičių dvigubai aklo aktyvios kontrolės tyrimo metu lygintas dapagliflozino ir pailginto atpalaidavimo </w:t>
      </w:r>
      <w:proofErr w:type="spellStart"/>
      <w:r>
        <w:rPr>
          <w:sz w:val="22"/>
          <w:szCs w:val="22"/>
        </w:rPr>
        <w:t>eksenatido</w:t>
      </w:r>
      <w:proofErr w:type="spellEnd"/>
      <w:r>
        <w:rPr>
          <w:sz w:val="22"/>
          <w:szCs w:val="22"/>
        </w:rPr>
        <w:t xml:space="preserve"> (GLP-1 receptorių </w:t>
      </w:r>
      <w:proofErr w:type="spellStart"/>
      <w:r>
        <w:rPr>
          <w:sz w:val="22"/>
          <w:szCs w:val="22"/>
        </w:rPr>
        <w:t>agonisto</w:t>
      </w:r>
      <w:proofErr w:type="spellEnd"/>
      <w:r>
        <w:rPr>
          <w:sz w:val="22"/>
          <w:szCs w:val="22"/>
        </w:rPr>
        <w:t xml:space="preserve">) derinio poveikis su vien dapagliflozino ir vien pailginto atpalaidavimo </w:t>
      </w:r>
      <w:proofErr w:type="spellStart"/>
      <w:r>
        <w:rPr>
          <w:sz w:val="22"/>
          <w:szCs w:val="22"/>
        </w:rPr>
        <w:t>eksenatido</w:t>
      </w:r>
      <w:proofErr w:type="spellEnd"/>
      <w:r>
        <w:rPr>
          <w:sz w:val="22"/>
          <w:szCs w:val="22"/>
        </w:rPr>
        <w:t xml:space="preserve"> poveikiu tiriamiesiems, kuriems vien </w:t>
      </w:r>
      <w:proofErr w:type="spellStart"/>
      <w:r>
        <w:rPr>
          <w:sz w:val="22"/>
          <w:szCs w:val="22"/>
        </w:rPr>
        <w:t>metforminas</w:t>
      </w:r>
      <w:proofErr w:type="spellEnd"/>
      <w:r>
        <w:rPr>
          <w:sz w:val="22"/>
          <w:szCs w:val="22"/>
        </w:rPr>
        <w:t xml:space="preserve"> nesureguliavo </w:t>
      </w:r>
      <w:proofErr w:type="spellStart"/>
      <w:r>
        <w:rPr>
          <w:sz w:val="22"/>
          <w:szCs w:val="22"/>
        </w:rPr>
        <w:t>glikemijos</w:t>
      </w:r>
      <w:proofErr w:type="spellEnd"/>
      <w:r>
        <w:rPr>
          <w:sz w:val="22"/>
          <w:szCs w:val="22"/>
        </w:rPr>
        <w:t xml:space="preserve"> (HbA1c – nuo ≥ 8 % iki ≤ 12 %). Visų tirtų grupių HbA1c koncentracija, palyginus su pradine, sumažėjo. 10 mg dapagliflozino ir pailginto atpalaidavimo </w:t>
      </w:r>
      <w:proofErr w:type="spellStart"/>
      <w:r>
        <w:rPr>
          <w:sz w:val="22"/>
          <w:szCs w:val="22"/>
        </w:rPr>
        <w:t>eksenatido</w:t>
      </w:r>
      <w:proofErr w:type="spellEnd"/>
      <w:r>
        <w:rPr>
          <w:sz w:val="22"/>
          <w:szCs w:val="22"/>
        </w:rPr>
        <w:t xml:space="preserve"> derinio grupei HbA1c koncentracija, palyginus su pradine, sumažėjo labiau negu vien dapagliflozino ir vien pailginto atpalaidavimo </w:t>
      </w:r>
      <w:proofErr w:type="spellStart"/>
      <w:r>
        <w:rPr>
          <w:sz w:val="22"/>
          <w:szCs w:val="22"/>
        </w:rPr>
        <w:t>eksenatido</w:t>
      </w:r>
      <w:proofErr w:type="spellEnd"/>
      <w:r>
        <w:rPr>
          <w:sz w:val="22"/>
          <w:szCs w:val="22"/>
        </w:rPr>
        <w:t xml:space="preserve"> grupėms (žr. 8 lentelę).</w:t>
      </w:r>
    </w:p>
    <w:p w14:paraId="73CC27FB" w14:textId="77777777" w:rsidR="00023BBF" w:rsidRDefault="00023BBF">
      <w:pPr>
        <w:widowControl w:val="0"/>
        <w:autoSpaceDE w:val="0"/>
        <w:autoSpaceDN w:val="0"/>
        <w:adjustRightInd w:val="0"/>
      </w:pPr>
    </w:p>
    <w:p w14:paraId="7A26CD41" w14:textId="77777777" w:rsidR="00023BBF" w:rsidRDefault="00E17C37">
      <w:pPr>
        <w:widowControl w:val="0"/>
        <w:autoSpaceDE w:val="0"/>
        <w:autoSpaceDN w:val="0"/>
        <w:adjustRightInd w:val="0"/>
        <w:rPr>
          <w:b/>
          <w:bCs/>
          <w:sz w:val="22"/>
          <w:szCs w:val="22"/>
        </w:rPr>
      </w:pPr>
      <w:r>
        <w:rPr>
          <w:b/>
          <w:bCs/>
          <w:sz w:val="22"/>
          <w:szCs w:val="22"/>
        </w:rPr>
        <w:t xml:space="preserve">8 lentelė. 28 savaičių dapagliflozino ir pailginto atpalaidavimo </w:t>
      </w:r>
      <w:proofErr w:type="spellStart"/>
      <w:r>
        <w:rPr>
          <w:b/>
          <w:bCs/>
          <w:sz w:val="22"/>
          <w:szCs w:val="22"/>
        </w:rPr>
        <w:t>eksenatido</w:t>
      </w:r>
      <w:proofErr w:type="spellEnd"/>
      <w:r>
        <w:rPr>
          <w:b/>
          <w:bCs/>
          <w:sz w:val="22"/>
          <w:szCs w:val="22"/>
        </w:rPr>
        <w:t xml:space="preserve"> derinio poveikio lyginimo su vien dapagliflozino ir vien pailginto atpalaidavimo </w:t>
      </w:r>
      <w:proofErr w:type="spellStart"/>
      <w:r>
        <w:rPr>
          <w:b/>
          <w:bCs/>
          <w:sz w:val="22"/>
          <w:szCs w:val="22"/>
        </w:rPr>
        <w:t>eksenatido</w:t>
      </w:r>
      <w:proofErr w:type="spellEnd"/>
      <w:r>
        <w:rPr>
          <w:b/>
          <w:bCs/>
          <w:sz w:val="22"/>
          <w:szCs w:val="22"/>
        </w:rPr>
        <w:t xml:space="preserve"> poveikiu tyrimas (kartu vartotas </w:t>
      </w:r>
      <w:proofErr w:type="spellStart"/>
      <w:r>
        <w:rPr>
          <w:b/>
          <w:bCs/>
          <w:sz w:val="22"/>
          <w:szCs w:val="22"/>
        </w:rPr>
        <w:t>metforminas</w:t>
      </w:r>
      <w:proofErr w:type="spellEnd"/>
      <w:r>
        <w:rPr>
          <w:b/>
          <w:bCs/>
          <w:sz w:val="22"/>
          <w:szCs w:val="22"/>
        </w:rPr>
        <w:t>, pateikiami numatytų gydyti pacientų duomenys)</w:t>
      </w:r>
    </w:p>
    <w:tbl>
      <w:tblPr>
        <w:tblStyle w:val="TableNormal1"/>
        <w:tblW w:w="0" w:type="auto"/>
        <w:tblInd w:w="-7" w:type="dxa"/>
        <w:tblLayout w:type="fixed"/>
        <w:tblLook w:val="01E0" w:firstRow="1" w:lastRow="1" w:firstColumn="1" w:lastColumn="1" w:noHBand="0" w:noVBand="0"/>
      </w:tblPr>
      <w:tblGrid>
        <w:gridCol w:w="3011"/>
        <w:gridCol w:w="2468"/>
        <w:gridCol w:w="2379"/>
        <w:gridCol w:w="1799"/>
      </w:tblGrid>
      <w:tr w:rsidR="00023BBF" w14:paraId="62C1AB52" w14:textId="77777777">
        <w:trPr>
          <w:trHeight w:val="565"/>
        </w:trPr>
        <w:tc>
          <w:tcPr>
            <w:tcW w:w="5479" w:type="dxa"/>
            <w:gridSpan w:val="2"/>
            <w:tcBorders>
              <w:top w:val="single" w:sz="12" w:space="0" w:color="000000"/>
            </w:tcBorders>
          </w:tcPr>
          <w:p w14:paraId="3D9D273B" w14:textId="77777777" w:rsidR="00023BBF" w:rsidRDefault="00E17C37">
            <w:pPr>
              <w:spacing w:before="45" w:line="250" w:lineRule="exact"/>
              <w:ind w:left="3777" w:right="146" w:hanging="773"/>
              <w:rPr>
                <w:b/>
                <w:lang w:val="nl-NL" w:eastAsia="en-US"/>
              </w:rPr>
            </w:pPr>
            <w:r>
              <w:rPr>
                <w:b/>
                <w:lang w:val="nl-NL" w:eastAsia="en-US"/>
              </w:rPr>
              <w:t>10</w:t>
            </w:r>
            <w:r>
              <w:rPr>
                <w:lang w:val="nl-NL" w:eastAsia="en-US"/>
              </w:rPr>
              <w:t> </w:t>
            </w:r>
            <w:r>
              <w:rPr>
                <w:b/>
                <w:lang w:val="nl-NL" w:eastAsia="en-US"/>
              </w:rPr>
              <w:t>mg dapagliflozino</w:t>
            </w:r>
          </w:p>
          <w:p w14:paraId="50F6DC92" w14:textId="77777777" w:rsidR="00023BBF" w:rsidRDefault="00E17C37">
            <w:pPr>
              <w:spacing w:before="45" w:line="250" w:lineRule="exact"/>
              <w:ind w:left="3777" w:right="146" w:hanging="773"/>
              <w:rPr>
                <w:b/>
                <w:lang w:val="nl-NL" w:eastAsia="en-US"/>
              </w:rPr>
            </w:pPr>
            <w:r>
              <w:rPr>
                <w:b/>
                <w:spacing w:val="-6"/>
                <w:lang w:val="nl-NL" w:eastAsia="en-US"/>
              </w:rPr>
              <w:t>1 kartą per parą</w:t>
            </w:r>
          </w:p>
        </w:tc>
        <w:tc>
          <w:tcPr>
            <w:tcW w:w="2379" w:type="dxa"/>
            <w:tcBorders>
              <w:top w:val="single" w:sz="12" w:space="0" w:color="000000"/>
            </w:tcBorders>
          </w:tcPr>
          <w:p w14:paraId="2978BA96" w14:textId="77777777" w:rsidR="00023BBF" w:rsidRDefault="00E17C37">
            <w:pPr>
              <w:spacing w:before="45" w:line="250" w:lineRule="exact"/>
              <w:ind w:left="922" w:right="124" w:hanging="773"/>
              <w:rPr>
                <w:b/>
                <w:lang w:val="nl-NL" w:eastAsia="en-US"/>
              </w:rPr>
            </w:pPr>
            <w:r>
              <w:rPr>
                <w:b/>
                <w:lang w:val="nl-NL" w:eastAsia="en-US"/>
              </w:rPr>
              <w:t>10</w:t>
            </w:r>
            <w:r>
              <w:rPr>
                <w:lang w:val="nl-NL" w:eastAsia="en-US"/>
              </w:rPr>
              <w:t> </w:t>
            </w:r>
            <w:r>
              <w:rPr>
                <w:b/>
                <w:lang w:val="nl-NL" w:eastAsia="en-US"/>
              </w:rPr>
              <w:t>mg dapagliflozino</w:t>
            </w:r>
          </w:p>
          <w:p w14:paraId="179AD566" w14:textId="77777777" w:rsidR="00023BBF" w:rsidRDefault="00E17C37">
            <w:pPr>
              <w:spacing w:before="45" w:line="250" w:lineRule="exact"/>
              <w:ind w:left="922" w:right="124" w:hanging="773"/>
              <w:rPr>
                <w:b/>
                <w:lang w:val="nl-NL" w:eastAsia="en-US"/>
              </w:rPr>
            </w:pPr>
            <w:r>
              <w:rPr>
                <w:b/>
                <w:spacing w:val="-6"/>
                <w:lang w:val="nl-NL" w:eastAsia="en-US"/>
              </w:rPr>
              <w:t>1 kartą per parą</w:t>
            </w:r>
          </w:p>
        </w:tc>
        <w:tc>
          <w:tcPr>
            <w:tcW w:w="1799" w:type="dxa"/>
            <w:tcBorders>
              <w:top w:val="single" w:sz="12" w:space="0" w:color="000000"/>
            </w:tcBorders>
          </w:tcPr>
          <w:p w14:paraId="29F979C8" w14:textId="77777777" w:rsidR="00023BBF" w:rsidRDefault="00E17C37">
            <w:pPr>
              <w:spacing w:before="39" w:line="250" w:lineRule="atLeast"/>
              <w:ind w:left="263" w:hanging="140"/>
              <w:rPr>
                <w:b/>
                <w:lang w:val="en-GB" w:eastAsia="en-US"/>
              </w:rPr>
            </w:pPr>
            <w:r>
              <w:rPr>
                <w:b/>
                <w:spacing w:val="-2"/>
                <w:lang w:val="en-GB" w:eastAsia="en-US"/>
              </w:rPr>
              <w:t xml:space="preserve">2 mg </w:t>
            </w:r>
            <w:proofErr w:type="spellStart"/>
            <w:r>
              <w:rPr>
                <w:b/>
                <w:spacing w:val="-2"/>
                <w:lang w:val="en-GB" w:eastAsia="en-US"/>
              </w:rPr>
              <w:t>pailginto</w:t>
            </w:r>
            <w:proofErr w:type="spellEnd"/>
            <w:r>
              <w:rPr>
                <w:b/>
                <w:spacing w:val="-2"/>
                <w:lang w:val="en-GB" w:eastAsia="en-US"/>
              </w:rPr>
              <w:t xml:space="preserve"> </w:t>
            </w:r>
            <w:proofErr w:type="spellStart"/>
            <w:r>
              <w:rPr>
                <w:b/>
                <w:spacing w:val="-2"/>
                <w:lang w:val="en-GB" w:eastAsia="en-US"/>
              </w:rPr>
              <w:t>atpalaidavimo</w:t>
            </w:r>
            <w:proofErr w:type="spellEnd"/>
            <w:r>
              <w:rPr>
                <w:b/>
                <w:spacing w:val="-2"/>
                <w:lang w:val="en-GB" w:eastAsia="en-US"/>
              </w:rPr>
              <w:t xml:space="preserve"> </w:t>
            </w:r>
            <w:proofErr w:type="spellStart"/>
            <w:r>
              <w:rPr>
                <w:b/>
                <w:spacing w:val="-2"/>
                <w:lang w:val="en-GB" w:eastAsia="en-US"/>
              </w:rPr>
              <w:t>eksenatido</w:t>
            </w:r>
            <w:proofErr w:type="spellEnd"/>
          </w:p>
        </w:tc>
      </w:tr>
      <w:tr w:rsidR="00023BBF" w14:paraId="31688CD7" w14:textId="77777777">
        <w:trPr>
          <w:trHeight w:val="307"/>
        </w:trPr>
        <w:tc>
          <w:tcPr>
            <w:tcW w:w="5479" w:type="dxa"/>
            <w:gridSpan w:val="2"/>
          </w:tcPr>
          <w:p w14:paraId="3AD65570" w14:textId="77777777" w:rsidR="00023BBF" w:rsidRDefault="00E17C37">
            <w:pPr>
              <w:spacing w:before="54" w:line="233" w:lineRule="exact"/>
              <w:ind w:right="1013"/>
              <w:jc w:val="right"/>
              <w:rPr>
                <w:b/>
                <w:lang w:val="en-GB" w:eastAsia="en-US"/>
              </w:rPr>
            </w:pPr>
            <w:r>
              <w:rPr>
                <w:b/>
                <w:spacing w:val="-10"/>
                <w:lang w:val="en-GB" w:eastAsia="en-US"/>
              </w:rPr>
              <w:t>+</w:t>
            </w:r>
          </w:p>
        </w:tc>
        <w:tc>
          <w:tcPr>
            <w:tcW w:w="4178" w:type="dxa"/>
            <w:gridSpan w:val="2"/>
          </w:tcPr>
          <w:p w14:paraId="4B986BB3" w14:textId="77777777" w:rsidR="00023BBF" w:rsidRDefault="00E17C37">
            <w:pPr>
              <w:tabs>
                <w:tab w:val="left" w:pos="2914"/>
              </w:tabs>
              <w:spacing w:line="287" w:lineRule="exact"/>
              <w:ind w:left="1027"/>
              <w:rPr>
                <w:b/>
                <w:lang w:val="en-GB" w:eastAsia="en-US"/>
              </w:rPr>
            </w:pPr>
            <w:r>
              <w:rPr>
                <w:b/>
                <w:spacing w:val="-10"/>
                <w:position w:val="-5"/>
                <w:lang w:val="en-GB" w:eastAsia="en-US"/>
              </w:rPr>
              <w:t>+</w:t>
            </w:r>
            <w:r>
              <w:rPr>
                <w:b/>
                <w:position w:val="-5"/>
                <w:lang w:val="en-GB" w:eastAsia="en-US"/>
              </w:rPr>
              <w:tab/>
            </w:r>
            <w:r>
              <w:rPr>
                <w:b/>
                <w:spacing w:val="-5"/>
                <w:lang w:val="en-GB" w:eastAsia="en-US"/>
              </w:rPr>
              <w:t xml:space="preserve">kas </w:t>
            </w:r>
            <w:proofErr w:type="spellStart"/>
            <w:r>
              <w:rPr>
                <w:b/>
                <w:spacing w:val="-5"/>
                <w:lang w:val="en-GB" w:eastAsia="en-US"/>
              </w:rPr>
              <w:t>savaitę</w:t>
            </w:r>
            <w:proofErr w:type="spellEnd"/>
          </w:p>
        </w:tc>
      </w:tr>
      <w:tr w:rsidR="00023BBF" w14:paraId="7DF1DF4F" w14:textId="77777777">
        <w:trPr>
          <w:trHeight w:val="319"/>
        </w:trPr>
        <w:tc>
          <w:tcPr>
            <w:tcW w:w="3011" w:type="dxa"/>
          </w:tcPr>
          <w:p w14:paraId="12EFF3A4" w14:textId="77777777" w:rsidR="00023BBF" w:rsidRDefault="00023BBF">
            <w:pPr>
              <w:rPr>
                <w:lang w:val="en-GB" w:eastAsia="en-US"/>
              </w:rPr>
            </w:pPr>
          </w:p>
        </w:tc>
        <w:tc>
          <w:tcPr>
            <w:tcW w:w="2468" w:type="dxa"/>
          </w:tcPr>
          <w:p w14:paraId="1A62A4C2" w14:textId="77777777" w:rsidR="00023BBF" w:rsidRDefault="00E17C37">
            <w:pPr>
              <w:spacing w:before="63" w:line="236" w:lineRule="exact"/>
              <w:ind w:left="127" w:right="5"/>
              <w:jc w:val="center"/>
              <w:rPr>
                <w:b/>
                <w:lang w:val="en-GB" w:eastAsia="en-US"/>
              </w:rPr>
            </w:pPr>
            <w:r>
              <w:rPr>
                <w:b/>
                <w:spacing w:val="-2"/>
                <w:lang w:val="en-GB" w:eastAsia="en-US"/>
              </w:rPr>
              <w:t xml:space="preserve">2 mg </w:t>
            </w:r>
            <w:proofErr w:type="spellStart"/>
            <w:r>
              <w:rPr>
                <w:b/>
                <w:spacing w:val="-2"/>
                <w:lang w:val="en-GB" w:eastAsia="en-US"/>
              </w:rPr>
              <w:t>pailginto</w:t>
            </w:r>
            <w:proofErr w:type="spellEnd"/>
            <w:r>
              <w:rPr>
                <w:b/>
                <w:spacing w:val="-2"/>
                <w:lang w:val="en-GB" w:eastAsia="en-US"/>
              </w:rPr>
              <w:t xml:space="preserve"> </w:t>
            </w:r>
            <w:proofErr w:type="spellStart"/>
            <w:r>
              <w:rPr>
                <w:b/>
                <w:spacing w:val="-2"/>
                <w:lang w:val="en-GB" w:eastAsia="en-US"/>
              </w:rPr>
              <w:t>atpalaidavimo</w:t>
            </w:r>
            <w:proofErr w:type="spellEnd"/>
            <w:r>
              <w:rPr>
                <w:b/>
                <w:spacing w:val="-2"/>
                <w:lang w:val="en-GB" w:eastAsia="en-US"/>
              </w:rPr>
              <w:t xml:space="preserve"> </w:t>
            </w:r>
            <w:proofErr w:type="spellStart"/>
            <w:r>
              <w:rPr>
                <w:b/>
                <w:spacing w:val="-2"/>
                <w:lang w:val="en-GB" w:eastAsia="en-US"/>
              </w:rPr>
              <w:t>eksenatido</w:t>
            </w:r>
            <w:proofErr w:type="spellEnd"/>
          </w:p>
        </w:tc>
        <w:tc>
          <w:tcPr>
            <w:tcW w:w="2379" w:type="dxa"/>
          </w:tcPr>
          <w:p w14:paraId="55577992" w14:textId="77777777" w:rsidR="00023BBF" w:rsidRDefault="00E17C37">
            <w:pPr>
              <w:spacing w:before="63" w:line="236" w:lineRule="exact"/>
              <w:ind w:left="44" w:right="11"/>
              <w:jc w:val="center"/>
              <w:rPr>
                <w:b/>
                <w:lang w:val="en-GB" w:eastAsia="en-US"/>
              </w:rPr>
            </w:pPr>
            <w:r>
              <w:rPr>
                <w:b/>
                <w:lang w:val="en-GB" w:eastAsia="en-US"/>
              </w:rPr>
              <w:t>placebo</w:t>
            </w:r>
            <w:r>
              <w:rPr>
                <w:b/>
                <w:spacing w:val="-9"/>
                <w:lang w:val="en-GB" w:eastAsia="en-US"/>
              </w:rPr>
              <w:t xml:space="preserve"> </w:t>
            </w:r>
            <w:r>
              <w:rPr>
                <w:b/>
                <w:spacing w:val="-5"/>
                <w:lang w:val="en-GB" w:eastAsia="en-US"/>
              </w:rPr>
              <w:t xml:space="preserve">kas </w:t>
            </w:r>
            <w:proofErr w:type="spellStart"/>
            <w:r>
              <w:rPr>
                <w:b/>
                <w:spacing w:val="-5"/>
                <w:lang w:val="en-GB" w:eastAsia="en-US"/>
              </w:rPr>
              <w:t>savaitę</w:t>
            </w:r>
            <w:proofErr w:type="spellEnd"/>
          </w:p>
        </w:tc>
        <w:tc>
          <w:tcPr>
            <w:tcW w:w="1799" w:type="dxa"/>
          </w:tcPr>
          <w:p w14:paraId="17DFC0BD" w14:textId="77777777" w:rsidR="00023BBF" w:rsidRDefault="00E17C37">
            <w:pPr>
              <w:spacing w:before="1"/>
              <w:ind w:left="17" w:right="9"/>
              <w:jc w:val="center"/>
              <w:rPr>
                <w:b/>
                <w:lang w:val="en-GB" w:eastAsia="en-US"/>
              </w:rPr>
            </w:pPr>
            <w:r>
              <w:rPr>
                <w:b/>
                <w:spacing w:val="-10"/>
                <w:lang w:val="en-GB" w:eastAsia="en-US"/>
              </w:rPr>
              <w:t>+</w:t>
            </w:r>
          </w:p>
        </w:tc>
      </w:tr>
      <w:tr w:rsidR="00023BBF" w14:paraId="1F524832" w14:textId="77777777">
        <w:trPr>
          <w:trHeight w:val="314"/>
        </w:trPr>
        <w:tc>
          <w:tcPr>
            <w:tcW w:w="3011" w:type="dxa"/>
            <w:tcBorders>
              <w:bottom w:val="single" w:sz="4" w:space="0" w:color="000000"/>
            </w:tcBorders>
          </w:tcPr>
          <w:p w14:paraId="4310D2EF" w14:textId="77777777" w:rsidR="00023BBF" w:rsidRDefault="00E17C37">
            <w:pPr>
              <w:spacing w:line="252" w:lineRule="exact"/>
              <w:ind w:left="124"/>
              <w:rPr>
                <w:b/>
                <w:lang w:val="en-GB" w:eastAsia="en-US"/>
              </w:rPr>
            </w:pPr>
            <w:proofErr w:type="spellStart"/>
            <w:r>
              <w:rPr>
                <w:b/>
                <w:spacing w:val="-2"/>
                <w:lang w:val="en-GB" w:eastAsia="en-US"/>
              </w:rPr>
              <w:t>Rodiklis</w:t>
            </w:r>
            <w:proofErr w:type="spellEnd"/>
          </w:p>
        </w:tc>
        <w:tc>
          <w:tcPr>
            <w:tcW w:w="2468" w:type="dxa"/>
            <w:tcBorders>
              <w:bottom w:val="single" w:sz="4" w:space="0" w:color="000000"/>
            </w:tcBorders>
          </w:tcPr>
          <w:p w14:paraId="7778F0C4" w14:textId="77777777" w:rsidR="00023BBF" w:rsidRDefault="00E17C37">
            <w:pPr>
              <w:spacing w:line="247" w:lineRule="exact"/>
              <w:ind w:right="4"/>
              <w:rPr>
                <w:b/>
                <w:lang w:val="en-GB" w:eastAsia="en-US"/>
              </w:rPr>
            </w:pPr>
            <w:r>
              <w:rPr>
                <w:b/>
                <w:lang w:val="en-GB" w:eastAsia="en-US"/>
              </w:rPr>
              <w:t xml:space="preserve">kas </w:t>
            </w:r>
            <w:proofErr w:type="spellStart"/>
            <w:r>
              <w:rPr>
                <w:b/>
                <w:lang w:val="en-GB" w:eastAsia="en-US"/>
              </w:rPr>
              <w:t>savaitę</w:t>
            </w:r>
            <w:proofErr w:type="spellEnd"/>
          </w:p>
        </w:tc>
        <w:tc>
          <w:tcPr>
            <w:tcW w:w="2379" w:type="dxa"/>
            <w:tcBorders>
              <w:bottom w:val="single" w:sz="4" w:space="0" w:color="000000"/>
            </w:tcBorders>
          </w:tcPr>
          <w:p w14:paraId="75B97627" w14:textId="77777777" w:rsidR="00023BBF" w:rsidRDefault="00023BBF">
            <w:pPr>
              <w:rPr>
                <w:lang w:val="en-GB" w:eastAsia="en-US"/>
              </w:rPr>
            </w:pPr>
          </w:p>
        </w:tc>
        <w:tc>
          <w:tcPr>
            <w:tcW w:w="1799" w:type="dxa"/>
            <w:tcBorders>
              <w:bottom w:val="single" w:sz="4" w:space="0" w:color="000000"/>
            </w:tcBorders>
          </w:tcPr>
          <w:p w14:paraId="66F6A62F" w14:textId="77777777" w:rsidR="00023BBF" w:rsidRDefault="00E17C37">
            <w:pPr>
              <w:spacing w:line="247" w:lineRule="exact"/>
              <w:ind w:left="17" w:right="9"/>
              <w:jc w:val="center"/>
              <w:rPr>
                <w:b/>
                <w:lang w:val="en-GB" w:eastAsia="en-US"/>
              </w:rPr>
            </w:pPr>
            <w:r>
              <w:rPr>
                <w:b/>
                <w:lang w:val="en-GB" w:eastAsia="en-US"/>
              </w:rPr>
              <w:t xml:space="preserve">placebo 1 </w:t>
            </w:r>
            <w:proofErr w:type="spellStart"/>
            <w:r>
              <w:rPr>
                <w:b/>
                <w:lang w:val="en-GB" w:eastAsia="en-US"/>
              </w:rPr>
              <w:t>kartą</w:t>
            </w:r>
            <w:proofErr w:type="spellEnd"/>
            <w:r>
              <w:rPr>
                <w:b/>
                <w:lang w:val="en-GB" w:eastAsia="en-US"/>
              </w:rPr>
              <w:t xml:space="preserve"> per </w:t>
            </w:r>
            <w:proofErr w:type="spellStart"/>
            <w:r>
              <w:rPr>
                <w:b/>
                <w:lang w:val="en-GB" w:eastAsia="en-US"/>
              </w:rPr>
              <w:t>savaitę</w:t>
            </w:r>
            <w:proofErr w:type="spellEnd"/>
          </w:p>
        </w:tc>
      </w:tr>
      <w:tr w:rsidR="00023BBF" w14:paraId="10573489" w14:textId="77777777">
        <w:trPr>
          <w:trHeight w:val="311"/>
        </w:trPr>
        <w:tc>
          <w:tcPr>
            <w:tcW w:w="3011" w:type="dxa"/>
            <w:tcBorders>
              <w:top w:val="single" w:sz="4" w:space="0" w:color="000000"/>
              <w:bottom w:val="single" w:sz="4" w:space="0" w:color="000000"/>
            </w:tcBorders>
          </w:tcPr>
          <w:p w14:paraId="32A867F4" w14:textId="77777777" w:rsidR="00023BBF" w:rsidRDefault="00E17C37">
            <w:pPr>
              <w:spacing w:line="249" w:lineRule="exact"/>
              <w:ind w:left="124"/>
              <w:rPr>
                <w:b/>
                <w:lang w:val="en-GB" w:eastAsia="en-US"/>
              </w:rPr>
            </w:pPr>
            <w:r>
              <w:rPr>
                <w:b/>
                <w:spacing w:val="-10"/>
                <w:lang w:val="en-GB" w:eastAsia="en-US"/>
              </w:rPr>
              <w:t>N</w:t>
            </w:r>
          </w:p>
        </w:tc>
        <w:tc>
          <w:tcPr>
            <w:tcW w:w="2468" w:type="dxa"/>
            <w:tcBorders>
              <w:top w:val="single" w:sz="4" w:space="0" w:color="000000"/>
              <w:bottom w:val="single" w:sz="4" w:space="0" w:color="000000"/>
            </w:tcBorders>
          </w:tcPr>
          <w:p w14:paraId="01A8C18E" w14:textId="77777777" w:rsidR="00023BBF" w:rsidRDefault="00E17C37">
            <w:pPr>
              <w:spacing w:line="249" w:lineRule="exact"/>
              <w:ind w:left="127" w:right="10"/>
              <w:jc w:val="center"/>
              <w:rPr>
                <w:b/>
                <w:lang w:val="en-GB" w:eastAsia="en-US"/>
              </w:rPr>
            </w:pPr>
            <w:r>
              <w:rPr>
                <w:b/>
                <w:spacing w:val="-5"/>
                <w:lang w:val="en-GB" w:eastAsia="en-US"/>
              </w:rPr>
              <w:t>228</w:t>
            </w:r>
          </w:p>
        </w:tc>
        <w:tc>
          <w:tcPr>
            <w:tcW w:w="2379" w:type="dxa"/>
            <w:tcBorders>
              <w:top w:val="single" w:sz="4" w:space="0" w:color="000000"/>
              <w:bottom w:val="single" w:sz="4" w:space="0" w:color="000000"/>
            </w:tcBorders>
          </w:tcPr>
          <w:p w14:paraId="421603C2" w14:textId="77777777" w:rsidR="00023BBF" w:rsidRDefault="00E17C37">
            <w:pPr>
              <w:spacing w:before="29"/>
              <w:ind w:left="44" w:right="11"/>
              <w:jc w:val="center"/>
              <w:rPr>
                <w:b/>
                <w:lang w:val="en-GB" w:eastAsia="en-US"/>
              </w:rPr>
            </w:pPr>
            <w:r>
              <w:rPr>
                <w:b/>
                <w:spacing w:val="-5"/>
                <w:lang w:val="en-GB" w:eastAsia="en-US"/>
              </w:rPr>
              <w:t>230</w:t>
            </w:r>
          </w:p>
        </w:tc>
        <w:tc>
          <w:tcPr>
            <w:tcW w:w="1799" w:type="dxa"/>
            <w:tcBorders>
              <w:top w:val="single" w:sz="4" w:space="0" w:color="000000"/>
              <w:bottom w:val="single" w:sz="4" w:space="0" w:color="000000"/>
            </w:tcBorders>
          </w:tcPr>
          <w:p w14:paraId="619AF288" w14:textId="77777777" w:rsidR="00023BBF" w:rsidRDefault="00E17C37">
            <w:pPr>
              <w:spacing w:before="29"/>
              <w:ind w:left="17" w:right="5"/>
              <w:jc w:val="center"/>
              <w:rPr>
                <w:b/>
                <w:lang w:val="en-GB" w:eastAsia="en-US"/>
              </w:rPr>
            </w:pPr>
            <w:r>
              <w:rPr>
                <w:b/>
                <w:spacing w:val="-5"/>
                <w:lang w:val="en-GB" w:eastAsia="en-US"/>
              </w:rPr>
              <w:t>227</w:t>
            </w:r>
          </w:p>
        </w:tc>
      </w:tr>
      <w:tr w:rsidR="00023BBF" w14:paraId="6CF96F22" w14:textId="77777777">
        <w:trPr>
          <w:trHeight w:val="254"/>
        </w:trPr>
        <w:tc>
          <w:tcPr>
            <w:tcW w:w="3011" w:type="dxa"/>
            <w:tcBorders>
              <w:top w:val="single" w:sz="4" w:space="0" w:color="000000"/>
            </w:tcBorders>
          </w:tcPr>
          <w:p w14:paraId="7C87192C" w14:textId="77777777" w:rsidR="00023BBF" w:rsidRDefault="00E17C37">
            <w:pPr>
              <w:spacing w:before="1" w:line="233" w:lineRule="exact"/>
              <w:ind w:left="124"/>
              <w:rPr>
                <w:b/>
                <w:lang w:val="en-GB" w:eastAsia="en-US"/>
              </w:rPr>
            </w:pPr>
            <w:r>
              <w:rPr>
                <w:b/>
                <w:lang w:val="en-GB" w:eastAsia="en-US"/>
              </w:rPr>
              <w:lastRenderedPageBreak/>
              <w:t>HbA1c</w:t>
            </w:r>
            <w:r>
              <w:rPr>
                <w:b/>
                <w:spacing w:val="-11"/>
                <w:lang w:val="en-GB" w:eastAsia="en-US"/>
              </w:rPr>
              <w:t xml:space="preserve"> </w:t>
            </w:r>
            <w:r>
              <w:rPr>
                <w:b/>
                <w:spacing w:val="-5"/>
                <w:lang w:val="en-GB" w:eastAsia="en-US"/>
              </w:rPr>
              <w:t>(%)</w:t>
            </w:r>
          </w:p>
        </w:tc>
        <w:tc>
          <w:tcPr>
            <w:tcW w:w="2468" w:type="dxa"/>
            <w:tcBorders>
              <w:top w:val="single" w:sz="4" w:space="0" w:color="000000"/>
            </w:tcBorders>
          </w:tcPr>
          <w:p w14:paraId="65DDB008" w14:textId="77777777" w:rsidR="00023BBF" w:rsidRDefault="00023BBF">
            <w:pPr>
              <w:rPr>
                <w:lang w:val="en-GB" w:eastAsia="en-US"/>
              </w:rPr>
            </w:pPr>
          </w:p>
        </w:tc>
        <w:tc>
          <w:tcPr>
            <w:tcW w:w="2379" w:type="dxa"/>
            <w:tcBorders>
              <w:top w:val="single" w:sz="4" w:space="0" w:color="000000"/>
            </w:tcBorders>
          </w:tcPr>
          <w:p w14:paraId="04B71746" w14:textId="77777777" w:rsidR="00023BBF" w:rsidRDefault="00023BBF">
            <w:pPr>
              <w:rPr>
                <w:lang w:val="en-GB" w:eastAsia="en-US"/>
              </w:rPr>
            </w:pPr>
          </w:p>
        </w:tc>
        <w:tc>
          <w:tcPr>
            <w:tcW w:w="1799" w:type="dxa"/>
            <w:tcBorders>
              <w:top w:val="single" w:sz="4" w:space="0" w:color="000000"/>
            </w:tcBorders>
          </w:tcPr>
          <w:p w14:paraId="7F048F46" w14:textId="77777777" w:rsidR="00023BBF" w:rsidRDefault="00023BBF">
            <w:pPr>
              <w:rPr>
                <w:lang w:val="en-GB" w:eastAsia="en-US"/>
              </w:rPr>
            </w:pPr>
          </w:p>
        </w:tc>
      </w:tr>
      <w:tr w:rsidR="00023BBF" w14:paraId="010C2081" w14:textId="77777777">
        <w:trPr>
          <w:trHeight w:val="239"/>
        </w:trPr>
        <w:tc>
          <w:tcPr>
            <w:tcW w:w="3011" w:type="dxa"/>
          </w:tcPr>
          <w:p w14:paraId="38294B30" w14:textId="77777777" w:rsidR="00023BBF" w:rsidRDefault="00E17C37">
            <w:pPr>
              <w:spacing w:line="219" w:lineRule="exact"/>
              <w:ind w:left="124"/>
              <w:rPr>
                <w:lang w:val="en-GB" w:eastAsia="en-US"/>
              </w:rPr>
            </w:pPr>
            <w:proofErr w:type="spellStart"/>
            <w:r>
              <w:rPr>
                <w:lang w:val="en-GB" w:eastAsia="en-US"/>
              </w:rPr>
              <w:t>Pradinė</w:t>
            </w:r>
            <w:proofErr w:type="spellEnd"/>
            <w:r>
              <w:rPr>
                <w:spacing w:val="-8"/>
                <w:lang w:val="en-GB" w:eastAsia="en-US"/>
              </w:rPr>
              <w:t xml:space="preserve"> </w:t>
            </w:r>
            <w:r>
              <w:rPr>
                <w:spacing w:val="-2"/>
                <w:lang w:val="en-GB" w:eastAsia="en-US"/>
              </w:rPr>
              <w:t>(</w:t>
            </w:r>
            <w:proofErr w:type="spellStart"/>
            <w:r>
              <w:rPr>
                <w:spacing w:val="-2"/>
                <w:lang w:val="en-GB" w:eastAsia="en-US"/>
              </w:rPr>
              <w:t>vidurkis</w:t>
            </w:r>
            <w:proofErr w:type="spellEnd"/>
            <w:r>
              <w:rPr>
                <w:spacing w:val="-2"/>
                <w:lang w:val="en-GB" w:eastAsia="en-US"/>
              </w:rPr>
              <w:t>)</w:t>
            </w:r>
          </w:p>
        </w:tc>
        <w:tc>
          <w:tcPr>
            <w:tcW w:w="2468" w:type="dxa"/>
          </w:tcPr>
          <w:p w14:paraId="23363034" w14:textId="77777777" w:rsidR="00023BBF" w:rsidRDefault="00E17C37">
            <w:pPr>
              <w:spacing w:line="219" w:lineRule="exact"/>
              <w:ind w:left="127"/>
              <w:jc w:val="center"/>
              <w:rPr>
                <w:lang w:val="en-GB" w:eastAsia="en-US"/>
              </w:rPr>
            </w:pPr>
            <w:r>
              <w:rPr>
                <w:spacing w:val="-4"/>
                <w:lang w:val="en-GB" w:eastAsia="en-US"/>
              </w:rPr>
              <w:t>9,29</w:t>
            </w:r>
          </w:p>
        </w:tc>
        <w:tc>
          <w:tcPr>
            <w:tcW w:w="2379" w:type="dxa"/>
          </w:tcPr>
          <w:p w14:paraId="70E40478" w14:textId="77777777" w:rsidR="00023BBF" w:rsidRDefault="00E17C37">
            <w:pPr>
              <w:spacing w:line="219" w:lineRule="exact"/>
              <w:ind w:left="44"/>
              <w:jc w:val="center"/>
              <w:rPr>
                <w:lang w:val="en-GB" w:eastAsia="en-US"/>
              </w:rPr>
            </w:pPr>
            <w:r>
              <w:rPr>
                <w:spacing w:val="-4"/>
                <w:lang w:val="en-GB" w:eastAsia="en-US"/>
              </w:rPr>
              <w:t>9,25</w:t>
            </w:r>
          </w:p>
        </w:tc>
        <w:tc>
          <w:tcPr>
            <w:tcW w:w="1799" w:type="dxa"/>
          </w:tcPr>
          <w:p w14:paraId="768C57AB" w14:textId="77777777" w:rsidR="00023BBF" w:rsidRDefault="00E17C37">
            <w:pPr>
              <w:spacing w:line="219" w:lineRule="exact"/>
              <w:ind w:left="17" w:right="4"/>
              <w:jc w:val="center"/>
              <w:rPr>
                <w:lang w:val="en-GB" w:eastAsia="en-US"/>
              </w:rPr>
            </w:pPr>
            <w:r>
              <w:rPr>
                <w:spacing w:val="-4"/>
                <w:lang w:val="en-GB" w:eastAsia="en-US"/>
              </w:rPr>
              <w:t>9,26</w:t>
            </w:r>
          </w:p>
        </w:tc>
      </w:tr>
      <w:tr w:rsidR="00023BBF" w14:paraId="665E64FA" w14:textId="77777777">
        <w:trPr>
          <w:trHeight w:val="312"/>
        </w:trPr>
        <w:tc>
          <w:tcPr>
            <w:tcW w:w="3011" w:type="dxa"/>
          </w:tcPr>
          <w:p w14:paraId="49479F33" w14:textId="77777777" w:rsidR="00023BBF" w:rsidRDefault="00E17C37">
            <w:pPr>
              <w:spacing w:before="21"/>
              <w:ind w:left="124"/>
              <w:rPr>
                <w:lang w:val="en-GB" w:eastAsia="en-US"/>
              </w:rPr>
            </w:pPr>
            <w:proofErr w:type="spellStart"/>
            <w:r>
              <w:rPr>
                <w:lang w:val="en-GB" w:eastAsia="en-US"/>
              </w:rPr>
              <w:t>Pokytis</w:t>
            </w:r>
            <w:proofErr w:type="spellEnd"/>
            <w:r>
              <w:rPr>
                <w:lang w:val="en-GB" w:eastAsia="en-US"/>
              </w:rPr>
              <w:t xml:space="preserve"> </w:t>
            </w:r>
            <w:proofErr w:type="spellStart"/>
            <w:r>
              <w:rPr>
                <w:lang w:val="en-GB" w:eastAsia="en-US"/>
              </w:rPr>
              <w:t>palyginus</w:t>
            </w:r>
            <w:proofErr w:type="spellEnd"/>
            <w:r>
              <w:rPr>
                <w:lang w:val="en-GB" w:eastAsia="en-US"/>
              </w:rPr>
              <w:t xml:space="preserve"> </w:t>
            </w:r>
            <w:proofErr w:type="spellStart"/>
            <w:r>
              <w:rPr>
                <w:lang w:val="en-GB" w:eastAsia="en-US"/>
              </w:rPr>
              <w:t>su</w:t>
            </w:r>
            <w:proofErr w:type="spellEnd"/>
            <w:r>
              <w:rPr>
                <w:lang w:val="en-GB" w:eastAsia="en-US"/>
              </w:rPr>
              <w:t xml:space="preserve"> </w:t>
            </w:r>
            <w:proofErr w:type="spellStart"/>
            <w:r>
              <w:rPr>
                <w:lang w:val="en-GB" w:eastAsia="en-US"/>
              </w:rPr>
              <w:t>pradine</w:t>
            </w:r>
            <w:r>
              <w:rPr>
                <w:spacing w:val="-2"/>
                <w:vertAlign w:val="superscript"/>
                <w:lang w:val="en-GB" w:eastAsia="en-US"/>
              </w:rPr>
              <w:t>a</w:t>
            </w:r>
            <w:proofErr w:type="spellEnd"/>
          </w:p>
        </w:tc>
        <w:tc>
          <w:tcPr>
            <w:tcW w:w="2468" w:type="dxa"/>
          </w:tcPr>
          <w:p w14:paraId="5BB3330E" w14:textId="77777777" w:rsidR="00023BBF" w:rsidRDefault="00E17C37">
            <w:pPr>
              <w:spacing w:before="16"/>
              <w:ind w:left="127" w:right="4"/>
              <w:jc w:val="center"/>
              <w:rPr>
                <w:lang w:val="en-GB" w:eastAsia="en-US"/>
              </w:rPr>
            </w:pPr>
            <w:r>
              <w:rPr>
                <w:spacing w:val="-2"/>
                <w:lang w:val="en-GB" w:eastAsia="en-US"/>
              </w:rPr>
              <w:t>-</w:t>
            </w:r>
            <w:r>
              <w:rPr>
                <w:spacing w:val="-4"/>
                <w:lang w:val="en-GB" w:eastAsia="en-US"/>
              </w:rPr>
              <w:t>1,98</w:t>
            </w:r>
          </w:p>
        </w:tc>
        <w:tc>
          <w:tcPr>
            <w:tcW w:w="2379" w:type="dxa"/>
          </w:tcPr>
          <w:p w14:paraId="04BA88FD" w14:textId="77777777" w:rsidR="00023BBF" w:rsidRDefault="00E17C37">
            <w:pPr>
              <w:spacing w:before="16"/>
              <w:ind w:left="44" w:right="5"/>
              <w:jc w:val="center"/>
              <w:rPr>
                <w:lang w:val="en-GB" w:eastAsia="en-US"/>
              </w:rPr>
            </w:pPr>
            <w:r>
              <w:rPr>
                <w:spacing w:val="-2"/>
                <w:lang w:val="en-GB" w:eastAsia="en-US"/>
              </w:rPr>
              <w:t>-</w:t>
            </w:r>
            <w:r>
              <w:rPr>
                <w:spacing w:val="-4"/>
                <w:lang w:val="en-GB" w:eastAsia="en-US"/>
              </w:rPr>
              <w:t>1,39</w:t>
            </w:r>
          </w:p>
        </w:tc>
        <w:tc>
          <w:tcPr>
            <w:tcW w:w="1799" w:type="dxa"/>
          </w:tcPr>
          <w:p w14:paraId="032610C7" w14:textId="77777777" w:rsidR="00023BBF" w:rsidRDefault="00E17C37">
            <w:pPr>
              <w:spacing w:before="16"/>
              <w:ind w:left="17"/>
              <w:jc w:val="center"/>
              <w:rPr>
                <w:lang w:val="en-GB" w:eastAsia="en-US"/>
              </w:rPr>
            </w:pPr>
            <w:r>
              <w:rPr>
                <w:spacing w:val="-2"/>
                <w:lang w:val="en-GB" w:eastAsia="en-US"/>
              </w:rPr>
              <w:t>-</w:t>
            </w:r>
            <w:r>
              <w:rPr>
                <w:spacing w:val="-4"/>
                <w:lang w:val="en-GB" w:eastAsia="en-US"/>
              </w:rPr>
              <w:t>1,60</w:t>
            </w:r>
          </w:p>
        </w:tc>
      </w:tr>
      <w:tr w:rsidR="00023BBF" w14:paraId="182F44A5" w14:textId="77777777">
        <w:trPr>
          <w:trHeight w:val="288"/>
        </w:trPr>
        <w:tc>
          <w:tcPr>
            <w:tcW w:w="3011" w:type="dxa"/>
          </w:tcPr>
          <w:p w14:paraId="4E54BDFD" w14:textId="77777777" w:rsidR="00023BBF" w:rsidRDefault="00E17C37">
            <w:pPr>
              <w:spacing w:before="30" w:line="238" w:lineRule="exact"/>
              <w:ind w:left="124"/>
              <w:rPr>
                <w:lang w:val="en-GB" w:eastAsia="en-US"/>
              </w:rPr>
            </w:pPr>
            <w:proofErr w:type="spellStart"/>
            <w:r>
              <w:rPr>
                <w:lang w:val="en-GB" w:eastAsia="en-US"/>
              </w:rPr>
              <w:t>Vidutinis</w:t>
            </w:r>
            <w:proofErr w:type="spellEnd"/>
            <w:r>
              <w:rPr>
                <w:lang w:val="en-GB" w:eastAsia="en-US"/>
              </w:rPr>
              <w:t xml:space="preserve"> </w:t>
            </w:r>
            <w:proofErr w:type="spellStart"/>
            <w:r>
              <w:rPr>
                <w:lang w:val="en-GB" w:eastAsia="en-US"/>
              </w:rPr>
              <w:t>pokyčio</w:t>
            </w:r>
            <w:proofErr w:type="spellEnd"/>
            <w:r>
              <w:rPr>
                <w:lang w:val="en-GB" w:eastAsia="en-US"/>
              </w:rPr>
              <w:t xml:space="preserve">, </w:t>
            </w:r>
            <w:proofErr w:type="spellStart"/>
            <w:r>
              <w:rPr>
                <w:lang w:val="en-GB" w:eastAsia="en-US"/>
              </w:rPr>
              <w:t>palyginus</w:t>
            </w:r>
            <w:proofErr w:type="spellEnd"/>
          </w:p>
        </w:tc>
        <w:tc>
          <w:tcPr>
            <w:tcW w:w="2468" w:type="dxa"/>
          </w:tcPr>
          <w:p w14:paraId="2409645C" w14:textId="77777777" w:rsidR="00023BBF" w:rsidRDefault="00023BBF">
            <w:pPr>
              <w:rPr>
                <w:lang w:val="en-GB" w:eastAsia="en-US"/>
              </w:rPr>
            </w:pPr>
          </w:p>
        </w:tc>
        <w:tc>
          <w:tcPr>
            <w:tcW w:w="2379" w:type="dxa"/>
          </w:tcPr>
          <w:p w14:paraId="175BE1E9" w14:textId="77777777" w:rsidR="00023BBF" w:rsidRDefault="00023BBF">
            <w:pPr>
              <w:rPr>
                <w:lang w:val="en-GB" w:eastAsia="en-US"/>
              </w:rPr>
            </w:pPr>
          </w:p>
        </w:tc>
        <w:tc>
          <w:tcPr>
            <w:tcW w:w="1799" w:type="dxa"/>
          </w:tcPr>
          <w:p w14:paraId="3AF65BDF" w14:textId="77777777" w:rsidR="00023BBF" w:rsidRDefault="00023BBF">
            <w:pPr>
              <w:rPr>
                <w:lang w:val="en-GB" w:eastAsia="en-US"/>
              </w:rPr>
            </w:pPr>
          </w:p>
        </w:tc>
      </w:tr>
      <w:tr w:rsidR="00023BBF" w14:paraId="71D59FD1" w14:textId="77777777">
        <w:trPr>
          <w:trHeight w:val="251"/>
        </w:trPr>
        <w:tc>
          <w:tcPr>
            <w:tcW w:w="3011" w:type="dxa"/>
          </w:tcPr>
          <w:p w14:paraId="68691E1E" w14:textId="77777777" w:rsidR="00023BBF" w:rsidRDefault="00E17C37">
            <w:pPr>
              <w:spacing w:line="232" w:lineRule="exact"/>
              <w:ind w:left="124"/>
              <w:rPr>
                <w:lang w:val="en-GB" w:eastAsia="en-US"/>
              </w:rPr>
            </w:pPr>
            <w:proofErr w:type="spellStart"/>
            <w:r>
              <w:rPr>
                <w:lang w:val="en-GB" w:eastAsia="en-US"/>
              </w:rPr>
              <w:t>su</w:t>
            </w:r>
            <w:proofErr w:type="spellEnd"/>
            <w:r>
              <w:rPr>
                <w:lang w:val="en-GB" w:eastAsia="en-US"/>
              </w:rPr>
              <w:t xml:space="preserve"> </w:t>
            </w:r>
            <w:proofErr w:type="spellStart"/>
            <w:r>
              <w:rPr>
                <w:lang w:val="en-GB" w:eastAsia="en-US"/>
              </w:rPr>
              <w:t>pradine</w:t>
            </w:r>
            <w:proofErr w:type="spellEnd"/>
            <w:r>
              <w:rPr>
                <w:lang w:val="en-GB" w:eastAsia="en-US"/>
              </w:rPr>
              <w:t xml:space="preserve">, </w:t>
            </w:r>
            <w:proofErr w:type="spellStart"/>
            <w:r>
              <w:rPr>
                <w:lang w:val="en-GB" w:eastAsia="en-US"/>
              </w:rPr>
              <w:t>skirtumas</w:t>
            </w:r>
            <w:proofErr w:type="spellEnd"/>
            <w:r>
              <w:rPr>
                <w:lang w:val="en-GB" w:eastAsia="en-US"/>
              </w:rPr>
              <w:t>,</w:t>
            </w:r>
          </w:p>
        </w:tc>
        <w:tc>
          <w:tcPr>
            <w:tcW w:w="2468" w:type="dxa"/>
          </w:tcPr>
          <w:p w14:paraId="23B55D3C" w14:textId="77777777" w:rsidR="00023BBF" w:rsidRDefault="00023BBF">
            <w:pPr>
              <w:rPr>
                <w:lang w:val="en-GB" w:eastAsia="en-US"/>
              </w:rPr>
            </w:pPr>
          </w:p>
        </w:tc>
        <w:tc>
          <w:tcPr>
            <w:tcW w:w="2379" w:type="dxa"/>
          </w:tcPr>
          <w:p w14:paraId="7FC695B1" w14:textId="77777777" w:rsidR="00023BBF" w:rsidRDefault="00E17C37">
            <w:pPr>
              <w:spacing w:line="232" w:lineRule="exact"/>
              <w:ind w:left="44" w:right="1"/>
              <w:jc w:val="center"/>
              <w:rPr>
                <w:lang w:val="en-GB" w:eastAsia="en-US"/>
              </w:rPr>
            </w:pPr>
            <w:r>
              <w:rPr>
                <w:spacing w:val="-2"/>
                <w:lang w:val="en-GB" w:eastAsia="en-US"/>
              </w:rPr>
              <w:t>-0,59*</w:t>
            </w:r>
          </w:p>
        </w:tc>
        <w:tc>
          <w:tcPr>
            <w:tcW w:w="1799" w:type="dxa"/>
          </w:tcPr>
          <w:p w14:paraId="0069B1C6" w14:textId="77777777" w:rsidR="00023BBF" w:rsidRDefault="00E17C37">
            <w:pPr>
              <w:spacing w:line="232" w:lineRule="exact"/>
              <w:ind w:left="17" w:right="6"/>
              <w:jc w:val="center"/>
              <w:rPr>
                <w:lang w:val="en-GB" w:eastAsia="en-US"/>
              </w:rPr>
            </w:pPr>
            <w:r>
              <w:rPr>
                <w:spacing w:val="-2"/>
                <w:lang w:val="en-GB" w:eastAsia="en-US"/>
              </w:rPr>
              <w:t>-0,38**</w:t>
            </w:r>
          </w:p>
        </w:tc>
      </w:tr>
      <w:tr w:rsidR="00023BBF" w14:paraId="37992FF0" w14:textId="77777777">
        <w:trPr>
          <w:trHeight w:val="249"/>
        </w:trPr>
        <w:tc>
          <w:tcPr>
            <w:tcW w:w="3011" w:type="dxa"/>
          </w:tcPr>
          <w:p w14:paraId="2B60F92F" w14:textId="77777777" w:rsidR="00023BBF" w:rsidRDefault="00E17C37">
            <w:pPr>
              <w:spacing w:line="230" w:lineRule="exact"/>
              <w:ind w:left="124"/>
              <w:rPr>
                <w:lang w:val="en-GB" w:eastAsia="en-US"/>
              </w:rPr>
            </w:pPr>
            <w:proofErr w:type="spellStart"/>
            <w:r>
              <w:rPr>
                <w:lang w:val="en-GB" w:eastAsia="en-US"/>
              </w:rPr>
              <w:t>vartojant</w:t>
            </w:r>
            <w:proofErr w:type="spellEnd"/>
            <w:r>
              <w:rPr>
                <w:lang w:val="en-GB" w:eastAsia="en-US"/>
              </w:rPr>
              <w:t xml:space="preserve"> </w:t>
            </w:r>
            <w:proofErr w:type="spellStart"/>
            <w:r>
              <w:rPr>
                <w:lang w:val="en-GB" w:eastAsia="en-US"/>
              </w:rPr>
              <w:t>derinį</w:t>
            </w:r>
            <w:proofErr w:type="spellEnd"/>
            <w:r>
              <w:rPr>
                <w:lang w:val="en-GB" w:eastAsia="en-US"/>
              </w:rPr>
              <w:t xml:space="preserve"> </w:t>
            </w:r>
            <w:proofErr w:type="spellStart"/>
            <w:r>
              <w:rPr>
                <w:lang w:val="en-GB" w:eastAsia="en-US"/>
              </w:rPr>
              <w:t>ir</w:t>
            </w:r>
            <w:proofErr w:type="spellEnd"/>
            <w:r>
              <w:rPr>
                <w:lang w:val="en-GB" w:eastAsia="en-US"/>
              </w:rPr>
              <w:t xml:space="preserve"> </w:t>
            </w:r>
            <w:proofErr w:type="spellStart"/>
            <w:r>
              <w:rPr>
                <w:lang w:val="en-GB" w:eastAsia="en-US"/>
              </w:rPr>
              <w:t>atskirus</w:t>
            </w:r>
            <w:proofErr w:type="spellEnd"/>
          </w:p>
        </w:tc>
        <w:tc>
          <w:tcPr>
            <w:tcW w:w="2468" w:type="dxa"/>
          </w:tcPr>
          <w:p w14:paraId="42444349" w14:textId="77777777" w:rsidR="00023BBF" w:rsidRDefault="00023BBF">
            <w:pPr>
              <w:rPr>
                <w:lang w:val="en-GB" w:eastAsia="en-US"/>
              </w:rPr>
            </w:pPr>
          </w:p>
        </w:tc>
        <w:tc>
          <w:tcPr>
            <w:tcW w:w="2379" w:type="dxa"/>
          </w:tcPr>
          <w:p w14:paraId="4FD61EBC" w14:textId="77777777" w:rsidR="00023BBF" w:rsidRDefault="00E17C37">
            <w:pPr>
              <w:spacing w:line="230" w:lineRule="exact"/>
              <w:ind w:left="44"/>
              <w:jc w:val="center"/>
              <w:rPr>
                <w:lang w:val="en-GB" w:eastAsia="en-US"/>
              </w:rPr>
            </w:pPr>
            <w:r>
              <w:rPr>
                <w:lang w:val="en-GB" w:eastAsia="en-US"/>
              </w:rPr>
              <w:t>(-0,84,</w:t>
            </w:r>
            <w:r>
              <w:rPr>
                <w:spacing w:val="-3"/>
                <w:lang w:val="en-GB" w:eastAsia="en-US"/>
              </w:rPr>
              <w:t xml:space="preserve"> </w:t>
            </w:r>
            <w:r>
              <w:rPr>
                <w:lang w:val="en-GB" w:eastAsia="en-US"/>
              </w:rPr>
              <w:t>-</w:t>
            </w:r>
            <w:r>
              <w:rPr>
                <w:spacing w:val="-2"/>
                <w:lang w:val="en-GB" w:eastAsia="en-US"/>
              </w:rPr>
              <w:t>0,34)</w:t>
            </w:r>
          </w:p>
        </w:tc>
        <w:tc>
          <w:tcPr>
            <w:tcW w:w="1799" w:type="dxa"/>
          </w:tcPr>
          <w:p w14:paraId="6465FC9E" w14:textId="77777777" w:rsidR="00023BBF" w:rsidRDefault="00E17C37">
            <w:pPr>
              <w:spacing w:line="230" w:lineRule="exact"/>
              <w:ind w:left="17" w:right="4"/>
              <w:jc w:val="center"/>
              <w:rPr>
                <w:lang w:val="en-GB" w:eastAsia="en-US"/>
              </w:rPr>
            </w:pPr>
            <w:r>
              <w:rPr>
                <w:lang w:val="en-GB" w:eastAsia="en-US"/>
              </w:rPr>
              <w:t>(-0,63,</w:t>
            </w:r>
            <w:r>
              <w:rPr>
                <w:spacing w:val="-3"/>
                <w:lang w:val="en-GB" w:eastAsia="en-US"/>
              </w:rPr>
              <w:t xml:space="preserve"> </w:t>
            </w:r>
            <w:r>
              <w:rPr>
                <w:lang w:val="en-GB" w:eastAsia="en-US"/>
              </w:rPr>
              <w:t>-</w:t>
            </w:r>
            <w:r>
              <w:rPr>
                <w:spacing w:val="-2"/>
                <w:lang w:val="en-GB" w:eastAsia="en-US"/>
              </w:rPr>
              <w:t>0,13)</w:t>
            </w:r>
          </w:p>
        </w:tc>
      </w:tr>
      <w:tr w:rsidR="00023BBF" w14:paraId="21A7A9A5" w14:textId="77777777">
        <w:trPr>
          <w:trHeight w:val="319"/>
        </w:trPr>
        <w:tc>
          <w:tcPr>
            <w:tcW w:w="3011" w:type="dxa"/>
            <w:tcBorders>
              <w:bottom w:val="single" w:sz="4" w:space="0" w:color="000000"/>
            </w:tcBorders>
          </w:tcPr>
          <w:p w14:paraId="0AD0CB4E" w14:textId="77777777" w:rsidR="00023BBF" w:rsidRDefault="00E17C37">
            <w:pPr>
              <w:spacing w:line="247" w:lineRule="exact"/>
              <w:ind w:left="124"/>
              <w:rPr>
                <w:lang w:val="en-GB" w:eastAsia="en-US"/>
              </w:rPr>
            </w:pPr>
            <w:proofErr w:type="spellStart"/>
            <w:r>
              <w:rPr>
                <w:lang w:val="en-GB" w:eastAsia="en-US"/>
              </w:rPr>
              <w:t>vaistinius</w:t>
            </w:r>
            <w:proofErr w:type="spellEnd"/>
            <w:r>
              <w:rPr>
                <w:lang w:val="en-GB" w:eastAsia="en-US"/>
              </w:rPr>
              <w:t xml:space="preserve"> </w:t>
            </w:r>
            <w:proofErr w:type="spellStart"/>
            <w:r>
              <w:rPr>
                <w:lang w:val="en-GB" w:eastAsia="en-US"/>
              </w:rPr>
              <w:t>preparatus</w:t>
            </w:r>
            <w:proofErr w:type="spellEnd"/>
            <w:r>
              <w:rPr>
                <w:spacing w:val="-5"/>
                <w:lang w:val="en-GB" w:eastAsia="en-US"/>
              </w:rPr>
              <w:t xml:space="preserve"> </w:t>
            </w:r>
            <w:r>
              <w:rPr>
                <w:lang w:val="en-GB" w:eastAsia="en-US"/>
              </w:rPr>
              <w:t>(95 %</w:t>
            </w:r>
            <w:r>
              <w:rPr>
                <w:spacing w:val="-5"/>
                <w:lang w:val="en-GB" w:eastAsia="en-US"/>
              </w:rPr>
              <w:t xml:space="preserve"> PI)</w:t>
            </w:r>
          </w:p>
        </w:tc>
        <w:tc>
          <w:tcPr>
            <w:tcW w:w="2468" w:type="dxa"/>
            <w:tcBorders>
              <w:bottom w:val="single" w:sz="4" w:space="0" w:color="000000"/>
            </w:tcBorders>
          </w:tcPr>
          <w:p w14:paraId="07141CE5" w14:textId="77777777" w:rsidR="00023BBF" w:rsidRDefault="00023BBF">
            <w:pPr>
              <w:rPr>
                <w:lang w:val="en-GB" w:eastAsia="en-US"/>
              </w:rPr>
            </w:pPr>
          </w:p>
        </w:tc>
        <w:tc>
          <w:tcPr>
            <w:tcW w:w="2379" w:type="dxa"/>
            <w:tcBorders>
              <w:bottom w:val="single" w:sz="4" w:space="0" w:color="000000"/>
            </w:tcBorders>
          </w:tcPr>
          <w:p w14:paraId="29A54174" w14:textId="77777777" w:rsidR="00023BBF" w:rsidRDefault="00023BBF">
            <w:pPr>
              <w:rPr>
                <w:lang w:val="en-GB" w:eastAsia="en-US"/>
              </w:rPr>
            </w:pPr>
          </w:p>
        </w:tc>
        <w:tc>
          <w:tcPr>
            <w:tcW w:w="1799" w:type="dxa"/>
            <w:tcBorders>
              <w:bottom w:val="single" w:sz="4" w:space="0" w:color="000000"/>
            </w:tcBorders>
          </w:tcPr>
          <w:p w14:paraId="43CCC4D3" w14:textId="77777777" w:rsidR="00023BBF" w:rsidRDefault="00023BBF">
            <w:pPr>
              <w:rPr>
                <w:lang w:val="en-GB" w:eastAsia="en-US"/>
              </w:rPr>
            </w:pPr>
          </w:p>
        </w:tc>
      </w:tr>
      <w:tr w:rsidR="00023BBF" w14:paraId="24B93F36" w14:textId="77777777">
        <w:trPr>
          <w:trHeight w:val="623"/>
        </w:trPr>
        <w:tc>
          <w:tcPr>
            <w:tcW w:w="3011" w:type="dxa"/>
            <w:tcBorders>
              <w:bottom w:val="single" w:sz="4" w:space="0" w:color="000000"/>
            </w:tcBorders>
          </w:tcPr>
          <w:p w14:paraId="3823F45C" w14:textId="77777777" w:rsidR="00023BBF" w:rsidRDefault="00E17C37">
            <w:pPr>
              <w:spacing w:before="60" w:line="237" w:lineRule="auto"/>
              <w:ind w:left="124"/>
              <w:rPr>
                <w:b/>
                <w:lang w:val="en-GB" w:eastAsia="en-US"/>
              </w:rPr>
            </w:pPr>
            <w:proofErr w:type="spellStart"/>
            <w:r>
              <w:rPr>
                <w:b/>
                <w:lang w:val="en-GB" w:eastAsia="en-US"/>
              </w:rPr>
              <w:t>Tiriamieji</w:t>
            </w:r>
            <w:proofErr w:type="spellEnd"/>
            <w:r>
              <w:rPr>
                <w:b/>
                <w:lang w:val="en-GB" w:eastAsia="en-US"/>
              </w:rPr>
              <w:t xml:space="preserve">, </w:t>
            </w:r>
            <w:proofErr w:type="spellStart"/>
            <w:r>
              <w:rPr>
                <w:b/>
                <w:lang w:val="en-GB" w:eastAsia="en-US"/>
              </w:rPr>
              <w:t>pasiekę</w:t>
            </w:r>
            <w:proofErr w:type="spellEnd"/>
            <w:r>
              <w:rPr>
                <w:b/>
                <w:lang w:val="en-GB" w:eastAsia="en-US"/>
              </w:rPr>
              <w:t xml:space="preserve"> HbA1c</w:t>
            </w:r>
            <w:r>
              <w:rPr>
                <w:b/>
                <w:spacing w:val="-9"/>
                <w:lang w:val="en-GB" w:eastAsia="en-US"/>
              </w:rPr>
              <w:t> </w:t>
            </w:r>
            <w:r>
              <w:rPr>
                <w:lang w:val="en-GB" w:eastAsia="en-US"/>
              </w:rPr>
              <w:t>&lt; </w:t>
            </w:r>
            <w:r>
              <w:rPr>
                <w:b/>
                <w:lang w:val="en-GB" w:eastAsia="en-US"/>
              </w:rPr>
              <w:t>7 % (%)</w:t>
            </w:r>
          </w:p>
        </w:tc>
        <w:tc>
          <w:tcPr>
            <w:tcW w:w="2468" w:type="dxa"/>
            <w:tcBorders>
              <w:bottom w:val="single" w:sz="4" w:space="0" w:color="000000"/>
            </w:tcBorders>
          </w:tcPr>
          <w:p w14:paraId="566249F5" w14:textId="77777777" w:rsidR="00023BBF" w:rsidRDefault="00E17C37">
            <w:pPr>
              <w:spacing w:before="178"/>
              <w:ind w:left="127"/>
              <w:jc w:val="center"/>
              <w:rPr>
                <w:lang w:val="en-GB" w:eastAsia="en-US"/>
              </w:rPr>
            </w:pPr>
            <w:r>
              <w:rPr>
                <w:spacing w:val="-4"/>
                <w:lang w:val="en-GB" w:eastAsia="en-US"/>
              </w:rPr>
              <w:t>44,7</w:t>
            </w:r>
          </w:p>
        </w:tc>
        <w:tc>
          <w:tcPr>
            <w:tcW w:w="2379" w:type="dxa"/>
            <w:tcBorders>
              <w:bottom w:val="single" w:sz="4" w:space="0" w:color="000000"/>
            </w:tcBorders>
          </w:tcPr>
          <w:p w14:paraId="13BC225C" w14:textId="77777777" w:rsidR="00023BBF" w:rsidRDefault="00E17C37">
            <w:pPr>
              <w:spacing w:before="178"/>
              <w:ind w:left="44"/>
              <w:jc w:val="center"/>
              <w:rPr>
                <w:lang w:val="en-GB" w:eastAsia="en-US"/>
              </w:rPr>
            </w:pPr>
            <w:r>
              <w:rPr>
                <w:spacing w:val="-4"/>
                <w:lang w:val="en-GB" w:eastAsia="en-US"/>
              </w:rPr>
              <w:t>19,1</w:t>
            </w:r>
          </w:p>
        </w:tc>
        <w:tc>
          <w:tcPr>
            <w:tcW w:w="1799" w:type="dxa"/>
            <w:tcBorders>
              <w:bottom w:val="single" w:sz="4" w:space="0" w:color="000000"/>
            </w:tcBorders>
          </w:tcPr>
          <w:p w14:paraId="337EDB8B" w14:textId="77777777" w:rsidR="00023BBF" w:rsidRDefault="00E17C37">
            <w:pPr>
              <w:spacing w:before="178"/>
              <w:ind w:left="17" w:right="4"/>
              <w:jc w:val="center"/>
              <w:rPr>
                <w:lang w:val="en-GB" w:eastAsia="en-US"/>
              </w:rPr>
            </w:pPr>
            <w:r>
              <w:rPr>
                <w:spacing w:val="-4"/>
                <w:lang w:val="en-GB" w:eastAsia="en-US"/>
              </w:rPr>
              <w:t>26,9</w:t>
            </w:r>
          </w:p>
        </w:tc>
      </w:tr>
      <w:tr w:rsidR="00023BBF" w14:paraId="5AE24210" w14:textId="77777777">
        <w:trPr>
          <w:trHeight w:val="256"/>
        </w:trPr>
        <w:tc>
          <w:tcPr>
            <w:tcW w:w="3011" w:type="dxa"/>
            <w:tcBorders>
              <w:top w:val="single" w:sz="4" w:space="0" w:color="000000"/>
            </w:tcBorders>
          </w:tcPr>
          <w:p w14:paraId="71BABAAE" w14:textId="77777777" w:rsidR="00023BBF" w:rsidRDefault="00E17C37">
            <w:pPr>
              <w:spacing w:before="1" w:line="236" w:lineRule="exact"/>
              <w:ind w:left="124"/>
              <w:rPr>
                <w:b/>
                <w:lang w:val="en-GB" w:eastAsia="en-US"/>
              </w:rPr>
            </w:pPr>
            <w:proofErr w:type="spellStart"/>
            <w:r>
              <w:rPr>
                <w:b/>
                <w:lang w:val="en-GB" w:eastAsia="en-US"/>
              </w:rPr>
              <w:t>Kūno</w:t>
            </w:r>
            <w:proofErr w:type="spellEnd"/>
            <w:r>
              <w:rPr>
                <w:b/>
                <w:lang w:val="en-GB" w:eastAsia="en-US"/>
              </w:rPr>
              <w:t xml:space="preserve"> </w:t>
            </w:r>
            <w:proofErr w:type="spellStart"/>
            <w:r>
              <w:rPr>
                <w:b/>
                <w:lang w:val="en-GB" w:eastAsia="en-US"/>
              </w:rPr>
              <w:t>svoris</w:t>
            </w:r>
            <w:proofErr w:type="spellEnd"/>
            <w:r>
              <w:rPr>
                <w:b/>
                <w:spacing w:val="-5"/>
                <w:lang w:val="en-GB" w:eastAsia="en-US"/>
              </w:rPr>
              <w:t xml:space="preserve"> </w:t>
            </w:r>
            <w:r>
              <w:rPr>
                <w:b/>
                <w:spacing w:val="-4"/>
                <w:lang w:val="en-GB" w:eastAsia="en-US"/>
              </w:rPr>
              <w:t>(kg)</w:t>
            </w:r>
          </w:p>
        </w:tc>
        <w:tc>
          <w:tcPr>
            <w:tcW w:w="2468" w:type="dxa"/>
            <w:tcBorders>
              <w:top w:val="single" w:sz="4" w:space="0" w:color="000000"/>
            </w:tcBorders>
          </w:tcPr>
          <w:p w14:paraId="23988AAA" w14:textId="77777777" w:rsidR="00023BBF" w:rsidRDefault="00023BBF">
            <w:pPr>
              <w:rPr>
                <w:lang w:val="en-GB" w:eastAsia="en-US"/>
              </w:rPr>
            </w:pPr>
          </w:p>
        </w:tc>
        <w:tc>
          <w:tcPr>
            <w:tcW w:w="2379" w:type="dxa"/>
            <w:tcBorders>
              <w:top w:val="single" w:sz="4" w:space="0" w:color="000000"/>
            </w:tcBorders>
          </w:tcPr>
          <w:p w14:paraId="2E0C7380" w14:textId="77777777" w:rsidR="00023BBF" w:rsidRDefault="00023BBF">
            <w:pPr>
              <w:rPr>
                <w:lang w:val="en-GB" w:eastAsia="en-US"/>
              </w:rPr>
            </w:pPr>
          </w:p>
        </w:tc>
        <w:tc>
          <w:tcPr>
            <w:tcW w:w="1799" w:type="dxa"/>
            <w:tcBorders>
              <w:top w:val="single" w:sz="4" w:space="0" w:color="000000"/>
            </w:tcBorders>
          </w:tcPr>
          <w:p w14:paraId="2EB7C3E0" w14:textId="77777777" w:rsidR="00023BBF" w:rsidRDefault="00023BBF">
            <w:pPr>
              <w:rPr>
                <w:lang w:val="en-GB" w:eastAsia="en-US"/>
              </w:rPr>
            </w:pPr>
          </w:p>
        </w:tc>
      </w:tr>
      <w:tr w:rsidR="00023BBF" w14:paraId="1109201D" w14:textId="77777777">
        <w:trPr>
          <w:trHeight w:val="241"/>
        </w:trPr>
        <w:tc>
          <w:tcPr>
            <w:tcW w:w="3011" w:type="dxa"/>
          </w:tcPr>
          <w:p w14:paraId="350D49E9" w14:textId="77777777" w:rsidR="00023BBF" w:rsidRDefault="00E17C37">
            <w:pPr>
              <w:spacing w:line="221" w:lineRule="exact"/>
              <w:ind w:left="124"/>
              <w:rPr>
                <w:lang w:val="en-GB" w:eastAsia="en-US"/>
              </w:rPr>
            </w:pPr>
            <w:proofErr w:type="spellStart"/>
            <w:r>
              <w:rPr>
                <w:lang w:val="en-GB" w:eastAsia="en-US"/>
              </w:rPr>
              <w:t>Pradinis</w:t>
            </w:r>
            <w:proofErr w:type="spellEnd"/>
            <w:r>
              <w:rPr>
                <w:spacing w:val="-8"/>
                <w:lang w:val="en-GB" w:eastAsia="en-US"/>
              </w:rPr>
              <w:t xml:space="preserve"> </w:t>
            </w:r>
            <w:r>
              <w:rPr>
                <w:spacing w:val="-2"/>
                <w:lang w:val="en-GB" w:eastAsia="en-US"/>
              </w:rPr>
              <w:t>(</w:t>
            </w:r>
            <w:proofErr w:type="spellStart"/>
            <w:r>
              <w:rPr>
                <w:spacing w:val="-2"/>
                <w:lang w:val="en-GB" w:eastAsia="en-US"/>
              </w:rPr>
              <w:t>vidurkis</w:t>
            </w:r>
            <w:proofErr w:type="spellEnd"/>
            <w:r>
              <w:rPr>
                <w:spacing w:val="-2"/>
                <w:lang w:val="en-GB" w:eastAsia="en-US"/>
              </w:rPr>
              <w:t>)</w:t>
            </w:r>
          </w:p>
        </w:tc>
        <w:tc>
          <w:tcPr>
            <w:tcW w:w="2468" w:type="dxa"/>
          </w:tcPr>
          <w:p w14:paraId="59D95146" w14:textId="77777777" w:rsidR="00023BBF" w:rsidRDefault="00E17C37">
            <w:pPr>
              <w:spacing w:line="221" w:lineRule="exact"/>
              <w:ind w:left="127" w:right="5"/>
              <w:jc w:val="center"/>
              <w:rPr>
                <w:lang w:val="en-GB" w:eastAsia="en-US"/>
              </w:rPr>
            </w:pPr>
            <w:r>
              <w:rPr>
                <w:spacing w:val="-2"/>
                <w:lang w:val="en-GB" w:eastAsia="en-US"/>
              </w:rPr>
              <w:t>92,13</w:t>
            </w:r>
          </w:p>
        </w:tc>
        <w:tc>
          <w:tcPr>
            <w:tcW w:w="2379" w:type="dxa"/>
          </w:tcPr>
          <w:p w14:paraId="010FDE46" w14:textId="77777777" w:rsidR="00023BBF" w:rsidRDefault="00E17C37">
            <w:pPr>
              <w:spacing w:line="221" w:lineRule="exact"/>
              <w:ind w:left="44" w:right="5"/>
              <w:jc w:val="center"/>
              <w:rPr>
                <w:lang w:val="en-GB" w:eastAsia="en-US"/>
              </w:rPr>
            </w:pPr>
            <w:r>
              <w:rPr>
                <w:spacing w:val="-2"/>
                <w:lang w:val="en-GB" w:eastAsia="en-US"/>
              </w:rPr>
              <w:t>90,87</w:t>
            </w:r>
          </w:p>
        </w:tc>
        <w:tc>
          <w:tcPr>
            <w:tcW w:w="1799" w:type="dxa"/>
          </w:tcPr>
          <w:p w14:paraId="58CECFDC" w14:textId="77777777" w:rsidR="00023BBF" w:rsidRDefault="00E17C37">
            <w:pPr>
              <w:spacing w:line="221" w:lineRule="exact"/>
              <w:ind w:left="17"/>
              <w:jc w:val="center"/>
              <w:rPr>
                <w:lang w:val="en-GB" w:eastAsia="en-US"/>
              </w:rPr>
            </w:pPr>
            <w:r>
              <w:rPr>
                <w:spacing w:val="-2"/>
                <w:lang w:val="en-GB" w:eastAsia="en-US"/>
              </w:rPr>
              <w:t>89,12</w:t>
            </w:r>
          </w:p>
        </w:tc>
      </w:tr>
      <w:tr w:rsidR="00023BBF" w14:paraId="2522B822" w14:textId="77777777">
        <w:trPr>
          <w:trHeight w:val="310"/>
        </w:trPr>
        <w:tc>
          <w:tcPr>
            <w:tcW w:w="3011" w:type="dxa"/>
          </w:tcPr>
          <w:p w14:paraId="2621BAC6" w14:textId="77777777" w:rsidR="00023BBF" w:rsidRDefault="00E17C37">
            <w:pPr>
              <w:spacing w:before="21"/>
              <w:ind w:left="124"/>
              <w:rPr>
                <w:lang w:val="it-CH" w:eastAsia="en-US"/>
              </w:rPr>
            </w:pPr>
            <w:r>
              <w:rPr>
                <w:lang w:val="it-CH" w:eastAsia="en-US"/>
              </w:rPr>
              <w:t>Pokytis palyginus su</w:t>
            </w:r>
          </w:p>
          <w:p w14:paraId="77070748" w14:textId="77777777" w:rsidR="00023BBF" w:rsidRDefault="00E17C37">
            <w:pPr>
              <w:spacing w:before="21"/>
              <w:ind w:left="124"/>
              <w:rPr>
                <w:lang w:val="it-CH" w:eastAsia="en-US"/>
              </w:rPr>
            </w:pPr>
            <w:r>
              <w:rPr>
                <w:lang w:val="it-CH" w:eastAsia="en-US"/>
              </w:rPr>
              <w:t>pradiniu</w:t>
            </w:r>
            <w:r>
              <w:rPr>
                <w:spacing w:val="-25"/>
                <w:lang w:val="it-CH" w:eastAsia="en-US"/>
              </w:rPr>
              <w:t xml:space="preserve"> </w:t>
            </w:r>
            <w:r>
              <w:rPr>
                <w:spacing w:val="-10"/>
                <w:vertAlign w:val="superscript"/>
                <w:lang w:val="it-CH" w:eastAsia="en-US"/>
              </w:rPr>
              <w:t>a</w:t>
            </w:r>
          </w:p>
        </w:tc>
        <w:tc>
          <w:tcPr>
            <w:tcW w:w="2468" w:type="dxa"/>
          </w:tcPr>
          <w:p w14:paraId="63AF4EB0" w14:textId="77777777" w:rsidR="00023BBF" w:rsidRDefault="00E17C37">
            <w:pPr>
              <w:spacing w:before="16"/>
              <w:ind w:left="127" w:right="4"/>
              <w:jc w:val="center"/>
              <w:rPr>
                <w:lang w:val="en-GB" w:eastAsia="en-US"/>
              </w:rPr>
            </w:pPr>
            <w:r>
              <w:rPr>
                <w:spacing w:val="-2"/>
                <w:lang w:val="en-GB" w:eastAsia="en-US"/>
              </w:rPr>
              <w:t>-</w:t>
            </w:r>
            <w:r>
              <w:rPr>
                <w:spacing w:val="-4"/>
                <w:lang w:val="en-GB" w:eastAsia="en-US"/>
              </w:rPr>
              <w:t>3,55</w:t>
            </w:r>
          </w:p>
        </w:tc>
        <w:tc>
          <w:tcPr>
            <w:tcW w:w="2379" w:type="dxa"/>
          </w:tcPr>
          <w:p w14:paraId="576AA7C1" w14:textId="77777777" w:rsidR="00023BBF" w:rsidRDefault="00E17C37">
            <w:pPr>
              <w:spacing w:before="16"/>
              <w:ind w:left="44" w:right="5"/>
              <w:jc w:val="center"/>
              <w:rPr>
                <w:lang w:val="en-GB" w:eastAsia="en-US"/>
              </w:rPr>
            </w:pPr>
            <w:r>
              <w:rPr>
                <w:spacing w:val="-2"/>
                <w:lang w:val="en-GB" w:eastAsia="en-US"/>
              </w:rPr>
              <w:t>-</w:t>
            </w:r>
            <w:r>
              <w:rPr>
                <w:spacing w:val="-4"/>
                <w:lang w:val="en-GB" w:eastAsia="en-US"/>
              </w:rPr>
              <w:t>2,22</w:t>
            </w:r>
          </w:p>
        </w:tc>
        <w:tc>
          <w:tcPr>
            <w:tcW w:w="1799" w:type="dxa"/>
          </w:tcPr>
          <w:p w14:paraId="31B26D95" w14:textId="77777777" w:rsidR="00023BBF" w:rsidRDefault="00E17C37">
            <w:pPr>
              <w:spacing w:before="16"/>
              <w:ind w:left="17"/>
              <w:jc w:val="center"/>
              <w:rPr>
                <w:lang w:val="en-GB" w:eastAsia="en-US"/>
              </w:rPr>
            </w:pPr>
            <w:r>
              <w:rPr>
                <w:spacing w:val="-2"/>
                <w:lang w:val="en-GB" w:eastAsia="en-US"/>
              </w:rPr>
              <w:t>-</w:t>
            </w:r>
            <w:r>
              <w:rPr>
                <w:spacing w:val="-4"/>
                <w:lang w:val="en-GB" w:eastAsia="en-US"/>
              </w:rPr>
              <w:t>1,56</w:t>
            </w:r>
          </w:p>
        </w:tc>
      </w:tr>
      <w:tr w:rsidR="00023BBF" w14:paraId="7E24891F" w14:textId="77777777">
        <w:trPr>
          <w:trHeight w:val="285"/>
        </w:trPr>
        <w:tc>
          <w:tcPr>
            <w:tcW w:w="3011" w:type="dxa"/>
          </w:tcPr>
          <w:p w14:paraId="3FFEC35F" w14:textId="77777777" w:rsidR="00023BBF" w:rsidRDefault="00E17C37">
            <w:pPr>
              <w:spacing w:before="27" w:line="238" w:lineRule="exact"/>
              <w:ind w:left="124"/>
              <w:rPr>
                <w:lang w:val="en-GB" w:eastAsia="en-US"/>
              </w:rPr>
            </w:pPr>
            <w:proofErr w:type="spellStart"/>
            <w:r>
              <w:rPr>
                <w:lang w:val="en-GB" w:eastAsia="en-US"/>
              </w:rPr>
              <w:t>Vidutinis</w:t>
            </w:r>
            <w:proofErr w:type="spellEnd"/>
            <w:r>
              <w:rPr>
                <w:lang w:val="en-GB" w:eastAsia="en-US"/>
              </w:rPr>
              <w:t xml:space="preserve"> </w:t>
            </w:r>
            <w:proofErr w:type="spellStart"/>
            <w:r>
              <w:rPr>
                <w:lang w:val="en-GB" w:eastAsia="en-US"/>
              </w:rPr>
              <w:t>pokyčio</w:t>
            </w:r>
            <w:proofErr w:type="spellEnd"/>
            <w:r>
              <w:rPr>
                <w:lang w:val="en-GB" w:eastAsia="en-US"/>
              </w:rPr>
              <w:t xml:space="preserve">, </w:t>
            </w:r>
            <w:proofErr w:type="spellStart"/>
            <w:r>
              <w:rPr>
                <w:lang w:val="en-GB" w:eastAsia="en-US"/>
              </w:rPr>
              <w:t>palyginus</w:t>
            </w:r>
            <w:proofErr w:type="spellEnd"/>
          </w:p>
        </w:tc>
        <w:tc>
          <w:tcPr>
            <w:tcW w:w="2468" w:type="dxa"/>
          </w:tcPr>
          <w:p w14:paraId="2B99F73E" w14:textId="77777777" w:rsidR="00023BBF" w:rsidRDefault="00023BBF">
            <w:pPr>
              <w:rPr>
                <w:lang w:val="en-GB" w:eastAsia="en-US"/>
              </w:rPr>
            </w:pPr>
          </w:p>
        </w:tc>
        <w:tc>
          <w:tcPr>
            <w:tcW w:w="2379" w:type="dxa"/>
          </w:tcPr>
          <w:p w14:paraId="4CAED64C" w14:textId="77777777" w:rsidR="00023BBF" w:rsidRDefault="00023BBF">
            <w:pPr>
              <w:rPr>
                <w:lang w:val="en-GB" w:eastAsia="en-US"/>
              </w:rPr>
            </w:pPr>
          </w:p>
        </w:tc>
        <w:tc>
          <w:tcPr>
            <w:tcW w:w="1799" w:type="dxa"/>
          </w:tcPr>
          <w:p w14:paraId="6A5FF41A" w14:textId="77777777" w:rsidR="00023BBF" w:rsidRDefault="00023BBF">
            <w:pPr>
              <w:rPr>
                <w:lang w:val="en-GB" w:eastAsia="en-US"/>
              </w:rPr>
            </w:pPr>
          </w:p>
        </w:tc>
      </w:tr>
      <w:tr w:rsidR="00023BBF" w14:paraId="3799C79E" w14:textId="77777777">
        <w:trPr>
          <w:trHeight w:val="268"/>
        </w:trPr>
        <w:tc>
          <w:tcPr>
            <w:tcW w:w="3011" w:type="dxa"/>
          </w:tcPr>
          <w:p w14:paraId="5AAD57E1" w14:textId="77777777" w:rsidR="00023BBF" w:rsidRDefault="00E17C37">
            <w:pPr>
              <w:spacing w:line="249" w:lineRule="exact"/>
              <w:ind w:left="124"/>
              <w:rPr>
                <w:lang w:val="en-GB" w:eastAsia="en-US"/>
              </w:rPr>
            </w:pPr>
            <w:proofErr w:type="spellStart"/>
            <w:r>
              <w:rPr>
                <w:lang w:val="en-GB" w:eastAsia="en-US"/>
              </w:rPr>
              <w:t>su</w:t>
            </w:r>
            <w:proofErr w:type="spellEnd"/>
            <w:r>
              <w:rPr>
                <w:lang w:val="en-GB" w:eastAsia="en-US"/>
              </w:rPr>
              <w:t xml:space="preserve"> </w:t>
            </w:r>
            <w:proofErr w:type="spellStart"/>
            <w:r>
              <w:rPr>
                <w:lang w:val="en-GB" w:eastAsia="en-US"/>
              </w:rPr>
              <w:t>pradiniu</w:t>
            </w:r>
            <w:proofErr w:type="spellEnd"/>
            <w:r>
              <w:rPr>
                <w:lang w:val="en-GB" w:eastAsia="en-US"/>
              </w:rPr>
              <w:t xml:space="preserve">, </w:t>
            </w:r>
            <w:proofErr w:type="spellStart"/>
            <w:r>
              <w:rPr>
                <w:lang w:val="en-GB" w:eastAsia="en-US"/>
              </w:rPr>
              <w:t>skirtumas</w:t>
            </w:r>
            <w:proofErr w:type="spellEnd"/>
            <w:r>
              <w:rPr>
                <w:lang w:val="en-GB" w:eastAsia="en-US"/>
              </w:rPr>
              <w:t>,</w:t>
            </w:r>
          </w:p>
        </w:tc>
        <w:tc>
          <w:tcPr>
            <w:tcW w:w="2468" w:type="dxa"/>
          </w:tcPr>
          <w:p w14:paraId="4711490D" w14:textId="77777777" w:rsidR="00023BBF" w:rsidRDefault="00023BBF">
            <w:pPr>
              <w:rPr>
                <w:lang w:val="en-GB" w:eastAsia="en-US"/>
              </w:rPr>
            </w:pPr>
          </w:p>
        </w:tc>
        <w:tc>
          <w:tcPr>
            <w:tcW w:w="2379" w:type="dxa"/>
          </w:tcPr>
          <w:p w14:paraId="7D2C4A4A" w14:textId="77777777" w:rsidR="00023BBF" w:rsidRDefault="00E17C37">
            <w:pPr>
              <w:spacing w:before="25" w:line="224" w:lineRule="exact"/>
              <w:ind w:left="44" w:right="1"/>
              <w:jc w:val="center"/>
              <w:rPr>
                <w:lang w:val="en-GB" w:eastAsia="en-US"/>
              </w:rPr>
            </w:pPr>
            <w:r>
              <w:rPr>
                <w:spacing w:val="-2"/>
                <w:lang w:val="en-GB" w:eastAsia="en-US"/>
              </w:rPr>
              <w:t>-1,33*</w:t>
            </w:r>
          </w:p>
        </w:tc>
        <w:tc>
          <w:tcPr>
            <w:tcW w:w="1799" w:type="dxa"/>
          </w:tcPr>
          <w:p w14:paraId="272AFF88" w14:textId="77777777" w:rsidR="00023BBF" w:rsidRDefault="00E17C37">
            <w:pPr>
              <w:spacing w:before="25" w:line="224" w:lineRule="exact"/>
              <w:ind w:left="17" w:right="5"/>
              <w:jc w:val="center"/>
              <w:rPr>
                <w:lang w:val="en-GB" w:eastAsia="en-US"/>
              </w:rPr>
            </w:pPr>
            <w:r>
              <w:rPr>
                <w:spacing w:val="-2"/>
                <w:lang w:val="en-GB" w:eastAsia="en-US"/>
              </w:rPr>
              <w:t>-2,00*</w:t>
            </w:r>
          </w:p>
        </w:tc>
      </w:tr>
      <w:tr w:rsidR="00023BBF" w14:paraId="7B340B95" w14:textId="77777777">
        <w:trPr>
          <w:trHeight w:val="252"/>
        </w:trPr>
        <w:tc>
          <w:tcPr>
            <w:tcW w:w="3011" w:type="dxa"/>
          </w:tcPr>
          <w:p w14:paraId="218BCF9E" w14:textId="77777777" w:rsidR="00023BBF" w:rsidRDefault="00E17C37">
            <w:pPr>
              <w:spacing w:line="232" w:lineRule="exact"/>
              <w:ind w:left="124"/>
              <w:rPr>
                <w:lang w:val="en-GB" w:eastAsia="en-US"/>
              </w:rPr>
            </w:pPr>
            <w:proofErr w:type="spellStart"/>
            <w:r>
              <w:rPr>
                <w:lang w:val="en-GB" w:eastAsia="en-US"/>
              </w:rPr>
              <w:t>sartojant</w:t>
            </w:r>
            <w:proofErr w:type="spellEnd"/>
            <w:r>
              <w:rPr>
                <w:lang w:val="en-GB" w:eastAsia="en-US"/>
              </w:rPr>
              <w:t xml:space="preserve"> </w:t>
            </w:r>
            <w:proofErr w:type="spellStart"/>
            <w:r>
              <w:rPr>
                <w:lang w:val="en-GB" w:eastAsia="en-US"/>
              </w:rPr>
              <w:t>derinį</w:t>
            </w:r>
            <w:proofErr w:type="spellEnd"/>
            <w:r>
              <w:rPr>
                <w:lang w:val="en-GB" w:eastAsia="en-US"/>
              </w:rPr>
              <w:t xml:space="preserve"> </w:t>
            </w:r>
            <w:proofErr w:type="spellStart"/>
            <w:r>
              <w:rPr>
                <w:lang w:val="en-GB" w:eastAsia="en-US"/>
              </w:rPr>
              <w:t>ir</w:t>
            </w:r>
            <w:proofErr w:type="spellEnd"/>
            <w:r>
              <w:rPr>
                <w:lang w:val="en-GB" w:eastAsia="en-US"/>
              </w:rPr>
              <w:t xml:space="preserve"> </w:t>
            </w:r>
            <w:proofErr w:type="spellStart"/>
            <w:r>
              <w:rPr>
                <w:lang w:val="en-GB" w:eastAsia="en-US"/>
              </w:rPr>
              <w:t>atskirus</w:t>
            </w:r>
            <w:proofErr w:type="spellEnd"/>
          </w:p>
        </w:tc>
        <w:tc>
          <w:tcPr>
            <w:tcW w:w="2468" w:type="dxa"/>
          </w:tcPr>
          <w:p w14:paraId="0BA8A45D" w14:textId="77777777" w:rsidR="00023BBF" w:rsidRDefault="00023BBF">
            <w:pPr>
              <w:rPr>
                <w:lang w:val="en-GB" w:eastAsia="en-US"/>
              </w:rPr>
            </w:pPr>
          </w:p>
        </w:tc>
        <w:tc>
          <w:tcPr>
            <w:tcW w:w="2379" w:type="dxa"/>
          </w:tcPr>
          <w:p w14:paraId="5FB62D98" w14:textId="77777777" w:rsidR="00023BBF" w:rsidRDefault="00E17C37">
            <w:pPr>
              <w:spacing w:before="10" w:line="221" w:lineRule="exact"/>
              <w:ind w:left="44"/>
              <w:jc w:val="center"/>
              <w:rPr>
                <w:lang w:val="en-GB" w:eastAsia="en-US"/>
              </w:rPr>
            </w:pPr>
            <w:r>
              <w:rPr>
                <w:lang w:val="en-GB" w:eastAsia="en-US"/>
              </w:rPr>
              <w:t>(-2,12,</w:t>
            </w:r>
            <w:r>
              <w:rPr>
                <w:spacing w:val="-3"/>
                <w:lang w:val="en-GB" w:eastAsia="en-US"/>
              </w:rPr>
              <w:t xml:space="preserve"> </w:t>
            </w:r>
            <w:r>
              <w:rPr>
                <w:lang w:val="en-GB" w:eastAsia="en-US"/>
              </w:rPr>
              <w:t>-</w:t>
            </w:r>
            <w:r>
              <w:rPr>
                <w:spacing w:val="-2"/>
                <w:lang w:val="en-GB" w:eastAsia="en-US"/>
              </w:rPr>
              <w:t>0,55)</w:t>
            </w:r>
          </w:p>
        </w:tc>
        <w:tc>
          <w:tcPr>
            <w:tcW w:w="1799" w:type="dxa"/>
          </w:tcPr>
          <w:p w14:paraId="6B0007B1" w14:textId="77777777" w:rsidR="00023BBF" w:rsidRDefault="00E17C37">
            <w:pPr>
              <w:spacing w:before="10" w:line="221" w:lineRule="exact"/>
              <w:ind w:left="17" w:right="4"/>
              <w:jc w:val="center"/>
              <w:rPr>
                <w:lang w:val="en-GB" w:eastAsia="en-US"/>
              </w:rPr>
            </w:pPr>
            <w:r>
              <w:rPr>
                <w:lang w:val="en-GB" w:eastAsia="en-US"/>
              </w:rPr>
              <w:t>(-2,79,</w:t>
            </w:r>
            <w:r>
              <w:rPr>
                <w:spacing w:val="-3"/>
                <w:lang w:val="en-GB" w:eastAsia="en-US"/>
              </w:rPr>
              <w:t xml:space="preserve"> </w:t>
            </w:r>
            <w:r>
              <w:rPr>
                <w:lang w:val="en-GB" w:eastAsia="en-US"/>
              </w:rPr>
              <w:t>-</w:t>
            </w:r>
            <w:r>
              <w:rPr>
                <w:spacing w:val="-2"/>
                <w:lang w:val="en-GB" w:eastAsia="en-US"/>
              </w:rPr>
              <w:t>1,20)</w:t>
            </w:r>
          </w:p>
        </w:tc>
      </w:tr>
      <w:tr w:rsidR="00023BBF" w14:paraId="7BD69005" w14:textId="77777777">
        <w:trPr>
          <w:trHeight w:val="299"/>
        </w:trPr>
        <w:tc>
          <w:tcPr>
            <w:tcW w:w="3011" w:type="dxa"/>
            <w:tcBorders>
              <w:bottom w:val="single" w:sz="12" w:space="0" w:color="000000"/>
            </w:tcBorders>
          </w:tcPr>
          <w:p w14:paraId="16AD3DC1" w14:textId="77777777" w:rsidR="00023BBF" w:rsidRDefault="00E17C37">
            <w:pPr>
              <w:spacing w:line="232" w:lineRule="exact"/>
              <w:ind w:left="124"/>
              <w:rPr>
                <w:lang w:val="en-GB" w:eastAsia="en-US"/>
              </w:rPr>
            </w:pPr>
            <w:proofErr w:type="spellStart"/>
            <w:r>
              <w:rPr>
                <w:lang w:val="en-GB" w:eastAsia="en-US"/>
              </w:rPr>
              <w:t>vaistinius</w:t>
            </w:r>
            <w:proofErr w:type="spellEnd"/>
            <w:r>
              <w:rPr>
                <w:lang w:val="en-GB" w:eastAsia="en-US"/>
              </w:rPr>
              <w:t xml:space="preserve"> </w:t>
            </w:r>
            <w:proofErr w:type="spellStart"/>
            <w:r>
              <w:rPr>
                <w:lang w:val="en-GB" w:eastAsia="en-US"/>
              </w:rPr>
              <w:t>preparatus</w:t>
            </w:r>
            <w:proofErr w:type="spellEnd"/>
            <w:r>
              <w:rPr>
                <w:spacing w:val="-5"/>
                <w:lang w:val="en-GB" w:eastAsia="en-US"/>
              </w:rPr>
              <w:t xml:space="preserve"> </w:t>
            </w:r>
            <w:r>
              <w:rPr>
                <w:lang w:val="en-GB" w:eastAsia="en-US"/>
              </w:rPr>
              <w:t>(95 %</w:t>
            </w:r>
            <w:r>
              <w:rPr>
                <w:spacing w:val="-5"/>
                <w:lang w:val="en-GB" w:eastAsia="en-US"/>
              </w:rPr>
              <w:t> PI)</w:t>
            </w:r>
          </w:p>
        </w:tc>
        <w:tc>
          <w:tcPr>
            <w:tcW w:w="2468" w:type="dxa"/>
            <w:tcBorders>
              <w:bottom w:val="single" w:sz="12" w:space="0" w:color="000000"/>
            </w:tcBorders>
          </w:tcPr>
          <w:p w14:paraId="0F26DAE0" w14:textId="77777777" w:rsidR="00023BBF" w:rsidRDefault="00023BBF">
            <w:pPr>
              <w:rPr>
                <w:lang w:val="en-GB" w:eastAsia="en-US"/>
              </w:rPr>
            </w:pPr>
          </w:p>
        </w:tc>
        <w:tc>
          <w:tcPr>
            <w:tcW w:w="2379" w:type="dxa"/>
            <w:tcBorders>
              <w:bottom w:val="single" w:sz="12" w:space="0" w:color="000000"/>
            </w:tcBorders>
          </w:tcPr>
          <w:p w14:paraId="60A77AF8" w14:textId="77777777" w:rsidR="00023BBF" w:rsidRDefault="00023BBF">
            <w:pPr>
              <w:rPr>
                <w:lang w:val="en-GB" w:eastAsia="en-US"/>
              </w:rPr>
            </w:pPr>
          </w:p>
        </w:tc>
        <w:tc>
          <w:tcPr>
            <w:tcW w:w="1799" w:type="dxa"/>
            <w:tcBorders>
              <w:bottom w:val="single" w:sz="12" w:space="0" w:color="000000"/>
            </w:tcBorders>
          </w:tcPr>
          <w:p w14:paraId="142573C2" w14:textId="77777777" w:rsidR="00023BBF" w:rsidRDefault="00023BBF">
            <w:pPr>
              <w:rPr>
                <w:lang w:val="en-GB" w:eastAsia="en-US"/>
              </w:rPr>
            </w:pPr>
          </w:p>
        </w:tc>
      </w:tr>
    </w:tbl>
    <w:p w14:paraId="71601902" w14:textId="77777777" w:rsidR="00023BBF" w:rsidRDefault="00E17C37">
      <w:pPr>
        <w:widowControl w:val="0"/>
        <w:autoSpaceDE w:val="0"/>
        <w:autoSpaceDN w:val="0"/>
        <w:adjustRightInd w:val="0"/>
        <w:rPr>
          <w:sz w:val="18"/>
          <w:szCs w:val="18"/>
        </w:rPr>
      </w:pPr>
      <w:r>
        <w:rPr>
          <w:sz w:val="18"/>
          <w:szCs w:val="18"/>
        </w:rPr>
        <w:t xml:space="preserve">N – pacientų skaičius, PI – </w:t>
      </w:r>
      <w:proofErr w:type="spellStart"/>
      <w:r>
        <w:rPr>
          <w:sz w:val="18"/>
          <w:szCs w:val="18"/>
        </w:rPr>
        <w:t>pasikliautinasis</w:t>
      </w:r>
      <w:proofErr w:type="spellEnd"/>
      <w:r>
        <w:rPr>
          <w:sz w:val="18"/>
          <w:szCs w:val="18"/>
        </w:rPr>
        <w:t xml:space="preserve"> intervalas</w:t>
      </w:r>
    </w:p>
    <w:p w14:paraId="0EAC520C" w14:textId="77777777" w:rsidR="00023BBF" w:rsidRDefault="00E17C37">
      <w:pPr>
        <w:widowControl w:val="0"/>
        <w:autoSpaceDE w:val="0"/>
        <w:autoSpaceDN w:val="0"/>
        <w:adjustRightInd w:val="0"/>
        <w:rPr>
          <w:sz w:val="18"/>
          <w:szCs w:val="18"/>
        </w:rPr>
      </w:pPr>
      <w:r>
        <w:rPr>
          <w:sz w:val="18"/>
          <w:szCs w:val="18"/>
          <w:vertAlign w:val="superscript"/>
        </w:rPr>
        <w:t>a</w:t>
      </w:r>
      <w:r>
        <w:rPr>
          <w:sz w:val="18"/>
          <w:szCs w:val="18"/>
        </w:rPr>
        <w:t xml:space="preserve"> Koreguoti mažiausių kvadratų (MK) vidurkiai ir po 28 savaičių užfiksuotų pokyčių, palyginus su pradiniais duomenimis, skirtumai tarp gydymo grupių sumodeliuoti naudojant mišrų modelį su kartotiniais matavimais (angl. </w:t>
      </w:r>
      <w:proofErr w:type="spellStart"/>
      <w:r>
        <w:rPr>
          <w:i/>
          <w:iCs/>
          <w:sz w:val="18"/>
          <w:szCs w:val="18"/>
        </w:rPr>
        <w:t>mixed</w:t>
      </w:r>
      <w:proofErr w:type="spellEnd"/>
      <w:r>
        <w:rPr>
          <w:i/>
          <w:iCs/>
          <w:sz w:val="18"/>
          <w:szCs w:val="18"/>
        </w:rPr>
        <w:t xml:space="preserve"> </w:t>
      </w:r>
      <w:proofErr w:type="spellStart"/>
      <w:r>
        <w:rPr>
          <w:i/>
          <w:iCs/>
          <w:sz w:val="18"/>
          <w:szCs w:val="18"/>
        </w:rPr>
        <w:t>model</w:t>
      </w:r>
      <w:proofErr w:type="spellEnd"/>
      <w:r>
        <w:rPr>
          <w:i/>
          <w:iCs/>
          <w:sz w:val="18"/>
          <w:szCs w:val="18"/>
        </w:rPr>
        <w:t xml:space="preserve"> </w:t>
      </w:r>
      <w:proofErr w:type="spellStart"/>
      <w:r>
        <w:rPr>
          <w:i/>
          <w:iCs/>
          <w:sz w:val="18"/>
          <w:szCs w:val="18"/>
        </w:rPr>
        <w:t>with</w:t>
      </w:r>
      <w:proofErr w:type="spellEnd"/>
      <w:r>
        <w:rPr>
          <w:i/>
          <w:iCs/>
          <w:sz w:val="18"/>
          <w:szCs w:val="18"/>
        </w:rPr>
        <w:t xml:space="preserve"> </w:t>
      </w:r>
      <w:proofErr w:type="spellStart"/>
      <w:r>
        <w:rPr>
          <w:i/>
          <w:iCs/>
          <w:sz w:val="18"/>
          <w:szCs w:val="18"/>
        </w:rPr>
        <w:t>repeated</w:t>
      </w:r>
      <w:proofErr w:type="spellEnd"/>
      <w:r>
        <w:rPr>
          <w:i/>
          <w:iCs/>
          <w:sz w:val="18"/>
          <w:szCs w:val="18"/>
        </w:rPr>
        <w:t xml:space="preserve"> </w:t>
      </w:r>
      <w:proofErr w:type="spellStart"/>
      <w:r>
        <w:rPr>
          <w:i/>
          <w:iCs/>
          <w:sz w:val="18"/>
          <w:szCs w:val="18"/>
        </w:rPr>
        <w:t>measures</w:t>
      </w:r>
      <w:proofErr w:type="spellEnd"/>
      <w:r>
        <w:rPr>
          <w:i/>
          <w:iCs/>
          <w:sz w:val="18"/>
          <w:szCs w:val="18"/>
        </w:rPr>
        <w:t>, MMRM</w:t>
      </w:r>
      <w:r>
        <w:rPr>
          <w:sz w:val="18"/>
          <w:szCs w:val="18"/>
        </w:rPr>
        <w:t>), įskaitant gydymą, regioną, pradinę HbA1c koncentracijos kategoriją (&lt; 9,0 % ar ≥ 9,0 %), savaitę, gydymą pagal savaites kaip fiksuotus faktorius ir pradinį rodiklį kaip kintamąjį.</w:t>
      </w:r>
    </w:p>
    <w:p w14:paraId="03D454A1" w14:textId="77777777" w:rsidR="00023BBF" w:rsidRDefault="00E17C37">
      <w:pPr>
        <w:widowControl w:val="0"/>
        <w:autoSpaceDE w:val="0"/>
        <w:autoSpaceDN w:val="0"/>
        <w:adjustRightInd w:val="0"/>
        <w:rPr>
          <w:sz w:val="18"/>
          <w:szCs w:val="18"/>
        </w:rPr>
      </w:pPr>
      <w:r>
        <w:rPr>
          <w:sz w:val="18"/>
          <w:szCs w:val="18"/>
          <w:vertAlign w:val="superscript"/>
        </w:rPr>
        <w:t>*</w:t>
      </w:r>
      <w:r>
        <w:rPr>
          <w:sz w:val="18"/>
          <w:szCs w:val="18"/>
        </w:rPr>
        <w:t xml:space="preserve">p &lt; 0,001, </w:t>
      </w:r>
      <w:r>
        <w:rPr>
          <w:sz w:val="18"/>
          <w:szCs w:val="18"/>
          <w:vertAlign w:val="superscript"/>
        </w:rPr>
        <w:t>**</w:t>
      </w:r>
      <w:r>
        <w:rPr>
          <w:sz w:val="18"/>
          <w:szCs w:val="18"/>
        </w:rPr>
        <w:t>p &lt; 0,01</w:t>
      </w:r>
    </w:p>
    <w:p w14:paraId="03BF55CC" w14:textId="77777777" w:rsidR="00023BBF" w:rsidRDefault="00E17C37">
      <w:pPr>
        <w:widowControl w:val="0"/>
        <w:autoSpaceDE w:val="0"/>
        <w:autoSpaceDN w:val="0"/>
        <w:adjustRightInd w:val="0"/>
        <w:rPr>
          <w:sz w:val="18"/>
          <w:szCs w:val="18"/>
        </w:rPr>
      </w:pPr>
      <w:r>
        <w:rPr>
          <w:sz w:val="18"/>
          <w:szCs w:val="18"/>
        </w:rPr>
        <w:t>Visos p reikšmės yra koreguotos atsižvelgiant į daugelio faktorių buvimą.</w:t>
      </w:r>
    </w:p>
    <w:p w14:paraId="5E4B1427" w14:textId="77777777" w:rsidR="00023BBF" w:rsidRDefault="00E17C37">
      <w:pPr>
        <w:widowControl w:val="0"/>
        <w:autoSpaceDE w:val="0"/>
        <w:autoSpaceDN w:val="0"/>
        <w:adjustRightInd w:val="0"/>
        <w:rPr>
          <w:sz w:val="18"/>
          <w:szCs w:val="18"/>
        </w:rPr>
      </w:pPr>
      <w:r>
        <w:rPr>
          <w:sz w:val="18"/>
          <w:szCs w:val="18"/>
        </w:rPr>
        <w:t>Analizei neimti atvejai po gelbstimojo gydymo ir atvejai, kai tiriamojo vaistinio preparato vartojimas nutrauktas anksčiau negu numatyta.</w:t>
      </w:r>
    </w:p>
    <w:p w14:paraId="0150F9FB" w14:textId="77777777" w:rsidR="00023BBF" w:rsidRDefault="00023BBF">
      <w:pPr>
        <w:widowControl w:val="0"/>
        <w:tabs>
          <w:tab w:val="left" w:pos="567"/>
        </w:tabs>
        <w:ind w:left="567" w:hanging="567"/>
        <w:outlineLvl w:val="2"/>
        <w:rPr>
          <w:rFonts w:eastAsia="TimesNewRoman"/>
          <w:sz w:val="22"/>
          <w:szCs w:val="22"/>
          <w:lang w:eastAsia="en-US"/>
        </w:rPr>
      </w:pPr>
    </w:p>
    <w:p w14:paraId="1A92D58C"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Gliukozės koncentracija plazmoje nevalgius</w:t>
      </w:r>
    </w:p>
    <w:p w14:paraId="0E171AA7"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Vartojus 10 mg dapagliflozino 1 kartą per parą arba po 5 mg 2 kartus per parą vien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arba jo derinio su </w:t>
      </w:r>
      <w:proofErr w:type="spellStart"/>
      <w:r>
        <w:rPr>
          <w:rFonts w:eastAsiaTheme="minorHAnsi"/>
          <w:color w:val="000000"/>
          <w:sz w:val="22"/>
          <w:szCs w:val="22"/>
          <w:lang w:eastAsia="en-US"/>
        </w:rPr>
        <w:t>sitagliptinu</w:t>
      </w:r>
      <w:proofErr w:type="spellEnd"/>
      <w:r>
        <w:rPr>
          <w:rFonts w:eastAsiaTheme="minorHAnsi"/>
          <w:color w:val="000000"/>
          <w:sz w:val="22"/>
          <w:szCs w:val="22"/>
          <w:lang w:eastAsia="en-US"/>
        </w:rPr>
        <w:t xml:space="preserve"> ar </w:t>
      </w:r>
      <w:proofErr w:type="spellStart"/>
      <w:r>
        <w:rPr>
          <w:rFonts w:eastAsiaTheme="minorHAnsi"/>
          <w:color w:val="000000"/>
          <w:sz w:val="22"/>
          <w:szCs w:val="22"/>
          <w:lang w:eastAsia="en-US"/>
        </w:rPr>
        <w:t>sulfonilkarbamido</w:t>
      </w:r>
      <w:proofErr w:type="spellEnd"/>
      <w:r>
        <w:rPr>
          <w:rFonts w:eastAsiaTheme="minorHAnsi"/>
          <w:color w:val="000000"/>
          <w:sz w:val="22"/>
          <w:szCs w:val="22"/>
          <w:lang w:eastAsia="en-US"/>
        </w:rPr>
        <w:t xml:space="preserve"> dariniu, arba insulino poveikiui papildyti, po 16 savaičių (5 mg dapagliflozino 2 kartus per parą vartojusiems pacientams) ar 24 savaičių nustatyta statistikai reikšmingai sumažėjusi gliukozės koncentracija plazmoje nevalgius palyginus su placebo grupe (jos pokytis buvo atitinkamai nuo -1,90 iki -1,20 </w:t>
      </w:r>
      <w:proofErr w:type="spellStart"/>
      <w:r>
        <w:rPr>
          <w:rFonts w:eastAsiaTheme="minorHAnsi"/>
          <w:color w:val="000000"/>
          <w:sz w:val="22"/>
          <w:szCs w:val="22"/>
          <w:lang w:eastAsia="en-US"/>
        </w:rPr>
        <w:t>mmol</w:t>
      </w:r>
      <w:proofErr w:type="spellEnd"/>
      <w:r>
        <w:rPr>
          <w:rFonts w:eastAsiaTheme="minorHAnsi"/>
          <w:color w:val="000000"/>
          <w:sz w:val="22"/>
          <w:szCs w:val="22"/>
          <w:lang w:eastAsia="en-US"/>
        </w:rPr>
        <w:t>/l, t. y. nuo -34,2 iki -21,7 mg/dl ir nuo -0,58 iki 0,18 </w:t>
      </w:r>
      <w:proofErr w:type="spellStart"/>
      <w:r>
        <w:rPr>
          <w:rFonts w:eastAsiaTheme="minorHAnsi"/>
          <w:color w:val="000000"/>
          <w:sz w:val="22"/>
          <w:szCs w:val="22"/>
          <w:lang w:eastAsia="en-US"/>
        </w:rPr>
        <w:t>mmol</w:t>
      </w:r>
      <w:proofErr w:type="spellEnd"/>
      <w:r>
        <w:rPr>
          <w:rFonts w:eastAsiaTheme="minorHAnsi"/>
          <w:color w:val="000000"/>
          <w:sz w:val="22"/>
          <w:szCs w:val="22"/>
          <w:lang w:eastAsia="en-US"/>
        </w:rPr>
        <w:t>/l, t. y. nuo -10,4 iki 3,3 mg/dl). Toks poveikis pastebėtas po pirmos gydymo savaitės ir išliko 104 savaites tęstų tyrimų metu.</w:t>
      </w:r>
    </w:p>
    <w:p w14:paraId="27663FE4" w14:textId="77777777" w:rsidR="00023BBF" w:rsidRDefault="00023BBF">
      <w:pPr>
        <w:autoSpaceDE w:val="0"/>
        <w:autoSpaceDN w:val="0"/>
        <w:adjustRightInd w:val="0"/>
        <w:rPr>
          <w:rFonts w:eastAsiaTheme="minorHAnsi"/>
          <w:color w:val="000000"/>
          <w:sz w:val="22"/>
          <w:szCs w:val="22"/>
          <w:lang w:eastAsia="en-US"/>
        </w:rPr>
      </w:pPr>
    </w:p>
    <w:p w14:paraId="18ADC70A" w14:textId="77777777" w:rsidR="00023BBF" w:rsidRDefault="00E17C37">
      <w:pPr>
        <w:widowControl w:val="0"/>
        <w:autoSpaceDE w:val="0"/>
        <w:autoSpaceDN w:val="0"/>
        <w:adjustRightInd w:val="0"/>
        <w:rPr>
          <w:sz w:val="22"/>
          <w:szCs w:val="22"/>
        </w:rPr>
      </w:pPr>
      <w:r>
        <w:rPr>
          <w:sz w:val="22"/>
          <w:szCs w:val="22"/>
        </w:rPr>
        <w:t xml:space="preserve">Sudėtinis gydymas vartojant 10 mg dapagliflozino ir pailginto atpalaidavimo </w:t>
      </w:r>
      <w:proofErr w:type="spellStart"/>
      <w:r>
        <w:rPr>
          <w:sz w:val="22"/>
          <w:szCs w:val="22"/>
        </w:rPr>
        <w:t>eksenatido</w:t>
      </w:r>
      <w:proofErr w:type="spellEnd"/>
      <w:r>
        <w:rPr>
          <w:sz w:val="22"/>
          <w:szCs w:val="22"/>
        </w:rPr>
        <w:t xml:space="preserve"> sukėlė reikšmingai didesnį gliukozės koncentracijos plazmoje nevalgius sumažėjimą po 28 savaičių, t. y. -3,66 </w:t>
      </w:r>
      <w:proofErr w:type="spellStart"/>
      <w:r>
        <w:rPr>
          <w:sz w:val="22"/>
          <w:szCs w:val="22"/>
        </w:rPr>
        <w:t>mmol</w:t>
      </w:r>
      <w:proofErr w:type="spellEnd"/>
      <w:r>
        <w:rPr>
          <w:sz w:val="22"/>
          <w:szCs w:val="22"/>
        </w:rPr>
        <w:t>/l (-65,8 mg/dl) palyginus su -2,73 </w:t>
      </w:r>
      <w:proofErr w:type="spellStart"/>
      <w:r>
        <w:rPr>
          <w:sz w:val="22"/>
          <w:szCs w:val="22"/>
        </w:rPr>
        <w:t>mmol</w:t>
      </w:r>
      <w:proofErr w:type="spellEnd"/>
      <w:r>
        <w:rPr>
          <w:sz w:val="22"/>
          <w:szCs w:val="22"/>
        </w:rPr>
        <w:t>/l (-49,2 mg/dl) vartojus vien dapagliflozino (p &lt; 0,001) ir -2,54 </w:t>
      </w:r>
      <w:proofErr w:type="spellStart"/>
      <w:r>
        <w:rPr>
          <w:sz w:val="22"/>
          <w:szCs w:val="22"/>
        </w:rPr>
        <w:t>mmol</w:t>
      </w:r>
      <w:proofErr w:type="spellEnd"/>
      <w:r>
        <w:rPr>
          <w:sz w:val="22"/>
          <w:szCs w:val="22"/>
        </w:rPr>
        <w:t xml:space="preserve">/l (-45,8 mg/dl) vartojus vien </w:t>
      </w:r>
      <w:proofErr w:type="spellStart"/>
      <w:r>
        <w:rPr>
          <w:sz w:val="22"/>
          <w:szCs w:val="22"/>
        </w:rPr>
        <w:t>eksenatido</w:t>
      </w:r>
      <w:proofErr w:type="spellEnd"/>
      <w:r>
        <w:rPr>
          <w:sz w:val="22"/>
          <w:szCs w:val="22"/>
        </w:rPr>
        <w:t xml:space="preserve"> (p &lt; 0,001).</w:t>
      </w:r>
    </w:p>
    <w:p w14:paraId="5DB9851D" w14:textId="77777777" w:rsidR="00023BBF" w:rsidRDefault="00023BBF">
      <w:pPr>
        <w:widowControl w:val="0"/>
        <w:tabs>
          <w:tab w:val="left" w:pos="567"/>
        </w:tabs>
        <w:ind w:left="567" w:hanging="567"/>
        <w:outlineLvl w:val="2"/>
        <w:rPr>
          <w:rFonts w:eastAsia="TimesNewRoman"/>
          <w:sz w:val="22"/>
          <w:szCs w:val="22"/>
          <w:lang w:eastAsia="en-US"/>
        </w:rPr>
      </w:pPr>
    </w:p>
    <w:p w14:paraId="31348DC1"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Specialaus tyrimo metu diabetu sirgusių dapagliflozino grupės pacientų, kurių </w:t>
      </w:r>
      <w:proofErr w:type="spellStart"/>
      <w:r>
        <w:rPr>
          <w:rFonts w:eastAsiaTheme="minorHAnsi"/>
          <w:color w:val="000000"/>
          <w:sz w:val="22"/>
          <w:szCs w:val="22"/>
          <w:lang w:eastAsia="en-US"/>
        </w:rPr>
        <w:t>aGFG</w:t>
      </w:r>
      <w:proofErr w:type="spellEnd"/>
      <w:r>
        <w:rPr>
          <w:rFonts w:eastAsiaTheme="minorHAnsi"/>
          <w:color w:val="000000"/>
          <w:sz w:val="22"/>
          <w:szCs w:val="22"/>
          <w:lang w:eastAsia="en-US"/>
        </w:rPr>
        <w:t xml:space="preserve"> buvo nuo ≥ 45 iki &lt; 60 ml/min./1,73 m</w:t>
      </w:r>
      <w:r>
        <w:rPr>
          <w:rFonts w:eastAsiaTheme="minorHAnsi"/>
          <w:color w:val="000000"/>
          <w:sz w:val="14"/>
          <w:szCs w:val="14"/>
          <w:vertAlign w:val="superscript"/>
          <w:lang w:eastAsia="en-US"/>
        </w:rPr>
        <w:t>2</w:t>
      </w:r>
      <w:r>
        <w:rPr>
          <w:rFonts w:eastAsiaTheme="minorHAnsi"/>
          <w:color w:val="000000"/>
          <w:sz w:val="22"/>
          <w:szCs w:val="22"/>
          <w:lang w:eastAsia="en-US"/>
        </w:rPr>
        <w:t>, plazmoje gliukozės koncentracija nevalgius po 24 savaičių buvo sumažėjusi 1,19 </w:t>
      </w:r>
      <w:proofErr w:type="spellStart"/>
      <w:r>
        <w:rPr>
          <w:rFonts w:eastAsiaTheme="minorHAnsi"/>
          <w:color w:val="000000"/>
          <w:sz w:val="22"/>
          <w:szCs w:val="22"/>
          <w:lang w:eastAsia="en-US"/>
        </w:rPr>
        <w:t>mmol</w:t>
      </w:r>
      <w:proofErr w:type="spellEnd"/>
      <w:r>
        <w:rPr>
          <w:rFonts w:eastAsiaTheme="minorHAnsi"/>
          <w:color w:val="000000"/>
          <w:sz w:val="22"/>
          <w:szCs w:val="22"/>
          <w:lang w:eastAsia="en-US"/>
        </w:rPr>
        <w:t>/l (21,46 mg/dl), o placebo – 0,27 </w:t>
      </w:r>
      <w:proofErr w:type="spellStart"/>
      <w:r>
        <w:rPr>
          <w:rFonts w:eastAsiaTheme="minorHAnsi"/>
          <w:color w:val="000000"/>
          <w:sz w:val="22"/>
          <w:szCs w:val="22"/>
          <w:lang w:eastAsia="en-US"/>
        </w:rPr>
        <w:t>mmol</w:t>
      </w:r>
      <w:proofErr w:type="spellEnd"/>
      <w:r>
        <w:rPr>
          <w:rFonts w:eastAsiaTheme="minorHAnsi"/>
          <w:color w:val="000000"/>
          <w:sz w:val="22"/>
          <w:szCs w:val="22"/>
          <w:lang w:eastAsia="en-US"/>
        </w:rPr>
        <w:t>/l (4,87 mg/dl) (p = 0,001).</w:t>
      </w:r>
    </w:p>
    <w:p w14:paraId="482EE999" w14:textId="77777777" w:rsidR="00023BBF" w:rsidRDefault="00023BBF">
      <w:pPr>
        <w:autoSpaceDE w:val="0"/>
        <w:autoSpaceDN w:val="0"/>
        <w:adjustRightInd w:val="0"/>
        <w:rPr>
          <w:rFonts w:eastAsiaTheme="minorHAnsi"/>
          <w:color w:val="000000"/>
          <w:sz w:val="22"/>
          <w:szCs w:val="22"/>
          <w:lang w:eastAsia="en-US"/>
        </w:rPr>
      </w:pPr>
    </w:p>
    <w:p w14:paraId="4AC46D2C"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Gliukozės koncentracija plazmoje po valgio</w:t>
      </w:r>
    </w:p>
    <w:p w14:paraId="6C9CFB9C"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 24 savaičių nustatyta, kad 10 mg dapagliflozino, vartoto </w:t>
      </w:r>
      <w:proofErr w:type="spellStart"/>
      <w:r>
        <w:rPr>
          <w:rFonts w:eastAsiaTheme="minorHAnsi"/>
          <w:color w:val="000000"/>
          <w:sz w:val="22"/>
          <w:szCs w:val="22"/>
          <w:lang w:eastAsia="en-US"/>
        </w:rPr>
        <w:t>sitagliptino</w:t>
      </w:r>
      <w:proofErr w:type="spellEnd"/>
      <w:r>
        <w:rPr>
          <w:rFonts w:eastAsiaTheme="minorHAnsi"/>
          <w:color w:val="000000"/>
          <w:sz w:val="22"/>
          <w:szCs w:val="22"/>
          <w:lang w:eastAsia="en-US"/>
        </w:rPr>
        <w:t xml:space="preserve">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derinio poveikiui papildyti, sukėlė gliukozės koncentracijos 2 val. po valgio sumažėjimą, kuris išliko ir po 48 savaičių.</w:t>
      </w:r>
    </w:p>
    <w:p w14:paraId="5D6D8C93"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Sudėtinis gydymas vartojant 10 mg dapagliflozino ir pailginto atpalaidavimo </w:t>
      </w:r>
      <w:proofErr w:type="spellStart"/>
      <w:r>
        <w:rPr>
          <w:rFonts w:eastAsiaTheme="minorHAnsi"/>
          <w:color w:val="000000"/>
          <w:sz w:val="22"/>
          <w:szCs w:val="22"/>
          <w:lang w:eastAsia="en-US"/>
        </w:rPr>
        <w:t>eksenatido</w:t>
      </w:r>
      <w:proofErr w:type="spellEnd"/>
      <w:r>
        <w:rPr>
          <w:rFonts w:eastAsiaTheme="minorHAnsi"/>
          <w:color w:val="000000"/>
          <w:sz w:val="22"/>
          <w:szCs w:val="22"/>
          <w:lang w:eastAsia="en-US"/>
        </w:rPr>
        <w:t xml:space="preserve"> sukėlė reikšmingai didesnį gliukozės koncentracijos plazmoje po valgio sumažėjimą praėjus 28 savaitėms negu bet kuris iš šių vaistinių preparatų atskirai.</w:t>
      </w:r>
    </w:p>
    <w:p w14:paraId="4EB6DBD0" w14:textId="77777777" w:rsidR="00023BBF" w:rsidRDefault="00023BBF">
      <w:pPr>
        <w:autoSpaceDE w:val="0"/>
        <w:autoSpaceDN w:val="0"/>
        <w:adjustRightInd w:val="0"/>
        <w:rPr>
          <w:rFonts w:eastAsiaTheme="minorHAnsi"/>
          <w:color w:val="000000"/>
          <w:sz w:val="22"/>
          <w:szCs w:val="22"/>
          <w:lang w:eastAsia="en-US"/>
        </w:rPr>
      </w:pPr>
    </w:p>
    <w:p w14:paraId="581B906E"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Kūno svoris</w:t>
      </w:r>
    </w:p>
    <w:p w14:paraId="3480ABF2"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Vartojus dapagliflozino vien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arba jo derinio su </w:t>
      </w:r>
      <w:proofErr w:type="spellStart"/>
      <w:r>
        <w:rPr>
          <w:rFonts w:eastAsiaTheme="minorHAnsi"/>
          <w:color w:val="000000"/>
          <w:sz w:val="22"/>
          <w:szCs w:val="22"/>
          <w:lang w:eastAsia="en-US"/>
        </w:rPr>
        <w:t>sitagliptinu</w:t>
      </w:r>
      <w:proofErr w:type="spellEnd"/>
      <w:r>
        <w:rPr>
          <w:rFonts w:eastAsiaTheme="minorHAnsi"/>
          <w:color w:val="000000"/>
          <w:sz w:val="22"/>
          <w:szCs w:val="22"/>
          <w:lang w:eastAsia="en-US"/>
        </w:rPr>
        <w:t xml:space="preserve"> ar </w:t>
      </w:r>
      <w:proofErr w:type="spellStart"/>
      <w:r>
        <w:rPr>
          <w:rFonts w:eastAsiaTheme="minorHAnsi"/>
          <w:color w:val="000000"/>
          <w:sz w:val="22"/>
          <w:szCs w:val="22"/>
          <w:lang w:eastAsia="en-US"/>
        </w:rPr>
        <w:t>sulfonilkarbamido</w:t>
      </w:r>
      <w:proofErr w:type="spellEnd"/>
      <w:r>
        <w:rPr>
          <w:rFonts w:eastAsiaTheme="minorHAnsi"/>
          <w:color w:val="000000"/>
          <w:sz w:val="22"/>
          <w:szCs w:val="22"/>
          <w:lang w:eastAsia="en-US"/>
        </w:rPr>
        <w:t xml:space="preserve"> dariniu, arba insulino (vieno arba kartu su geriamaisiais gliukozės koncentraciją mažinančiais vaistiniais preparatais, įskaitant </w:t>
      </w:r>
      <w:proofErr w:type="spellStart"/>
      <w:r>
        <w:rPr>
          <w:rFonts w:eastAsiaTheme="minorHAnsi"/>
          <w:color w:val="000000"/>
          <w:sz w:val="22"/>
          <w:szCs w:val="22"/>
          <w:lang w:eastAsia="en-US"/>
        </w:rPr>
        <w:t>metforminą</w:t>
      </w:r>
      <w:proofErr w:type="spellEnd"/>
      <w:r>
        <w:rPr>
          <w:rFonts w:eastAsiaTheme="minorHAnsi"/>
          <w:color w:val="000000"/>
          <w:sz w:val="22"/>
          <w:szCs w:val="22"/>
          <w:lang w:eastAsia="en-US"/>
        </w:rPr>
        <w:t xml:space="preserve">) poveikiui papildyti, po 24 savaičių nustatytas statistikai reikšmingai sumažėjęs kūno svoris (p &lt; 0,0001, 4, 5 ir 6 lentelės). Šie poveikiai išliko ir ilgesnės trukmės tyrimų metu. Pacientai, kurie </w:t>
      </w:r>
      <w:proofErr w:type="spellStart"/>
      <w:r>
        <w:rPr>
          <w:rFonts w:eastAsiaTheme="minorHAnsi"/>
          <w:color w:val="000000"/>
          <w:sz w:val="22"/>
          <w:szCs w:val="22"/>
          <w:lang w:eastAsia="en-US"/>
        </w:rPr>
        <w:lastRenderedPageBreak/>
        <w:t>metformino</w:t>
      </w:r>
      <w:proofErr w:type="spellEnd"/>
      <w:r>
        <w:rPr>
          <w:rFonts w:eastAsiaTheme="minorHAnsi"/>
          <w:color w:val="000000"/>
          <w:sz w:val="22"/>
          <w:szCs w:val="22"/>
          <w:lang w:eastAsia="en-US"/>
        </w:rPr>
        <w:t xml:space="preserve"> ir </w:t>
      </w:r>
      <w:proofErr w:type="spellStart"/>
      <w:r>
        <w:rPr>
          <w:rFonts w:eastAsiaTheme="minorHAnsi"/>
          <w:color w:val="000000"/>
          <w:sz w:val="22"/>
          <w:szCs w:val="22"/>
          <w:lang w:eastAsia="en-US"/>
        </w:rPr>
        <w:t>sitagliptino</w:t>
      </w:r>
      <w:proofErr w:type="spellEnd"/>
      <w:r>
        <w:rPr>
          <w:rFonts w:eastAsiaTheme="minorHAnsi"/>
          <w:color w:val="000000"/>
          <w:sz w:val="22"/>
          <w:szCs w:val="22"/>
          <w:lang w:eastAsia="en-US"/>
        </w:rPr>
        <w:t xml:space="preserve"> poveikiui papildyti vartojo dapagliflozino, per 48 savaites neteko 2,07 kg svorio (palyginus su vartojusiais placebo). Po 102 savaičių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poveikiui papildyti vartoto dapagliflozino grupės pacientų svoris buvo sumažėjęs 2,14 kg, o vartoto papildyti insulino poveikiui – 2,88 kg (palyginus su vartojusiais placebo).</w:t>
      </w:r>
    </w:p>
    <w:p w14:paraId="4751308A" w14:textId="77777777" w:rsidR="00023BBF" w:rsidRDefault="00023BBF">
      <w:pPr>
        <w:autoSpaceDE w:val="0"/>
        <w:autoSpaceDN w:val="0"/>
        <w:adjustRightInd w:val="0"/>
        <w:rPr>
          <w:rFonts w:eastAsiaTheme="minorHAnsi"/>
          <w:color w:val="000000"/>
          <w:sz w:val="22"/>
          <w:szCs w:val="22"/>
          <w:lang w:eastAsia="en-US"/>
        </w:rPr>
      </w:pPr>
    </w:p>
    <w:p w14:paraId="10BFFEDE"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Aktyviai kontroliuojamo ne prastesnio poveikio gydymui </w:t>
      </w:r>
      <w:proofErr w:type="spellStart"/>
      <w:r>
        <w:rPr>
          <w:rFonts w:eastAsiaTheme="minorHAnsi"/>
          <w:color w:val="000000"/>
          <w:sz w:val="22"/>
          <w:szCs w:val="22"/>
          <w:lang w:eastAsia="en-US"/>
        </w:rPr>
        <w:t>metforminu</w:t>
      </w:r>
      <w:proofErr w:type="spellEnd"/>
      <w:r>
        <w:rPr>
          <w:rFonts w:eastAsiaTheme="minorHAnsi"/>
          <w:color w:val="000000"/>
          <w:sz w:val="22"/>
          <w:szCs w:val="22"/>
          <w:lang w:eastAsia="en-US"/>
        </w:rPr>
        <w:t xml:space="preserve"> papildyti tyrimo metu po 52 savaičių nustatytas dapagliflozino sukeltas statistikai reikšmingas kūno svorio sumažėjimas 4,65 kg palyginus su vartojusiais </w:t>
      </w:r>
      <w:proofErr w:type="spellStart"/>
      <w:r>
        <w:rPr>
          <w:rFonts w:eastAsiaTheme="minorHAnsi"/>
          <w:color w:val="000000"/>
          <w:sz w:val="22"/>
          <w:szCs w:val="22"/>
          <w:lang w:eastAsia="en-US"/>
        </w:rPr>
        <w:t>glipizido</w:t>
      </w:r>
      <w:proofErr w:type="spellEnd"/>
      <w:r>
        <w:rPr>
          <w:rFonts w:eastAsiaTheme="minorHAnsi"/>
          <w:color w:val="000000"/>
          <w:sz w:val="22"/>
          <w:szCs w:val="22"/>
          <w:lang w:eastAsia="en-US"/>
        </w:rPr>
        <w:t xml:space="preserve"> (p &lt; 0,0001, 3 lentelė). Dapagliflozino grupės pacientų svoris išliko sumažėjęs ir po 104 bei 208 savaičių (atitinkamai 5,06 kg ir 4,38 kg).</w:t>
      </w:r>
    </w:p>
    <w:p w14:paraId="30A1513B" w14:textId="77777777" w:rsidR="00023BBF" w:rsidRDefault="00023BBF">
      <w:pPr>
        <w:autoSpaceDE w:val="0"/>
        <w:autoSpaceDN w:val="0"/>
        <w:adjustRightInd w:val="0"/>
        <w:rPr>
          <w:rFonts w:eastAsiaTheme="minorHAnsi"/>
          <w:color w:val="000000"/>
          <w:sz w:val="22"/>
          <w:szCs w:val="22"/>
          <w:lang w:eastAsia="en-US"/>
        </w:rPr>
      </w:pPr>
    </w:p>
    <w:p w14:paraId="37B62252"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Sudėtinis gydymas vartojant 10 mg dapagliflozino ir pailginto atpalaidavimo </w:t>
      </w:r>
      <w:proofErr w:type="spellStart"/>
      <w:r>
        <w:rPr>
          <w:rFonts w:eastAsiaTheme="minorHAnsi"/>
          <w:color w:val="000000"/>
          <w:sz w:val="22"/>
          <w:szCs w:val="22"/>
          <w:lang w:eastAsia="en-US"/>
        </w:rPr>
        <w:t>eksenatido</w:t>
      </w:r>
      <w:proofErr w:type="spellEnd"/>
      <w:r>
        <w:rPr>
          <w:rFonts w:eastAsiaTheme="minorHAnsi"/>
          <w:color w:val="000000"/>
          <w:sz w:val="22"/>
          <w:szCs w:val="22"/>
          <w:lang w:eastAsia="en-US"/>
        </w:rPr>
        <w:t xml:space="preserve"> sukėlė reikšmingai didesnį kūno svorio sumažėjimą negu bet kuris iš šių vaistinių preparatų atskirai (žr. 8 lentelę).</w:t>
      </w:r>
    </w:p>
    <w:p w14:paraId="614F6E1E" w14:textId="77777777" w:rsidR="00023BBF" w:rsidRDefault="00023BBF">
      <w:pPr>
        <w:autoSpaceDE w:val="0"/>
        <w:autoSpaceDN w:val="0"/>
        <w:adjustRightInd w:val="0"/>
        <w:rPr>
          <w:rFonts w:eastAsiaTheme="minorHAnsi"/>
          <w:color w:val="000000"/>
          <w:sz w:val="22"/>
          <w:szCs w:val="22"/>
          <w:lang w:eastAsia="en-US"/>
        </w:rPr>
      </w:pPr>
    </w:p>
    <w:p w14:paraId="3F4055EE"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24 savaičių trukmės tyrimo metu atlikti 182 diabetu sergančių asmenų kūno sudėties dvigubos energijos rentgeno spindulių </w:t>
      </w:r>
      <w:proofErr w:type="spellStart"/>
      <w:r>
        <w:rPr>
          <w:rFonts w:eastAsiaTheme="minorHAnsi"/>
          <w:color w:val="000000"/>
          <w:sz w:val="22"/>
          <w:szCs w:val="22"/>
          <w:lang w:eastAsia="en-US"/>
        </w:rPr>
        <w:t>absorbciometrijos</w:t>
      </w:r>
      <w:proofErr w:type="spellEnd"/>
      <w:r>
        <w:rPr>
          <w:rFonts w:eastAsiaTheme="minorHAnsi"/>
          <w:color w:val="000000"/>
          <w:sz w:val="22"/>
          <w:szCs w:val="22"/>
          <w:lang w:eastAsia="en-US"/>
        </w:rPr>
        <w:t xml:space="preserve"> (DXA) tyrimai parodė, kad dapagliflozino 10 mg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derinys, palyginus su placebo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deriniu, sumažino kūno svorį ir kūno riebalų kiekį (ne lieso audinio ar skysčių kiekį). Šio tyrimo MRT dalis parodė dapagliflozino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derinio grupės pacientų </w:t>
      </w:r>
      <w:proofErr w:type="spellStart"/>
      <w:r>
        <w:rPr>
          <w:rFonts w:eastAsiaTheme="minorHAnsi"/>
          <w:color w:val="000000"/>
          <w:sz w:val="22"/>
          <w:szCs w:val="22"/>
          <w:lang w:eastAsia="en-US"/>
        </w:rPr>
        <w:t>visceralinio</w:t>
      </w:r>
      <w:proofErr w:type="spellEnd"/>
      <w:r>
        <w:rPr>
          <w:rFonts w:eastAsiaTheme="minorHAnsi"/>
          <w:color w:val="000000"/>
          <w:sz w:val="22"/>
          <w:szCs w:val="22"/>
          <w:lang w:eastAsia="en-US"/>
        </w:rPr>
        <w:t xml:space="preserve"> riebalinio audinio kiekio sumažėjimą palyginus su placebo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derinio grupe.</w:t>
      </w:r>
    </w:p>
    <w:p w14:paraId="222D6DEB" w14:textId="77777777" w:rsidR="00023BBF" w:rsidRDefault="00023BBF">
      <w:pPr>
        <w:autoSpaceDE w:val="0"/>
        <w:autoSpaceDN w:val="0"/>
        <w:adjustRightInd w:val="0"/>
        <w:rPr>
          <w:rFonts w:eastAsiaTheme="minorHAnsi"/>
          <w:color w:val="000000"/>
          <w:sz w:val="22"/>
          <w:szCs w:val="22"/>
          <w:lang w:eastAsia="en-US"/>
        </w:rPr>
      </w:pPr>
    </w:p>
    <w:p w14:paraId="43DE9DC6"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Kraujospūdis</w:t>
      </w:r>
    </w:p>
    <w:p w14:paraId="4E5780C2"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Iš anksto numatyta 13 placebu kontroliuojamų tyrimų duomenų bendra analizė parodė, kad po 24 savaičių trukusio 10 mg dapagliflozino vartojimo grupės pacientų </w:t>
      </w:r>
      <w:proofErr w:type="spellStart"/>
      <w:r>
        <w:rPr>
          <w:rFonts w:eastAsiaTheme="minorHAnsi"/>
          <w:color w:val="000000"/>
          <w:sz w:val="22"/>
          <w:szCs w:val="22"/>
          <w:lang w:eastAsia="en-US"/>
        </w:rPr>
        <w:t>sistolinis</w:t>
      </w:r>
      <w:proofErr w:type="spellEnd"/>
      <w:r>
        <w:rPr>
          <w:rFonts w:eastAsiaTheme="minorHAnsi"/>
          <w:color w:val="000000"/>
          <w:sz w:val="22"/>
          <w:szCs w:val="22"/>
          <w:lang w:eastAsia="en-US"/>
        </w:rPr>
        <w:t xml:space="preserve"> kraujospūdis buvo 3,7 </w:t>
      </w:r>
      <w:proofErr w:type="spellStart"/>
      <w:r>
        <w:rPr>
          <w:rFonts w:eastAsiaTheme="minorHAnsi"/>
          <w:color w:val="000000"/>
          <w:sz w:val="22"/>
          <w:szCs w:val="22"/>
          <w:lang w:eastAsia="en-US"/>
        </w:rPr>
        <w:t>mmHg</w:t>
      </w:r>
      <w:proofErr w:type="spellEnd"/>
      <w:r>
        <w:rPr>
          <w:rFonts w:eastAsiaTheme="minorHAnsi"/>
          <w:color w:val="000000"/>
          <w:sz w:val="22"/>
          <w:szCs w:val="22"/>
          <w:lang w:eastAsia="en-US"/>
        </w:rPr>
        <w:t xml:space="preserve">, o </w:t>
      </w:r>
      <w:proofErr w:type="spellStart"/>
      <w:r>
        <w:rPr>
          <w:rFonts w:eastAsiaTheme="minorHAnsi"/>
          <w:color w:val="000000"/>
          <w:sz w:val="22"/>
          <w:szCs w:val="22"/>
          <w:lang w:eastAsia="en-US"/>
        </w:rPr>
        <w:t>diastolinis</w:t>
      </w:r>
      <w:proofErr w:type="spellEnd"/>
      <w:r>
        <w:rPr>
          <w:rFonts w:eastAsiaTheme="minorHAnsi"/>
          <w:color w:val="000000"/>
          <w:sz w:val="22"/>
          <w:szCs w:val="22"/>
          <w:lang w:eastAsia="en-US"/>
        </w:rPr>
        <w:t xml:space="preserve"> – 1,8 </w:t>
      </w:r>
      <w:proofErr w:type="spellStart"/>
      <w:r>
        <w:rPr>
          <w:rFonts w:eastAsiaTheme="minorHAnsi"/>
          <w:color w:val="000000"/>
          <w:sz w:val="22"/>
          <w:szCs w:val="22"/>
          <w:lang w:eastAsia="en-US"/>
        </w:rPr>
        <w:t>mmHg</w:t>
      </w:r>
      <w:proofErr w:type="spellEnd"/>
      <w:r>
        <w:rPr>
          <w:rFonts w:eastAsiaTheme="minorHAnsi"/>
          <w:color w:val="000000"/>
          <w:sz w:val="22"/>
          <w:szCs w:val="22"/>
          <w:lang w:eastAsia="en-US"/>
        </w:rPr>
        <w:t xml:space="preserve"> mažesnis už pradinį (placebo grupės pacientų – atitinkamai 0,5 </w:t>
      </w:r>
      <w:proofErr w:type="spellStart"/>
      <w:r>
        <w:rPr>
          <w:rFonts w:eastAsiaTheme="minorHAnsi"/>
          <w:color w:val="000000"/>
          <w:sz w:val="22"/>
          <w:szCs w:val="22"/>
          <w:lang w:eastAsia="en-US"/>
        </w:rPr>
        <w:t>mmHg</w:t>
      </w:r>
      <w:proofErr w:type="spellEnd"/>
      <w:r>
        <w:rPr>
          <w:rFonts w:eastAsiaTheme="minorHAnsi"/>
          <w:color w:val="000000"/>
          <w:sz w:val="22"/>
          <w:szCs w:val="22"/>
          <w:lang w:eastAsia="en-US"/>
        </w:rPr>
        <w:t xml:space="preserve"> ir 0,5 </w:t>
      </w:r>
      <w:proofErr w:type="spellStart"/>
      <w:r>
        <w:rPr>
          <w:rFonts w:eastAsiaTheme="minorHAnsi"/>
          <w:color w:val="000000"/>
          <w:sz w:val="22"/>
          <w:szCs w:val="22"/>
          <w:lang w:eastAsia="en-US"/>
        </w:rPr>
        <w:t>mmHg</w:t>
      </w:r>
      <w:proofErr w:type="spellEnd"/>
      <w:r>
        <w:rPr>
          <w:rFonts w:eastAsiaTheme="minorHAnsi"/>
          <w:color w:val="000000"/>
          <w:sz w:val="22"/>
          <w:szCs w:val="22"/>
          <w:lang w:eastAsia="en-US"/>
        </w:rPr>
        <w:t>). Panašus kraujospūdžio sumažėjimas buvo stebėtas iki 104 savaitės.</w:t>
      </w:r>
    </w:p>
    <w:p w14:paraId="0DF3656D" w14:textId="77777777" w:rsidR="00023BBF" w:rsidRDefault="00023BBF">
      <w:pPr>
        <w:autoSpaceDE w:val="0"/>
        <w:autoSpaceDN w:val="0"/>
        <w:adjustRightInd w:val="0"/>
        <w:rPr>
          <w:rFonts w:eastAsiaTheme="minorHAnsi"/>
          <w:color w:val="000000"/>
          <w:sz w:val="22"/>
          <w:szCs w:val="22"/>
          <w:lang w:eastAsia="en-US"/>
        </w:rPr>
      </w:pPr>
    </w:p>
    <w:p w14:paraId="4D86BCFF"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Sudėtinis gydymas vartojant 10 mg dapagliflozino ir pailginto atpalaidavimo </w:t>
      </w:r>
      <w:proofErr w:type="spellStart"/>
      <w:r>
        <w:rPr>
          <w:rFonts w:eastAsiaTheme="minorHAnsi"/>
          <w:color w:val="000000"/>
          <w:sz w:val="22"/>
          <w:szCs w:val="22"/>
          <w:lang w:eastAsia="en-US"/>
        </w:rPr>
        <w:t>eksenatido</w:t>
      </w:r>
      <w:proofErr w:type="spellEnd"/>
      <w:r>
        <w:rPr>
          <w:rFonts w:eastAsiaTheme="minorHAnsi"/>
          <w:color w:val="000000"/>
          <w:sz w:val="22"/>
          <w:szCs w:val="22"/>
          <w:lang w:eastAsia="en-US"/>
        </w:rPr>
        <w:t xml:space="preserve"> sumažino </w:t>
      </w:r>
      <w:proofErr w:type="spellStart"/>
      <w:r>
        <w:rPr>
          <w:rFonts w:eastAsiaTheme="minorHAnsi"/>
          <w:color w:val="000000"/>
          <w:sz w:val="22"/>
          <w:szCs w:val="22"/>
          <w:lang w:eastAsia="en-US"/>
        </w:rPr>
        <w:t>sistolinį</w:t>
      </w:r>
      <w:proofErr w:type="spellEnd"/>
      <w:r>
        <w:rPr>
          <w:rFonts w:eastAsiaTheme="minorHAnsi"/>
          <w:color w:val="000000"/>
          <w:sz w:val="22"/>
          <w:szCs w:val="22"/>
          <w:lang w:eastAsia="en-US"/>
        </w:rPr>
        <w:t xml:space="preserve"> kraujospūdį praėjus 28 savaitėms reikšmingai labiau (4,3 </w:t>
      </w:r>
      <w:proofErr w:type="spellStart"/>
      <w:r>
        <w:rPr>
          <w:rFonts w:eastAsiaTheme="minorHAnsi"/>
          <w:color w:val="000000"/>
          <w:sz w:val="22"/>
          <w:szCs w:val="22"/>
          <w:lang w:eastAsia="en-US"/>
        </w:rPr>
        <w:t>mmHg</w:t>
      </w:r>
      <w:proofErr w:type="spellEnd"/>
      <w:r>
        <w:rPr>
          <w:rFonts w:eastAsiaTheme="minorHAnsi"/>
          <w:color w:val="000000"/>
          <w:sz w:val="22"/>
          <w:szCs w:val="22"/>
          <w:lang w:eastAsia="en-US"/>
        </w:rPr>
        <w:t>) negu vien dapagliflozinas (1,8 </w:t>
      </w:r>
      <w:proofErr w:type="spellStart"/>
      <w:r>
        <w:rPr>
          <w:rFonts w:eastAsiaTheme="minorHAnsi"/>
          <w:color w:val="000000"/>
          <w:sz w:val="22"/>
          <w:szCs w:val="22"/>
          <w:lang w:eastAsia="en-US"/>
        </w:rPr>
        <w:t>mmHg</w:t>
      </w:r>
      <w:proofErr w:type="spellEnd"/>
      <w:r>
        <w:rPr>
          <w:rFonts w:eastAsiaTheme="minorHAnsi"/>
          <w:color w:val="000000"/>
          <w:sz w:val="22"/>
          <w:szCs w:val="22"/>
          <w:lang w:eastAsia="en-US"/>
        </w:rPr>
        <w:t xml:space="preserve">, p &lt; 0,05) ar vien pailginto atpalaidavimo </w:t>
      </w:r>
      <w:proofErr w:type="spellStart"/>
      <w:r>
        <w:rPr>
          <w:rFonts w:eastAsiaTheme="minorHAnsi"/>
          <w:color w:val="000000"/>
          <w:sz w:val="22"/>
          <w:szCs w:val="22"/>
          <w:lang w:eastAsia="en-US"/>
        </w:rPr>
        <w:t>eksenatidas</w:t>
      </w:r>
      <w:proofErr w:type="spellEnd"/>
      <w:r>
        <w:rPr>
          <w:rFonts w:eastAsiaTheme="minorHAnsi"/>
          <w:color w:val="000000"/>
          <w:sz w:val="22"/>
          <w:szCs w:val="22"/>
          <w:lang w:eastAsia="en-US"/>
        </w:rPr>
        <w:t xml:space="preserve"> (1,2 </w:t>
      </w:r>
      <w:proofErr w:type="spellStart"/>
      <w:r>
        <w:rPr>
          <w:rFonts w:eastAsiaTheme="minorHAnsi"/>
          <w:color w:val="000000"/>
          <w:sz w:val="22"/>
          <w:szCs w:val="22"/>
          <w:lang w:eastAsia="en-US"/>
        </w:rPr>
        <w:t>mmHg</w:t>
      </w:r>
      <w:proofErr w:type="spellEnd"/>
      <w:r>
        <w:rPr>
          <w:rFonts w:eastAsiaTheme="minorHAnsi"/>
          <w:color w:val="000000"/>
          <w:sz w:val="22"/>
          <w:szCs w:val="22"/>
          <w:lang w:eastAsia="en-US"/>
        </w:rPr>
        <w:t>, p &lt; 0,01).</w:t>
      </w:r>
    </w:p>
    <w:p w14:paraId="450D5788" w14:textId="77777777" w:rsidR="00023BBF" w:rsidRDefault="00023BBF">
      <w:pPr>
        <w:autoSpaceDE w:val="0"/>
        <w:autoSpaceDN w:val="0"/>
        <w:adjustRightInd w:val="0"/>
        <w:rPr>
          <w:rFonts w:eastAsiaTheme="minorHAnsi"/>
          <w:color w:val="000000"/>
          <w:sz w:val="22"/>
          <w:szCs w:val="22"/>
          <w:lang w:eastAsia="en-US"/>
        </w:rPr>
      </w:pPr>
    </w:p>
    <w:p w14:paraId="2BE3CE87"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Dviejų 12 savaičių trukmės placebu kontroliuojamų tyrimų metu iš viso 1 062 pacientai, kurie sirgo tinkamai nekontroliuojamu 2 tipo diabetu ir hipertenzija (nepaisant nuolatinių stabilių AKF-I arba ARB dozių vartojimo vieno tyrimo metu bei jų ir dar vieno vaistinio preparato nuo hipertenzijos vartojimo kito tyrimo metu), vartojo 10 mg dapagliflozino arba placebo. Abiejų tyrimų metu po 12 savaičių nustatyta, kad 10 mg dapagliflozino kartu su įprastu diabeto gydymu sukėlė HbA1c koncentracijos sumažėjimą ir sumažino pagal placebą koreguotą </w:t>
      </w:r>
      <w:proofErr w:type="spellStart"/>
      <w:r>
        <w:rPr>
          <w:rFonts w:eastAsiaTheme="minorHAnsi"/>
          <w:color w:val="000000"/>
          <w:sz w:val="22"/>
          <w:szCs w:val="22"/>
          <w:lang w:eastAsia="en-US"/>
        </w:rPr>
        <w:t>sistolinį</w:t>
      </w:r>
      <w:proofErr w:type="spellEnd"/>
      <w:r>
        <w:rPr>
          <w:rFonts w:eastAsiaTheme="minorHAnsi"/>
          <w:color w:val="000000"/>
          <w:sz w:val="22"/>
          <w:szCs w:val="22"/>
          <w:lang w:eastAsia="en-US"/>
        </w:rPr>
        <w:t xml:space="preserve"> kraujospūdį vidutiniškai atitinkamai 3,1 ir 4.3 </w:t>
      </w:r>
      <w:proofErr w:type="spellStart"/>
      <w:r>
        <w:rPr>
          <w:rFonts w:eastAsiaTheme="minorHAnsi"/>
          <w:color w:val="000000"/>
          <w:sz w:val="22"/>
          <w:szCs w:val="22"/>
          <w:lang w:eastAsia="en-US"/>
        </w:rPr>
        <w:t>mmHg</w:t>
      </w:r>
      <w:proofErr w:type="spellEnd"/>
      <w:r>
        <w:rPr>
          <w:rFonts w:eastAsiaTheme="minorHAnsi"/>
          <w:color w:val="000000"/>
          <w:sz w:val="22"/>
          <w:szCs w:val="22"/>
          <w:lang w:eastAsia="en-US"/>
        </w:rPr>
        <w:t>.</w:t>
      </w:r>
    </w:p>
    <w:p w14:paraId="5D76EDE1" w14:textId="77777777" w:rsidR="00023BBF" w:rsidRDefault="00023BBF">
      <w:pPr>
        <w:autoSpaceDE w:val="0"/>
        <w:autoSpaceDN w:val="0"/>
        <w:adjustRightInd w:val="0"/>
        <w:rPr>
          <w:sz w:val="22"/>
          <w:szCs w:val="22"/>
        </w:rPr>
      </w:pPr>
    </w:p>
    <w:p w14:paraId="3690AC9A" w14:textId="77777777" w:rsidR="00023BBF" w:rsidRDefault="00E17C37">
      <w:pPr>
        <w:autoSpaceDE w:val="0"/>
        <w:autoSpaceDN w:val="0"/>
        <w:adjustRightInd w:val="0"/>
        <w:rPr>
          <w:sz w:val="22"/>
          <w:szCs w:val="22"/>
        </w:rPr>
      </w:pPr>
      <w:r>
        <w:rPr>
          <w:sz w:val="22"/>
          <w:szCs w:val="22"/>
        </w:rPr>
        <w:t xml:space="preserve">Specialaus tyrimo metu diabetu sirgusių dapagliflozino vartojusių grupės pacientų, kurių </w:t>
      </w:r>
      <w:proofErr w:type="spellStart"/>
      <w:r>
        <w:rPr>
          <w:sz w:val="22"/>
          <w:szCs w:val="22"/>
        </w:rPr>
        <w:t>aGFG</w:t>
      </w:r>
      <w:proofErr w:type="spellEnd"/>
      <w:r>
        <w:rPr>
          <w:sz w:val="22"/>
          <w:szCs w:val="22"/>
        </w:rPr>
        <w:t xml:space="preserve"> buvo nuo ≥ 45 iki &lt; 60 ml/min./1,73 m</w:t>
      </w:r>
      <w:r>
        <w:rPr>
          <w:sz w:val="22"/>
          <w:szCs w:val="22"/>
          <w:vertAlign w:val="superscript"/>
        </w:rPr>
        <w:t>2</w:t>
      </w:r>
      <w:r>
        <w:rPr>
          <w:sz w:val="22"/>
          <w:szCs w:val="22"/>
        </w:rPr>
        <w:t xml:space="preserve">, </w:t>
      </w:r>
      <w:proofErr w:type="spellStart"/>
      <w:r>
        <w:rPr>
          <w:sz w:val="22"/>
          <w:szCs w:val="22"/>
        </w:rPr>
        <w:t>sistolinis</w:t>
      </w:r>
      <w:proofErr w:type="spellEnd"/>
      <w:r>
        <w:rPr>
          <w:sz w:val="22"/>
          <w:szCs w:val="22"/>
        </w:rPr>
        <w:t xml:space="preserve"> kraujo spaudimas sėdint po 24 savaičių buvo sumažėjęs 4,8 </w:t>
      </w:r>
      <w:proofErr w:type="spellStart"/>
      <w:r>
        <w:rPr>
          <w:sz w:val="22"/>
          <w:szCs w:val="22"/>
        </w:rPr>
        <w:t>mmHg</w:t>
      </w:r>
      <w:proofErr w:type="spellEnd"/>
      <w:r>
        <w:rPr>
          <w:sz w:val="22"/>
          <w:szCs w:val="22"/>
        </w:rPr>
        <w:t>, o placebo – 1,7 </w:t>
      </w:r>
      <w:proofErr w:type="spellStart"/>
      <w:r>
        <w:rPr>
          <w:sz w:val="22"/>
          <w:szCs w:val="22"/>
        </w:rPr>
        <w:t>mmHg</w:t>
      </w:r>
      <w:proofErr w:type="spellEnd"/>
      <w:r>
        <w:rPr>
          <w:sz w:val="22"/>
          <w:szCs w:val="22"/>
        </w:rPr>
        <w:t xml:space="preserve"> (p &lt; 0,05).</w:t>
      </w:r>
    </w:p>
    <w:p w14:paraId="673A5DF2" w14:textId="77777777" w:rsidR="00023BBF" w:rsidRDefault="00023BBF">
      <w:pPr>
        <w:autoSpaceDE w:val="0"/>
        <w:autoSpaceDN w:val="0"/>
        <w:adjustRightInd w:val="0"/>
        <w:rPr>
          <w:rFonts w:eastAsiaTheme="minorHAnsi"/>
          <w:i/>
          <w:iCs/>
          <w:color w:val="000000"/>
          <w:sz w:val="22"/>
          <w:szCs w:val="22"/>
          <w:lang w:eastAsia="en-US"/>
        </w:rPr>
      </w:pPr>
    </w:p>
    <w:p w14:paraId="4532EA20"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Pacientai, kurių pradinė HbA1c koncentracija ≥ 9 %</w:t>
      </w:r>
    </w:p>
    <w:p w14:paraId="4D4CA5F7"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Iš anksto numatyta asmenų, kurių pradinė HbA1c koncentracija buvo ≥ 9 %, duomenų analizė parodė, kad 10 mg dapagliflozino, vartoto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poveikiui papildyti, sukėlė statistikai reikšmingą HbA1c koncentracijos po 24 savaičių sumažėjimą (koreguotas vidutinis jos sumažėjimas, palyginus su pradine vartojus dapagliflozino buvo 1,32 %, o vartojus placebo – 0,53 %).</w:t>
      </w:r>
    </w:p>
    <w:p w14:paraId="1087D47E" w14:textId="77777777" w:rsidR="00023BBF" w:rsidRDefault="00023BBF">
      <w:pPr>
        <w:autoSpaceDE w:val="0"/>
        <w:autoSpaceDN w:val="0"/>
        <w:adjustRightInd w:val="0"/>
        <w:rPr>
          <w:rFonts w:eastAsiaTheme="minorHAnsi"/>
          <w:color w:val="000000"/>
          <w:sz w:val="22"/>
          <w:szCs w:val="22"/>
          <w:lang w:eastAsia="en-US"/>
        </w:rPr>
      </w:pPr>
    </w:p>
    <w:p w14:paraId="45EF9E7E" w14:textId="77777777" w:rsidR="00023BBF" w:rsidRDefault="00E17C37">
      <w:pPr>
        <w:autoSpaceDE w:val="0"/>
        <w:autoSpaceDN w:val="0"/>
        <w:adjustRightInd w:val="0"/>
        <w:rPr>
          <w:rFonts w:eastAsiaTheme="minorHAnsi"/>
          <w:color w:val="000000"/>
          <w:sz w:val="22"/>
          <w:szCs w:val="22"/>
          <w:u w:val="single"/>
          <w:lang w:eastAsia="en-US"/>
        </w:rPr>
      </w:pPr>
      <w:proofErr w:type="spellStart"/>
      <w:r>
        <w:rPr>
          <w:rFonts w:eastAsiaTheme="minorHAnsi"/>
          <w:i/>
          <w:iCs/>
          <w:color w:val="000000"/>
          <w:sz w:val="22"/>
          <w:szCs w:val="22"/>
          <w:u w:val="single"/>
          <w:lang w:eastAsia="en-US"/>
        </w:rPr>
        <w:t>Glikemijos</w:t>
      </w:r>
      <w:proofErr w:type="spellEnd"/>
      <w:r>
        <w:rPr>
          <w:rFonts w:eastAsiaTheme="minorHAnsi"/>
          <w:i/>
          <w:iCs/>
          <w:color w:val="000000"/>
          <w:sz w:val="22"/>
          <w:szCs w:val="22"/>
          <w:u w:val="single"/>
          <w:lang w:eastAsia="en-US"/>
        </w:rPr>
        <w:t xml:space="preserve"> kontrolė pacientams, kurių inkstų funkcija vidutiniškai sutrikusi (3A stadijos lėtinė inkstų liga, </w:t>
      </w:r>
      <w:proofErr w:type="spellStart"/>
      <w:r>
        <w:rPr>
          <w:rFonts w:eastAsiaTheme="minorHAnsi"/>
          <w:i/>
          <w:iCs/>
          <w:color w:val="000000"/>
          <w:sz w:val="22"/>
          <w:szCs w:val="22"/>
          <w:u w:val="single"/>
          <w:lang w:eastAsia="en-US"/>
        </w:rPr>
        <w:t>aGFG</w:t>
      </w:r>
      <w:proofErr w:type="spellEnd"/>
      <w:r>
        <w:rPr>
          <w:rFonts w:eastAsiaTheme="minorHAnsi"/>
          <w:i/>
          <w:iCs/>
          <w:color w:val="000000"/>
          <w:sz w:val="22"/>
          <w:szCs w:val="22"/>
          <w:u w:val="single"/>
          <w:lang w:eastAsia="en-US"/>
        </w:rPr>
        <w:t xml:space="preserve"> nuo ≥ 45 iki &lt; 60 ml/min./1,73 m</w:t>
      </w:r>
      <w:r>
        <w:rPr>
          <w:rFonts w:eastAsiaTheme="minorHAnsi"/>
          <w:i/>
          <w:iCs/>
          <w:color w:val="000000"/>
          <w:sz w:val="22"/>
          <w:szCs w:val="22"/>
          <w:u w:val="single"/>
          <w:vertAlign w:val="superscript"/>
          <w:lang w:eastAsia="en-US"/>
        </w:rPr>
        <w:t>2</w:t>
      </w:r>
      <w:r>
        <w:rPr>
          <w:rFonts w:eastAsiaTheme="minorHAnsi"/>
          <w:i/>
          <w:iCs/>
          <w:color w:val="000000"/>
          <w:sz w:val="22"/>
          <w:szCs w:val="22"/>
          <w:u w:val="single"/>
          <w:lang w:eastAsia="en-US"/>
        </w:rPr>
        <w:t>)</w:t>
      </w:r>
    </w:p>
    <w:p w14:paraId="14A034DF" w14:textId="77777777" w:rsidR="00023BBF" w:rsidRDefault="00E17C37">
      <w:pPr>
        <w:autoSpaceDE w:val="0"/>
        <w:autoSpaceDN w:val="0"/>
        <w:adjustRightInd w:val="0"/>
        <w:rPr>
          <w:sz w:val="22"/>
          <w:szCs w:val="22"/>
        </w:rPr>
      </w:pPr>
      <w:r>
        <w:rPr>
          <w:rFonts w:eastAsiaTheme="minorHAnsi"/>
          <w:color w:val="000000"/>
          <w:sz w:val="22"/>
          <w:szCs w:val="22"/>
          <w:lang w:eastAsia="en-US"/>
        </w:rPr>
        <w:t xml:space="preserve">Specialaus tyrimo metu tirtas dapagliflozino veiksmingumas diabetu sergantiems pacientams, kurių </w:t>
      </w:r>
      <w:proofErr w:type="spellStart"/>
      <w:r>
        <w:rPr>
          <w:rFonts w:eastAsiaTheme="minorHAnsi"/>
          <w:color w:val="000000"/>
          <w:sz w:val="22"/>
          <w:szCs w:val="22"/>
          <w:lang w:eastAsia="en-US"/>
        </w:rPr>
        <w:t>aGFG</w:t>
      </w:r>
      <w:proofErr w:type="spellEnd"/>
      <w:r>
        <w:rPr>
          <w:rFonts w:eastAsiaTheme="minorHAnsi"/>
          <w:color w:val="000000"/>
          <w:sz w:val="22"/>
          <w:szCs w:val="22"/>
          <w:lang w:eastAsia="en-US"/>
        </w:rPr>
        <w:t xml:space="preserve"> nuo ≥ 45 iki &lt; 60 ml/min./1,73 m</w:t>
      </w:r>
      <w:r>
        <w:rPr>
          <w:rFonts w:eastAsiaTheme="minorHAnsi"/>
          <w:color w:val="000000"/>
          <w:sz w:val="22"/>
          <w:szCs w:val="22"/>
          <w:vertAlign w:val="superscript"/>
          <w:lang w:eastAsia="en-US"/>
        </w:rPr>
        <w:t>2</w:t>
      </w:r>
      <w:r>
        <w:rPr>
          <w:rFonts w:eastAsiaTheme="minorHAnsi"/>
          <w:color w:val="000000"/>
          <w:sz w:val="22"/>
          <w:szCs w:val="22"/>
          <w:lang w:eastAsia="en-US"/>
        </w:rPr>
        <w:t xml:space="preserve">, ir </w:t>
      </w:r>
      <w:proofErr w:type="spellStart"/>
      <w:r>
        <w:rPr>
          <w:rFonts w:eastAsiaTheme="minorHAnsi"/>
          <w:color w:val="000000"/>
          <w:sz w:val="22"/>
          <w:szCs w:val="22"/>
          <w:lang w:eastAsia="en-US"/>
        </w:rPr>
        <w:t>glikemija</w:t>
      </w:r>
      <w:proofErr w:type="spellEnd"/>
      <w:r>
        <w:rPr>
          <w:rFonts w:eastAsiaTheme="minorHAnsi"/>
          <w:color w:val="000000"/>
          <w:sz w:val="22"/>
          <w:szCs w:val="22"/>
          <w:lang w:eastAsia="en-US"/>
        </w:rPr>
        <w:t xml:space="preserve"> nebuvo sureguliuota taikant įprastinį gydymą. Dapagliflozino vartojusių pacientų HbA1c koncentracija ir kūno svoris buvo mažesni negu vartojusių placebo (9 lentelė).</w:t>
      </w:r>
    </w:p>
    <w:p w14:paraId="61191478" w14:textId="77777777" w:rsidR="00023BBF" w:rsidRDefault="00023BBF">
      <w:pPr>
        <w:autoSpaceDE w:val="0"/>
        <w:autoSpaceDN w:val="0"/>
        <w:adjustRightInd w:val="0"/>
        <w:rPr>
          <w:b/>
          <w:bCs/>
          <w:sz w:val="22"/>
          <w:szCs w:val="22"/>
        </w:rPr>
      </w:pPr>
    </w:p>
    <w:p w14:paraId="1A33280C" w14:textId="77777777" w:rsidR="00023BBF" w:rsidRDefault="00E17C37">
      <w:pPr>
        <w:autoSpaceDE w:val="0"/>
        <w:autoSpaceDN w:val="0"/>
        <w:adjustRightInd w:val="0"/>
        <w:rPr>
          <w:b/>
          <w:bCs/>
          <w:sz w:val="22"/>
          <w:szCs w:val="22"/>
        </w:rPr>
      </w:pPr>
      <w:r>
        <w:rPr>
          <w:b/>
          <w:bCs/>
          <w:sz w:val="22"/>
          <w:szCs w:val="22"/>
        </w:rPr>
        <w:t xml:space="preserve">9 lentelė. Placebu kontroliuojamo dapagliflozino tyrimo duomenys diabetu sergantiems pacientams, kurių </w:t>
      </w:r>
      <w:proofErr w:type="spellStart"/>
      <w:r>
        <w:rPr>
          <w:b/>
          <w:bCs/>
          <w:sz w:val="22"/>
          <w:szCs w:val="22"/>
        </w:rPr>
        <w:t>aGFG</w:t>
      </w:r>
      <w:proofErr w:type="spellEnd"/>
      <w:r>
        <w:rPr>
          <w:b/>
          <w:bCs/>
          <w:sz w:val="22"/>
          <w:szCs w:val="22"/>
        </w:rPr>
        <w:t xml:space="preserve"> nuo ≥ 45 iki &lt; 60 ml/min./1,73 m</w:t>
      </w:r>
      <w:r>
        <w:rPr>
          <w:b/>
          <w:bCs/>
          <w:sz w:val="22"/>
          <w:szCs w:val="22"/>
          <w:vertAlign w:val="superscript"/>
        </w:rPr>
        <w:t>2</w:t>
      </w:r>
      <w:r>
        <w:rPr>
          <w:b/>
          <w:bCs/>
          <w:sz w:val="22"/>
          <w:szCs w:val="22"/>
        </w:rPr>
        <w:t>, po 24 savaičių</w:t>
      </w:r>
    </w:p>
    <w:p w14:paraId="37940FC7" w14:textId="77777777" w:rsidR="00023BBF" w:rsidRDefault="00E17C37">
      <w:pPr>
        <w:spacing w:before="13" w:line="244" w:lineRule="auto"/>
        <w:ind w:left="5287" w:hanging="375"/>
        <w:rPr>
          <w:b/>
          <w:szCs w:val="20"/>
          <w:lang w:val="en-GB" w:eastAsia="sl-SI"/>
        </w:rPr>
      </w:pPr>
      <w:r w:rsidRPr="00EE5BE7">
        <w:rPr>
          <w:noProof/>
          <w:lang w:val="sl-SI"/>
        </w:rPr>
        <mc:AlternateContent>
          <mc:Choice Requires="wps">
            <w:drawing>
              <wp:anchor distT="0" distB="0" distL="0" distR="0" simplePos="0" relativeHeight="251662336" behindDoc="0" locked="0" layoutInCell="1" allowOverlap="1" wp14:anchorId="25877D3E" wp14:editId="59DC7D1A">
                <wp:simplePos x="0" y="0"/>
                <wp:positionH relativeFrom="page">
                  <wp:posOffset>877824</wp:posOffset>
                </wp:positionH>
                <wp:positionV relativeFrom="paragraph">
                  <wp:posOffset>117</wp:posOffset>
                </wp:positionV>
                <wp:extent cx="5712460" cy="1841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2460" cy="18415"/>
                        </a:xfrm>
                        <a:custGeom>
                          <a:avLst/>
                          <a:gdLst/>
                          <a:ahLst/>
                          <a:cxnLst/>
                          <a:rect l="l" t="t" r="r" b="b"/>
                          <a:pathLst>
                            <a:path w="5712460" h="18415">
                              <a:moveTo>
                                <a:pt x="4236707" y="0"/>
                              </a:moveTo>
                              <a:lnTo>
                                <a:pt x="4218432" y="0"/>
                              </a:lnTo>
                              <a:lnTo>
                                <a:pt x="2566416" y="0"/>
                              </a:lnTo>
                              <a:lnTo>
                                <a:pt x="2548128" y="0"/>
                              </a:lnTo>
                              <a:lnTo>
                                <a:pt x="0" y="0"/>
                              </a:lnTo>
                              <a:lnTo>
                                <a:pt x="0" y="18288"/>
                              </a:lnTo>
                              <a:lnTo>
                                <a:pt x="2548128" y="18288"/>
                              </a:lnTo>
                              <a:lnTo>
                                <a:pt x="2566416" y="18288"/>
                              </a:lnTo>
                              <a:lnTo>
                                <a:pt x="4218432" y="18288"/>
                              </a:lnTo>
                              <a:lnTo>
                                <a:pt x="4236707" y="18288"/>
                              </a:lnTo>
                              <a:lnTo>
                                <a:pt x="4236707" y="0"/>
                              </a:lnTo>
                              <a:close/>
                            </a:path>
                            <a:path w="5712460" h="18415">
                              <a:moveTo>
                                <a:pt x="5711952" y="0"/>
                              </a:moveTo>
                              <a:lnTo>
                                <a:pt x="4236720" y="0"/>
                              </a:lnTo>
                              <a:lnTo>
                                <a:pt x="4236720" y="18288"/>
                              </a:lnTo>
                              <a:lnTo>
                                <a:pt x="5711952" y="18288"/>
                              </a:lnTo>
                              <a:lnTo>
                                <a:pt x="57119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3FB16E" id="Graphic 29" o:spid="_x0000_s1026" style="position:absolute;margin-left:69.1pt;margin-top:0;width:449.8pt;height:1.45pt;z-index:251662336;visibility:visible;mso-wrap-style:square;mso-wrap-distance-left:0;mso-wrap-distance-top:0;mso-wrap-distance-right:0;mso-wrap-distance-bottom:0;mso-position-horizontal:absolute;mso-position-horizontal-relative:page;mso-position-vertical:absolute;mso-position-vertical-relative:text;v-text-anchor:top" coordsize="57124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" path="m4236707,r-18275,l2566416,r-18288,l,,,18288r2548128,l2566416,18288r1652016,l4236707,18288r,-18288xem5711952,l4236720,r,18288l5711952,18288r,-18288xe" fillcolor="black" stroked="f">
                <v:path arrowok="t"/>
                <w10:wrap anchorx="page"/>
              </v:shape>
            </w:pict>
          </mc:Fallback>
        </mc:AlternateContent>
      </w:r>
      <w:proofErr w:type="spellStart"/>
      <w:r>
        <w:rPr>
          <w:b/>
          <w:spacing w:val="-2"/>
          <w:sz w:val="22"/>
          <w:szCs w:val="20"/>
          <w:lang w:val="en-GB" w:eastAsia="sl-SI"/>
        </w:rPr>
        <w:t>Dapagliflozins</w:t>
      </w:r>
      <w:r>
        <w:rPr>
          <w:spacing w:val="-2"/>
          <w:sz w:val="22"/>
          <w:szCs w:val="20"/>
          <w:vertAlign w:val="superscript"/>
          <w:lang w:val="en-GB" w:eastAsia="sl-SI"/>
        </w:rPr>
        <w:t>a</w:t>
      </w:r>
      <w:proofErr w:type="spellEnd"/>
      <w:r>
        <w:rPr>
          <w:spacing w:val="-2"/>
          <w:sz w:val="22"/>
          <w:szCs w:val="20"/>
          <w:lang w:val="en-GB" w:eastAsia="sl-SI"/>
        </w:rPr>
        <w:t xml:space="preserve"> </w:t>
      </w:r>
      <w:r>
        <w:rPr>
          <w:b/>
          <w:sz w:val="22"/>
          <w:szCs w:val="20"/>
          <w:lang w:val="en-GB" w:eastAsia="sl-SI"/>
        </w:rPr>
        <w:t>10</w:t>
      </w:r>
      <w:r>
        <w:rPr>
          <w:sz w:val="22"/>
          <w:szCs w:val="20"/>
          <w:lang w:val="en-GB" w:eastAsia="sl-SI"/>
        </w:rPr>
        <w:t> </w:t>
      </w:r>
      <w:r>
        <w:rPr>
          <w:b/>
          <w:sz w:val="22"/>
          <w:szCs w:val="20"/>
          <w:lang w:val="en-GB" w:eastAsia="sl-SI"/>
        </w:rPr>
        <w:t>mg</w:t>
      </w:r>
      <w:r>
        <w:rPr>
          <w:b/>
          <w:sz w:val="22"/>
          <w:szCs w:val="20"/>
          <w:lang w:val="en-GB" w:eastAsia="sl-SI"/>
        </w:rPr>
        <w:tab/>
      </w:r>
      <w:r>
        <w:rPr>
          <w:b/>
          <w:sz w:val="22"/>
          <w:szCs w:val="20"/>
          <w:lang w:val="en-GB" w:eastAsia="sl-SI"/>
        </w:rPr>
        <w:tab/>
      </w:r>
      <w:proofErr w:type="spellStart"/>
      <w:r>
        <w:rPr>
          <w:b/>
          <w:spacing w:val="-2"/>
          <w:sz w:val="22"/>
          <w:szCs w:val="20"/>
          <w:lang w:val="en-GB" w:eastAsia="sl-SI"/>
        </w:rPr>
        <w:t>Placebas</w:t>
      </w:r>
      <w:r>
        <w:rPr>
          <w:spacing w:val="-2"/>
          <w:sz w:val="22"/>
          <w:szCs w:val="20"/>
          <w:vertAlign w:val="superscript"/>
          <w:lang w:val="en-GB" w:eastAsia="sl-SI"/>
        </w:rPr>
        <w:t>a</w:t>
      </w:r>
      <w:proofErr w:type="spellEnd"/>
    </w:p>
    <w:p w14:paraId="462E20B5" w14:textId="77777777" w:rsidR="00023BBF" w:rsidRDefault="00E17C37">
      <w:pPr>
        <w:numPr>
          <w:ilvl w:val="12"/>
          <w:numId w:val="0"/>
        </w:numPr>
        <w:tabs>
          <w:tab w:val="left" w:pos="8505"/>
        </w:tabs>
        <w:spacing w:line="20" w:lineRule="exact"/>
        <w:ind w:left="242" w:right="-2"/>
        <w:rPr>
          <w:sz w:val="2"/>
          <w:szCs w:val="20"/>
          <w:lang w:val="en-GB" w:eastAsia="sl-SI"/>
        </w:rPr>
      </w:pPr>
      <w:r w:rsidRPr="00EE5BE7">
        <w:rPr>
          <w:noProof/>
          <w:sz w:val="2"/>
          <w:lang w:val="sl-SI"/>
        </w:rPr>
        <mc:AlternateContent>
          <mc:Choice Requires="wpg">
            <w:drawing>
              <wp:inline distT="0" distB="0" distL="0" distR="0" wp14:anchorId="7AB83684" wp14:editId="081071A0">
                <wp:extent cx="5712460" cy="6350"/>
                <wp:effectExtent l="0" t="0" r="0" b="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2460" cy="6350"/>
                          <a:chOff x="0" y="0"/>
                          <a:chExt cx="5712460" cy="6350"/>
                        </a:xfrm>
                      </wpg:grpSpPr>
                      <wps:wsp>
                        <wps:cNvPr id="31" name="Graphic 31"/>
                        <wps:cNvSpPr/>
                        <wps:spPr>
                          <a:xfrm>
                            <a:off x="0" y="0"/>
                            <a:ext cx="5712460" cy="6350"/>
                          </a:xfrm>
                          <a:custGeom>
                            <a:avLst/>
                            <a:gdLst/>
                            <a:ahLst/>
                            <a:cxnLst/>
                            <a:rect l="l" t="t" r="r" b="b"/>
                            <a:pathLst>
                              <a:path w="5712460" h="6350">
                                <a:moveTo>
                                  <a:pt x="5711952" y="0"/>
                                </a:moveTo>
                                <a:lnTo>
                                  <a:pt x="5711952" y="0"/>
                                </a:lnTo>
                                <a:lnTo>
                                  <a:pt x="0" y="0"/>
                                </a:lnTo>
                                <a:lnTo>
                                  <a:pt x="0" y="6096"/>
                                </a:lnTo>
                                <a:lnTo>
                                  <a:pt x="5711952" y="6096"/>
                                </a:lnTo>
                                <a:lnTo>
                                  <a:pt x="571195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78AFBDD" id="Group 30" o:spid="_x0000_s1026" style="width:449.8pt;height:.5pt;mso-position-horizontal-relative:char;mso-position-vertical-relative:line" coordsize="5712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">
                <v:shape id="Graphic 31" o:spid="_x0000_s1027" style="position:absolute;width:57124;height:63;visibility:visible;mso-wrap-style:square;v-text-anchor:top" coordsize="57124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" path="m5711952,r,l,,,6096r5711952,l5711952,xe" fillcolor="black" stroked="f">
                  <v:path arrowok="t"/>
                </v:shape>
                <w10:anchorlock/>
              </v:group>
            </w:pict>
          </mc:Fallback>
        </mc:AlternateContent>
      </w:r>
    </w:p>
    <w:p w14:paraId="72A98A4E" w14:textId="77777777" w:rsidR="00023BBF" w:rsidRDefault="00E17C37">
      <w:pPr>
        <w:keepNext/>
        <w:tabs>
          <w:tab w:val="left" w:pos="4300"/>
          <w:tab w:val="left" w:pos="5407"/>
          <w:tab w:val="left" w:pos="5940"/>
          <w:tab w:val="left" w:pos="7898"/>
          <w:tab w:val="left" w:pos="8180"/>
        </w:tabs>
        <w:spacing w:after="5" w:line="360" w:lineRule="atLeast"/>
        <w:ind w:left="352"/>
        <w:outlineLvl w:val="1"/>
        <w:rPr>
          <w:b/>
          <w:szCs w:val="20"/>
          <w:u w:val="single"/>
          <w:lang w:val="en-GB" w:eastAsia="sl-SI"/>
        </w:rPr>
      </w:pPr>
      <w:r>
        <w:rPr>
          <w:b/>
          <w:spacing w:val="-5"/>
          <w:szCs w:val="20"/>
          <w:u w:val="single"/>
          <w:lang w:val="en-GB" w:eastAsia="sl-SI"/>
        </w:rPr>
        <w:lastRenderedPageBreak/>
        <w:t>N</w:t>
      </w:r>
      <w:r>
        <w:rPr>
          <w:b/>
          <w:spacing w:val="-5"/>
          <w:szCs w:val="20"/>
          <w:u w:val="single"/>
          <w:vertAlign w:val="superscript"/>
          <w:lang w:val="en-GB" w:eastAsia="sl-SI"/>
        </w:rPr>
        <w:t>b</w:t>
      </w:r>
      <w:r>
        <w:rPr>
          <w:b/>
          <w:szCs w:val="20"/>
          <w:u w:val="single"/>
          <w:lang w:val="en-GB" w:eastAsia="sl-SI"/>
        </w:rPr>
        <w:tab/>
      </w:r>
      <w:r>
        <w:rPr>
          <w:b/>
          <w:szCs w:val="20"/>
          <w:u w:val="single"/>
          <w:lang w:val="en-GB" w:eastAsia="sl-SI"/>
        </w:rPr>
        <w:tab/>
      </w:r>
      <w:r>
        <w:rPr>
          <w:b/>
          <w:spacing w:val="-5"/>
          <w:szCs w:val="20"/>
          <w:u w:val="single"/>
          <w:lang w:val="en-GB" w:eastAsia="sl-SI"/>
        </w:rPr>
        <w:t>159</w:t>
      </w:r>
      <w:r>
        <w:rPr>
          <w:szCs w:val="20"/>
          <w:u w:val="single"/>
          <w:lang w:val="en-GB" w:eastAsia="sl-SI"/>
        </w:rPr>
        <w:tab/>
      </w:r>
      <w:r>
        <w:rPr>
          <w:szCs w:val="20"/>
          <w:u w:val="single"/>
          <w:lang w:val="en-GB" w:eastAsia="sl-SI"/>
        </w:rPr>
        <w:tab/>
      </w:r>
      <w:r>
        <w:rPr>
          <w:b/>
          <w:spacing w:val="-5"/>
          <w:szCs w:val="20"/>
          <w:u w:val="single"/>
          <w:lang w:val="en-GB" w:eastAsia="sl-SI"/>
        </w:rPr>
        <w:t>161</w:t>
      </w:r>
    </w:p>
    <w:tbl>
      <w:tblPr>
        <w:tblStyle w:val="TableNormal1"/>
        <w:tblW w:w="0" w:type="auto"/>
        <w:tblInd w:w="249" w:type="dxa"/>
        <w:tblLayout w:type="fixed"/>
        <w:tblLook w:val="01E0" w:firstRow="1" w:lastRow="1" w:firstColumn="1" w:lastColumn="1" w:noHBand="0" w:noVBand="0"/>
      </w:tblPr>
      <w:tblGrid>
        <w:gridCol w:w="3936"/>
        <w:gridCol w:w="2810"/>
        <w:gridCol w:w="2248"/>
      </w:tblGrid>
      <w:tr w:rsidR="00023BBF" w14:paraId="51DC801B" w14:textId="77777777">
        <w:trPr>
          <w:trHeight w:val="494"/>
        </w:trPr>
        <w:tc>
          <w:tcPr>
            <w:tcW w:w="3936" w:type="dxa"/>
            <w:tcBorders>
              <w:top w:val="single" w:sz="4" w:space="0" w:color="000000"/>
            </w:tcBorders>
          </w:tcPr>
          <w:p w14:paraId="6D2BC845" w14:textId="77777777" w:rsidR="00023BBF" w:rsidRDefault="00E17C37">
            <w:pPr>
              <w:spacing w:before="1" w:line="249" w:lineRule="exact"/>
              <w:ind w:left="110"/>
              <w:rPr>
                <w:rFonts w:eastAsia="Calibri"/>
                <w:b/>
                <w:lang w:val="en-GB" w:eastAsia="en-US"/>
              </w:rPr>
            </w:pPr>
            <w:bookmarkStart w:id="4" w:name="_Hlk199920268"/>
            <w:r>
              <w:rPr>
                <w:rFonts w:eastAsia="Calibri"/>
                <w:b/>
                <w:lang w:val="en-GB" w:eastAsia="en-US"/>
              </w:rPr>
              <w:t>HbA1c</w:t>
            </w:r>
            <w:r>
              <w:rPr>
                <w:rFonts w:eastAsia="Calibri"/>
                <w:b/>
                <w:spacing w:val="-11"/>
                <w:lang w:val="en-GB" w:eastAsia="en-US"/>
              </w:rPr>
              <w:t xml:space="preserve"> </w:t>
            </w:r>
            <w:r>
              <w:rPr>
                <w:rFonts w:eastAsia="Calibri"/>
                <w:b/>
                <w:spacing w:val="-5"/>
                <w:lang w:val="en-GB" w:eastAsia="en-US"/>
              </w:rPr>
              <w:t>(%)</w:t>
            </w:r>
          </w:p>
          <w:p w14:paraId="43AEFBAC" w14:textId="77777777" w:rsidR="00023BBF" w:rsidRDefault="00E17C37">
            <w:pPr>
              <w:spacing w:line="225" w:lineRule="exact"/>
              <w:ind w:left="110"/>
              <w:rPr>
                <w:rFonts w:eastAsia="Calibri"/>
                <w:lang w:val="en-GB" w:eastAsia="en-US"/>
              </w:rPr>
            </w:pPr>
            <w:proofErr w:type="spellStart"/>
            <w:r>
              <w:rPr>
                <w:rFonts w:eastAsia="Calibri"/>
                <w:lang w:val="en-GB" w:eastAsia="en-US"/>
              </w:rPr>
              <w:t>Pradinė</w:t>
            </w:r>
            <w:proofErr w:type="spellEnd"/>
            <w:r>
              <w:rPr>
                <w:rFonts w:eastAsia="Calibri"/>
                <w:spacing w:val="-8"/>
                <w:lang w:val="en-GB" w:eastAsia="en-US"/>
              </w:rPr>
              <w:t xml:space="preserve"> </w:t>
            </w:r>
            <w:r>
              <w:rPr>
                <w:rFonts w:eastAsia="Calibri"/>
                <w:spacing w:val="-2"/>
                <w:lang w:val="en-GB" w:eastAsia="en-US"/>
              </w:rPr>
              <w:t>(</w:t>
            </w:r>
            <w:proofErr w:type="spellStart"/>
            <w:r>
              <w:rPr>
                <w:rFonts w:eastAsia="Calibri"/>
                <w:spacing w:val="-2"/>
                <w:lang w:val="en-GB" w:eastAsia="en-US"/>
              </w:rPr>
              <w:t>vidurkis</w:t>
            </w:r>
            <w:proofErr w:type="spellEnd"/>
            <w:r>
              <w:rPr>
                <w:rFonts w:eastAsia="Calibri"/>
                <w:spacing w:val="-2"/>
                <w:lang w:val="en-GB" w:eastAsia="en-US"/>
              </w:rPr>
              <w:t>)</w:t>
            </w:r>
          </w:p>
        </w:tc>
        <w:tc>
          <w:tcPr>
            <w:tcW w:w="2810" w:type="dxa"/>
            <w:tcBorders>
              <w:top w:val="single" w:sz="4" w:space="0" w:color="000000"/>
            </w:tcBorders>
          </w:tcPr>
          <w:p w14:paraId="2AF9D206" w14:textId="77777777" w:rsidR="00023BBF" w:rsidRDefault="00E17C37">
            <w:pPr>
              <w:spacing w:before="245" w:line="229" w:lineRule="exact"/>
              <w:ind w:left="141" w:right="18"/>
              <w:jc w:val="center"/>
              <w:rPr>
                <w:rFonts w:eastAsia="Calibri"/>
                <w:lang w:val="en-GB" w:eastAsia="en-US"/>
              </w:rPr>
            </w:pPr>
            <w:r>
              <w:rPr>
                <w:rFonts w:eastAsia="Calibri"/>
                <w:spacing w:val="-4"/>
                <w:lang w:val="en-GB" w:eastAsia="en-US"/>
              </w:rPr>
              <w:t>8,35</w:t>
            </w:r>
          </w:p>
        </w:tc>
        <w:tc>
          <w:tcPr>
            <w:tcW w:w="2248" w:type="dxa"/>
            <w:tcBorders>
              <w:top w:val="single" w:sz="4" w:space="0" w:color="000000"/>
            </w:tcBorders>
          </w:tcPr>
          <w:p w14:paraId="4CFAF02B" w14:textId="77777777" w:rsidR="00023BBF" w:rsidRDefault="00E17C37">
            <w:pPr>
              <w:spacing w:before="245" w:line="229" w:lineRule="exact"/>
              <w:ind w:left="881"/>
              <w:rPr>
                <w:rFonts w:eastAsia="Calibri"/>
                <w:lang w:val="en-GB" w:eastAsia="en-US"/>
              </w:rPr>
            </w:pPr>
            <w:r>
              <w:rPr>
                <w:rFonts w:eastAsia="Calibri"/>
                <w:spacing w:val="-4"/>
                <w:lang w:val="en-GB" w:eastAsia="en-US"/>
              </w:rPr>
              <w:t>8,03</w:t>
            </w:r>
          </w:p>
        </w:tc>
      </w:tr>
      <w:tr w:rsidR="00023BBF" w14:paraId="7A1D3472" w14:textId="77777777">
        <w:trPr>
          <w:trHeight w:val="518"/>
        </w:trPr>
        <w:tc>
          <w:tcPr>
            <w:tcW w:w="3936" w:type="dxa"/>
          </w:tcPr>
          <w:p w14:paraId="132B6786" w14:textId="77777777" w:rsidR="00023BBF" w:rsidRDefault="00E17C37">
            <w:pPr>
              <w:spacing w:line="250" w:lineRule="atLeast"/>
              <w:ind w:left="110" w:right="905"/>
              <w:rPr>
                <w:rFonts w:eastAsia="Calibri"/>
                <w:lang w:val="en-GB" w:eastAsia="en-US"/>
              </w:rPr>
            </w:pPr>
            <w:proofErr w:type="spellStart"/>
            <w:r>
              <w:rPr>
                <w:rFonts w:eastAsia="Calibri"/>
                <w:lang w:val="en-GB" w:eastAsia="en-US"/>
              </w:rPr>
              <w:t>Pokytis</w:t>
            </w:r>
            <w:proofErr w:type="spellEnd"/>
            <w:r>
              <w:rPr>
                <w:rFonts w:eastAsia="Calibri"/>
                <w:lang w:val="en-GB" w:eastAsia="en-US"/>
              </w:rPr>
              <w:t xml:space="preserve"> </w:t>
            </w:r>
            <w:proofErr w:type="spellStart"/>
            <w:r>
              <w:rPr>
                <w:rFonts w:eastAsia="Calibri"/>
                <w:lang w:val="en-GB" w:eastAsia="en-US"/>
              </w:rPr>
              <w:t>palyginus</w:t>
            </w:r>
            <w:proofErr w:type="spellEnd"/>
            <w:r>
              <w:rPr>
                <w:rFonts w:eastAsia="Calibri"/>
                <w:lang w:val="en-GB" w:eastAsia="en-US"/>
              </w:rPr>
              <w:t xml:space="preserve"> </w:t>
            </w:r>
            <w:proofErr w:type="spellStart"/>
            <w:r>
              <w:rPr>
                <w:rFonts w:eastAsia="Calibri"/>
                <w:lang w:val="en-GB" w:eastAsia="en-US"/>
              </w:rPr>
              <w:t>su</w:t>
            </w:r>
            <w:proofErr w:type="spellEnd"/>
            <w:r>
              <w:rPr>
                <w:rFonts w:eastAsia="Calibri"/>
                <w:lang w:val="en-GB" w:eastAsia="en-US"/>
              </w:rPr>
              <w:t xml:space="preserve"> </w:t>
            </w:r>
            <w:proofErr w:type="spellStart"/>
            <w:r>
              <w:rPr>
                <w:rFonts w:eastAsia="Calibri"/>
                <w:lang w:val="en-GB" w:eastAsia="en-US"/>
              </w:rPr>
              <w:t>pradine</w:t>
            </w:r>
            <w:r>
              <w:rPr>
                <w:rFonts w:eastAsia="Calibri"/>
                <w:vertAlign w:val="superscript"/>
                <w:lang w:val="en-GB" w:eastAsia="en-US"/>
              </w:rPr>
              <w:t>b</w:t>
            </w:r>
            <w:proofErr w:type="spellEnd"/>
            <w:r>
              <w:rPr>
                <w:rFonts w:eastAsia="Calibri"/>
                <w:lang w:val="en-GB" w:eastAsia="en-US"/>
              </w:rPr>
              <w:t xml:space="preserve"> </w:t>
            </w:r>
            <w:proofErr w:type="spellStart"/>
            <w:r>
              <w:rPr>
                <w:rFonts w:eastAsia="Calibri"/>
                <w:lang w:val="en-GB" w:eastAsia="en-US"/>
              </w:rPr>
              <w:t>Skirtumas</w:t>
            </w:r>
            <w:proofErr w:type="spellEnd"/>
            <w:r>
              <w:rPr>
                <w:rFonts w:eastAsia="Calibri"/>
                <w:lang w:val="en-GB" w:eastAsia="en-US"/>
              </w:rPr>
              <w:t xml:space="preserve"> </w:t>
            </w:r>
            <w:proofErr w:type="spellStart"/>
            <w:r>
              <w:rPr>
                <w:rFonts w:eastAsia="Calibri"/>
                <w:lang w:val="en-GB" w:eastAsia="en-US"/>
              </w:rPr>
              <w:t>nuo</w:t>
            </w:r>
            <w:proofErr w:type="spellEnd"/>
            <w:r>
              <w:rPr>
                <w:rFonts w:eastAsia="Calibri"/>
                <w:lang w:val="en-GB" w:eastAsia="en-US"/>
              </w:rPr>
              <w:t xml:space="preserve"> </w:t>
            </w:r>
            <w:proofErr w:type="spellStart"/>
            <w:r>
              <w:rPr>
                <w:rFonts w:eastAsia="Calibri"/>
                <w:lang w:val="en-GB" w:eastAsia="en-US"/>
              </w:rPr>
              <w:t>placebo</w:t>
            </w:r>
            <w:r>
              <w:rPr>
                <w:rFonts w:eastAsia="Calibri"/>
                <w:vertAlign w:val="superscript"/>
                <w:lang w:val="en-GB" w:eastAsia="en-US"/>
              </w:rPr>
              <w:t>b</w:t>
            </w:r>
            <w:proofErr w:type="spellEnd"/>
          </w:p>
        </w:tc>
        <w:tc>
          <w:tcPr>
            <w:tcW w:w="2810" w:type="dxa"/>
          </w:tcPr>
          <w:p w14:paraId="032F3FBF" w14:textId="77777777" w:rsidR="00023BBF" w:rsidRDefault="00E17C37">
            <w:pPr>
              <w:spacing w:before="5"/>
              <w:ind w:left="1166"/>
              <w:rPr>
                <w:rFonts w:eastAsia="Calibri"/>
                <w:lang w:val="en-GB" w:eastAsia="en-US"/>
              </w:rPr>
            </w:pPr>
            <w:r>
              <w:rPr>
                <w:rFonts w:eastAsia="Calibri"/>
                <w:spacing w:val="-2"/>
                <w:lang w:val="en-GB" w:eastAsia="en-US"/>
              </w:rPr>
              <w:t>-</w:t>
            </w:r>
            <w:r>
              <w:rPr>
                <w:rFonts w:eastAsia="Calibri"/>
                <w:spacing w:val="-4"/>
                <w:lang w:val="en-GB" w:eastAsia="en-US"/>
              </w:rPr>
              <w:t>0,37</w:t>
            </w:r>
          </w:p>
          <w:p w14:paraId="46AD417A" w14:textId="77777777" w:rsidR="00023BBF" w:rsidRDefault="00E17C37">
            <w:pPr>
              <w:spacing w:before="2" w:line="238" w:lineRule="exact"/>
              <w:ind w:left="1180"/>
              <w:rPr>
                <w:rFonts w:eastAsia="Calibri"/>
                <w:lang w:val="en-GB" w:eastAsia="en-US"/>
              </w:rPr>
            </w:pPr>
            <w:r>
              <w:rPr>
                <w:rFonts w:eastAsia="Calibri"/>
                <w:spacing w:val="-2"/>
                <w:lang w:val="en-GB" w:eastAsia="en-US"/>
              </w:rPr>
              <w:t>-0,34*</w:t>
            </w:r>
          </w:p>
        </w:tc>
        <w:tc>
          <w:tcPr>
            <w:tcW w:w="2248" w:type="dxa"/>
          </w:tcPr>
          <w:p w14:paraId="7FB5BCE9" w14:textId="77777777" w:rsidR="00023BBF" w:rsidRDefault="00E17C37">
            <w:pPr>
              <w:spacing w:before="5"/>
              <w:ind w:left="847"/>
              <w:rPr>
                <w:rFonts w:eastAsia="Calibri"/>
                <w:lang w:val="en-GB" w:eastAsia="en-US"/>
              </w:rPr>
            </w:pPr>
            <w:r>
              <w:rPr>
                <w:rFonts w:eastAsia="Calibri"/>
                <w:spacing w:val="-2"/>
                <w:lang w:val="en-GB" w:eastAsia="en-US"/>
              </w:rPr>
              <w:t>-</w:t>
            </w:r>
            <w:r>
              <w:rPr>
                <w:rFonts w:eastAsia="Calibri"/>
                <w:spacing w:val="-4"/>
                <w:lang w:val="en-GB" w:eastAsia="en-US"/>
              </w:rPr>
              <w:t>0,03</w:t>
            </w:r>
          </w:p>
        </w:tc>
      </w:tr>
      <w:tr w:rsidR="00023BBF" w14:paraId="50573325" w14:textId="77777777">
        <w:trPr>
          <w:trHeight w:val="254"/>
        </w:trPr>
        <w:tc>
          <w:tcPr>
            <w:tcW w:w="3936" w:type="dxa"/>
            <w:tcBorders>
              <w:bottom w:val="single" w:sz="4" w:space="0" w:color="000000"/>
            </w:tcBorders>
          </w:tcPr>
          <w:p w14:paraId="4D71F8B7" w14:textId="77777777" w:rsidR="00023BBF" w:rsidRDefault="00E17C37">
            <w:pPr>
              <w:spacing w:line="234" w:lineRule="exact"/>
              <w:ind w:left="335"/>
              <w:rPr>
                <w:rFonts w:eastAsia="Calibri"/>
                <w:lang w:val="en-GB" w:eastAsia="en-US"/>
              </w:rPr>
            </w:pPr>
            <w:r>
              <w:rPr>
                <w:rFonts w:eastAsia="Calibri"/>
                <w:lang w:val="en-GB" w:eastAsia="en-US"/>
              </w:rPr>
              <w:t>(95 %</w:t>
            </w:r>
            <w:r>
              <w:rPr>
                <w:rFonts w:eastAsia="Calibri"/>
                <w:spacing w:val="-5"/>
                <w:lang w:val="en-GB" w:eastAsia="en-US"/>
              </w:rPr>
              <w:t xml:space="preserve"> PI)</w:t>
            </w:r>
          </w:p>
        </w:tc>
        <w:tc>
          <w:tcPr>
            <w:tcW w:w="2810" w:type="dxa"/>
            <w:tcBorders>
              <w:bottom w:val="single" w:sz="4" w:space="0" w:color="000000"/>
            </w:tcBorders>
          </w:tcPr>
          <w:p w14:paraId="285F75B3" w14:textId="77777777" w:rsidR="00023BBF" w:rsidRDefault="00E17C37">
            <w:pPr>
              <w:spacing w:line="234" w:lineRule="exact"/>
              <w:ind w:left="806"/>
              <w:rPr>
                <w:rFonts w:eastAsia="Calibri"/>
                <w:lang w:val="en-GB" w:eastAsia="en-US"/>
              </w:rPr>
            </w:pPr>
            <w:r>
              <w:rPr>
                <w:rFonts w:eastAsia="Calibri"/>
                <w:lang w:val="en-GB" w:eastAsia="en-US"/>
              </w:rPr>
              <w:t>(-0,53,</w:t>
            </w:r>
            <w:r>
              <w:rPr>
                <w:rFonts w:eastAsia="Calibri"/>
                <w:spacing w:val="-3"/>
                <w:lang w:val="en-GB" w:eastAsia="en-US"/>
              </w:rPr>
              <w:t xml:space="preserve"> </w:t>
            </w:r>
            <w:r>
              <w:rPr>
                <w:rFonts w:eastAsia="Calibri"/>
                <w:lang w:val="en-GB" w:eastAsia="en-US"/>
              </w:rPr>
              <w:t>-</w:t>
            </w:r>
            <w:r>
              <w:rPr>
                <w:rFonts w:eastAsia="Calibri"/>
                <w:spacing w:val="-2"/>
                <w:lang w:val="en-GB" w:eastAsia="en-US"/>
              </w:rPr>
              <w:t>0,15)</w:t>
            </w:r>
          </w:p>
        </w:tc>
        <w:tc>
          <w:tcPr>
            <w:tcW w:w="2248" w:type="dxa"/>
            <w:tcBorders>
              <w:bottom w:val="single" w:sz="4" w:space="0" w:color="000000"/>
            </w:tcBorders>
          </w:tcPr>
          <w:p w14:paraId="7133191C" w14:textId="77777777" w:rsidR="00023BBF" w:rsidRDefault="00023BBF">
            <w:pPr>
              <w:rPr>
                <w:rFonts w:eastAsia="Calibri"/>
                <w:sz w:val="18"/>
                <w:lang w:val="en-GB" w:eastAsia="en-US"/>
              </w:rPr>
            </w:pPr>
          </w:p>
        </w:tc>
      </w:tr>
      <w:tr w:rsidR="00023BBF" w14:paraId="76F65EA5" w14:textId="77777777">
        <w:trPr>
          <w:trHeight w:val="251"/>
        </w:trPr>
        <w:tc>
          <w:tcPr>
            <w:tcW w:w="3936" w:type="dxa"/>
            <w:tcBorders>
              <w:top w:val="single" w:sz="4" w:space="0" w:color="000000"/>
            </w:tcBorders>
          </w:tcPr>
          <w:p w14:paraId="3C51E28A" w14:textId="77777777" w:rsidR="00023BBF" w:rsidRDefault="00E17C37">
            <w:pPr>
              <w:spacing w:line="232" w:lineRule="exact"/>
              <w:ind w:left="110"/>
              <w:rPr>
                <w:rFonts w:eastAsia="Calibri"/>
                <w:b/>
                <w:lang w:val="en-GB" w:eastAsia="en-US"/>
              </w:rPr>
            </w:pPr>
            <w:proofErr w:type="spellStart"/>
            <w:r>
              <w:rPr>
                <w:rFonts w:eastAsia="Calibri"/>
                <w:b/>
                <w:lang w:val="en-GB" w:eastAsia="en-US"/>
              </w:rPr>
              <w:t>Kūno</w:t>
            </w:r>
            <w:proofErr w:type="spellEnd"/>
            <w:r>
              <w:rPr>
                <w:rFonts w:eastAsia="Calibri"/>
                <w:b/>
                <w:lang w:val="en-GB" w:eastAsia="en-US"/>
              </w:rPr>
              <w:t xml:space="preserve"> </w:t>
            </w:r>
            <w:proofErr w:type="spellStart"/>
            <w:r>
              <w:rPr>
                <w:rFonts w:eastAsia="Calibri"/>
                <w:b/>
                <w:lang w:val="en-GB" w:eastAsia="en-US"/>
              </w:rPr>
              <w:t>svoris</w:t>
            </w:r>
            <w:proofErr w:type="spellEnd"/>
            <w:r>
              <w:rPr>
                <w:rFonts w:eastAsia="Calibri"/>
                <w:b/>
                <w:spacing w:val="-5"/>
                <w:lang w:val="en-GB" w:eastAsia="en-US"/>
              </w:rPr>
              <w:t xml:space="preserve"> </w:t>
            </w:r>
            <w:r>
              <w:rPr>
                <w:rFonts w:eastAsia="Calibri"/>
                <w:b/>
                <w:spacing w:val="-4"/>
                <w:lang w:val="en-GB" w:eastAsia="en-US"/>
              </w:rPr>
              <w:t>(kg)</w:t>
            </w:r>
          </w:p>
        </w:tc>
        <w:tc>
          <w:tcPr>
            <w:tcW w:w="2810" w:type="dxa"/>
            <w:tcBorders>
              <w:top w:val="single" w:sz="4" w:space="0" w:color="000000"/>
            </w:tcBorders>
          </w:tcPr>
          <w:p w14:paraId="2C6CA8A4" w14:textId="77777777" w:rsidR="00023BBF" w:rsidRDefault="00023BBF">
            <w:pPr>
              <w:rPr>
                <w:rFonts w:eastAsia="Calibri"/>
                <w:sz w:val="18"/>
                <w:lang w:val="en-GB" w:eastAsia="en-US"/>
              </w:rPr>
            </w:pPr>
          </w:p>
        </w:tc>
        <w:tc>
          <w:tcPr>
            <w:tcW w:w="2248" w:type="dxa"/>
            <w:tcBorders>
              <w:top w:val="single" w:sz="4" w:space="0" w:color="000000"/>
            </w:tcBorders>
          </w:tcPr>
          <w:p w14:paraId="5F8E739E" w14:textId="77777777" w:rsidR="00023BBF" w:rsidRDefault="00023BBF">
            <w:pPr>
              <w:rPr>
                <w:rFonts w:eastAsia="Calibri"/>
                <w:sz w:val="18"/>
                <w:lang w:val="en-GB" w:eastAsia="en-US"/>
              </w:rPr>
            </w:pPr>
          </w:p>
        </w:tc>
      </w:tr>
      <w:tr w:rsidR="00023BBF" w14:paraId="10E36134" w14:textId="77777777">
        <w:trPr>
          <w:trHeight w:val="242"/>
        </w:trPr>
        <w:tc>
          <w:tcPr>
            <w:tcW w:w="3936" w:type="dxa"/>
          </w:tcPr>
          <w:p w14:paraId="6499CF82" w14:textId="77777777" w:rsidR="00023BBF" w:rsidRDefault="00E17C37">
            <w:pPr>
              <w:spacing w:line="223" w:lineRule="exact"/>
              <w:ind w:left="110"/>
              <w:rPr>
                <w:rFonts w:eastAsia="Calibri"/>
                <w:lang w:val="en-GB" w:eastAsia="en-US"/>
              </w:rPr>
            </w:pPr>
            <w:proofErr w:type="spellStart"/>
            <w:r>
              <w:rPr>
                <w:rFonts w:eastAsia="Calibri"/>
                <w:lang w:val="en-GB" w:eastAsia="en-US"/>
              </w:rPr>
              <w:t>Pradinis</w:t>
            </w:r>
            <w:proofErr w:type="spellEnd"/>
            <w:r>
              <w:rPr>
                <w:rFonts w:eastAsia="Calibri"/>
                <w:spacing w:val="-9"/>
                <w:lang w:val="en-GB" w:eastAsia="en-US"/>
              </w:rPr>
              <w:t xml:space="preserve"> </w:t>
            </w:r>
            <w:r>
              <w:rPr>
                <w:rFonts w:eastAsia="Calibri"/>
                <w:spacing w:val="-2"/>
                <w:lang w:val="en-GB" w:eastAsia="en-US"/>
              </w:rPr>
              <w:t>(</w:t>
            </w:r>
            <w:proofErr w:type="spellStart"/>
            <w:r>
              <w:rPr>
                <w:rFonts w:eastAsia="Calibri"/>
                <w:spacing w:val="-2"/>
                <w:lang w:val="en-GB" w:eastAsia="en-US"/>
              </w:rPr>
              <w:t>vidurkis</w:t>
            </w:r>
            <w:proofErr w:type="spellEnd"/>
            <w:r>
              <w:rPr>
                <w:rFonts w:eastAsia="Calibri"/>
                <w:spacing w:val="-2"/>
                <w:lang w:val="en-GB" w:eastAsia="en-US"/>
              </w:rPr>
              <w:t>)</w:t>
            </w:r>
          </w:p>
        </w:tc>
        <w:tc>
          <w:tcPr>
            <w:tcW w:w="2810" w:type="dxa"/>
          </w:tcPr>
          <w:p w14:paraId="7BBA99E5" w14:textId="77777777" w:rsidR="00023BBF" w:rsidRDefault="00E17C37">
            <w:pPr>
              <w:spacing w:line="223" w:lineRule="exact"/>
              <w:ind w:left="123" w:right="136"/>
              <w:jc w:val="center"/>
              <w:rPr>
                <w:rFonts w:eastAsia="Calibri"/>
                <w:lang w:val="en-GB" w:eastAsia="en-US"/>
              </w:rPr>
            </w:pPr>
            <w:r>
              <w:rPr>
                <w:rFonts w:eastAsia="Calibri"/>
                <w:spacing w:val="-2"/>
                <w:lang w:val="en-GB" w:eastAsia="en-US"/>
              </w:rPr>
              <w:t>92,51</w:t>
            </w:r>
          </w:p>
        </w:tc>
        <w:tc>
          <w:tcPr>
            <w:tcW w:w="2248" w:type="dxa"/>
          </w:tcPr>
          <w:p w14:paraId="40AEE711" w14:textId="77777777" w:rsidR="00023BBF" w:rsidRDefault="00E17C37">
            <w:pPr>
              <w:spacing w:line="223" w:lineRule="exact"/>
              <w:ind w:left="828"/>
              <w:rPr>
                <w:rFonts w:eastAsia="Calibri"/>
                <w:lang w:val="en-GB" w:eastAsia="en-US"/>
              </w:rPr>
            </w:pPr>
            <w:r>
              <w:rPr>
                <w:rFonts w:eastAsia="Calibri"/>
                <w:spacing w:val="-2"/>
                <w:lang w:val="en-GB" w:eastAsia="en-US"/>
              </w:rPr>
              <w:t>88,30</w:t>
            </w:r>
          </w:p>
        </w:tc>
      </w:tr>
      <w:tr w:rsidR="00023BBF" w14:paraId="79BAA69C" w14:textId="77777777">
        <w:trPr>
          <w:trHeight w:val="261"/>
        </w:trPr>
        <w:tc>
          <w:tcPr>
            <w:tcW w:w="3936" w:type="dxa"/>
          </w:tcPr>
          <w:p w14:paraId="7E14BC30" w14:textId="77777777" w:rsidR="00023BBF" w:rsidRDefault="00E17C37">
            <w:pPr>
              <w:spacing w:before="5" w:line="236" w:lineRule="exact"/>
              <w:ind w:left="110"/>
              <w:rPr>
                <w:rFonts w:eastAsia="Calibri"/>
                <w:lang w:val="en-GB" w:eastAsia="en-US"/>
              </w:rPr>
            </w:pPr>
            <w:proofErr w:type="spellStart"/>
            <w:r>
              <w:rPr>
                <w:rFonts w:eastAsia="Calibri"/>
                <w:lang w:val="en-GB" w:eastAsia="en-US"/>
              </w:rPr>
              <w:t>Pokytis</w:t>
            </w:r>
            <w:proofErr w:type="spellEnd"/>
            <w:r>
              <w:rPr>
                <w:rFonts w:eastAsia="Calibri"/>
                <w:lang w:val="en-GB" w:eastAsia="en-US"/>
              </w:rPr>
              <w:t xml:space="preserve"> </w:t>
            </w:r>
            <w:proofErr w:type="spellStart"/>
            <w:r>
              <w:rPr>
                <w:rFonts w:eastAsia="Calibri"/>
                <w:lang w:val="en-GB" w:eastAsia="en-US"/>
              </w:rPr>
              <w:t>palyginus</w:t>
            </w:r>
            <w:proofErr w:type="spellEnd"/>
            <w:r>
              <w:rPr>
                <w:rFonts w:eastAsia="Calibri"/>
                <w:lang w:val="en-GB" w:eastAsia="en-US"/>
              </w:rPr>
              <w:t xml:space="preserve"> </w:t>
            </w:r>
            <w:proofErr w:type="spellStart"/>
            <w:r>
              <w:rPr>
                <w:rFonts w:eastAsia="Calibri"/>
                <w:lang w:val="en-GB" w:eastAsia="en-US"/>
              </w:rPr>
              <w:t>su</w:t>
            </w:r>
            <w:proofErr w:type="spellEnd"/>
            <w:r>
              <w:rPr>
                <w:rFonts w:eastAsia="Calibri"/>
                <w:lang w:val="en-GB" w:eastAsia="en-US"/>
              </w:rPr>
              <w:t xml:space="preserve"> </w:t>
            </w:r>
            <w:proofErr w:type="spellStart"/>
            <w:r>
              <w:rPr>
                <w:rFonts w:eastAsia="Calibri"/>
                <w:lang w:val="en-GB" w:eastAsia="en-US"/>
              </w:rPr>
              <w:t>pradiniu</w:t>
            </w:r>
            <w:r>
              <w:rPr>
                <w:rFonts w:eastAsia="Calibri"/>
                <w:spacing w:val="-2"/>
                <w:vertAlign w:val="superscript"/>
                <w:lang w:val="en-GB" w:eastAsia="en-US"/>
              </w:rPr>
              <w:t>c</w:t>
            </w:r>
            <w:proofErr w:type="spellEnd"/>
          </w:p>
        </w:tc>
        <w:tc>
          <w:tcPr>
            <w:tcW w:w="2810" w:type="dxa"/>
          </w:tcPr>
          <w:p w14:paraId="7C847565" w14:textId="77777777" w:rsidR="00023BBF" w:rsidRDefault="00E17C37">
            <w:pPr>
              <w:spacing w:before="5" w:line="236" w:lineRule="exact"/>
              <w:ind w:left="123" w:right="136"/>
              <w:jc w:val="center"/>
              <w:rPr>
                <w:rFonts w:eastAsia="Calibri"/>
                <w:lang w:val="en-GB" w:eastAsia="en-US"/>
              </w:rPr>
            </w:pPr>
            <w:r>
              <w:rPr>
                <w:rFonts w:eastAsia="Calibri"/>
                <w:spacing w:val="-2"/>
                <w:lang w:val="en-GB" w:eastAsia="en-US"/>
              </w:rPr>
              <w:t>-</w:t>
            </w:r>
            <w:r>
              <w:rPr>
                <w:rFonts w:eastAsia="Calibri"/>
                <w:spacing w:val="-4"/>
                <w:lang w:val="en-GB" w:eastAsia="en-US"/>
              </w:rPr>
              <w:t>3,42</w:t>
            </w:r>
          </w:p>
        </w:tc>
        <w:tc>
          <w:tcPr>
            <w:tcW w:w="2248" w:type="dxa"/>
          </w:tcPr>
          <w:p w14:paraId="00989C8E" w14:textId="77777777" w:rsidR="00023BBF" w:rsidRDefault="00E17C37">
            <w:pPr>
              <w:spacing w:before="5" w:line="236" w:lineRule="exact"/>
              <w:ind w:left="847"/>
              <w:rPr>
                <w:rFonts w:eastAsia="Calibri"/>
                <w:lang w:val="en-GB" w:eastAsia="en-US"/>
              </w:rPr>
            </w:pPr>
            <w:r>
              <w:rPr>
                <w:rFonts w:eastAsia="Calibri"/>
                <w:spacing w:val="-2"/>
                <w:lang w:val="en-GB" w:eastAsia="en-US"/>
              </w:rPr>
              <w:t>-</w:t>
            </w:r>
            <w:r>
              <w:rPr>
                <w:rFonts w:eastAsia="Calibri"/>
                <w:spacing w:val="-4"/>
                <w:lang w:val="en-GB" w:eastAsia="en-US"/>
              </w:rPr>
              <w:t>2,02</w:t>
            </w:r>
          </w:p>
        </w:tc>
      </w:tr>
      <w:tr w:rsidR="00023BBF" w14:paraId="083B0C9C" w14:textId="77777777">
        <w:trPr>
          <w:trHeight w:val="506"/>
        </w:trPr>
        <w:tc>
          <w:tcPr>
            <w:tcW w:w="3936" w:type="dxa"/>
          </w:tcPr>
          <w:p w14:paraId="0896A344" w14:textId="77777777" w:rsidR="00023BBF" w:rsidRDefault="00E17C37">
            <w:pPr>
              <w:spacing w:line="247" w:lineRule="exact"/>
              <w:ind w:left="110"/>
              <w:rPr>
                <w:rFonts w:eastAsia="Calibri"/>
                <w:lang w:val="pt-PT" w:eastAsia="en-US"/>
              </w:rPr>
            </w:pPr>
            <w:r>
              <w:rPr>
                <w:rFonts w:eastAsia="Calibri"/>
                <w:lang w:val="pt-PT" w:eastAsia="en-US"/>
              </w:rPr>
              <w:t>Procentinio pokyčio skirtumas nuo</w:t>
            </w:r>
          </w:p>
          <w:p w14:paraId="160218A2" w14:textId="77777777" w:rsidR="00023BBF" w:rsidRDefault="00E17C37">
            <w:pPr>
              <w:spacing w:before="1" w:line="238" w:lineRule="exact"/>
              <w:ind w:left="143"/>
              <w:rPr>
                <w:rFonts w:eastAsia="Calibri"/>
                <w:lang w:val="pt-PT" w:eastAsia="en-US"/>
              </w:rPr>
            </w:pPr>
            <w:r>
              <w:rPr>
                <w:rFonts w:eastAsia="Calibri"/>
                <w:spacing w:val="-2"/>
                <w:lang w:val="pt-PT" w:eastAsia="en-US"/>
              </w:rPr>
              <w:t>placebo</w:t>
            </w:r>
            <w:r>
              <w:rPr>
                <w:rFonts w:eastAsia="Calibri"/>
                <w:spacing w:val="-2"/>
                <w:vertAlign w:val="superscript"/>
                <w:lang w:val="pt-PT" w:eastAsia="en-US"/>
              </w:rPr>
              <w:t>c</w:t>
            </w:r>
          </w:p>
        </w:tc>
        <w:tc>
          <w:tcPr>
            <w:tcW w:w="2810" w:type="dxa"/>
          </w:tcPr>
          <w:p w14:paraId="6977C9C7" w14:textId="77777777" w:rsidR="00023BBF" w:rsidRDefault="00E17C37">
            <w:pPr>
              <w:spacing w:line="247" w:lineRule="exact"/>
              <w:ind w:left="123" w:right="141"/>
              <w:jc w:val="center"/>
              <w:rPr>
                <w:rFonts w:eastAsia="Calibri"/>
                <w:lang w:val="en-GB" w:eastAsia="en-US"/>
              </w:rPr>
            </w:pPr>
            <w:r>
              <w:rPr>
                <w:rFonts w:eastAsia="Calibri"/>
                <w:spacing w:val="-2"/>
                <w:lang w:val="en-GB" w:eastAsia="en-US"/>
              </w:rPr>
              <w:t>-1,43*</w:t>
            </w:r>
          </w:p>
        </w:tc>
        <w:tc>
          <w:tcPr>
            <w:tcW w:w="2248" w:type="dxa"/>
          </w:tcPr>
          <w:p w14:paraId="3384C9B6" w14:textId="77777777" w:rsidR="00023BBF" w:rsidRDefault="00023BBF">
            <w:pPr>
              <w:rPr>
                <w:rFonts w:eastAsia="Calibri"/>
                <w:sz w:val="20"/>
                <w:lang w:val="en-GB" w:eastAsia="en-US"/>
              </w:rPr>
            </w:pPr>
          </w:p>
        </w:tc>
      </w:tr>
      <w:tr w:rsidR="00023BBF" w14:paraId="4B6AA2CB" w14:textId="77777777">
        <w:trPr>
          <w:trHeight w:val="254"/>
        </w:trPr>
        <w:tc>
          <w:tcPr>
            <w:tcW w:w="3936" w:type="dxa"/>
            <w:tcBorders>
              <w:bottom w:val="single" w:sz="4" w:space="0" w:color="000000"/>
            </w:tcBorders>
          </w:tcPr>
          <w:p w14:paraId="5C5F66B5" w14:textId="77777777" w:rsidR="00023BBF" w:rsidRDefault="00E17C37">
            <w:pPr>
              <w:spacing w:line="234" w:lineRule="exact"/>
              <w:ind w:left="335"/>
              <w:rPr>
                <w:rFonts w:eastAsia="Calibri"/>
                <w:lang w:val="en-GB" w:eastAsia="en-US"/>
              </w:rPr>
            </w:pPr>
            <w:r>
              <w:rPr>
                <w:rFonts w:eastAsia="Calibri"/>
                <w:lang w:val="en-GB" w:eastAsia="en-US"/>
              </w:rPr>
              <w:t>(95 %</w:t>
            </w:r>
            <w:r>
              <w:rPr>
                <w:rFonts w:eastAsia="Calibri"/>
                <w:spacing w:val="-5"/>
                <w:lang w:val="en-GB" w:eastAsia="en-US"/>
              </w:rPr>
              <w:t xml:space="preserve"> PI)</w:t>
            </w:r>
          </w:p>
        </w:tc>
        <w:tc>
          <w:tcPr>
            <w:tcW w:w="2810" w:type="dxa"/>
            <w:tcBorders>
              <w:bottom w:val="single" w:sz="4" w:space="0" w:color="000000"/>
            </w:tcBorders>
          </w:tcPr>
          <w:p w14:paraId="52F403C5" w14:textId="77777777" w:rsidR="00023BBF" w:rsidRDefault="00E17C37">
            <w:pPr>
              <w:spacing w:line="234" w:lineRule="exact"/>
              <w:ind w:left="806"/>
              <w:rPr>
                <w:rFonts w:eastAsia="Calibri"/>
                <w:lang w:val="en-GB" w:eastAsia="en-US"/>
              </w:rPr>
            </w:pPr>
            <w:r>
              <w:rPr>
                <w:rFonts w:eastAsia="Calibri"/>
                <w:lang w:val="en-GB" w:eastAsia="en-US"/>
              </w:rPr>
              <w:t>(-2,15,</w:t>
            </w:r>
            <w:r>
              <w:rPr>
                <w:rFonts w:eastAsia="Calibri"/>
                <w:spacing w:val="-3"/>
                <w:lang w:val="en-GB" w:eastAsia="en-US"/>
              </w:rPr>
              <w:t xml:space="preserve"> </w:t>
            </w:r>
            <w:r>
              <w:rPr>
                <w:rFonts w:eastAsia="Calibri"/>
                <w:lang w:val="en-GB" w:eastAsia="en-US"/>
              </w:rPr>
              <w:t>-</w:t>
            </w:r>
            <w:r>
              <w:rPr>
                <w:rFonts w:eastAsia="Calibri"/>
                <w:spacing w:val="-2"/>
                <w:lang w:val="en-GB" w:eastAsia="en-US"/>
              </w:rPr>
              <w:t>0,69)</w:t>
            </w:r>
          </w:p>
        </w:tc>
        <w:tc>
          <w:tcPr>
            <w:tcW w:w="2248" w:type="dxa"/>
            <w:tcBorders>
              <w:bottom w:val="single" w:sz="4" w:space="0" w:color="000000"/>
            </w:tcBorders>
          </w:tcPr>
          <w:p w14:paraId="76418A7C" w14:textId="77777777" w:rsidR="00023BBF" w:rsidRDefault="00023BBF">
            <w:pPr>
              <w:rPr>
                <w:rFonts w:eastAsia="Calibri"/>
                <w:sz w:val="18"/>
                <w:lang w:val="en-GB" w:eastAsia="en-US"/>
              </w:rPr>
            </w:pPr>
          </w:p>
        </w:tc>
      </w:tr>
    </w:tbl>
    <w:bookmarkEnd w:id="4"/>
    <w:p w14:paraId="54F42760"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a</w:t>
      </w:r>
      <w:r>
        <w:rPr>
          <w:rFonts w:eastAsiaTheme="minorHAnsi"/>
          <w:color w:val="000000"/>
          <w:sz w:val="18"/>
          <w:szCs w:val="18"/>
          <w:lang w:eastAsia="en-US"/>
        </w:rPr>
        <w:t xml:space="preserve"> </w:t>
      </w:r>
      <w:proofErr w:type="spellStart"/>
      <w:r>
        <w:rPr>
          <w:rFonts w:eastAsiaTheme="minorHAnsi"/>
          <w:color w:val="000000"/>
          <w:sz w:val="18"/>
          <w:szCs w:val="18"/>
          <w:lang w:eastAsia="en-US"/>
        </w:rPr>
        <w:t>Metforminas</w:t>
      </w:r>
      <w:proofErr w:type="spellEnd"/>
      <w:r>
        <w:rPr>
          <w:rFonts w:eastAsiaTheme="minorHAnsi"/>
          <w:color w:val="000000"/>
          <w:sz w:val="18"/>
          <w:szCs w:val="18"/>
          <w:lang w:eastAsia="en-US"/>
        </w:rPr>
        <w:t xml:space="preserve"> arba </w:t>
      </w:r>
      <w:proofErr w:type="spellStart"/>
      <w:r>
        <w:rPr>
          <w:rFonts w:eastAsiaTheme="minorHAnsi"/>
          <w:color w:val="000000"/>
          <w:sz w:val="18"/>
          <w:szCs w:val="18"/>
          <w:lang w:eastAsia="en-US"/>
        </w:rPr>
        <w:t>metformino</w:t>
      </w:r>
      <w:proofErr w:type="spellEnd"/>
      <w:r>
        <w:rPr>
          <w:rFonts w:eastAsiaTheme="minorHAnsi"/>
          <w:color w:val="000000"/>
          <w:sz w:val="18"/>
          <w:szCs w:val="18"/>
          <w:lang w:eastAsia="en-US"/>
        </w:rPr>
        <w:t xml:space="preserve"> hidrochloridas buvo įprastinio gydymo dalis 69,4 % ir 64,0 % atitinkamai dapagliflozino ir placebo grupių pacientų.</w:t>
      </w:r>
    </w:p>
    <w:p w14:paraId="359781B7"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b</w:t>
      </w:r>
      <w:r>
        <w:rPr>
          <w:rFonts w:eastAsiaTheme="minorHAnsi"/>
          <w:color w:val="000000"/>
          <w:sz w:val="18"/>
          <w:szCs w:val="18"/>
          <w:lang w:eastAsia="en-US"/>
        </w:rPr>
        <w:t xml:space="preserve"> Mažiausių kvadratų metodu apskaičiuotas vidurkis, koreguotas pagal pradinę reikšmę.</w:t>
      </w:r>
    </w:p>
    <w:p w14:paraId="10581C48"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vertAlign w:val="superscript"/>
          <w:lang w:eastAsia="en-US"/>
        </w:rPr>
        <w:t>c</w:t>
      </w:r>
      <w:r>
        <w:rPr>
          <w:rFonts w:eastAsiaTheme="minorHAnsi"/>
          <w:color w:val="000000"/>
          <w:sz w:val="18"/>
          <w:szCs w:val="18"/>
          <w:lang w:eastAsia="en-US"/>
        </w:rPr>
        <w:t xml:space="preserve"> Išvestinė mažiausių kvadratų metodu apskaičiuoto vidurkio, koreguoto pagal pradinę reikšmę.</w:t>
      </w:r>
    </w:p>
    <w:p w14:paraId="1F419E9F" w14:textId="77777777" w:rsidR="00023BBF" w:rsidRDefault="00E17C37">
      <w:pPr>
        <w:widowControl w:val="0"/>
        <w:tabs>
          <w:tab w:val="left" w:pos="567"/>
        </w:tabs>
        <w:ind w:left="567" w:hanging="567"/>
        <w:outlineLvl w:val="2"/>
        <w:rPr>
          <w:rFonts w:eastAsia="TimesNewRoman"/>
          <w:sz w:val="18"/>
          <w:szCs w:val="18"/>
          <w:lang w:eastAsia="en-US"/>
        </w:rPr>
      </w:pPr>
      <w:r>
        <w:rPr>
          <w:rFonts w:eastAsiaTheme="minorHAnsi"/>
          <w:color w:val="000000"/>
          <w:sz w:val="18"/>
          <w:szCs w:val="18"/>
          <w:vertAlign w:val="superscript"/>
          <w:lang w:eastAsia="en-US"/>
        </w:rPr>
        <w:t>*</w:t>
      </w:r>
      <w:r>
        <w:rPr>
          <w:rFonts w:eastAsiaTheme="minorHAnsi"/>
          <w:color w:val="000000"/>
          <w:sz w:val="18"/>
          <w:szCs w:val="18"/>
          <w:lang w:eastAsia="en-US"/>
        </w:rPr>
        <w:t xml:space="preserve"> p &lt; 0,001</w:t>
      </w:r>
    </w:p>
    <w:p w14:paraId="336EF089" w14:textId="77777777" w:rsidR="00023BBF" w:rsidRDefault="00023BBF">
      <w:pPr>
        <w:widowControl w:val="0"/>
        <w:tabs>
          <w:tab w:val="left" w:pos="567"/>
        </w:tabs>
        <w:ind w:left="567" w:hanging="567"/>
        <w:outlineLvl w:val="2"/>
        <w:rPr>
          <w:rFonts w:eastAsia="TimesNewRoman"/>
          <w:sz w:val="22"/>
          <w:szCs w:val="22"/>
          <w:lang w:eastAsia="en-US"/>
        </w:rPr>
      </w:pPr>
    </w:p>
    <w:p w14:paraId="420E8924"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Kardiovaskulinės ir inkstų komplikacijos</w:t>
      </w:r>
    </w:p>
    <w:p w14:paraId="42B00DF5"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Dapagliflozino poveikio kardiovaskulinėms komplikacijoms (</w:t>
      </w:r>
      <w:r>
        <w:rPr>
          <w:rFonts w:eastAsiaTheme="minorHAnsi"/>
          <w:i/>
          <w:iCs/>
          <w:color w:val="000000"/>
          <w:sz w:val="22"/>
          <w:szCs w:val="22"/>
          <w:lang w:eastAsia="en-US"/>
        </w:rPr>
        <w:t>DECLARE</w:t>
      </w:r>
      <w:r>
        <w:rPr>
          <w:rFonts w:eastAsiaTheme="minorHAnsi"/>
          <w:color w:val="000000"/>
          <w:sz w:val="22"/>
          <w:szCs w:val="22"/>
          <w:lang w:eastAsia="en-US"/>
        </w:rPr>
        <w:t xml:space="preserve">) tyrimas buvo tarptautinis daugelio centrų </w:t>
      </w:r>
      <w:proofErr w:type="spellStart"/>
      <w:r>
        <w:rPr>
          <w:rFonts w:eastAsiaTheme="minorHAnsi"/>
          <w:color w:val="000000"/>
          <w:sz w:val="22"/>
          <w:szCs w:val="22"/>
          <w:lang w:eastAsia="en-US"/>
        </w:rPr>
        <w:t>randomizuotas</w:t>
      </w:r>
      <w:proofErr w:type="spellEnd"/>
      <w:r>
        <w:rPr>
          <w:rFonts w:eastAsiaTheme="minorHAnsi"/>
          <w:color w:val="000000"/>
          <w:sz w:val="22"/>
          <w:szCs w:val="22"/>
          <w:lang w:eastAsia="en-US"/>
        </w:rPr>
        <w:t xml:space="preserve"> dvigubai aklas placebu kontroliuotas klinikinis tyrimas, skirtas palyginti kartu su kitais vaistiniais preparatais papildomai vartojamo dapagliflozino ir placebo įtaką kardiovaskulinėms komplikacijoms. Visi pacientai sirgo 2 tipo cukriniu diabetu ir turėjo bent 2 papildomus kardiovaskulinės rizikos faktorius (vyrai buvo bent 55 metų, moterys – bent 60 metų ir bent vieną iš šių sutrikimų: </w:t>
      </w:r>
      <w:proofErr w:type="spellStart"/>
      <w:r>
        <w:rPr>
          <w:rFonts w:eastAsiaTheme="minorHAnsi"/>
          <w:color w:val="000000"/>
          <w:sz w:val="22"/>
          <w:szCs w:val="22"/>
          <w:lang w:eastAsia="en-US"/>
        </w:rPr>
        <w:t>dislipidemija</w:t>
      </w:r>
      <w:proofErr w:type="spellEnd"/>
      <w:r>
        <w:rPr>
          <w:rFonts w:eastAsiaTheme="minorHAnsi"/>
          <w:color w:val="000000"/>
          <w:sz w:val="22"/>
          <w:szCs w:val="22"/>
          <w:lang w:eastAsia="en-US"/>
        </w:rPr>
        <w:t>, hipertenzija arba rūkymas šiuo metu) arba sirgo kardiovaskuline liga.</w:t>
      </w:r>
    </w:p>
    <w:p w14:paraId="77144EB6"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6 974 iš 17 160 (40,6 %) </w:t>
      </w:r>
      <w:proofErr w:type="spellStart"/>
      <w:r>
        <w:rPr>
          <w:rFonts w:eastAsiaTheme="minorHAnsi"/>
          <w:color w:val="000000"/>
          <w:sz w:val="22"/>
          <w:szCs w:val="22"/>
          <w:lang w:eastAsia="en-US"/>
        </w:rPr>
        <w:t>randomizuotų</w:t>
      </w:r>
      <w:proofErr w:type="spellEnd"/>
      <w:r>
        <w:rPr>
          <w:rFonts w:eastAsiaTheme="minorHAnsi"/>
          <w:color w:val="000000"/>
          <w:sz w:val="22"/>
          <w:szCs w:val="22"/>
          <w:lang w:eastAsia="en-US"/>
        </w:rPr>
        <w:t xml:space="preserve"> pacientų sirgo kardiovaskulinėmis ligomis, o 10 186 (59,4 %) jų nebuvo diagnozuota. 8 582 pacientai buvo </w:t>
      </w:r>
      <w:proofErr w:type="spellStart"/>
      <w:r>
        <w:rPr>
          <w:rFonts w:eastAsiaTheme="minorHAnsi"/>
          <w:color w:val="000000"/>
          <w:sz w:val="22"/>
          <w:szCs w:val="22"/>
          <w:lang w:eastAsia="en-US"/>
        </w:rPr>
        <w:t>randomizuoti</w:t>
      </w:r>
      <w:proofErr w:type="spellEnd"/>
      <w:r>
        <w:rPr>
          <w:rFonts w:eastAsiaTheme="minorHAnsi"/>
          <w:color w:val="000000"/>
          <w:sz w:val="22"/>
          <w:szCs w:val="22"/>
          <w:lang w:eastAsia="en-US"/>
        </w:rPr>
        <w:t xml:space="preserve"> vartoti 10 mg dapagliflozino, o 8 578 – placebo. Jie stebėti vidutiniškai 4,2 metų.</w:t>
      </w:r>
    </w:p>
    <w:p w14:paraId="611C8CBC"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Tirtų pacientų vidutinis amžius buvo 63,9 metų, 37,4 % buvo moterys. Iš viso 22,4 % sirgo diabetu ≤ 5 metus, vidutinė sirgimo diabetu trukmė buvo 11,9 metų. Vidutinė HbA1c koncentracija buvo 8,3 %, o vidutinis KMI – 32,1 kg/m</w:t>
      </w:r>
      <w:r>
        <w:rPr>
          <w:rFonts w:eastAsiaTheme="minorHAnsi"/>
          <w:color w:val="000000"/>
          <w:sz w:val="22"/>
          <w:szCs w:val="22"/>
          <w:vertAlign w:val="superscript"/>
          <w:lang w:eastAsia="en-US"/>
        </w:rPr>
        <w:t>2</w:t>
      </w:r>
      <w:r>
        <w:rPr>
          <w:rFonts w:eastAsiaTheme="minorHAnsi"/>
          <w:color w:val="000000"/>
          <w:sz w:val="22"/>
          <w:szCs w:val="22"/>
          <w:lang w:eastAsia="en-US"/>
        </w:rPr>
        <w:t>.</w:t>
      </w:r>
    </w:p>
    <w:p w14:paraId="1F4FE270" w14:textId="77777777" w:rsidR="00023BBF" w:rsidRDefault="00023BBF">
      <w:pPr>
        <w:widowControl w:val="0"/>
        <w:autoSpaceDE w:val="0"/>
        <w:autoSpaceDN w:val="0"/>
        <w:adjustRightInd w:val="0"/>
        <w:rPr>
          <w:sz w:val="22"/>
          <w:szCs w:val="22"/>
        </w:rPr>
      </w:pPr>
    </w:p>
    <w:p w14:paraId="56AEA9DE" w14:textId="77777777" w:rsidR="00023BBF" w:rsidRDefault="00E17C37">
      <w:pPr>
        <w:widowControl w:val="0"/>
        <w:autoSpaceDE w:val="0"/>
        <w:autoSpaceDN w:val="0"/>
        <w:adjustRightInd w:val="0"/>
        <w:rPr>
          <w:sz w:val="22"/>
          <w:szCs w:val="22"/>
        </w:rPr>
      </w:pPr>
      <w:r>
        <w:rPr>
          <w:sz w:val="22"/>
          <w:szCs w:val="22"/>
        </w:rPr>
        <w:t xml:space="preserve">Įtraukiant į tyrimą, 10,0 % pacientų anamnezėje buvo širdies nepakankamumas. Vidutinis </w:t>
      </w:r>
      <w:proofErr w:type="spellStart"/>
      <w:r>
        <w:rPr>
          <w:sz w:val="22"/>
          <w:szCs w:val="22"/>
        </w:rPr>
        <w:t>aGFG</w:t>
      </w:r>
      <w:proofErr w:type="spellEnd"/>
      <w:r>
        <w:rPr>
          <w:sz w:val="22"/>
          <w:szCs w:val="22"/>
        </w:rPr>
        <w:t xml:space="preserve"> buvo 85,2 ml/min./1,73 m</w:t>
      </w:r>
      <w:r>
        <w:rPr>
          <w:sz w:val="22"/>
          <w:szCs w:val="22"/>
          <w:vertAlign w:val="superscript"/>
        </w:rPr>
        <w:t>2</w:t>
      </w:r>
      <w:r>
        <w:rPr>
          <w:sz w:val="22"/>
          <w:szCs w:val="22"/>
        </w:rPr>
        <w:t xml:space="preserve">, 7,4 % pacientų </w:t>
      </w:r>
      <w:proofErr w:type="spellStart"/>
      <w:r>
        <w:rPr>
          <w:sz w:val="22"/>
          <w:szCs w:val="22"/>
        </w:rPr>
        <w:t>aGFG</w:t>
      </w:r>
      <w:proofErr w:type="spellEnd"/>
      <w:r>
        <w:rPr>
          <w:sz w:val="22"/>
          <w:szCs w:val="22"/>
        </w:rPr>
        <w:t xml:space="preserve"> buvo &lt; 60 ml/min./1,73 m</w:t>
      </w:r>
      <w:r>
        <w:rPr>
          <w:sz w:val="22"/>
          <w:szCs w:val="22"/>
          <w:vertAlign w:val="superscript"/>
        </w:rPr>
        <w:t>2</w:t>
      </w:r>
      <w:r>
        <w:rPr>
          <w:sz w:val="22"/>
          <w:szCs w:val="22"/>
        </w:rPr>
        <w:t xml:space="preserve">, 30,3 % pacientų rasta </w:t>
      </w:r>
      <w:proofErr w:type="spellStart"/>
      <w:r>
        <w:rPr>
          <w:sz w:val="22"/>
          <w:szCs w:val="22"/>
        </w:rPr>
        <w:t>mikro</w:t>
      </w:r>
      <w:proofErr w:type="spellEnd"/>
      <w:r>
        <w:rPr>
          <w:sz w:val="22"/>
          <w:szCs w:val="22"/>
        </w:rPr>
        <w:t xml:space="preserve">- arba </w:t>
      </w:r>
      <w:proofErr w:type="spellStart"/>
      <w:r>
        <w:rPr>
          <w:sz w:val="22"/>
          <w:szCs w:val="22"/>
        </w:rPr>
        <w:t>makroalbuminurija</w:t>
      </w:r>
      <w:proofErr w:type="spellEnd"/>
      <w:r>
        <w:rPr>
          <w:sz w:val="22"/>
          <w:szCs w:val="22"/>
        </w:rPr>
        <w:t xml:space="preserve">, t. y. </w:t>
      </w:r>
      <w:proofErr w:type="spellStart"/>
      <w:r>
        <w:rPr>
          <w:sz w:val="22"/>
          <w:szCs w:val="22"/>
        </w:rPr>
        <w:t>albumino</w:t>
      </w:r>
      <w:proofErr w:type="spellEnd"/>
      <w:r>
        <w:rPr>
          <w:sz w:val="22"/>
          <w:szCs w:val="22"/>
        </w:rPr>
        <w:t xml:space="preserve"> ir kreatinino koncentracijos šlapime santykis (angl. </w:t>
      </w:r>
      <w:proofErr w:type="spellStart"/>
      <w:r>
        <w:rPr>
          <w:i/>
          <w:iCs/>
          <w:sz w:val="22"/>
          <w:szCs w:val="22"/>
        </w:rPr>
        <w:t>urine</w:t>
      </w:r>
      <w:proofErr w:type="spellEnd"/>
      <w:r>
        <w:rPr>
          <w:i/>
          <w:iCs/>
          <w:sz w:val="22"/>
          <w:szCs w:val="22"/>
        </w:rPr>
        <w:t xml:space="preserve"> </w:t>
      </w:r>
      <w:proofErr w:type="spellStart"/>
      <w:r>
        <w:rPr>
          <w:i/>
          <w:iCs/>
          <w:sz w:val="22"/>
          <w:szCs w:val="22"/>
        </w:rPr>
        <w:t>albumin</w:t>
      </w:r>
      <w:proofErr w:type="spellEnd"/>
      <w:r>
        <w:rPr>
          <w:i/>
          <w:iCs/>
          <w:sz w:val="22"/>
          <w:szCs w:val="22"/>
        </w:rPr>
        <w:t xml:space="preserve"> to </w:t>
      </w:r>
      <w:proofErr w:type="spellStart"/>
      <w:r>
        <w:rPr>
          <w:i/>
          <w:iCs/>
          <w:sz w:val="22"/>
          <w:szCs w:val="22"/>
        </w:rPr>
        <w:t>creatinine</w:t>
      </w:r>
      <w:proofErr w:type="spellEnd"/>
      <w:r>
        <w:rPr>
          <w:i/>
          <w:iCs/>
          <w:sz w:val="22"/>
          <w:szCs w:val="22"/>
        </w:rPr>
        <w:t xml:space="preserve"> </w:t>
      </w:r>
      <w:proofErr w:type="spellStart"/>
      <w:r>
        <w:rPr>
          <w:i/>
          <w:iCs/>
          <w:sz w:val="22"/>
          <w:szCs w:val="22"/>
        </w:rPr>
        <w:t>ratio</w:t>
      </w:r>
      <w:proofErr w:type="spellEnd"/>
      <w:r>
        <w:rPr>
          <w:sz w:val="22"/>
          <w:szCs w:val="22"/>
        </w:rPr>
        <w:t>, UACR) buvo atitinkamai nuo ≥ 30 iki ≤ 300 mg/g arba &gt; 300 mg/g.</w:t>
      </w:r>
    </w:p>
    <w:p w14:paraId="05B798EC" w14:textId="77777777" w:rsidR="00023BBF" w:rsidRDefault="00023BBF">
      <w:pPr>
        <w:autoSpaceDE w:val="0"/>
        <w:autoSpaceDN w:val="0"/>
        <w:adjustRightInd w:val="0"/>
        <w:rPr>
          <w:rFonts w:eastAsiaTheme="minorHAnsi"/>
          <w:color w:val="000000"/>
          <w:sz w:val="22"/>
          <w:szCs w:val="22"/>
          <w:lang w:eastAsia="en-US"/>
        </w:rPr>
      </w:pPr>
    </w:p>
    <w:p w14:paraId="6F723F18"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Dauguma (98 %) pacientų įtraukiant į tyrimą vartojo vieną arba kelis vaistinius preparatus nuo diabeto, įskaitant </w:t>
      </w:r>
      <w:proofErr w:type="spellStart"/>
      <w:r>
        <w:rPr>
          <w:rFonts w:eastAsiaTheme="minorHAnsi"/>
          <w:color w:val="000000"/>
          <w:sz w:val="22"/>
          <w:szCs w:val="22"/>
          <w:lang w:eastAsia="en-US"/>
        </w:rPr>
        <w:t>metforminą</w:t>
      </w:r>
      <w:proofErr w:type="spellEnd"/>
      <w:r>
        <w:rPr>
          <w:rFonts w:eastAsiaTheme="minorHAnsi"/>
          <w:color w:val="000000"/>
          <w:sz w:val="22"/>
          <w:szCs w:val="22"/>
          <w:lang w:eastAsia="en-US"/>
        </w:rPr>
        <w:t xml:space="preserve"> (82 %), insuliną (41 %) ir </w:t>
      </w:r>
      <w:proofErr w:type="spellStart"/>
      <w:r>
        <w:rPr>
          <w:rFonts w:eastAsiaTheme="minorHAnsi"/>
          <w:color w:val="000000"/>
          <w:sz w:val="22"/>
          <w:szCs w:val="22"/>
          <w:lang w:eastAsia="en-US"/>
        </w:rPr>
        <w:t>sulfonilkarbamido</w:t>
      </w:r>
      <w:proofErr w:type="spellEnd"/>
      <w:r>
        <w:rPr>
          <w:rFonts w:eastAsiaTheme="minorHAnsi"/>
          <w:color w:val="000000"/>
          <w:sz w:val="22"/>
          <w:szCs w:val="22"/>
          <w:lang w:eastAsia="en-US"/>
        </w:rPr>
        <w:t xml:space="preserve"> darinį (43 %).</w:t>
      </w:r>
    </w:p>
    <w:p w14:paraId="0CEB5FC0" w14:textId="77777777" w:rsidR="00023BBF" w:rsidRDefault="00023BBF">
      <w:pPr>
        <w:autoSpaceDE w:val="0"/>
        <w:autoSpaceDN w:val="0"/>
        <w:adjustRightInd w:val="0"/>
        <w:rPr>
          <w:rFonts w:eastAsiaTheme="minorHAnsi"/>
          <w:color w:val="000000"/>
          <w:sz w:val="22"/>
          <w:szCs w:val="22"/>
          <w:lang w:eastAsia="en-US"/>
        </w:rPr>
      </w:pPr>
    </w:p>
    <w:p w14:paraId="3CC50F1C"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Pagrindinės vertinamosios baigtys buvo laikas iki pirmosios komplikacijos iš šių: kardiovaskulinė mirtis, miokardo infarktas arba išeminis insultas (</w:t>
      </w:r>
      <w:r>
        <w:rPr>
          <w:rFonts w:eastAsiaTheme="minorHAnsi"/>
          <w:i/>
          <w:iCs/>
          <w:color w:val="000000"/>
          <w:sz w:val="22"/>
          <w:szCs w:val="22"/>
          <w:lang w:eastAsia="en-US"/>
        </w:rPr>
        <w:t>MACE</w:t>
      </w:r>
      <w:r>
        <w:rPr>
          <w:rFonts w:eastAsiaTheme="minorHAnsi"/>
          <w:color w:val="000000"/>
          <w:sz w:val="22"/>
          <w:szCs w:val="22"/>
          <w:lang w:eastAsia="en-US"/>
        </w:rPr>
        <w:t>) ir laikas iki pirmosios hospitalizacijos dėl širdies nepakankamumo arba kardiovaskulinės mirties. Antrinės vertinamosios baigtys buvo sudėtinis inkstų funkcijos rodiklis ir mirtys dėl visų priežasčių.</w:t>
      </w:r>
    </w:p>
    <w:p w14:paraId="6EE16E26" w14:textId="77777777" w:rsidR="00023BBF" w:rsidRDefault="00023BBF">
      <w:pPr>
        <w:autoSpaceDE w:val="0"/>
        <w:autoSpaceDN w:val="0"/>
        <w:adjustRightInd w:val="0"/>
        <w:rPr>
          <w:rFonts w:eastAsiaTheme="minorHAnsi"/>
          <w:i/>
          <w:iCs/>
          <w:color w:val="000000"/>
          <w:sz w:val="22"/>
          <w:szCs w:val="22"/>
          <w:lang w:eastAsia="en-US"/>
        </w:rPr>
      </w:pPr>
    </w:p>
    <w:p w14:paraId="594BA4DC"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Didžiosios kardiovaskulinės komplikacijos</w:t>
      </w:r>
    </w:p>
    <w:p w14:paraId="46006BE8"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Nustatyta, kad 10 mg dapagliflozino poveikis sudėtinei baigčiai (kardiovaskulinė mirtis, miokardo infarktas, išeminis insultas) yra ne prastesnis negu placebo (vienos pusės p &lt; 0,001).</w:t>
      </w:r>
    </w:p>
    <w:p w14:paraId="193870E9" w14:textId="77777777" w:rsidR="00023BBF" w:rsidRDefault="00023BBF">
      <w:pPr>
        <w:autoSpaceDE w:val="0"/>
        <w:autoSpaceDN w:val="0"/>
        <w:adjustRightInd w:val="0"/>
        <w:rPr>
          <w:rFonts w:eastAsiaTheme="minorHAnsi"/>
          <w:color w:val="000000"/>
          <w:sz w:val="22"/>
          <w:szCs w:val="22"/>
          <w:lang w:eastAsia="en-US"/>
        </w:rPr>
      </w:pPr>
    </w:p>
    <w:p w14:paraId="25505504"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Širdies nepakankamumas ir kardiovaskulinės mirtys</w:t>
      </w:r>
    </w:p>
    <w:p w14:paraId="15DA410A"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Nustatytas 10 mg dapagliflozino pranašumas prieš placebą išvengiant sudėtinės baigties, kurią sudarė hospitalizacijos dėl širdies nepakankamumo ir kardiovaskulinės mirtys (1 pav.). Tą nulėmė skirtingas hospitalizacijų dėl širdies nepakankamumo dažnis, o kardiovaskulinių mirčių dažnis nesiskyrė (2 pav.).</w:t>
      </w:r>
    </w:p>
    <w:p w14:paraId="70FDD427" w14:textId="77777777" w:rsidR="00023BBF" w:rsidRDefault="00E17C37">
      <w:pPr>
        <w:widowControl w:val="0"/>
        <w:autoSpaceDE w:val="0"/>
        <w:autoSpaceDN w:val="0"/>
        <w:adjustRightInd w:val="0"/>
        <w:rPr>
          <w:sz w:val="22"/>
          <w:szCs w:val="22"/>
        </w:rPr>
      </w:pPr>
      <w:r>
        <w:rPr>
          <w:sz w:val="22"/>
          <w:szCs w:val="22"/>
        </w:rPr>
        <w:t>Dapagliflozino pranašumas prieš placebą nustatytas iki tyrimo kardiovaskulinėmis ligomis sirgusiems ir jomis nesirgusiems pacientams, taip pat iki tyrimo širdies nepakankamumu sirgusiems ir juo nesirgusiems pacientams. Šis pranašumas nuosekliai pastebėtas pagrindiniuose pogrupiuose, sudarytuose pagal amžių, lytį, inkstų funkciją (</w:t>
      </w:r>
      <w:proofErr w:type="spellStart"/>
      <w:r>
        <w:rPr>
          <w:sz w:val="22"/>
          <w:szCs w:val="22"/>
        </w:rPr>
        <w:t>aGFG</w:t>
      </w:r>
      <w:proofErr w:type="spellEnd"/>
      <w:r>
        <w:rPr>
          <w:sz w:val="22"/>
          <w:szCs w:val="22"/>
        </w:rPr>
        <w:t>) ir regioną.</w:t>
      </w:r>
    </w:p>
    <w:p w14:paraId="54C0CCDC" w14:textId="77777777" w:rsidR="00023BBF" w:rsidRDefault="00023BBF">
      <w:pPr>
        <w:widowControl w:val="0"/>
        <w:autoSpaceDE w:val="0"/>
        <w:autoSpaceDN w:val="0"/>
        <w:adjustRightInd w:val="0"/>
        <w:rPr>
          <w:sz w:val="22"/>
          <w:szCs w:val="22"/>
        </w:rPr>
      </w:pPr>
    </w:p>
    <w:p w14:paraId="037FF4F5" w14:textId="77777777" w:rsidR="00023BBF" w:rsidRDefault="00E17C37">
      <w:pPr>
        <w:autoSpaceDE w:val="0"/>
        <w:autoSpaceDN w:val="0"/>
        <w:adjustRightInd w:val="0"/>
        <w:rPr>
          <w:rFonts w:eastAsiaTheme="minorHAnsi"/>
          <w:color w:val="000000"/>
          <w:sz w:val="22"/>
          <w:szCs w:val="22"/>
          <w:lang w:eastAsia="en-US"/>
        </w:rPr>
      </w:pPr>
      <w:r>
        <w:rPr>
          <w:b/>
          <w:bCs/>
          <w:sz w:val="22"/>
          <w:szCs w:val="22"/>
        </w:rPr>
        <w:t>1 pav. Laikas iki pirmosios hospitalizacijos dėl širdies nepakankamumo arba kardiovaskulinės mirties</w:t>
      </w:r>
    </w:p>
    <w:p w14:paraId="5EE51718" w14:textId="77777777" w:rsidR="00023BBF" w:rsidRDefault="00E17C37">
      <w:pPr>
        <w:widowControl w:val="0"/>
        <w:tabs>
          <w:tab w:val="left" w:pos="567"/>
        </w:tabs>
        <w:ind w:left="567" w:hanging="567"/>
        <w:outlineLvl w:val="2"/>
        <w:rPr>
          <w:rFonts w:eastAsia="TimesNewRoman"/>
          <w:sz w:val="22"/>
          <w:szCs w:val="22"/>
          <w:lang w:eastAsia="en-US"/>
        </w:rPr>
      </w:pPr>
      <w:r w:rsidRPr="00EE5BE7">
        <w:rPr>
          <w:noProof/>
          <w:sz w:val="22"/>
          <w:lang w:val="sl-SI"/>
        </w:rPr>
        <w:drawing>
          <wp:inline distT="0" distB="0" distL="0" distR="0" wp14:anchorId="79E3AA6A" wp14:editId="2E0D938E">
            <wp:extent cx="5743575" cy="3667125"/>
            <wp:effectExtent l="0" t="0" r="9525" b="9525"/>
            <wp:docPr id="165733237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3575" cy="3667125"/>
                    </a:xfrm>
                    <a:prstGeom prst="rect">
                      <a:avLst/>
                    </a:prstGeom>
                    <a:noFill/>
                    <a:ln>
                      <a:noFill/>
                    </a:ln>
                  </pic:spPr>
                </pic:pic>
              </a:graphicData>
            </a:graphic>
          </wp:inline>
        </w:drawing>
      </w:r>
      <w:proofErr w:type="spellStart"/>
      <w:r>
        <w:rPr>
          <w:rFonts w:eastAsia="TimesNewRoman"/>
          <w:sz w:val="22"/>
          <w:szCs w:val="22"/>
          <w:lang w:eastAsia="en-US"/>
        </w:rPr>
        <w:t>Pr</w:t>
      </w:r>
      <w:proofErr w:type="spellEnd"/>
    </w:p>
    <w:p w14:paraId="15B3E77C"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lang w:eastAsia="en-US"/>
        </w:rPr>
        <w:t>Pacientų su rizika skaičius – jų skaičius tam tikro laikotarpio pradžioje.</w:t>
      </w:r>
    </w:p>
    <w:p w14:paraId="31C44BE0" w14:textId="77777777" w:rsidR="00023BBF" w:rsidRDefault="00E17C37">
      <w:pPr>
        <w:widowControl w:val="0"/>
        <w:tabs>
          <w:tab w:val="left" w:pos="567"/>
        </w:tabs>
        <w:ind w:left="567" w:hanging="567"/>
        <w:outlineLvl w:val="2"/>
        <w:rPr>
          <w:rFonts w:eastAsiaTheme="minorHAnsi"/>
          <w:color w:val="000000"/>
          <w:sz w:val="18"/>
          <w:szCs w:val="18"/>
          <w:lang w:eastAsia="en-US"/>
        </w:rPr>
      </w:pPr>
      <w:r>
        <w:rPr>
          <w:rFonts w:eastAsiaTheme="minorHAnsi"/>
          <w:color w:val="000000"/>
          <w:sz w:val="18"/>
          <w:szCs w:val="18"/>
          <w:lang w:eastAsia="en-US"/>
        </w:rPr>
        <w:t xml:space="preserve">RS – (angl. </w:t>
      </w:r>
      <w:proofErr w:type="spellStart"/>
      <w:r>
        <w:rPr>
          <w:rFonts w:eastAsiaTheme="minorHAnsi"/>
          <w:i/>
          <w:iCs/>
          <w:color w:val="000000"/>
          <w:sz w:val="18"/>
          <w:szCs w:val="18"/>
          <w:lang w:eastAsia="en-US"/>
        </w:rPr>
        <w:t>Hazard</w:t>
      </w:r>
      <w:proofErr w:type="spellEnd"/>
      <w:r>
        <w:rPr>
          <w:rFonts w:eastAsiaTheme="minorHAnsi"/>
          <w:i/>
          <w:iCs/>
          <w:color w:val="000000"/>
          <w:sz w:val="18"/>
          <w:szCs w:val="18"/>
          <w:lang w:eastAsia="en-US"/>
        </w:rPr>
        <w:t xml:space="preserve"> </w:t>
      </w:r>
      <w:proofErr w:type="spellStart"/>
      <w:r>
        <w:rPr>
          <w:rFonts w:eastAsiaTheme="minorHAnsi"/>
          <w:i/>
          <w:iCs/>
          <w:color w:val="000000"/>
          <w:sz w:val="18"/>
          <w:szCs w:val="18"/>
          <w:lang w:eastAsia="en-US"/>
        </w:rPr>
        <w:t>ratio</w:t>
      </w:r>
      <w:proofErr w:type="spellEnd"/>
      <w:r>
        <w:rPr>
          <w:rFonts w:eastAsiaTheme="minorHAnsi"/>
          <w:color w:val="000000"/>
          <w:sz w:val="18"/>
          <w:szCs w:val="18"/>
          <w:lang w:eastAsia="en-US"/>
        </w:rPr>
        <w:t xml:space="preserve">) – rizikos santykis, PI (angl. </w:t>
      </w:r>
      <w:proofErr w:type="spellStart"/>
      <w:r>
        <w:rPr>
          <w:rFonts w:eastAsiaTheme="minorHAnsi"/>
          <w:i/>
          <w:iCs/>
          <w:color w:val="000000"/>
          <w:sz w:val="18"/>
          <w:szCs w:val="18"/>
          <w:lang w:eastAsia="en-US"/>
        </w:rPr>
        <w:t>confidence</w:t>
      </w:r>
      <w:proofErr w:type="spellEnd"/>
      <w:r>
        <w:rPr>
          <w:rFonts w:eastAsiaTheme="minorHAnsi"/>
          <w:i/>
          <w:iCs/>
          <w:color w:val="000000"/>
          <w:sz w:val="18"/>
          <w:szCs w:val="18"/>
          <w:lang w:eastAsia="en-US"/>
        </w:rPr>
        <w:t xml:space="preserve"> </w:t>
      </w:r>
      <w:proofErr w:type="spellStart"/>
      <w:r>
        <w:rPr>
          <w:rFonts w:eastAsiaTheme="minorHAnsi"/>
          <w:i/>
          <w:iCs/>
          <w:color w:val="000000"/>
          <w:sz w:val="18"/>
          <w:szCs w:val="18"/>
          <w:lang w:eastAsia="en-US"/>
        </w:rPr>
        <w:t>interval</w:t>
      </w:r>
      <w:proofErr w:type="spellEnd"/>
      <w:r>
        <w:rPr>
          <w:rFonts w:eastAsiaTheme="minorHAnsi"/>
          <w:color w:val="000000"/>
          <w:sz w:val="18"/>
          <w:szCs w:val="18"/>
          <w:lang w:eastAsia="en-US"/>
        </w:rPr>
        <w:t xml:space="preserve">) – </w:t>
      </w:r>
      <w:proofErr w:type="spellStart"/>
      <w:r>
        <w:rPr>
          <w:rFonts w:eastAsiaTheme="minorHAnsi"/>
          <w:color w:val="000000"/>
          <w:sz w:val="18"/>
          <w:szCs w:val="18"/>
          <w:lang w:eastAsia="en-US"/>
        </w:rPr>
        <w:t>pasikliautinasis</w:t>
      </w:r>
      <w:proofErr w:type="spellEnd"/>
      <w:r>
        <w:rPr>
          <w:rFonts w:eastAsiaTheme="minorHAnsi"/>
          <w:color w:val="000000"/>
          <w:sz w:val="18"/>
          <w:szCs w:val="18"/>
          <w:lang w:eastAsia="en-US"/>
        </w:rPr>
        <w:t xml:space="preserve"> intervalas</w:t>
      </w:r>
    </w:p>
    <w:p w14:paraId="529FA352" w14:textId="77777777" w:rsidR="00023BBF" w:rsidRDefault="00023BBF">
      <w:pPr>
        <w:widowControl w:val="0"/>
        <w:tabs>
          <w:tab w:val="left" w:pos="567"/>
        </w:tabs>
        <w:ind w:left="567" w:hanging="567"/>
        <w:outlineLvl w:val="2"/>
        <w:rPr>
          <w:rFonts w:eastAsia="TimesNewRoman"/>
          <w:sz w:val="22"/>
          <w:szCs w:val="22"/>
          <w:lang w:eastAsia="en-US"/>
        </w:rPr>
      </w:pPr>
    </w:p>
    <w:p w14:paraId="51495D8D" w14:textId="77777777" w:rsidR="00023BBF" w:rsidRDefault="00E17C37">
      <w:pPr>
        <w:widowControl w:val="0"/>
        <w:autoSpaceDE w:val="0"/>
        <w:autoSpaceDN w:val="0"/>
        <w:adjustRightInd w:val="0"/>
        <w:rPr>
          <w:sz w:val="22"/>
          <w:szCs w:val="22"/>
        </w:rPr>
      </w:pPr>
      <w:r>
        <w:rPr>
          <w:sz w:val="22"/>
          <w:szCs w:val="22"/>
        </w:rPr>
        <w:t xml:space="preserve">Pirminių ir antrinių vertinamųjų baigčių duomenys pateikiami 2 pav. Dapagliflozino pranašumo prieš placebą pagal </w:t>
      </w:r>
      <w:r>
        <w:rPr>
          <w:i/>
          <w:iCs/>
          <w:sz w:val="22"/>
          <w:szCs w:val="22"/>
        </w:rPr>
        <w:t xml:space="preserve">MACE </w:t>
      </w:r>
      <w:r>
        <w:rPr>
          <w:sz w:val="22"/>
          <w:szCs w:val="22"/>
        </w:rPr>
        <w:t>nenustatyta (p = 0,172), todėl sudėtinė inkstų vertinamoji baigtis ir mirštamumas dėl visų priežasčių nebuvo tiriami kaip patvirtinamosios testavimo procedūros dalis.</w:t>
      </w:r>
    </w:p>
    <w:p w14:paraId="0696BF1F" w14:textId="77777777" w:rsidR="00023BBF" w:rsidRDefault="00023BBF">
      <w:pPr>
        <w:widowControl w:val="0"/>
        <w:tabs>
          <w:tab w:val="left" w:pos="567"/>
        </w:tabs>
        <w:ind w:left="567" w:hanging="567"/>
        <w:outlineLvl w:val="2"/>
        <w:rPr>
          <w:rFonts w:eastAsia="TimesNewRoman"/>
          <w:sz w:val="22"/>
          <w:szCs w:val="22"/>
          <w:lang w:eastAsia="en-US"/>
        </w:rPr>
      </w:pPr>
    </w:p>
    <w:p w14:paraId="602EB405" w14:textId="77777777" w:rsidR="00023BBF" w:rsidRDefault="00E17C37">
      <w:pPr>
        <w:widowControl w:val="0"/>
        <w:tabs>
          <w:tab w:val="left" w:pos="567"/>
        </w:tabs>
        <w:ind w:left="567" w:hanging="567"/>
        <w:outlineLvl w:val="2"/>
        <w:rPr>
          <w:b/>
          <w:bCs/>
          <w:sz w:val="22"/>
          <w:szCs w:val="22"/>
        </w:rPr>
      </w:pPr>
      <w:r>
        <w:rPr>
          <w:b/>
          <w:bCs/>
          <w:sz w:val="22"/>
          <w:szCs w:val="22"/>
        </w:rPr>
        <w:t>2 pav. Gydymo poveikis pagrindinėms ir antrinėms vertinamosioms baigtims bei jų komponentams</w:t>
      </w:r>
    </w:p>
    <w:p w14:paraId="7ABD00A6" w14:textId="77777777" w:rsidR="00023BBF" w:rsidRDefault="00E17C37">
      <w:pPr>
        <w:widowControl w:val="0"/>
        <w:tabs>
          <w:tab w:val="left" w:pos="567"/>
        </w:tabs>
        <w:ind w:left="567" w:hanging="567"/>
        <w:outlineLvl w:val="2"/>
        <w:rPr>
          <w:b/>
          <w:bCs/>
          <w:sz w:val="22"/>
          <w:szCs w:val="22"/>
        </w:rPr>
      </w:pPr>
      <w:r w:rsidRPr="00EE5BE7">
        <w:rPr>
          <w:b/>
          <w:noProof/>
          <w:sz w:val="22"/>
          <w:lang w:val="sl-SI"/>
        </w:rPr>
        <w:drawing>
          <wp:inline distT="0" distB="0" distL="0" distR="0" wp14:anchorId="59E2698E" wp14:editId="5DF8448D">
            <wp:extent cx="6162675" cy="3105150"/>
            <wp:effectExtent l="0" t="0" r="9525" b="0"/>
            <wp:docPr id="1306324831"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62675" cy="3105150"/>
                    </a:xfrm>
                    <a:prstGeom prst="rect">
                      <a:avLst/>
                    </a:prstGeom>
                    <a:noFill/>
                    <a:ln>
                      <a:noFill/>
                    </a:ln>
                  </pic:spPr>
                </pic:pic>
              </a:graphicData>
            </a:graphic>
          </wp:inline>
        </w:drawing>
      </w:r>
    </w:p>
    <w:p w14:paraId="3FCEE288"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lang w:eastAsia="en-US"/>
        </w:rPr>
        <w:t xml:space="preserve">Sudėtinė inkstų vertinamoji baigtis apibrėžta kaip nuolatinis patvirtintas </w:t>
      </w:r>
      <w:proofErr w:type="spellStart"/>
      <w:r>
        <w:rPr>
          <w:rFonts w:eastAsiaTheme="minorHAnsi"/>
          <w:color w:val="000000"/>
          <w:sz w:val="18"/>
          <w:szCs w:val="18"/>
          <w:lang w:eastAsia="en-US"/>
        </w:rPr>
        <w:t>aGFG</w:t>
      </w:r>
      <w:proofErr w:type="spellEnd"/>
      <w:r>
        <w:rPr>
          <w:rFonts w:eastAsiaTheme="minorHAnsi"/>
          <w:color w:val="000000"/>
          <w:sz w:val="18"/>
          <w:szCs w:val="18"/>
          <w:lang w:eastAsia="en-US"/>
        </w:rPr>
        <w:t xml:space="preserve"> sumažėjimas ≥ 40 % iki </w:t>
      </w:r>
      <w:proofErr w:type="spellStart"/>
      <w:r>
        <w:rPr>
          <w:rFonts w:eastAsiaTheme="minorHAnsi"/>
          <w:color w:val="000000"/>
          <w:sz w:val="18"/>
          <w:szCs w:val="18"/>
          <w:lang w:eastAsia="en-US"/>
        </w:rPr>
        <w:t>aGFG</w:t>
      </w:r>
      <w:proofErr w:type="spellEnd"/>
      <w:r>
        <w:rPr>
          <w:rFonts w:eastAsiaTheme="minorHAnsi"/>
          <w:color w:val="000000"/>
          <w:sz w:val="18"/>
          <w:szCs w:val="18"/>
          <w:lang w:eastAsia="en-US"/>
        </w:rPr>
        <w:t> &lt; 60 ml/min./1,73 m</w:t>
      </w:r>
      <w:r>
        <w:rPr>
          <w:rFonts w:eastAsiaTheme="minorHAnsi"/>
          <w:color w:val="000000"/>
          <w:sz w:val="18"/>
          <w:szCs w:val="18"/>
          <w:vertAlign w:val="superscript"/>
          <w:lang w:eastAsia="en-US"/>
        </w:rPr>
        <w:t>2</w:t>
      </w:r>
      <w:r>
        <w:rPr>
          <w:rFonts w:eastAsiaTheme="minorHAnsi"/>
          <w:color w:val="000000"/>
          <w:sz w:val="18"/>
          <w:szCs w:val="18"/>
          <w:lang w:eastAsia="en-US"/>
        </w:rPr>
        <w:t xml:space="preserve"> ir (arba) galutinės stadijos inkstų liga (dializės ≥ 90 dienų arba inksto persodinimas, nuolatinis patvirtintas </w:t>
      </w:r>
      <w:proofErr w:type="spellStart"/>
      <w:r>
        <w:rPr>
          <w:rFonts w:eastAsiaTheme="minorHAnsi"/>
          <w:color w:val="000000"/>
          <w:sz w:val="18"/>
          <w:szCs w:val="18"/>
          <w:lang w:eastAsia="en-US"/>
        </w:rPr>
        <w:t>aGFG</w:t>
      </w:r>
      <w:proofErr w:type="spellEnd"/>
      <w:r>
        <w:rPr>
          <w:rFonts w:eastAsiaTheme="minorHAnsi"/>
          <w:color w:val="000000"/>
          <w:sz w:val="18"/>
          <w:szCs w:val="18"/>
          <w:lang w:eastAsia="en-US"/>
        </w:rPr>
        <w:t> &lt; 15 ml/min./1,73 m</w:t>
      </w:r>
      <w:r>
        <w:rPr>
          <w:rFonts w:eastAsiaTheme="minorHAnsi"/>
          <w:color w:val="000000"/>
          <w:sz w:val="18"/>
          <w:szCs w:val="18"/>
          <w:vertAlign w:val="superscript"/>
          <w:lang w:eastAsia="en-US"/>
        </w:rPr>
        <w:t>2</w:t>
      </w:r>
      <w:r>
        <w:rPr>
          <w:rFonts w:eastAsiaTheme="minorHAnsi"/>
          <w:color w:val="000000"/>
          <w:sz w:val="18"/>
          <w:szCs w:val="18"/>
          <w:lang w:eastAsia="en-US"/>
        </w:rPr>
        <w:t>), ir (arba) mirtis dėl inkstų arba kardiovaskulinės sistemos sutrikimų.</w:t>
      </w:r>
    </w:p>
    <w:p w14:paraId="7ED5498E" w14:textId="77777777" w:rsidR="00023BBF" w:rsidRDefault="00023BBF">
      <w:pPr>
        <w:autoSpaceDE w:val="0"/>
        <w:autoSpaceDN w:val="0"/>
        <w:adjustRightInd w:val="0"/>
        <w:rPr>
          <w:rFonts w:eastAsiaTheme="minorHAnsi"/>
          <w:color w:val="000000"/>
          <w:sz w:val="18"/>
          <w:szCs w:val="18"/>
          <w:lang w:eastAsia="en-US"/>
        </w:rPr>
      </w:pPr>
    </w:p>
    <w:p w14:paraId="5773B7BB" w14:textId="77777777" w:rsidR="00023BBF" w:rsidRDefault="00E17C37">
      <w:pPr>
        <w:autoSpaceDE w:val="0"/>
        <w:autoSpaceDN w:val="0"/>
        <w:adjustRightInd w:val="0"/>
        <w:rPr>
          <w:rFonts w:eastAsiaTheme="minorHAnsi"/>
          <w:color w:val="000000"/>
          <w:sz w:val="18"/>
          <w:szCs w:val="18"/>
          <w:lang w:eastAsia="en-US"/>
        </w:rPr>
      </w:pPr>
      <w:r>
        <w:rPr>
          <w:rFonts w:eastAsiaTheme="minorHAnsi"/>
          <w:color w:val="000000"/>
          <w:sz w:val="18"/>
          <w:szCs w:val="18"/>
          <w:lang w:eastAsia="en-US"/>
        </w:rPr>
        <w:lastRenderedPageBreak/>
        <w:t xml:space="preserve">P reikšmės yra dvipusės. Antrinių vertinamųjų baigčių ir atskirų komponentų p reikšmės yra nominalios. Laikas iki pirmosios komplikacijos analizuotas </w:t>
      </w:r>
      <w:proofErr w:type="spellStart"/>
      <w:r>
        <w:rPr>
          <w:rFonts w:eastAsiaTheme="minorHAnsi"/>
          <w:i/>
          <w:iCs/>
          <w:color w:val="000000"/>
          <w:sz w:val="18"/>
          <w:szCs w:val="18"/>
          <w:lang w:eastAsia="en-US"/>
        </w:rPr>
        <w:t>Cox</w:t>
      </w:r>
      <w:proofErr w:type="spellEnd"/>
      <w:r>
        <w:rPr>
          <w:rFonts w:eastAsiaTheme="minorHAnsi"/>
          <w:i/>
          <w:iCs/>
          <w:color w:val="000000"/>
          <w:sz w:val="18"/>
          <w:szCs w:val="18"/>
          <w:lang w:eastAsia="en-US"/>
        </w:rPr>
        <w:t xml:space="preserve"> </w:t>
      </w:r>
      <w:r>
        <w:rPr>
          <w:rFonts w:eastAsiaTheme="minorHAnsi"/>
          <w:color w:val="000000"/>
          <w:sz w:val="18"/>
          <w:szCs w:val="18"/>
          <w:lang w:eastAsia="en-US"/>
        </w:rPr>
        <w:t>proporcingos rizikos modeliu. Nurodytas pirmųjų komplikacijų skaičius pagal atskirus komponentus; vėlesnių komplikacijų skaičius nepridėtas ir prie sudėtinės vertinamosios baigties komplikacijų.</w:t>
      </w:r>
    </w:p>
    <w:p w14:paraId="0D5C778C" w14:textId="77777777" w:rsidR="00023BBF" w:rsidRDefault="00E17C37">
      <w:pPr>
        <w:widowControl w:val="0"/>
        <w:tabs>
          <w:tab w:val="left" w:pos="567"/>
        </w:tabs>
        <w:ind w:left="567" w:hanging="567"/>
        <w:outlineLvl w:val="2"/>
        <w:rPr>
          <w:rFonts w:eastAsia="TimesNewRoman"/>
          <w:sz w:val="18"/>
          <w:szCs w:val="18"/>
          <w:lang w:eastAsia="en-US"/>
        </w:rPr>
      </w:pPr>
      <w:r>
        <w:rPr>
          <w:rFonts w:eastAsiaTheme="minorHAnsi"/>
          <w:color w:val="000000"/>
          <w:sz w:val="18"/>
          <w:szCs w:val="18"/>
          <w:lang w:eastAsia="en-US"/>
        </w:rPr>
        <w:t xml:space="preserve">PI – </w:t>
      </w:r>
      <w:proofErr w:type="spellStart"/>
      <w:r>
        <w:rPr>
          <w:rFonts w:eastAsiaTheme="minorHAnsi"/>
          <w:color w:val="000000"/>
          <w:sz w:val="18"/>
          <w:szCs w:val="18"/>
          <w:lang w:eastAsia="en-US"/>
        </w:rPr>
        <w:t>pasikliautinasis</w:t>
      </w:r>
      <w:proofErr w:type="spellEnd"/>
      <w:r>
        <w:rPr>
          <w:rFonts w:eastAsiaTheme="minorHAnsi"/>
          <w:color w:val="000000"/>
          <w:sz w:val="18"/>
          <w:szCs w:val="18"/>
          <w:lang w:eastAsia="en-US"/>
        </w:rPr>
        <w:t xml:space="preserve"> intervalas</w:t>
      </w:r>
    </w:p>
    <w:p w14:paraId="2F62FDF1" w14:textId="77777777" w:rsidR="00023BBF" w:rsidRDefault="00023BBF">
      <w:pPr>
        <w:widowControl w:val="0"/>
        <w:tabs>
          <w:tab w:val="left" w:pos="567"/>
        </w:tabs>
        <w:ind w:left="567" w:hanging="567"/>
        <w:outlineLvl w:val="2"/>
        <w:rPr>
          <w:rFonts w:eastAsia="TimesNewRoman"/>
          <w:sz w:val="22"/>
          <w:szCs w:val="22"/>
          <w:lang w:eastAsia="en-US"/>
        </w:rPr>
      </w:pPr>
    </w:p>
    <w:p w14:paraId="03B4D65A" w14:textId="77777777" w:rsidR="00023BBF" w:rsidRDefault="00E17C37">
      <w:pPr>
        <w:autoSpaceDE w:val="0"/>
        <w:autoSpaceDN w:val="0"/>
        <w:adjustRightInd w:val="0"/>
        <w:rPr>
          <w:rFonts w:eastAsiaTheme="minorHAnsi"/>
          <w:color w:val="000000"/>
          <w:sz w:val="22"/>
          <w:szCs w:val="22"/>
          <w:u w:val="single"/>
          <w:lang w:eastAsia="en-US"/>
        </w:rPr>
      </w:pPr>
      <w:proofErr w:type="spellStart"/>
      <w:r>
        <w:rPr>
          <w:rFonts w:eastAsiaTheme="minorHAnsi"/>
          <w:i/>
          <w:iCs/>
          <w:color w:val="000000"/>
          <w:sz w:val="22"/>
          <w:szCs w:val="22"/>
          <w:u w:val="single"/>
          <w:lang w:eastAsia="en-US"/>
        </w:rPr>
        <w:t>Nefropatija</w:t>
      </w:r>
      <w:proofErr w:type="spellEnd"/>
    </w:p>
    <w:p w14:paraId="4B8FFF54"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Dapagliflozinas sumažino sudėtinės vertinamosios baigties, kurią sudarė patvirtintas nuolatinis </w:t>
      </w:r>
      <w:proofErr w:type="spellStart"/>
      <w:r>
        <w:rPr>
          <w:rFonts w:eastAsiaTheme="minorHAnsi"/>
          <w:color w:val="000000"/>
          <w:sz w:val="22"/>
          <w:szCs w:val="22"/>
          <w:lang w:eastAsia="en-US"/>
        </w:rPr>
        <w:t>aGFG</w:t>
      </w:r>
      <w:proofErr w:type="spellEnd"/>
      <w:r>
        <w:rPr>
          <w:rFonts w:eastAsiaTheme="minorHAnsi"/>
          <w:color w:val="000000"/>
          <w:sz w:val="22"/>
          <w:szCs w:val="22"/>
          <w:lang w:eastAsia="en-US"/>
        </w:rPr>
        <w:t xml:space="preserve"> sumažėjimas, galutinės stadijos inkstų liga bei mirtys dėl inkstų ir kardiovaskulinių ligų, atvejų skaičių. Skirtumą tarp grupių nulėmė inkstų baigčių komponentai – užfiksuota mažiau nuolatinio </w:t>
      </w:r>
      <w:proofErr w:type="spellStart"/>
      <w:r>
        <w:rPr>
          <w:rFonts w:eastAsiaTheme="minorHAnsi"/>
          <w:color w:val="000000"/>
          <w:sz w:val="22"/>
          <w:szCs w:val="22"/>
          <w:lang w:eastAsia="en-US"/>
        </w:rPr>
        <w:t>aGFG</w:t>
      </w:r>
      <w:proofErr w:type="spellEnd"/>
      <w:r>
        <w:rPr>
          <w:rFonts w:eastAsiaTheme="minorHAnsi"/>
          <w:color w:val="000000"/>
          <w:sz w:val="22"/>
          <w:szCs w:val="22"/>
          <w:lang w:eastAsia="en-US"/>
        </w:rPr>
        <w:t xml:space="preserve"> sumažėjimo, galutinės stadijos inkstų ligos ir mirties nuo inkstų ligos atvejų (2 pav.).</w:t>
      </w:r>
    </w:p>
    <w:p w14:paraId="6E43220A" w14:textId="77777777" w:rsidR="00023BBF" w:rsidRDefault="00023BBF">
      <w:pPr>
        <w:autoSpaceDE w:val="0"/>
        <w:autoSpaceDN w:val="0"/>
        <w:adjustRightInd w:val="0"/>
        <w:rPr>
          <w:rFonts w:eastAsiaTheme="minorHAnsi"/>
          <w:color w:val="000000"/>
          <w:sz w:val="22"/>
          <w:szCs w:val="22"/>
          <w:lang w:eastAsia="en-US"/>
        </w:rPr>
      </w:pPr>
    </w:p>
    <w:p w14:paraId="207DC263"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Laiko iki </w:t>
      </w:r>
      <w:proofErr w:type="spellStart"/>
      <w:r>
        <w:rPr>
          <w:rFonts w:eastAsiaTheme="minorHAnsi"/>
          <w:color w:val="000000"/>
          <w:sz w:val="22"/>
          <w:szCs w:val="22"/>
          <w:lang w:eastAsia="en-US"/>
        </w:rPr>
        <w:t>nefropatijos</w:t>
      </w:r>
      <w:proofErr w:type="spellEnd"/>
      <w:r>
        <w:rPr>
          <w:rFonts w:eastAsiaTheme="minorHAnsi"/>
          <w:color w:val="000000"/>
          <w:sz w:val="22"/>
          <w:szCs w:val="22"/>
          <w:lang w:eastAsia="en-US"/>
        </w:rPr>
        <w:t xml:space="preserve"> (nuolatinio </w:t>
      </w:r>
      <w:proofErr w:type="spellStart"/>
      <w:r>
        <w:rPr>
          <w:rFonts w:eastAsiaTheme="minorHAnsi"/>
          <w:color w:val="000000"/>
          <w:sz w:val="22"/>
          <w:szCs w:val="22"/>
          <w:lang w:eastAsia="en-US"/>
        </w:rPr>
        <w:t>aGFG</w:t>
      </w:r>
      <w:proofErr w:type="spellEnd"/>
      <w:r>
        <w:rPr>
          <w:rFonts w:eastAsiaTheme="minorHAnsi"/>
          <w:color w:val="000000"/>
          <w:sz w:val="22"/>
          <w:szCs w:val="22"/>
          <w:lang w:eastAsia="en-US"/>
        </w:rPr>
        <w:t xml:space="preserve"> sumažėjimo, galutinės stadijos inkstų ligos arba mirties nuo </w:t>
      </w:r>
      <w:proofErr w:type="spellStart"/>
      <w:r>
        <w:rPr>
          <w:rFonts w:eastAsiaTheme="minorHAnsi"/>
          <w:color w:val="000000"/>
          <w:sz w:val="22"/>
          <w:szCs w:val="22"/>
          <w:lang w:eastAsia="en-US"/>
        </w:rPr>
        <w:t>inkstųs</w:t>
      </w:r>
      <w:proofErr w:type="spellEnd"/>
      <w:r>
        <w:rPr>
          <w:rFonts w:eastAsiaTheme="minorHAnsi"/>
          <w:color w:val="000000"/>
          <w:sz w:val="22"/>
          <w:szCs w:val="22"/>
          <w:lang w:eastAsia="en-US"/>
        </w:rPr>
        <w:t xml:space="preserve"> ligos) pasireiškimo rizikos santykis, palyginus dapaglifloziną su placebu, buvo 0,53 (95 % PI – nuo 0,43 iki 0,66).</w:t>
      </w:r>
    </w:p>
    <w:p w14:paraId="1397010C" w14:textId="77777777" w:rsidR="00023BBF" w:rsidRDefault="00023BBF">
      <w:pPr>
        <w:autoSpaceDE w:val="0"/>
        <w:autoSpaceDN w:val="0"/>
        <w:adjustRightInd w:val="0"/>
        <w:rPr>
          <w:rFonts w:eastAsiaTheme="minorHAnsi"/>
          <w:color w:val="000000"/>
          <w:sz w:val="22"/>
          <w:szCs w:val="22"/>
          <w:lang w:eastAsia="en-US"/>
        </w:rPr>
      </w:pPr>
    </w:p>
    <w:p w14:paraId="230FDBDD"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Be to, dapagliflozinas (palyginus su placebu) sumažino nuolatinės </w:t>
      </w:r>
      <w:proofErr w:type="spellStart"/>
      <w:r>
        <w:rPr>
          <w:rFonts w:eastAsiaTheme="minorHAnsi"/>
          <w:color w:val="000000"/>
          <w:sz w:val="22"/>
          <w:szCs w:val="22"/>
          <w:lang w:eastAsia="en-US"/>
        </w:rPr>
        <w:t>albuminurijos</w:t>
      </w:r>
      <w:proofErr w:type="spellEnd"/>
      <w:r>
        <w:rPr>
          <w:rFonts w:eastAsiaTheme="minorHAnsi"/>
          <w:color w:val="000000"/>
          <w:sz w:val="22"/>
          <w:szCs w:val="22"/>
          <w:lang w:eastAsia="en-US"/>
        </w:rPr>
        <w:t xml:space="preserve"> pirmojo pasireiškimo riziką (rizikos santykis – 0,79, 95 % PI – nuo 0,72 iki 0,87) ir labiau sumažino </w:t>
      </w:r>
      <w:proofErr w:type="spellStart"/>
      <w:r>
        <w:rPr>
          <w:rFonts w:eastAsiaTheme="minorHAnsi"/>
          <w:color w:val="000000"/>
          <w:sz w:val="22"/>
          <w:szCs w:val="22"/>
          <w:lang w:eastAsia="en-US"/>
        </w:rPr>
        <w:t>makroalbuminuriją</w:t>
      </w:r>
      <w:proofErr w:type="spellEnd"/>
      <w:r>
        <w:rPr>
          <w:rFonts w:eastAsiaTheme="minorHAnsi"/>
          <w:color w:val="000000"/>
          <w:sz w:val="22"/>
          <w:szCs w:val="22"/>
          <w:lang w:eastAsia="en-US"/>
        </w:rPr>
        <w:t xml:space="preserve"> (rizikos santykis – 1,82, 95 % PI – nuo 1,51 iki 2,20).</w:t>
      </w:r>
    </w:p>
    <w:p w14:paraId="32727119" w14:textId="77777777" w:rsidR="00023BBF" w:rsidRDefault="00023BBF">
      <w:pPr>
        <w:autoSpaceDE w:val="0"/>
        <w:autoSpaceDN w:val="0"/>
        <w:adjustRightInd w:val="0"/>
        <w:rPr>
          <w:rFonts w:eastAsiaTheme="minorHAnsi"/>
          <w:color w:val="000000"/>
          <w:sz w:val="22"/>
          <w:szCs w:val="22"/>
          <w:lang w:eastAsia="en-US"/>
        </w:rPr>
      </w:pPr>
    </w:p>
    <w:p w14:paraId="6B698E51" w14:textId="77777777" w:rsidR="00023BBF" w:rsidRDefault="00E17C37">
      <w:pPr>
        <w:autoSpaceDE w:val="0"/>
        <w:autoSpaceDN w:val="0"/>
        <w:adjustRightInd w:val="0"/>
        <w:rPr>
          <w:rFonts w:eastAsiaTheme="minorHAnsi"/>
          <w:i/>
          <w:iCs/>
          <w:color w:val="000000"/>
          <w:sz w:val="22"/>
          <w:szCs w:val="22"/>
          <w:u w:val="single"/>
          <w:lang w:eastAsia="en-US"/>
        </w:rPr>
      </w:pPr>
      <w:proofErr w:type="spellStart"/>
      <w:r>
        <w:rPr>
          <w:rFonts w:eastAsiaTheme="minorHAnsi"/>
          <w:i/>
          <w:iCs/>
          <w:color w:val="000000"/>
          <w:sz w:val="22"/>
          <w:szCs w:val="22"/>
          <w:u w:val="single"/>
          <w:lang w:eastAsia="en-US"/>
        </w:rPr>
        <w:t>Metforminas</w:t>
      </w:r>
      <w:proofErr w:type="spellEnd"/>
    </w:p>
    <w:p w14:paraId="4B85A925"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Perspektyviniu atsitiktinės atrankos (UKPDS) tyrimu įrodyta intensyvaus gliukozės koncentracijos 2 tipo cukriniu diabetu sergančių pacientų kraujyje reguliavimo ilgalaikė nauda. Antsvorį turinčių pacientų, gydytų </w:t>
      </w:r>
      <w:proofErr w:type="spellStart"/>
      <w:r>
        <w:rPr>
          <w:rFonts w:eastAsiaTheme="minorHAnsi"/>
          <w:color w:val="000000"/>
          <w:sz w:val="22"/>
          <w:szCs w:val="22"/>
          <w:lang w:eastAsia="en-US"/>
        </w:rPr>
        <w:t>metforminu</w:t>
      </w:r>
      <w:proofErr w:type="spellEnd"/>
      <w:r>
        <w:rPr>
          <w:rFonts w:eastAsiaTheme="minorHAnsi"/>
          <w:color w:val="000000"/>
          <w:sz w:val="22"/>
          <w:szCs w:val="22"/>
          <w:lang w:eastAsia="en-US"/>
        </w:rPr>
        <w:t xml:space="preserve"> po to, kai vien dieta buvo neveiksminga, duomenų analizė parodė:</w:t>
      </w:r>
    </w:p>
    <w:p w14:paraId="61B6C3AF" w14:textId="77777777" w:rsidR="00023BBF" w:rsidRDefault="00E17C37">
      <w:pPr>
        <w:widowControl w:val="0"/>
        <w:numPr>
          <w:ilvl w:val="0"/>
          <w:numId w:val="24"/>
        </w:numPr>
        <w:tabs>
          <w:tab w:val="left" w:pos="842"/>
        </w:tabs>
        <w:autoSpaceDE w:val="0"/>
        <w:autoSpaceDN w:val="0"/>
        <w:ind w:left="567" w:right="-1" w:hanging="566"/>
        <w:rPr>
          <w:szCs w:val="20"/>
          <w:lang w:eastAsia="sl-SI"/>
        </w:rPr>
      </w:pPr>
      <w:r>
        <w:rPr>
          <w:rFonts w:eastAsiaTheme="minorHAnsi"/>
          <w:color w:val="000000"/>
          <w:sz w:val="22"/>
          <w:szCs w:val="22"/>
          <w:lang w:eastAsia="en-US"/>
        </w:rPr>
        <w:t xml:space="preserve">reikšmingą kiekvienos su diabetu susijusios komplikacijos absoliučios rizikos sumažėjimą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grupės pacientams (jie patyrė 29,8 tokio atvejo per 1 000 paciento metų) palyginus su vien dieta gydyta grupe (43,3 atvejo per 1 000 paciento metų) (p = 0,0023) ir su kartu paimtomis </w:t>
      </w:r>
      <w:proofErr w:type="spellStart"/>
      <w:r>
        <w:rPr>
          <w:rFonts w:eastAsiaTheme="minorHAnsi"/>
          <w:color w:val="000000"/>
          <w:sz w:val="22"/>
          <w:szCs w:val="22"/>
          <w:lang w:eastAsia="en-US"/>
        </w:rPr>
        <w:t>sulfonilkarbamido</w:t>
      </w:r>
      <w:proofErr w:type="spellEnd"/>
      <w:r>
        <w:rPr>
          <w:rFonts w:eastAsiaTheme="minorHAnsi"/>
          <w:color w:val="000000"/>
          <w:sz w:val="22"/>
          <w:szCs w:val="22"/>
          <w:lang w:eastAsia="en-US"/>
        </w:rPr>
        <w:t xml:space="preserve"> darinių ir insulino </w:t>
      </w:r>
      <w:proofErr w:type="spellStart"/>
      <w:r>
        <w:rPr>
          <w:rFonts w:eastAsiaTheme="minorHAnsi"/>
          <w:color w:val="000000"/>
          <w:sz w:val="22"/>
          <w:szCs w:val="22"/>
          <w:lang w:eastAsia="en-US"/>
        </w:rPr>
        <w:t>monoterapijos</w:t>
      </w:r>
      <w:proofErr w:type="spellEnd"/>
      <w:r>
        <w:rPr>
          <w:rFonts w:eastAsiaTheme="minorHAnsi"/>
          <w:color w:val="000000"/>
          <w:sz w:val="22"/>
          <w:szCs w:val="22"/>
          <w:lang w:eastAsia="en-US"/>
        </w:rPr>
        <w:t xml:space="preserve"> grupėmis (40,1 atvejo per 1 000 paciento metų) (p = 0,0034);</w:t>
      </w:r>
    </w:p>
    <w:p w14:paraId="3B7E0936" w14:textId="77777777" w:rsidR="00023BBF" w:rsidRDefault="00E17C37">
      <w:pPr>
        <w:widowControl w:val="0"/>
        <w:numPr>
          <w:ilvl w:val="0"/>
          <w:numId w:val="24"/>
        </w:numPr>
        <w:tabs>
          <w:tab w:val="left" w:pos="842"/>
        </w:tabs>
        <w:autoSpaceDE w:val="0"/>
        <w:autoSpaceDN w:val="0"/>
        <w:ind w:left="567" w:right="-1" w:hanging="566"/>
        <w:rPr>
          <w:szCs w:val="20"/>
          <w:lang w:eastAsia="sl-SI"/>
        </w:rPr>
      </w:pPr>
      <w:r>
        <w:rPr>
          <w:rFonts w:eastAsiaTheme="minorHAnsi"/>
          <w:color w:val="000000"/>
          <w:sz w:val="22"/>
          <w:szCs w:val="22"/>
          <w:lang w:eastAsia="en-US"/>
        </w:rPr>
        <w:t xml:space="preserve">reikšmingą mirties dėl bet kurios su diabetu susijusios priežasties absoliučios rizikos sumažėjimą: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grupės pacientams užfiksuota 7,5 tokio atvejo per 1 000 paciento metų, vien dietos grupės – 12,7 atvejo per 1 000 paciento metų (p = 0,017);</w:t>
      </w:r>
    </w:p>
    <w:p w14:paraId="6D342106" w14:textId="77777777" w:rsidR="00023BBF" w:rsidRDefault="00E17C37">
      <w:pPr>
        <w:widowControl w:val="0"/>
        <w:numPr>
          <w:ilvl w:val="0"/>
          <w:numId w:val="24"/>
        </w:numPr>
        <w:tabs>
          <w:tab w:val="left" w:pos="842"/>
        </w:tabs>
        <w:autoSpaceDE w:val="0"/>
        <w:autoSpaceDN w:val="0"/>
        <w:ind w:left="567" w:right="-1" w:hanging="566"/>
        <w:rPr>
          <w:szCs w:val="20"/>
          <w:lang w:eastAsia="sl-SI"/>
        </w:rPr>
      </w:pPr>
      <w:r>
        <w:rPr>
          <w:sz w:val="22"/>
          <w:szCs w:val="22"/>
        </w:rPr>
        <w:t xml:space="preserve">reikšmingą mirties dėl bet kurios priežasties absoliučios rizikos sumažėjimą: </w:t>
      </w:r>
      <w:proofErr w:type="spellStart"/>
      <w:r>
        <w:rPr>
          <w:sz w:val="22"/>
          <w:szCs w:val="22"/>
        </w:rPr>
        <w:t>metformino</w:t>
      </w:r>
      <w:proofErr w:type="spellEnd"/>
      <w:r>
        <w:rPr>
          <w:sz w:val="22"/>
          <w:szCs w:val="22"/>
        </w:rPr>
        <w:t xml:space="preserve"> grupės pacientams užfiksuota 13,5 tokio atvejo per 1 000 paciento metų, vien dietos grupės – 20,6 atvejo per</w:t>
      </w:r>
      <w:r>
        <w:rPr>
          <w:szCs w:val="20"/>
          <w:lang w:eastAsia="sl-SI"/>
        </w:rPr>
        <w:t xml:space="preserve"> </w:t>
      </w:r>
      <w:r>
        <w:rPr>
          <w:rFonts w:eastAsiaTheme="minorHAnsi"/>
          <w:color w:val="000000"/>
          <w:sz w:val="22"/>
          <w:szCs w:val="22"/>
          <w:lang w:eastAsia="en-US"/>
        </w:rPr>
        <w:t xml:space="preserve">1 000 paciento metų (p = 0,011), kartu paimtų </w:t>
      </w:r>
      <w:proofErr w:type="spellStart"/>
      <w:r>
        <w:rPr>
          <w:rFonts w:eastAsiaTheme="minorHAnsi"/>
          <w:color w:val="000000"/>
          <w:sz w:val="22"/>
          <w:szCs w:val="22"/>
          <w:lang w:eastAsia="en-US"/>
        </w:rPr>
        <w:t>sulfonilkarbamido</w:t>
      </w:r>
      <w:proofErr w:type="spellEnd"/>
      <w:r>
        <w:rPr>
          <w:rFonts w:eastAsiaTheme="minorHAnsi"/>
          <w:color w:val="000000"/>
          <w:sz w:val="22"/>
          <w:szCs w:val="22"/>
          <w:lang w:eastAsia="en-US"/>
        </w:rPr>
        <w:t xml:space="preserve"> darinių ir insulino </w:t>
      </w:r>
      <w:proofErr w:type="spellStart"/>
      <w:r>
        <w:rPr>
          <w:rFonts w:eastAsiaTheme="minorHAnsi"/>
          <w:color w:val="000000"/>
          <w:sz w:val="22"/>
          <w:szCs w:val="22"/>
          <w:lang w:eastAsia="en-US"/>
        </w:rPr>
        <w:t>monoterapijos</w:t>
      </w:r>
      <w:proofErr w:type="spellEnd"/>
      <w:r>
        <w:rPr>
          <w:rFonts w:eastAsiaTheme="minorHAnsi"/>
          <w:color w:val="000000"/>
          <w:sz w:val="22"/>
          <w:szCs w:val="22"/>
          <w:lang w:eastAsia="en-US"/>
        </w:rPr>
        <w:t xml:space="preserve"> grupių – 18,9 atvejo per 1 000 paciento metų (p = 0,021);</w:t>
      </w:r>
    </w:p>
    <w:p w14:paraId="03E3DD2B" w14:textId="77777777" w:rsidR="00023BBF" w:rsidRDefault="00E17C37">
      <w:pPr>
        <w:widowControl w:val="0"/>
        <w:numPr>
          <w:ilvl w:val="0"/>
          <w:numId w:val="24"/>
        </w:numPr>
        <w:tabs>
          <w:tab w:val="left" w:pos="842"/>
        </w:tabs>
        <w:autoSpaceDE w:val="0"/>
        <w:autoSpaceDN w:val="0"/>
        <w:ind w:left="567" w:right="-1" w:hanging="566"/>
        <w:rPr>
          <w:szCs w:val="20"/>
          <w:lang w:eastAsia="sl-SI"/>
        </w:rPr>
      </w:pPr>
      <w:r>
        <w:rPr>
          <w:rFonts w:eastAsiaTheme="minorHAnsi"/>
          <w:color w:val="000000"/>
          <w:sz w:val="22"/>
          <w:szCs w:val="22"/>
          <w:lang w:eastAsia="en-US"/>
        </w:rPr>
        <w:t xml:space="preserve">reikšmingą miokardo infarkto absoliučios rizikos sumažėjimą: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grupės pacientams užfiksuota 11 jo atvejų per 1 000 paciento metų, vien dietos grupės – 18 per 1 000 paciento metų (p = 0,01).</w:t>
      </w:r>
    </w:p>
    <w:p w14:paraId="57A86302" w14:textId="77777777" w:rsidR="00023BBF" w:rsidRDefault="00023BBF">
      <w:pPr>
        <w:widowControl w:val="0"/>
        <w:tabs>
          <w:tab w:val="left" w:pos="567"/>
        </w:tabs>
        <w:ind w:left="567" w:hanging="567"/>
        <w:outlineLvl w:val="2"/>
        <w:rPr>
          <w:rFonts w:eastAsia="TimesNewRoman"/>
          <w:sz w:val="22"/>
          <w:szCs w:val="22"/>
          <w:lang w:eastAsia="en-US"/>
        </w:rPr>
      </w:pPr>
    </w:p>
    <w:p w14:paraId="71EB19E4"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Vaikų populiacija</w:t>
      </w:r>
    </w:p>
    <w:p w14:paraId="634D3BAF" w14:textId="77777777" w:rsidR="00023BBF" w:rsidRDefault="00E17C37">
      <w:pPr>
        <w:widowControl w:val="0"/>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Europos vaistų agentūra atleido nuo įpareigojimo pateikti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tyrimų su visais 2 tipo cukriniu diabetu sergančių vaikų populiacijos pogrupiais duomenis (vartojimo vaikams informacija pateikiama 4.2 skyriuje).</w:t>
      </w:r>
    </w:p>
    <w:p w14:paraId="24F78C28" w14:textId="77777777" w:rsidR="00023BBF" w:rsidRDefault="00023BBF">
      <w:pPr>
        <w:widowControl w:val="0"/>
        <w:tabs>
          <w:tab w:val="left" w:pos="567"/>
        </w:tabs>
        <w:ind w:left="567" w:hanging="567"/>
        <w:outlineLvl w:val="2"/>
        <w:rPr>
          <w:rFonts w:eastAsia="TimesNewRoman"/>
          <w:sz w:val="22"/>
          <w:szCs w:val="22"/>
          <w:lang w:eastAsia="en-US"/>
        </w:rPr>
      </w:pPr>
    </w:p>
    <w:p w14:paraId="47C89D5E" w14:textId="77777777" w:rsidR="00023BBF" w:rsidRDefault="00E17C37">
      <w:pPr>
        <w:widowControl w:val="0"/>
        <w:tabs>
          <w:tab w:val="left" w:pos="567"/>
        </w:tabs>
        <w:ind w:left="567" w:hanging="567"/>
        <w:outlineLvl w:val="2"/>
        <w:rPr>
          <w:b/>
          <w:kern w:val="28"/>
          <w:sz w:val="22"/>
          <w:szCs w:val="22"/>
          <w:lang w:eastAsia="en-US"/>
        </w:rPr>
      </w:pPr>
      <w:r>
        <w:rPr>
          <w:b/>
          <w:kern w:val="28"/>
          <w:sz w:val="22"/>
          <w:szCs w:val="22"/>
          <w:lang w:eastAsia="en-US"/>
        </w:rPr>
        <w:t>5.2</w:t>
      </w:r>
      <w:r>
        <w:rPr>
          <w:b/>
          <w:kern w:val="28"/>
          <w:sz w:val="22"/>
          <w:szCs w:val="22"/>
          <w:lang w:eastAsia="en-US"/>
        </w:rPr>
        <w:tab/>
      </w:r>
      <w:proofErr w:type="spellStart"/>
      <w:r>
        <w:rPr>
          <w:b/>
          <w:kern w:val="28"/>
          <w:sz w:val="22"/>
          <w:szCs w:val="22"/>
          <w:lang w:eastAsia="en-US"/>
        </w:rPr>
        <w:t>Farmakokinetinės</w:t>
      </w:r>
      <w:proofErr w:type="spellEnd"/>
      <w:r>
        <w:rPr>
          <w:b/>
          <w:kern w:val="28"/>
          <w:sz w:val="22"/>
          <w:szCs w:val="22"/>
          <w:lang w:eastAsia="en-US"/>
        </w:rPr>
        <w:t xml:space="preserve"> savybės</w:t>
      </w:r>
    </w:p>
    <w:p w14:paraId="7649F9E2" w14:textId="77777777" w:rsidR="00023BBF" w:rsidRDefault="00023BBF">
      <w:pPr>
        <w:widowControl w:val="0"/>
        <w:ind w:left="567" w:hanging="567"/>
        <w:rPr>
          <w:bCs/>
          <w:sz w:val="22"/>
          <w:szCs w:val="22"/>
          <w:lang w:eastAsia="en-US"/>
        </w:rPr>
      </w:pPr>
    </w:p>
    <w:p w14:paraId="0F045209"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sudėtinės tabletės laikomos biologiškai ekvivalentiškomis kartu tokiomis pačiomis dozėmis vartojamoms atskiroms dapagliflozino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hidrochlorido tabletėms.</w:t>
      </w:r>
    </w:p>
    <w:p w14:paraId="33CBCB5B" w14:textId="77777777" w:rsidR="00023BBF" w:rsidRDefault="00023BBF">
      <w:pPr>
        <w:autoSpaceDE w:val="0"/>
        <w:autoSpaceDN w:val="0"/>
        <w:adjustRightInd w:val="0"/>
        <w:rPr>
          <w:rFonts w:eastAsiaTheme="minorHAnsi"/>
          <w:color w:val="000000"/>
          <w:sz w:val="22"/>
          <w:szCs w:val="22"/>
          <w:lang w:eastAsia="en-US"/>
        </w:rPr>
      </w:pPr>
    </w:p>
    <w:p w14:paraId="2C4542B8"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Palyginta po 5 mg 2 kartus per parą ir 10 mg 1 kartą per parą vartojamo dapagliflozino farmakokinetika sveikų žmonių organizme. Vartojant po 5 mg dapagliflozino 2 kartus per parą, 24 val. </w:t>
      </w:r>
      <w:proofErr w:type="spellStart"/>
      <w:r>
        <w:rPr>
          <w:rFonts w:eastAsiaTheme="minorHAnsi"/>
          <w:color w:val="000000"/>
          <w:sz w:val="22"/>
          <w:szCs w:val="22"/>
          <w:lang w:eastAsia="en-US"/>
        </w:rPr>
        <w:t>pusiausvyrinė</w:t>
      </w:r>
      <w:proofErr w:type="spellEnd"/>
      <w:r>
        <w:rPr>
          <w:rFonts w:eastAsiaTheme="minorHAnsi"/>
          <w:color w:val="000000"/>
          <w:sz w:val="22"/>
          <w:szCs w:val="22"/>
          <w:lang w:eastAsia="en-US"/>
        </w:rPr>
        <w:t xml:space="preserve"> ekspozicija (</w:t>
      </w:r>
      <w:proofErr w:type="spellStart"/>
      <w:r>
        <w:rPr>
          <w:rFonts w:eastAsiaTheme="minorHAnsi"/>
          <w:color w:val="000000"/>
          <w:sz w:val="22"/>
          <w:szCs w:val="22"/>
          <w:lang w:eastAsia="en-US"/>
        </w:rPr>
        <w:t>AUC</w:t>
      </w:r>
      <w:r>
        <w:rPr>
          <w:rFonts w:eastAsiaTheme="minorHAnsi"/>
          <w:color w:val="000000"/>
          <w:sz w:val="14"/>
          <w:szCs w:val="14"/>
          <w:lang w:eastAsia="en-US"/>
        </w:rPr>
        <w:t>ss</w:t>
      </w:r>
      <w:proofErr w:type="spellEnd"/>
      <w:r>
        <w:rPr>
          <w:rFonts w:eastAsiaTheme="minorHAnsi"/>
          <w:color w:val="000000"/>
          <w:sz w:val="22"/>
          <w:szCs w:val="22"/>
          <w:lang w:eastAsia="en-US"/>
        </w:rPr>
        <w:t>) buvo panaši kaip vartojant 10 mg 1 kartą per parą. Kaip ir tikėtasi, vartojant po 5 mg dapagliflozino 2 kartus per parą, jo didžiausia koncentracija plazmoje (</w:t>
      </w:r>
      <w:proofErr w:type="spellStart"/>
      <w:r>
        <w:rPr>
          <w:rFonts w:eastAsiaTheme="minorHAnsi"/>
          <w:color w:val="000000"/>
          <w:sz w:val="22"/>
          <w:szCs w:val="22"/>
          <w:lang w:eastAsia="en-US"/>
        </w:rPr>
        <w:t>C</w:t>
      </w:r>
      <w:r>
        <w:rPr>
          <w:rFonts w:eastAsiaTheme="minorHAnsi"/>
          <w:color w:val="000000"/>
          <w:sz w:val="14"/>
          <w:szCs w:val="14"/>
          <w:lang w:eastAsia="en-US"/>
        </w:rPr>
        <w:t>max</w:t>
      </w:r>
      <w:proofErr w:type="spellEnd"/>
      <w:r>
        <w:rPr>
          <w:rFonts w:eastAsiaTheme="minorHAnsi"/>
          <w:color w:val="000000"/>
          <w:sz w:val="22"/>
          <w:szCs w:val="22"/>
          <w:lang w:eastAsia="en-US"/>
        </w:rPr>
        <w:t>) buvo mažesnė, o mažiausia koncentracija plazmoje (</w:t>
      </w:r>
      <w:proofErr w:type="spellStart"/>
      <w:r>
        <w:rPr>
          <w:rFonts w:eastAsiaTheme="minorHAnsi"/>
          <w:color w:val="000000"/>
          <w:sz w:val="22"/>
          <w:szCs w:val="22"/>
          <w:lang w:eastAsia="en-US"/>
        </w:rPr>
        <w:t>C</w:t>
      </w:r>
      <w:r>
        <w:rPr>
          <w:rFonts w:eastAsiaTheme="minorHAnsi"/>
          <w:color w:val="000000"/>
          <w:sz w:val="14"/>
          <w:szCs w:val="14"/>
          <w:lang w:eastAsia="en-US"/>
        </w:rPr>
        <w:t>min</w:t>
      </w:r>
      <w:proofErr w:type="spellEnd"/>
      <w:r>
        <w:rPr>
          <w:rFonts w:eastAsiaTheme="minorHAnsi"/>
          <w:color w:val="000000"/>
          <w:sz w:val="22"/>
          <w:szCs w:val="22"/>
          <w:lang w:eastAsia="en-US"/>
        </w:rPr>
        <w:t>) – didesnė negu vartojant 10 mg 1 kartą per parą.</w:t>
      </w:r>
    </w:p>
    <w:p w14:paraId="781D4C74" w14:textId="77777777" w:rsidR="00023BBF" w:rsidRDefault="00023BBF">
      <w:pPr>
        <w:autoSpaceDE w:val="0"/>
        <w:autoSpaceDN w:val="0"/>
        <w:adjustRightInd w:val="0"/>
        <w:rPr>
          <w:rFonts w:eastAsiaTheme="minorHAnsi"/>
          <w:color w:val="000000"/>
          <w:sz w:val="22"/>
          <w:szCs w:val="22"/>
          <w:lang w:eastAsia="en-US"/>
        </w:rPr>
      </w:pPr>
    </w:p>
    <w:p w14:paraId="170B0683"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Maisto įtaka</w:t>
      </w:r>
    </w:p>
    <w:p w14:paraId="1D05998C"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Sveikiems savanoriams pavartojus šio vaistinio preparato po riebaus maisto, susidarė tokia pati dapagliflozino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ekspozicija kaip jo pavartojus nevalgius. Maistas nulėmė 1-2 val. vėlesnį didžiausių koncentracijų susidarymą, 29 % mažesnės didžiausios dapagliflozino koncentracijos plazmoje ir </w:t>
      </w:r>
      <w:r>
        <w:rPr>
          <w:rFonts w:eastAsiaTheme="minorHAnsi"/>
          <w:color w:val="000000"/>
          <w:sz w:val="22"/>
          <w:szCs w:val="22"/>
          <w:lang w:eastAsia="en-US"/>
        </w:rPr>
        <w:lastRenderedPageBreak/>
        <w:t xml:space="preserve">17 % mažesnės didžiausios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koncentracijos plazmoje susidarymą. Šie pokyčiai nelaikomi reikšmingais klinikai.</w:t>
      </w:r>
    </w:p>
    <w:p w14:paraId="7AE04E0C" w14:textId="77777777" w:rsidR="00023BBF" w:rsidRDefault="00023BBF">
      <w:pPr>
        <w:autoSpaceDE w:val="0"/>
        <w:autoSpaceDN w:val="0"/>
        <w:adjustRightInd w:val="0"/>
        <w:rPr>
          <w:rFonts w:eastAsiaTheme="minorHAnsi"/>
          <w:color w:val="000000"/>
          <w:sz w:val="22"/>
          <w:szCs w:val="22"/>
          <w:lang w:eastAsia="en-US"/>
        </w:rPr>
      </w:pPr>
    </w:p>
    <w:p w14:paraId="0A1F196D"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Vaikų populiacija</w:t>
      </w:r>
    </w:p>
    <w:p w14:paraId="661F0FD6"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Farmakokinetika vaikų organizme netirta.</w:t>
      </w:r>
    </w:p>
    <w:p w14:paraId="50AF6925" w14:textId="77777777" w:rsidR="00023BBF" w:rsidRDefault="00023BBF">
      <w:pPr>
        <w:autoSpaceDE w:val="0"/>
        <w:autoSpaceDN w:val="0"/>
        <w:adjustRightInd w:val="0"/>
        <w:rPr>
          <w:rFonts w:eastAsiaTheme="minorHAnsi"/>
          <w:color w:val="000000"/>
          <w:sz w:val="22"/>
          <w:szCs w:val="22"/>
          <w:lang w:eastAsia="en-US"/>
        </w:rPr>
      </w:pPr>
    </w:p>
    <w:p w14:paraId="74619990"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Žemiau pateikiamos atskirų šio vaistinio preparato veikliųjų medžiagų </w:t>
      </w:r>
      <w:proofErr w:type="spellStart"/>
      <w:r>
        <w:rPr>
          <w:rFonts w:eastAsiaTheme="minorHAnsi"/>
          <w:color w:val="000000"/>
          <w:sz w:val="22"/>
          <w:szCs w:val="22"/>
          <w:lang w:eastAsia="en-US"/>
        </w:rPr>
        <w:t>farmakokinetinės</w:t>
      </w:r>
      <w:proofErr w:type="spellEnd"/>
      <w:r>
        <w:rPr>
          <w:rFonts w:eastAsiaTheme="minorHAnsi"/>
          <w:color w:val="000000"/>
          <w:sz w:val="22"/>
          <w:szCs w:val="22"/>
          <w:lang w:eastAsia="en-US"/>
        </w:rPr>
        <w:t xml:space="preserve"> savybės.</w:t>
      </w:r>
    </w:p>
    <w:p w14:paraId="5F4D2372" w14:textId="77777777" w:rsidR="00023BBF" w:rsidRDefault="00023BBF">
      <w:pPr>
        <w:autoSpaceDE w:val="0"/>
        <w:autoSpaceDN w:val="0"/>
        <w:adjustRightInd w:val="0"/>
        <w:rPr>
          <w:rFonts w:eastAsiaTheme="minorHAnsi"/>
          <w:color w:val="000000"/>
          <w:sz w:val="22"/>
          <w:szCs w:val="22"/>
          <w:lang w:eastAsia="en-US"/>
        </w:rPr>
      </w:pPr>
    </w:p>
    <w:p w14:paraId="2D55A940"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Dapagliflozinas</w:t>
      </w:r>
    </w:p>
    <w:p w14:paraId="4A4AD81D"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Absorbcija</w:t>
      </w:r>
    </w:p>
    <w:p w14:paraId="34519E89"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Per burną pavartotas dapagliflozinas absorbuojamas greitai ir gerai. Didžiausia nevalgius pavartoto dapagliflozino koncentracija plazmoje (</w:t>
      </w:r>
      <w:proofErr w:type="spellStart"/>
      <w:r>
        <w:rPr>
          <w:rFonts w:eastAsiaTheme="minorHAnsi"/>
          <w:color w:val="000000"/>
          <w:sz w:val="22"/>
          <w:szCs w:val="22"/>
          <w:lang w:eastAsia="en-US"/>
        </w:rPr>
        <w:t>C</w:t>
      </w:r>
      <w:r>
        <w:rPr>
          <w:rFonts w:eastAsiaTheme="minorHAnsi"/>
          <w:color w:val="000000"/>
          <w:sz w:val="14"/>
          <w:szCs w:val="14"/>
          <w:lang w:eastAsia="en-US"/>
        </w:rPr>
        <w:t>max</w:t>
      </w:r>
      <w:proofErr w:type="spellEnd"/>
      <w:r>
        <w:rPr>
          <w:rFonts w:eastAsiaTheme="minorHAnsi"/>
          <w:color w:val="000000"/>
          <w:sz w:val="22"/>
          <w:szCs w:val="22"/>
          <w:lang w:eastAsia="en-US"/>
        </w:rPr>
        <w:t xml:space="preserve">) paprastai susidaro per 2 val. Geometrinis </w:t>
      </w:r>
      <w:proofErr w:type="spellStart"/>
      <w:r>
        <w:rPr>
          <w:rFonts w:eastAsiaTheme="minorHAnsi"/>
          <w:color w:val="000000"/>
          <w:sz w:val="22"/>
          <w:szCs w:val="22"/>
          <w:lang w:eastAsia="en-US"/>
        </w:rPr>
        <w:t>pusiausvyrinės</w:t>
      </w:r>
      <w:proofErr w:type="spellEnd"/>
      <w:r>
        <w:rPr>
          <w:rFonts w:eastAsiaTheme="minorHAnsi"/>
          <w:color w:val="000000"/>
          <w:sz w:val="22"/>
          <w:szCs w:val="22"/>
          <w:lang w:eastAsia="en-US"/>
        </w:rPr>
        <w:t xml:space="preserve"> dapagliflozino </w:t>
      </w:r>
      <w:proofErr w:type="spellStart"/>
      <w:r>
        <w:rPr>
          <w:rFonts w:eastAsiaTheme="minorHAnsi"/>
          <w:color w:val="000000"/>
          <w:sz w:val="22"/>
          <w:szCs w:val="22"/>
          <w:lang w:eastAsia="en-US"/>
        </w:rPr>
        <w:t>C</w:t>
      </w:r>
      <w:r>
        <w:rPr>
          <w:rFonts w:eastAsiaTheme="minorHAnsi"/>
          <w:color w:val="000000"/>
          <w:sz w:val="14"/>
          <w:szCs w:val="14"/>
          <w:lang w:eastAsia="en-US"/>
        </w:rPr>
        <w:t>max</w:t>
      </w:r>
      <w:proofErr w:type="spellEnd"/>
      <w:r>
        <w:rPr>
          <w:rFonts w:eastAsiaTheme="minorHAnsi"/>
          <w:color w:val="000000"/>
          <w:sz w:val="14"/>
          <w:szCs w:val="14"/>
          <w:lang w:eastAsia="en-US"/>
        </w:rPr>
        <w:t xml:space="preserve"> </w:t>
      </w:r>
      <w:r>
        <w:rPr>
          <w:rFonts w:eastAsiaTheme="minorHAnsi"/>
          <w:color w:val="000000"/>
          <w:sz w:val="22"/>
          <w:szCs w:val="22"/>
          <w:lang w:eastAsia="en-US"/>
        </w:rPr>
        <w:t>vidurkis vartojant 10 mg 1 kartą per parą būna 158 </w:t>
      </w:r>
      <w:proofErr w:type="spellStart"/>
      <w:r>
        <w:rPr>
          <w:rFonts w:eastAsiaTheme="minorHAnsi"/>
          <w:color w:val="000000"/>
          <w:sz w:val="22"/>
          <w:szCs w:val="22"/>
          <w:lang w:eastAsia="en-US"/>
        </w:rPr>
        <w:t>ng</w:t>
      </w:r>
      <w:proofErr w:type="spellEnd"/>
      <w:r>
        <w:rPr>
          <w:rFonts w:eastAsiaTheme="minorHAnsi"/>
          <w:color w:val="000000"/>
          <w:sz w:val="22"/>
          <w:szCs w:val="22"/>
          <w:lang w:eastAsia="en-US"/>
        </w:rPr>
        <w:t xml:space="preserve">/ml, </w:t>
      </w:r>
      <w:proofErr w:type="spellStart"/>
      <w:r>
        <w:rPr>
          <w:rFonts w:eastAsiaTheme="minorHAnsi"/>
          <w:color w:val="000000"/>
          <w:sz w:val="22"/>
          <w:szCs w:val="22"/>
          <w:lang w:eastAsia="en-US"/>
        </w:rPr>
        <w:t>AUC</w:t>
      </w:r>
      <w:r>
        <w:rPr>
          <w:rFonts w:eastAsiaTheme="minorHAnsi"/>
          <w:color w:val="000000"/>
          <w:sz w:val="14"/>
          <w:szCs w:val="14"/>
          <w:lang w:eastAsia="en-US"/>
        </w:rPr>
        <w:t>τ</w:t>
      </w:r>
      <w:proofErr w:type="spellEnd"/>
      <w:r>
        <w:rPr>
          <w:rFonts w:eastAsiaTheme="minorHAnsi"/>
          <w:color w:val="000000"/>
          <w:sz w:val="14"/>
          <w:szCs w:val="14"/>
          <w:lang w:eastAsia="en-US"/>
        </w:rPr>
        <w:t xml:space="preserve"> </w:t>
      </w:r>
      <w:r>
        <w:rPr>
          <w:rFonts w:eastAsiaTheme="minorHAnsi"/>
          <w:color w:val="000000"/>
          <w:sz w:val="22"/>
          <w:szCs w:val="22"/>
          <w:lang w:eastAsia="en-US"/>
        </w:rPr>
        <w:t>– 628 </w:t>
      </w:r>
      <w:proofErr w:type="spellStart"/>
      <w:r>
        <w:rPr>
          <w:rFonts w:eastAsiaTheme="minorHAnsi"/>
          <w:color w:val="000000"/>
          <w:sz w:val="22"/>
          <w:szCs w:val="22"/>
          <w:lang w:eastAsia="en-US"/>
        </w:rPr>
        <w:t>ng</w:t>
      </w:r>
      <w:proofErr w:type="spellEnd"/>
      <w:r>
        <w:rPr>
          <w:rFonts w:eastAsiaTheme="minorHAnsi"/>
          <w:color w:val="000000"/>
          <w:sz w:val="22"/>
          <w:szCs w:val="22"/>
          <w:lang w:eastAsia="en-US"/>
        </w:rPr>
        <w:t>*val./ml. Dapagliflozino absoliutus biologinis prieinamumas pavartojus 10 mg per burną yra 78 %.</w:t>
      </w:r>
    </w:p>
    <w:p w14:paraId="3A3BCAFB" w14:textId="77777777" w:rsidR="00023BBF" w:rsidRDefault="00023BBF">
      <w:pPr>
        <w:autoSpaceDE w:val="0"/>
        <w:autoSpaceDN w:val="0"/>
        <w:adjustRightInd w:val="0"/>
        <w:rPr>
          <w:rFonts w:eastAsiaTheme="minorHAnsi"/>
          <w:color w:val="000000"/>
          <w:sz w:val="22"/>
          <w:szCs w:val="22"/>
          <w:lang w:eastAsia="en-US"/>
        </w:rPr>
      </w:pPr>
    </w:p>
    <w:p w14:paraId="22E6D787"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Pasiskirstymas</w:t>
      </w:r>
    </w:p>
    <w:p w14:paraId="0CE70F71"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Maždaug 91 % dapagliflozino būna prisijungusio prie plazmos baltymų. Sergant įvairiomis ligomis (pvz., sutrikus inkstų ar kepenų funkcijai), prie baltymų prisijungęs jo kiekis nepakinta. Vidutinis </w:t>
      </w:r>
      <w:proofErr w:type="spellStart"/>
      <w:r>
        <w:rPr>
          <w:rFonts w:eastAsiaTheme="minorHAnsi"/>
          <w:color w:val="000000"/>
          <w:sz w:val="22"/>
          <w:szCs w:val="22"/>
          <w:lang w:eastAsia="en-US"/>
        </w:rPr>
        <w:t>pusiausvyrinis</w:t>
      </w:r>
      <w:proofErr w:type="spellEnd"/>
      <w:r>
        <w:rPr>
          <w:rFonts w:eastAsiaTheme="minorHAnsi"/>
          <w:color w:val="000000"/>
          <w:sz w:val="22"/>
          <w:szCs w:val="22"/>
          <w:lang w:eastAsia="en-US"/>
        </w:rPr>
        <w:t xml:space="preserve"> dapagliflozino pasiskirstymo tūris yra 118 litrų.</w:t>
      </w:r>
    </w:p>
    <w:p w14:paraId="17481AC6" w14:textId="77777777" w:rsidR="00023BBF" w:rsidRDefault="00023BBF">
      <w:pPr>
        <w:autoSpaceDE w:val="0"/>
        <w:autoSpaceDN w:val="0"/>
        <w:adjustRightInd w:val="0"/>
        <w:rPr>
          <w:rFonts w:eastAsiaTheme="minorHAnsi"/>
          <w:color w:val="000000"/>
          <w:sz w:val="22"/>
          <w:szCs w:val="22"/>
          <w:lang w:eastAsia="en-US"/>
        </w:rPr>
      </w:pPr>
    </w:p>
    <w:p w14:paraId="4437E4A9" w14:textId="77777777" w:rsidR="00023BBF" w:rsidRDefault="00E17C37">
      <w:pPr>
        <w:autoSpaceDE w:val="0"/>
        <w:autoSpaceDN w:val="0"/>
        <w:adjustRightInd w:val="0"/>
        <w:rPr>
          <w:rFonts w:eastAsiaTheme="minorHAnsi"/>
          <w:color w:val="000000"/>
          <w:sz w:val="22"/>
          <w:szCs w:val="22"/>
          <w:u w:val="single"/>
          <w:lang w:eastAsia="en-US"/>
        </w:rPr>
      </w:pPr>
      <w:proofErr w:type="spellStart"/>
      <w:r>
        <w:rPr>
          <w:rFonts w:eastAsiaTheme="minorHAnsi"/>
          <w:color w:val="000000"/>
          <w:sz w:val="22"/>
          <w:szCs w:val="22"/>
          <w:u w:val="single"/>
          <w:lang w:eastAsia="en-US"/>
        </w:rPr>
        <w:t>Biotransformacija</w:t>
      </w:r>
      <w:proofErr w:type="spellEnd"/>
    </w:p>
    <w:p w14:paraId="2F4C1338"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Dapagliflozinas ekstensyviai </w:t>
      </w:r>
      <w:proofErr w:type="spellStart"/>
      <w:r>
        <w:rPr>
          <w:rFonts w:eastAsiaTheme="minorHAnsi"/>
          <w:color w:val="000000"/>
          <w:sz w:val="22"/>
          <w:szCs w:val="22"/>
          <w:lang w:eastAsia="en-US"/>
        </w:rPr>
        <w:t>metabolizuojamas</w:t>
      </w:r>
      <w:proofErr w:type="spellEnd"/>
      <w:r>
        <w:rPr>
          <w:rFonts w:eastAsiaTheme="minorHAnsi"/>
          <w:color w:val="000000"/>
          <w:sz w:val="22"/>
          <w:szCs w:val="22"/>
          <w:lang w:eastAsia="en-US"/>
        </w:rPr>
        <w:t>, daugiausia į neaktyvų metabolitą – dapagliflozino 3-O-gliukuronidą. Dapagliflozino 3-O-gliukuronidas ir kiti metabolitai neturi įtakos gliukozės koncentraciją mažinančiam poveikiui. Dapagliflozino 3-O-gliukuronido susidarymą katalizuoja UGT1A9 (fermentas, kurio yra kepenyse ir inkstuose), o nuo CYP priklausomo metabolizmo žmogaus organizme sąlygojamas klirensas yra nedidelis.</w:t>
      </w:r>
    </w:p>
    <w:p w14:paraId="148A0D6F" w14:textId="77777777" w:rsidR="00023BBF" w:rsidRDefault="00023BBF">
      <w:pPr>
        <w:autoSpaceDE w:val="0"/>
        <w:autoSpaceDN w:val="0"/>
        <w:adjustRightInd w:val="0"/>
        <w:rPr>
          <w:rFonts w:eastAsiaTheme="minorHAnsi"/>
          <w:color w:val="000000"/>
          <w:sz w:val="22"/>
          <w:szCs w:val="22"/>
          <w:lang w:eastAsia="en-US"/>
        </w:rPr>
      </w:pPr>
    </w:p>
    <w:p w14:paraId="0F3216BF"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Eliminacija</w:t>
      </w:r>
    </w:p>
    <w:p w14:paraId="0F9F5270" w14:textId="77777777" w:rsidR="00023BBF" w:rsidRDefault="00E17C37">
      <w:pPr>
        <w:widowControl w:val="0"/>
        <w:autoSpaceDE w:val="0"/>
        <w:autoSpaceDN w:val="0"/>
        <w:adjustRightInd w:val="0"/>
        <w:rPr>
          <w:sz w:val="22"/>
          <w:szCs w:val="22"/>
        </w:rPr>
      </w:pPr>
      <w:r>
        <w:rPr>
          <w:rFonts w:eastAsiaTheme="minorHAnsi"/>
          <w:color w:val="000000"/>
          <w:sz w:val="22"/>
          <w:szCs w:val="22"/>
          <w:lang w:eastAsia="en-US"/>
        </w:rPr>
        <w:t>Dapagliflozino vidutinis galutinis pusinio buvimo periodas sveikų asmenų, pavartojusių vieną 10 mg dozę per burną, plazmoje (t</w:t>
      </w:r>
      <w:r>
        <w:rPr>
          <w:rFonts w:eastAsiaTheme="minorHAnsi"/>
          <w:color w:val="000000"/>
          <w:sz w:val="14"/>
          <w:szCs w:val="14"/>
          <w:lang w:eastAsia="en-US"/>
        </w:rPr>
        <w:t>1/2</w:t>
      </w:r>
      <w:r>
        <w:rPr>
          <w:rFonts w:eastAsiaTheme="minorHAnsi"/>
          <w:color w:val="000000"/>
          <w:sz w:val="22"/>
          <w:szCs w:val="22"/>
          <w:lang w:eastAsia="en-US"/>
        </w:rPr>
        <w:t xml:space="preserve">) yra 12,9 val. Į veną suleisto dapagliflozino vidutinis bendras sisteminis klirensas yra 207 ml/min. Daugiausia dapagliflozino ir su juo susijusių metabolitų eliminuojama su šlapimu, nepakitęs dapagliflozinas jame sudaro mažiau kaip 2 %. Pavartojus 50 mg </w:t>
      </w:r>
      <w:r>
        <w:rPr>
          <w:szCs w:val="20"/>
          <w:lang w:eastAsia="sl-SI"/>
        </w:rPr>
        <w:t>[</w:t>
      </w:r>
      <w:r>
        <w:rPr>
          <w:szCs w:val="20"/>
          <w:vertAlign w:val="superscript"/>
          <w:lang w:eastAsia="sl-SI"/>
        </w:rPr>
        <w:t>14</w:t>
      </w:r>
      <w:r>
        <w:rPr>
          <w:szCs w:val="20"/>
          <w:lang w:eastAsia="sl-SI"/>
        </w:rPr>
        <w:t>C]-</w:t>
      </w:r>
      <w:r>
        <w:rPr>
          <w:rFonts w:eastAsiaTheme="minorHAnsi"/>
          <w:color w:val="000000"/>
          <w:sz w:val="22"/>
          <w:szCs w:val="22"/>
          <w:lang w:eastAsia="en-US"/>
        </w:rPr>
        <w:t xml:space="preserve"> žymėto dapagliflozino, eliminuoto rasta </w:t>
      </w:r>
      <w:r>
        <w:rPr>
          <w:sz w:val="22"/>
          <w:szCs w:val="22"/>
        </w:rPr>
        <w:t>96 % radioaktyvumo (75 % šlapime ir 21 % išmatose). Maždaug 15 % išmatose randamo kiekio sudaro nepakitęs dapagliflozinas.</w:t>
      </w:r>
    </w:p>
    <w:p w14:paraId="6E2A5D3D" w14:textId="77777777" w:rsidR="00023BBF" w:rsidRDefault="00023BBF">
      <w:pPr>
        <w:widowControl w:val="0"/>
        <w:autoSpaceDE w:val="0"/>
        <w:autoSpaceDN w:val="0"/>
        <w:adjustRightInd w:val="0"/>
        <w:rPr>
          <w:sz w:val="22"/>
          <w:szCs w:val="22"/>
        </w:rPr>
      </w:pPr>
    </w:p>
    <w:p w14:paraId="6A47E318"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Tiesinis pobūdis</w:t>
      </w:r>
    </w:p>
    <w:p w14:paraId="62E00C53"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Dapagliflozino ekspozicija didėja proporcingai jo dozės didinimui diapazone nuo 0,1 iki 500 mg. Kartotinai jo vartojant iki 24 savaičių, farmakokinetika nepakito.</w:t>
      </w:r>
    </w:p>
    <w:p w14:paraId="4845A89D" w14:textId="77777777" w:rsidR="00023BBF" w:rsidRDefault="00023BBF">
      <w:pPr>
        <w:autoSpaceDE w:val="0"/>
        <w:autoSpaceDN w:val="0"/>
        <w:adjustRightInd w:val="0"/>
        <w:rPr>
          <w:rFonts w:eastAsiaTheme="minorHAnsi"/>
          <w:color w:val="000000"/>
          <w:sz w:val="22"/>
          <w:szCs w:val="22"/>
          <w:lang w:eastAsia="en-US"/>
        </w:rPr>
      </w:pPr>
    </w:p>
    <w:p w14:paraId="33626E6C"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Ypatingos populiacijos</w:t>
      </w:r>
    </w:p>
    <w:p w14:paraId="6232E17A"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Sutrikusi inkstų funkcija</w:t>
      </w:r>
    </w:p>
    <w:p w14:paraId="5500E0A8"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Esant </w:t>
      </w:r>
      <w:proofErr w:type="spellStart"/>
      <w:r>
        <w:rPr>
          <w:rFonts w:eastAsiaTheme="minorHAnsi"/>
          <w:color w:val="000000"/>
          <w:sz w:val="22"/>
          <w:szCs w:val="22"/>
          <w:lang w:eastAsia="en-US"/>
        </w:rPr>
        <w:t>pusiausvyrinei</w:t>
      </w:r>
      <w:proofErr w:type="spellEnd"/>
      <w:r>
        <w:rPr>
          <w:rFonts w:eastAsiaTheme="minorHAnsi"/>
          <w:color w:val="000000"/>
          <w:sz w:val="22"/>
          <w:szCs w:val="22"/>
          <w:lang w:eastAsia="en-US"/>
        </w:rPr>
        <w:t xml:space="preserve"> būklei (7 paras vartojus 20 mg dapagliflozino 1 kartą per parą), 2 tipo cukriniu diabetu sirgusiems asmenims, kurių inkstų funkcija lengvai, vidutiniškai ar sunkiai sutrikusi (pagal </w:t>
      </w:r>
      <w:proofErr w:type="spellStart"/>
      <w:r>
        <w:rPr>
          <w:rFonts w:eastAsiaTheme="minorHAnsi"/>
          <w:color w:val="000000"/>
          <w:sz w:val="22"/>
          <w:szCs w:val="22"/>
          <w:lang w:eastAsia="en-US"/>
        </w:rPr>
        <w:t>joheksolio</w:t>
      </w:r>
      <w:proofErr w:type="spellEnd"/>
      <w:r>
        <w:rPr>
          <w:rFonts w:eastAsiaTheme="minorHAnsi"/>
          <w:color w:val="000000"/>
          <w:sz w:val="22"/>
          <w:szCs w:val="22"/>
          <w:lang w:eastAsia="en-US"/>
        </w:rPr>
        <w:t xml:space="preserve"> plazmos klirensą), vidutinė sisteminė dapagliflozino ekspozicija buvo atitinkamai 32 %, 60 % ir 87 % didesnė negu sirgusiems 2 tipo cukriniu diabetu ir turėjusiems normalią inkstų funkciją. Gliukozės kiekis paros šlapime esant </w:t>
      </w:r>
      <w:proofErr w:type="spellStart"/>
      <w:r>
        <w:rPr>
          <w:rFonts w:eastAsiaTheme="minorHAnsi"/>
          <w:color w:val="000000"/>
          <w:sz w:val="22"/>
          <w:szCs w:val="22"/>
          <w:lang w:eastAsia="en-US"/>
        </w:rPr>
        <w:t>pusiausvyrinei</w:t>
      </w:r>
      <w:proofErr w:type="spellEnd"/>
      <w:r>
        <w:rPr>
          <w:rFonts w:eastAsiaTheme="minorHAnsi"/>
          <w:color w:val="000000"/>
          <w:sz w:val="22"/>
          <w:szCs w:val="22"/>
          <w:lang w:eastAsia="en-US"/>
        </w:rPr>
        <w:t xml:space="preserve"> koncentracijai labai priklausė nuo inkstų funkcijos: 2 tipo cukriniu diabetu sirgusių pacientų, kurių inkstų funkcija buvo normali, lengvai, vidutiniškai arba sunkiai sutrikusi, paros šlapime rasta atitinkamai 85 g, 52 g, 18 g ir 11 g gliukozės. Hemodializės įtaka dapagliflozino ekspozicijai nežinoma.</w:t>
      </w:r>
    </w:p>
    <w:p w14:paraId="1DB776FB" w14:textId="77777777" w:rsidR="00023BBF" w:rsidRDefault="00023BBF">
      <w:pPr>
        <w:autoSpaceDE w:val="0"/>
        <w:autoSpaceDN w:val="0"/>
        <w:adjustRightInd w:val="0"/>
        <w:rPr>
          <w:rFonts w:eastAsiaTheme="minorHAnsi"/>
          <w:color w:val="000000"/>
          <w:sz w:val="22"/>
          <w:szCs w:val="22"/>
          <w:lang w:eastAsia="en-US"/>
        </w:rPr>
      </w:pPr>
    </w:p>
    <w:p w14:paraId="225C4EE1"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Sutrikusi kepenų funkcija</w:t>
      </w:r>
    </w:p>
    <w:p w14:paraId="4A4AE375"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Žmonėms, kurių kepenų funkcija lengvai ar vidutiniškai sutrikusi (</w:t>
      </w:r>
      <w:proofErr w:type="spellStart"/>
      <w:r>
        <w:rPr>
          <w:rFonts w:eastAsiaTheme="minorHAnsi"/>
          <w:color w:val="000000"/>
          <w:sz w:val="22"/>
          <w:szCs w:val="22"/>
          <w:lang w:eastAsia="en-US"/>
        </w:rPr>
        <w:t>Child-Pugh</w:t>
      </w:r>
      <w:proofErr w:type="spellEnd"/>
      <w:r>
        <w:rPr>
          <w:rFonts w:eastAsiaTheme="minorHAnsi"/>
          <w:color w:val="000000"/>
          <w:sz w:val="22"/>
          <w:szCs w:val="22"/>
          <w:lang w:eastAsia="en-US"/>
        </w:rPr>
        <w:t xml:space="preserve"> A ir B klasių), dapagliflozino vidutinis </w:t>
      </w:r>
      <w:proofErr w:type="spellStart"/>
      <w:r>
        <w:rPr>
          <w:rFonts w:eastAsiaTheme="minorHAnsi"/>
          <w:color w:val="000000"/>
          <w:sz w:val="22"/>
          <w:szCs w:val="22"/>
          <w:lang w:eastAsia="en-US"/>
        </w:rPr>
        <w:t>C</w:t>
      </w:r>
      <w:r>
        <w:rPr>
          <w:rFonts w:eastAsiaTheme="minorHAnsi"/>
          <w:color w:val="000000"/>
          <w:sz w:val="14"/>
          <w:szCs w:val="14"/>
          <w:lang w:eastAsia="en-US"/>
        </w:rPr>
        <w:t>max</w:t>
      </w:r>
      <w:proofErr w:type="spellEnd"/>
      <w:r>
        <w:rPr>
          <w:rFonts w:eastAsiaTheme="minorHAnsi"/>
          <w:color w:val="000000"/>
          <w:sz w:val="14"/>
          <w:szCs w:val="14"/>
          <w:lang w:eastAsia="en-US"/>
        </w:rPr>
        <w:t xml:space="preserve"> </w:t>
      </w:r>
      <w:r>
        <w:rPr>
          <w:rFonts w:eastAsiaTheme="minorHAnsi"/>
          <w:color w:val="000000"/>
          <w:sz w:val="22"/>
          <w:szCs w:val="22"/>
          <w:lang w:eastAsia="en-US"/>
        </w:rPr>
        <w:t>yra iki 12 %, o AUC – iki 36 % didesnis negu atitinkamiems sveikiems kontrolinės grupės pacientams. Šie skirtumai kliniškai reikšmingais nelaikomi. Žmonėms, kurių kepenų funkcija sunkiai sutrikusi (</w:t>
      </w:r>
      <w:proofErr w:type="spellStart"/>
      <w:r>
        <w:rPr>
          <w:rFonts w:eastAsiaTheme="minorHAnsi"/>
          <w:color w:val="000000"/>
          <w:sz w:val="22"/>
          <w:szCs w:val="22"/>
          <w:lang w:eastAsia="en-US"/>
        </w:rPr>
        <w:t>Child-Pugh</w:t>
      </w:r>
      <w:proofErr w:type="spellEnd"/>
      <w:r>
        <w:rPr>
          <w:rFonts w:eastAsiaTheme="minorHAnsi"/>
          <w:color w:val="000000"/>
          <w:sz w:val="22"/>
          <w:szCs w:val="22"/>
          <w:lang w:eastAsia="en-US"/>
        </w:rPr>
        <w:t xml:space="preserve"> C klasės), dapagliflozino vidutinis </w:t>
      </w:r>
      <w:proofErr w:type="spellStart"/>
      <w:r>
        <w:rPr>
          <w:rFonts w:eastAsiaTheme="minorHAnsi"/>
          <w:color w:val="000000"/>
          <w:sz w:val="22"/>
          <w:szCs w:val="22"/>
          <w:lang w:eastAsia="en-US"/>
        </w:rPr>
        <w:t>C</w:t>
      </w:r>
      <w:r>
        <w:rPr>
          <w:rFonts w:eastAsiaTheme="minorHAnsi"/>
          <w:color w:val="000000"/>
          <w:sz w:val="14"/>
          <w:szCs w:val="14"/>
          <w:lang w:eastAsia="en-US"/>
        </w:rPr>
        <w:t>max</w:t>
      </w:r>
      <w:proofErr w:type="spellEnd"/>
      <w:r>
        <w:rPr>
          <w:rFonts w:eastAsiaTheme="minorHAnsi"/>
          <w:color w:val="000000"/>
          <w:sz w:val="14"/>
          <w:szCs w:val="14"/>
          <w:lang w:eastAsia="en-US"/>
        </w:rPr>
        <w:t xml:space="preserve"> </w:t>
      </w:r>
      <w:r>
        <w:rPr>
          <w:rFonts w:eastAsiaTheme="minorHAnsi"/>
          <w:color w:val="000000"/>
          <w:sz w:val="22"/>
          <w:szCs w:val="22"/>
          <w:lang w:eastAsia="en-US"/>
        </w:rPr>
        <w:t>yra 40 %, o AUC 67 % didesnis negu atitinkamiems sveikiems kontrolinės grupės pacientams.</w:t>
      </w:r>
    </w:p>
    <w:p w14:paraId="3604D18D" w14:textId="77777777" w:rsidR="00023BBF" w:rsidRDefault="00023BBF">
      <w:pPr>
        <w:autoSpaceDE w:val="0"/>
        <w:autoSpaceDN w:val="0"/>
        <w:adjustRightInd w:val="0"/>
        <w:rPr>
          <w:rFonts w:eastAsiaTheme="minorHAnsi"/>
          <w:color w:val="000000"/>
          <w:sz w:val="22"/>
          <w:szCs w:val="22"/>
          <w:lang w:eastAsia="en-US"/>
        </w:rPr>
      </w:pPr>
    </w:p>
    <w:p w14:paraId="71E7E416"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lastRenderedPageBreak/>
        <w:t>Senyvi (65 metų ir vyresni) žmonės</w:t>
      </w:r>
    </w:p>
    <w:p w14:paraId="68262656"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Vien dėl vyresnio (iki 70 metų) amžiaus ekspozicija reikšmingai kliniškai nepadidėja. Vis dėlto galima tikėtis ekspozicijos padidėjimo dėl su amžiumi susijusio inkstų funkcijos silpnėjimo. Nepakanka duomenų , kad būtų galima daryti išvadas dėl vyresnių kaip 70 metų pacientų ekspozicijos.</w:t>
      </w:r>
    </w:p>
    <w:p w14:paraId="1A99A54F" w14:textId="77777777" w:rsidR="00023BBF" w:rsidRDefault="00023BBF">
      <w:pPr>
        <w:autoSpaceDE w:val="0"/>
        <w:autoSpaceDN w:val="0"/>
        <w:adjustRightInd w:val="0"/>
        <w:rPr>
          <w:rFonts w:eastAsiaTheme="minorHAnsi"/>
          <w:color w:val="000000"/>
          <w:sz w:val="22"/>
          <w:szCs w:val="22"/>
          <w:lang w:eastAsia="en-US"/>
        </w:rPr>
      </w:pPr>
    </w:p>
    <w:p w14:paraId="1367890A"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Lytis</w:t>
      </w:r>
    </w:p>
    <w:p w14:paraId="06010719"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Apskaičiuotas vidutinis </w:t>
      </w:r>
      <w:proofErr w:type="spellStart"/>
      <w:r>
        <w:rPr>
          <w:rFonts w:eastAsiaTheme="minorHAnsi"/>
          <w:color w:val="000000"/>
          <w:sz w:val="22"/>
          <w:szCs w:val="22"/>
          <w:lang w:eastAsia="en-US"/>
        </w:rPr>
        <w:t>pusiausvyrinis</w:t>
      </w:r>
      <w:proofErr w:type="spellEnd"/>
      <w:r>
        <w:rPr>
          <w:rFonts w:eastAsiaTheme="minorHAnsi"/>
          <w:color w:val="000000"/>
          <w:sz w:val="22"/>
          <w:szCs w:val="22"/>
          <w:lang w:eastAsia="en-US"/>
        </w:rPr>
        <w:t xml:space="preserve"> dapagliflozino AUC moterims yra maždaug 22 % didesnis negu vyrams.</w:t>
      </w:r>
    </w:p>
    <w:p w14:paraId="707A01FA" w14:textId="77777777" w:rsidR="00023BBF" w:rsidRDefault="00023BBF">
      <w:pPr>
        <w:autoSpaceDE w:val="0"/>
        <w:autoSpaceDN w:val="0"/>
        <w:adjustRightInd w:val="0"/>
        <w:rPr>
          <w:rFonts w:eastAsiaTheme="minorHAnsi"/>
          <w:color w:val="000000"/>
          <w:sz w:val="22"/>
          <w:szCs w:val="22"/>
          <w:lang w:eastAsia="en-US"/>
        </w:rPr>
      </w:pPr>
    </w:p>
    <w:p w14:paraId="13AAC0FE"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Rasė</w:t>
      </w:r>
    </w:p>
    <w:p w14:paraId="18BA9CC7"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Kliniškai reikšmingų sisteminės ekspozicijos skirtumų tarp baltaodžių, juodaodžių ir azijiečių rasių nenustatyta.</w:t>
      </w:r>
    </w:p>
    <w:p w14:paraId="4A1D433A" w14:textId="77777777" w:rsidR="00023BBF" w:rsidRDefault="00023BBF">
      <w:pPr>
        <w:autoSpaceDE w:val="0"/>
        <w:autoSpaceDN w:val="0"/>
        <w:adjustRightInd w:val="0"/>
        <w:rPr>
          <w:rFonts w:eastAsiaTheme="minorHAnsi"/>
          <w:color w:val="000000"/>
          <w:sz w:val="22"/>
          <w:szCs w:val="22"/>
          <w:lang w:eastAsia="en-US"/>
        </w:rPr>
      </w:pPr>
    </w:p>
    <w:p w14:paraId="5FA8E61B" w14:textId="77777777" w:rsidR="00023BBF" w:rsidRDefault="00E17C37">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Kūno svoris</w:t>
      </w:r>
    </w:p>
    <w:p w14:paraId="6D907212"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Nustatyta, kad didėjant kūno svoriui dapagliflozino ekspozicija mažėja, todėl mažo svorio pacientų ekspozicija gali būti šiek tiek didesnė, o didelio – šiek tiek mažesnė. Vis dėlto šie ekspozicijos skirtumai reikšmingais kliniškai nelaikomi.</w:t>
      </w:r>
    </w:p>
    <w:p w14:paraId="59751BB1" w14:textId="77777777" w:rsidR="00023BBF" w:rsidRDefault="00023BBF">
      <w:pPr>
        <w:autoSpaceDE w:val="0"/>
        <w:autoSpaceDN w:val="0"/>
        <w:adjustRightInd w:val="0"/>
        <w:rPr>
          <w:rFonts w:eastAsiaTheme="minorHAnsi"/>
          <w:color w:val="000000"/>
          <w:sz w:val="22"/>
          <w:szCs w:val="22"/>
          <w:lang w:eastAsia="en-US"/>
        </w:rPr>
      </w:pPr>
    </w:p>
    <w:p w14:paraId="7CB43894"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Vaikų populiacija</w:t>
      </w:r>
    </w:p>
    <w:p w14:paraId="28EB7975"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Farmakokinetika ir farmakodinamika (</w:t>
      </w:r>
      <w:proofErr w:type="spellStart"/>
      <w:r>
        <w:rPr>
          <w:rFonts w:eastAsiaTheme="minorHAnsi"/>
          <w:color w:val="000000"/>
          <w:sz w:val="22"/>
          <w:szCs w:val="22"/>
          <w:lang w:eastAsia="en-US"/>
        </w:rPr>
        <w:t>gliukozurija</w:t>
      </w:r>
      <w:proofErr w:type="spellEnd"/>
      <w:r>
        <w:rPr>
          <w:rFonts w:eastAsiaTheme="minorHAnsi"/>
          <w:color w:val="000000"/>
          <w:sz w:val="22"/>
          <w:szCs w:val="22"/>
          <w:lang w:eastAsia="en-US"/>
        </w:rPr>
        <w:t>) 2 tipo cukriniu diabetu sirgusiems 10-17 metų vaikams buvo panaši kaip 2 tipo cukriniu diabetu sirgusiems suaugusiesiems.</w:t>
      </w:r>
    </w:p>
    <w:p w14:paraId="6C9F425C" w14:textId="77777777" w:rsidR="00023BBF" w:rsidRDefault="00023BBF">
      <w:pPr>
        <w:autoSpaceDE w:val="0"/>
        <w:autoSpaceDN w:val="0"/>
        <w:adjustRightInd w:val="0"/>
        <w:rPr>
          <w:rFonts w:eastAsiaTheme="minorHAnsi"/>
          <w:color w:val="000000"/>
          <w:sz w:val="22"/>
          <w:szCs w:val="22"/>
          <w:lang w:eastAsia="en-US"/>
        </w:rPr>
      </w:pPr>
    </w:p>
    <w:p w14:paraId="34C1C0DA" w14:textId="77777777" w:rsidR="00023BBF" w:rsidRDefault="00E17C37">
      <w:pPr>
        <w:autoSpaceDE w:val="0"/>
        <w:autoSpaceDN w:val="0"/>
        <w:adjustRightInd w:val="0"/>
        <w:rPr>
          <w:rFonts w:eastAsiaTheme="minorHAnsi"/>
          <w:color w:val="000000"/>
          <w:sz w:val="22"/>
          <w:szCs w:val="22"/>
          <w:u w:val="single"/>
          <w:lang w:eastAsia="en-US"/>
        </w:rPr>
      </w:pPr>
      <w:proofErr w:type="spellStart"/>
      <w:r>
        <w:rPr>
          <w:rFonts w:eastAsiaTheme="minorHAnsi"/>
          <w:color w:val="000000"/>
          <w:sz w:val="22"/>
          <w:szCs w:val="22"/>
          <w:u w:val="single"/>
          <w:lang w:eastAsia="en-US"/>
        </w:rPr>
        <w:t>Metforminas</w:t>
      </w:r>
      <w:proofErr w:type="spellEnd"/>
    </w:p>
    <w:p w14:paraId="081047BC"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Absorbcija</w:t>
      </w:r>
    </w:p>
    <w:p w14:paraId="739CB748"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Pavartojus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per burną, jo didžiausia koncentracija susidaro per 2,5 val. Absoliutus biologinis prieinamumas sveikiems žmonėms, išgėrusiems 500 mg arba 850 mg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tabletę, yra maždaug 50-60 %. Išgėrus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jo 20-30 % randama išmatose neabsorbuoto.</w:t>
      </w:r>
    </w:p>
    <w:p w14:paraId="5E304A01" w14:textId="77777777" w:rsidR="00023BBF" w:rsidRDefault="00023BBF">
      <w:pPr>
        <w:autoSpaceDE w:val="0"/>
        <w:autoSpaceDN w:val="0"/>
        <w:adjustRightInd w:val="0"/>
        <w:rPr>
          <w:rFonts w:eastAsiaTheme="minorHAnsi"/>
          <w:color w:val="000000"/>
          <w:sz w:val="22"/>
          <w:szCs w:val="22"/>
          <w:lang w:eastAsia="en-US"/>
        </w:rPr>
      </w:pPr>
    </w:p>
    <w:p w14:paraId="7D93E426" w14:textId="77777777" w:rsidR="00023BBF" w:rsidRDefault="00E17C37">
      <w:pPr>
        <w:widowControl w:val="0"/>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Per burną pavartoto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absorbcija yra įsotinama ir nevisiška.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absorbcijos kinetika laikoma netiesine. Vartojant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įprastomis dozėmis ir įprasta tvarka, </w:t>
      </w:r>
      <w:proofErr w:type="spellStart"/>
      <w:r>
        <w:rPr>
          <w:rFonts w:eastAsiaTheme="minorHAnsi"/>
          <w:color w:val="000000"/>
          <w:sz w:val="22"/>
          <w:szCs w:val="22"/>
          <w:lang w:eastAsia="en-US"/>
        </w:rPr>
        <w:t>pusiausvyrinė</w:t>
      </w:r>
      <w:proofErr w:type="spellEnd"/>
      <w:r>
        <w:rPr>
          <w:rFonts w:eastAsiaTheme="minorHAnsi"/>
          <w:color w:val="000000"/>
          <w:sz w:val="22"/>
          <w:szCs w:val="22"/>
          <w:lang w:eastAsia="en-US"/>
        </w:rPr>
        <w:t xml:space="preserve"> apykaita plazmoje nusistovi per 24-48 val. ir paprastai būna mažesnė kaip 1 </w:t>
      </w:r>
      <w:proofErr w:type="spellStart"/>
      <w:r>
        <w:rPr>
          <w:rFonts w:eastAsiaTheme="minorHAnsi"/>
          <w:color w:val="000000"/>
          <w:sz w:val="22"/>
          <w:szCs w:val="22"/>
          <w:lang w:eastAsia="en-US"/>
        </w:rPr>
        <w:t>μg</w:t>
      </w:r>
      <w:proofErr w:type="spellEnd"/>
      <w:r>
        <w:rPr>
          <w:rFonts w:eastAsiaTheme="minorHAnsi"/>
          <w:color w:val="000000"/>
          <w:sz w:val="22"/>
          <w:szCs w:val="22"/>
          <w:lang w:eastAsia="en-US"/>
        </w:rPr>
        <w:t xml:space="preserve">/ml. Kontroliuojamų klinikinių tyrimų metu didžiausia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koncentracija plazmoje (</w:t>
      </w:r>
      <w:proofErr w:type="spellStart"/>
      <w:r>
        <w:rPr>
          <w:rFonts w:eastAsiaTheme="minorHAnsi"/>
          <w:color w:val="000000"/>
          <w:sz w:val="22"/>
          <w:szCs w:val="22"/>
          <w:lang w:eastAsia="en-US"/>
        </w:rPr>
        <w:t>C</w:t>
      </w:r>
      <w:r>
        <w:rPr>
          <w:rFonts w:eastAsiaTheme="minorHAnsi"/>
          <w:color w:val="000000"/>
          <w:sz w:val="14"/>
          <w:szCs w:val="14"/>
          <w:lang w:eastAsia="en-US"/>
        </w:rPr>
        <w:t>max</w:t>
      </w:r>
      <w:proofErr w:type="spellEnd"/>
      <w:r>
        <w:rPr>
          <w:rFonts w:eastAsiaTheme="minorHAnsi"/>
          <w:color w:val="000000"/>
          <w:sz w:val="22"/>
          <w:szCs w:val="22"/>
          <w:lang w:eastAsia="en-US"/>
        </w:rPr>
        <w:t>) neviršijo 5 </w:t>
      </w:r>
      <w:proofErr w:type="spellStart"/>
      <w:r>
        <w:rPr>
          <w:rFonts w:eastAsiaTheme="minorHAnsi"/>
          <w:color w:val="000000"/>
          <w:sz w:val="22"/>
          <w:szCs w:val="22"/>
          <w:lang w:eastAsia="en-US"/>
        </w:rPr>
        <w:t>μg</w:t>
      </w:r>
      <w:proofErr w:type="spellEnd"/>
      <w:r>
        <w:rPr>
          <w:rFonts w:eastAsiaTheme="minorHAnsi"/>
          <w:color w:val="000000"/>
          <w:sz w:val="22"/>
          <w:szCs w:val="22"/>
          <w:lang w:eastAsia="en-US"/>
        </w:rPr>
        <w:t>/ml, net jį vartojant didžiausiomis dozėmis.</w:t>
      </w:r>
    </w:p>
    <w:p w14:paraId="2DA47334" w14:textId="77777777" w:rsidR="00023BBF" w:rsidRDefault="00023BBF">
      <w:pPr>
        <w:widowControl w:val="0"/>
        <w:autoSpaceDE w:val="0"/>
        <w:autoSpaceDN w:val="0"/>
        <w:adjustRightInd w:val="0"/>
        <w:rPr>
          <w:rFonts w:eastAsiaTheme="minorHAnsi"/>
          <w:color w:val="000000"/>
          <w:sz w:val="22"/>
          <w:szCs w:val="22"/>
          <w:lang w:eastAsia="en-US"/>
        </w:rPr>
      </w:pPr>
    </w:p>
    <w:p w14:paraId="18E44CDD"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Pasiskirstymas</w:t>
      </w:r>
    </w:p>
    <w:p w14:paraId="09656BE4"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Jungimasis prie plazmos baltymų yra nereikšmingas.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patenka į eritrocitus. Didžiausia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koncentracija kraujyje būna mažesnė negu plazmoje ir susidaro maždaug tuo pačiu metu. Eritrocitai tikriausiai yra antrinis pasiskirstymo skyrius. Vidutinio pasiskirstymo tūrio diapazonas – 63-276 litrai.</w:t>
      </w:r>
    </w:p>
    <w:p w14:paraId="12E8C6BF" w14:textId="77777777" w:rsidR="00023BBF" w:rsidRDefault="00023BBF">
      <w:pPr>
        <w:autoSpaceDE w:val="0"/>
        <w:autoSpaceDN w:val="0"/>
        <w:adjustRightInd w:val="0"/>
        <w:rPr>
          <w:rFonts w:eastAsiaTheme="minorHAnsi"/>
          <w:color w:val="000000"/>
          <w:sz w:val="22"/>
          <w:szCs w:val="22"/>
          <w:lang w:eastAsia="en-US"/>
        </w:rPr>
      </w:pPr>
    </w:p>
    <w:p w14:paraId="071D5AB7" w14:textId="77777777" w:rsidR="00023BBF" w:rsidRDefault="00E17C37">
      <w:pPr>
        <w:autoSpaceDE w:val="0"/>
        <w:autoSpaceDN w:val="0"/>
        <w:adjustRightInd w:val="0"/>
        <w:rPr>
          <w:rFonts w:eastAsiaTheme="minorHAnsi"/>
          <w:color w:val="000000"/>
          <w:sz w:val="22"/>
          <w:szCs w:val="22"/>
          <w:u w:val="single"/>
          <w:lang w:eastAsia="en-US"/>
        </w:rPr>
      </w:pPr>
      <w:proofErr w:type="spellStart"/>
      <w:r>
        <w:rPr>
          <w:rFonts w:eastAsiaTheme="minorHAnsi"/>
          <w:color w:val="000000"/>
          <w:sz w:val="22"/>
          <w:szCs w:val="22"/>
          <w:u w:val="single"/>
          <w:lang w:eastAsia="en-US"/>
        </w:rPr>
        <w:t>Biotransformacija</w:t>
      </w:r>
      <w:proofErr w:type="spellEnd"/>
    </w:p>
    <w:p w14:paraId="0C2DE358"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Metforminas</w:t>
      </w:r>
      <w:proofErr w:type="spellEnd"/>
      <w:r>
        <w:rPr>
          <w:rFonts w:eastAsiaTheme="minorHAnsi"/>
          <w:color w:val="000000"/>
          <w:sz w:val="22"/>
          <w:szCs w:val="22"/>
          <w:lang w:eastAsia="en-US"/>
        </w:rPr>
        <w:t xml:space="preserve"> nepakitęs išskiriamas su šlapimu. Metabolitų žmogaus organizme nerasta.</w:t>
      </w:r>
    </w:p>
    <w:p w14:paraId="577757AC" w14:textId="77777777" w:rsidR="00023BBF" w:rsidRDefault="00023BBF">
      <w:pPr>
        <w:autoSpaceDE w:val="0"/>
        <w:autoSpaceDN w:val="0"/>
        <w:adjustRightInd w:val="0"/>
        <w:rPr>
          <w:rFonts w:eastAsiaTheme="minorHAnsi"/>
          <w:color w:val="000000"/>
          <w:sz w:val="22"/>
          <w:szCs w:val="22"/>
          <w:lang w:eastAsia="en-US"/>
        </w:rPr>
      </w:pPr>
    </w:p>
    <w:p w14:paraId="186B3DE0"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Eliminacija</w:t>
      </w:r>
    </w:p>
    <w:p w14:paraId="65316C6D"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inkstų klirensas viršija 400 ml/min. (tai rodo eliminaciją </w:t>
      </w:r>
      <w:proofErr w:type="spellStart"/>
      <w:r>
        <w:rPr>
          <w:rFonts w:eastAsiaTheme="minorHAnsi"/>
          <w:color w:val="000000"/>
          <w:sz w:val="22"/>
          <w:szCs w:val="22"/>
          <w:lang w:eastAsia="en-US"/>
        </w:rPr>
        <w:t>glomerulų</w:t>
      </w:r>
      <w:proofErr w:type="spellEnd"/>
      <w:r>
        <w:rPr>
          <w:rFonts w:eastAsiaTheme="minorHAnsi"/>
          <w:color w:val="000000"/>
          <w:sz w:val="22"/>
          <w:szCs w:val="22"/>
          <w:lang w:eastAsia="en-US"/>
        </w:rPr>
        <w:t xml:space="preserve"> filtracijos ir kanalėlių sekrecijos būdais). Pavartojus vieną dozę per burną, tariamasis galutinis pusinės eliminacijos periodas būna maždaug 6,5 val.</w:t>
      </w:r>
    </w:p>
    <w:p w14:paraId="34197853" w14:textId="77777777" w:rsidR="00023BBF" w:rsidRDefault="00023BBF">
      <w:pPr>
        <w:autoSpaceDE w:val="0"/>
        <w:autoSpaceDN w:val="0"/>
        <w:adjustRightInd w:val="0"/>
        <w:rPr>
          <w:rFonts w:eastAsiaTheme="minorHAnsi"/>
          <w:color w:val="000000"/>
          <w:sz w:val="22"/>
          <w:szCs w:val="22"/>
          <w:lang w:eastAsia="en-US"/>
        </w:rPr>
      </w:pPr>
    </w:p>
    <w:p w14:paraId="5029E31D"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Ypatingos populiacijos</w:t>
      </w:r>
    </w:p>
    <w:p w14:paraId="71FABD01"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Sutrikusi inkstų funkcija</w:t>
      </w:r>
    </w:p>
    <w:p w14:paraId="3B31B7AA" w14:textId="77777777" w:rsidR="00023BBF" w:rsidRDefault="00E17C37">
      <w:pPr>
        <w:widowControl w:val="0"/>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Susilpnėjus inkstų funkcijai (vertinant pagal kreatinino klirensą),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pusinio buvimo periodas plazmoje ir kraujyje pailgėja, o inkstų klirensas sumažėja proporcingai kreatinino klirenso sumažėjimui, todėl koncentracija plazmoje būna didesnė.</w:t>
      </w:r>
    </w:p>
    <w:p w14:paraId="7D5FC899" w14:textId="77777777" w:rsidR="00023BBF" w:rsidRDefault="00023BBF">
      <w:pPr>
        <w:widowControl w:val="0"/>
        <w:autoSpaceDE w:val="0"/>
        <w:autoSpaceDN w:val="0"/>
        <w:adjustRightInd w:val="0"/>
        <w:rPr>
          <w:rFonts w:eastAsia="TimesNewRoman"/>
          <w:sz w:val="22"/>
          <w:szCs w:val="22"/>
          <w:lang w:eastAsia="en-US"/>
        </w:rPr>
      </w:pPr>
    </w:p>
    <w:p w14:paraId="5E9F9F99" w14:textId="77777777" w:rsidR="00023BBF" w:rsidRDefault="00E17C37">
      <w:pPr>
        <w:widowControl w:val="0"/>
        <w:tabs>
          <w:tab w:val="left" w:pos="567"/>
        </w:tabs>
        <w:ind w:left="567" w:hanging="567"/>
        <w:outlineLvl w:val="2"/>
        <w:rPr>
          <w:b/>
          <w:kern w:val="28"/>
          <w:sz w:val="22"/>
          <w:szCs w:val="22"/>
          <w:lang w:eastAsia="en-US"/>
        </w:rPr>
      </w:pPr>
      <w:r>
        <w:rPr>
          <w:b/>
          <w:kern w:val="28"/>
          <w:sz w:val="22"/>
          <w:szCs w:val="22"/>
          <w:lang w:eastAsia="en-US"/>
        </w:rPr>
        <w:t>5.3</w:t>
      </w:r>
      <w:r>
        <w:rPr>
          <w:b/>
          <w:kern w:val="28"/>
          <w:sz w:val="22"/>
          <w:szCs w:val="22"/>
          <w:lang w:eastAsia="en-US"/>
        </w:rPr>
        <w:tab/>
      </w:r>
      <w:proofErr w:type="spellStart"/>
      <w:r>
        <w:rPr>
          <w:b/>
          <w:kern w:val="28"/>
          <w:sz w:val="22"/>
          <w:szCs w:val="22"/>
          <w:lang w:eastAsia="en-US"/>
        </w:rPr>
        <w:t>Ikiklinikinių</w:t>
      </w:r>
      <w:proofErr w:type="spellEnd"/>
      <w:r>
        <w:rPr>
          <w:b/>
          <w:kern w:val="28"/>
          <w:sz w:val="22"/>
          <w:szCs w:val="22"/>
          <w:lang w:eastAsia="en-US"/>
        </w:rPr>
        <w:t xml:space="preserve"> saugumo tyrimų duomenys</w:t>
      </w:r>
    </w:p>
    <w:p w14:paraId="2CBAA0E7" w14:textId="77777777" w:rsidR="00023BBF" w:rsidRDefault="00023BBF">
      <w:pPr>
        <w:widowControl w:val="0"/>
        <w:autoSpaceDE w:val="0"/>
        <w:autoSpaceDN w:val="0"/>
        <w:adjustRightInd w:val="0"/>
        <w:rPr>
          <w:rFonts w:eastAsia="TimesNewRoman"/>
          <w:sz w:val="22"/>
          <w:szCs w:val="22"/>
          <w:lang w:eastAsia="en-US"/>
        </w:rPr>
      </w:pPr>
    </w:p>
    <w:p w14:paraId="0EBB7C1D"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 xml:space="preserve">Kartu vartomi dapagliflozinas ir </w:t>
      </w:r>
      <w:proofErr w:type="spellStart"/>
      <w:r>
        <w:rPr>
          <w:rFonts w:eastAsiaTheme="minorHAnsi"/>
          <w:color w:val="000000"/>
          <w:sz w:val="22"/>
          <w:szCs w:val="22"/>
          <w:u w:val="single"/>
          <w:lang w:eastAsia="en-US"/>
        </w:rPr>
        <w:t>metforminas</w:t>
      </w:r>
      <w:proofErr w:type="spellEnd"/>
    </w:p>
    <w:p w14:paraId="49950EDF"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lastRenderedPageBreak/>
        <w:t xml:space="preserve">Įprastų kartotinių dozių toksiškumo </w:t>
      </w:r>
      <w:proofErr w:type="spellStart"/>
      <w:r>
        <w:rPr>
          <w:rFonts w:eastAsiaTheme="minorHAnsi"/>
          <w:color w:val="000000"/>
          <w:sz w:val="22"/>
          <w:szCs w:val="22"/>
          <w:lang w:eastAsia="en-US"/>
        </w:rPr>
        <w:t>ikiklinikinių</w:t>
      </w:r>
      <w:proofErr w:type="spellEnd"/>
      <w:r>
        <w:rPr>
          <w:rFonts w:eastAsiaTheme="minorHAnsi"/>
          <w:color w:val="000000"/>
          <w:sz w:val="22"/>
          <w:szCs w:val="22"/>
          <w:lang w:eastAsia="en-US"/>
        </w:rPr>
        <w:t xml:space="preserve"> tyrimų duomenys specifinio pavojaus žmogui nerodo.</w:t>
      </w:r>
    </w:p>
    <w:p w14:paraId="76684C89" w14:textId="77777777" w:rsidR="00023BBF" w:rsidRDefault="00023BBF">
      <w:pPr>
        <w:autoSpaceDE w:val="0"/>
        <w:autoSpaceDN w:val="0"/>
        <w:adjustRightInd w:val="0"/>
        <w:rPr>
          <w:rFonts w:eastAsiaTheme="minorHAnsi"/>
          <w:color w:val="000000"/>
          <w:sz w:val="22"/>
          <w:szCs w:val="22"/>
          <w:lang w:eastAsia="en-US"/>
        </w:rPr>
      </w:pPr>
    </w:p>
    <w:p w14:paraId="1A4D2792"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Žemiau pateikiami atskirų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veikliųjų medžiagų </w:t>
      </w:r>
      <w:proofErr w:type="spellStart"/>
      <w:r>
        <w:rPr>
          <w:rFonts w:eastAsiaTheme="minorHAnsi"/>
          <w:color w:val="000000"/>
          <w:sz w:val="22"/>
          <w:szCs w:val="22"/>
          <w:lang w:eastAsia="en-US"/>
        </w:rPr>
        <w:t>ikiklinikinio</w:t>
      </w:r>
      <w:proofErr w:type="spellEnd"/>
      <w:r>
        <w:rPr>
          <w:rFonts w:eastAsiaTheme="minorHAnsi"/>
          <w:color w:val="000000"/>
          <w:sz w:val="22"/>
          <w:szCs w:val="22"/>
          <w:lang w:eastAsia="en-US"/>
        </w:rPr>
        <w:t xml:space="preserve"> saugumo duomenys.</w:t>
      </w:r>
    </w:p>
    <w:p w14:paraId="1CF3D300" w14:textId="77777777" w:rsidR="00023BBF" w:rsidRDefault="00023BBF">
      <w:pPr>
        <w:autoSpaceDE w:val="0"/>
        <w:autoSpaceDN w:val="0"/>
        <w:adjustRightInd w:val="0"/>
        <w:rPr>
          <w:rFonts w:eastAsiaTheme="minorHAnsi"/>
          <w:color w:val="000000"/>
          <w:sz w:val="22"/>
          <w:szCs w:val="22"/>
          <w:lang w:eastAsia="en-US"/>
        </w:rPr>
      </w:pPr>
    </w:p>
    <w:p w14:paraId="50F25B00"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Dapagliflozinas</w:t>
      </w:r>
    </w:p>
    <w:p w14:paraId="7C99EB15"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Įprastų farmakologinio saugumo, kartotinių dozių toksiškumo, </w:t>
      </w:r>
      <w:proofErr w:type="spellStart"/>
      <w:r>
        <w:rPr>
          <w:rFonts w:eastAsiaTheme="minorHAnsi"/>
          <w:color w:val="000000"/>
          <w:sz w:val="22"/>
          <w:szCs w:val="22"/>
          <w:lang w:eastAsia="en-US"/>
        </w:rPr>
        <w:t>genotoksiškumo</w:t>
      </w:r>
      <w:proofErr w:type="spellEnd"/>
      <w:r>
        <w:rPr>
          <w:rFonts w:eastAsiaTheme="minorHAnsi"/>
          <w:color w:val="000000"/>
          <w:sz w:val="22"/>
          <w:szCs w:val="22"/>
          <w:lang w:eastAsia="en-US"/>
        </w:rPr>
        <w:t xml:space="preserve">, galimo </w:t>
      </w:r>
      <w:proofErr w:type="spellStart"/>
      <w:r>
        <w:rPr>
          <w:rFonts w:eastAsiaTheme="minorHAnsi"/>
          <w:color w:val="000000"/>
          <w:sz w:val="22"/>
          <w:szCs w:val="22"/>
          <w:lang w:eastAsia="en-US"/>
        </w:rPr>
        <w:t>kancerogeniškumo</w:t>
      </w:r>
      <w:proofErr w:type="spellEnd"/>
      <w:r>
        <w:rPr>
          <w:rFonts w:eastAsiaTheme="minorHAnsi"/>
          <w:color w:val="000000"/>
          <w:sz w:val="22"/>
          <w:szCs w:val="22"/>
          <w:lang w:eastAsia="en-US"/>
        </w:rPr>
        <w:t xml:space="preserve"> ir poveikio vaisingumui </w:t>
      </w:r>
      <w:proofErr w:type="spellStart"/>
      <w:r>
        <w:rPr>
          <w:rFonts w:eastAsiaTheme="minorHAnsi"/>
          <w:color w:val="000000"/>
          <w:sz w:val="22"/>
          <w:szCs w:val="22"/>
          <w:lang w:eastAsia="en-US"/>
        </w:rPr>
        <w:t>ikiklinikinių</w:t>
      </w:r>
      <w:proofErr w:type="spellEnd"/>
      <w:r>
        <w:rPr>
          <w:rFonts w:eastAsiaTheme="minorHAnsi"/>
          <w:color w:val="000000"/>
          <w:sz w:val="22"/>
          <w:szCs w:val="22"/>
          <w:lang w:eastAsia="en-US"/>
        </w:rPr>
        <w:t xml:space="preserve"> tyrimų duomenys specifinio pavojaus žmogui nerodo. 2 metų trukmės </w:t>
      </w:r>
      <w:proofErr w:type="spellStart"/>
      <w:r>
        <w:rPr>
          <w:rFonts w:eastAsiaTheme="minorHAnsi"/>
          <w:color w:val="000000"/>
          <w:sz w:val="22"/>
          <w:szCs w:val="22"/>
          <w:lang w:eastAsia="en-US"/>
        </w:rPr>
        <w:t>kancerogeniškumo</w:t>
      </w:r>
      <w:proofErr w:type="spellEnd"/>
      <w:r>
        <w:rPr>
          <w:rFonts w:eastAsiaTheme="minorHAnsi"/>
          <w:color w:val="000000"/>
          <w:sz w:val="22"/>
          <w:szCs w:val="22"/>
          <w:lang w:eastAsia="en-US"/>
        </w:rPr>
        <w:t xml:space="preserve"> tyrimų metu jokia dapagliflozino dozė navikų pelėms ir žiurkėms nesukėlė.</w:t>
      </w:r>
    </w:p>
    <w:p w14:paraId="37DC8DE6" w14:textId="77777777" w:rsidR="00023BBF" w:rsidRDefault="00023BBF">
      <w:pPr>
        <w:autoSpaceDE w:val="0"/>
        <w:autoSpaceDN w:val="0"/>
        <w:adjustRightInd w:val="0"/>
        <w:rPr>
          <w:rFonts w:eastAsiaTheme="minorHAnsi"/>
          <w:color w:val="000000"/>
          <w:sz w:val="22"/>
          <w:szCs w:val="22"/>
          <w:lang w:eastAsia="en-US"/>
        </w:rPr>
      </w:pPr>
    </w:p>
    <w:p w14:paraId="233C8168"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Toksinis poveikis reprodukcijai ir vystymuisi</w:t>
      </w:r>
    </w:p>
    <w:p w14:paraId="633D25E1"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Tiesioginis dapagliflozino davimas nujunkomiems žiurkių jaunikliams, netiesioginė jo ekspozicija vaikingumo pabaigoje (pagal inkstų vystymąsi antrąjį ir trečiąjį žmogaus nėštumo trimestrus atitinkančiu laiku) ir žindymo laikotarpiu </w:t>
      </w:r>
      <w:proofErr w:type="spellStart"/>
      <w:r>
        <w:rPr>
          <w:rFonts w:eastAsiaTheme="minorHAnsi"/>
          <w:color w:val="000000"/>
          <w:sz w:val="22"/>
          <w:szCs w:val="22"/>
          <w:lang w:eastAsia="en-US"/>
        </w:rPr>
        <w:t>palikuonims</w:t>
      </w:r>
      <w:proofErr w:type="spellEnd"/>
      <w:r>
        <w:rPr>
          <w:rFonts w:eastAsiaTheme="minorHAnsi"/>
          <w:color w:val="000000"/>
          <w:sz w:val="22"/>
          <w:szCs w:val="22"/>
          <w:lang w:eastAsia="en-US"/>
        </w:rPr>
        <w:t xml:space="preserve"> sukėlė inkstų geldelių ir kanalėlių išsiplėtimo padažnėjimą ir (arba) pasunkėjimą (kiekvienu iš šių atvejų).</w:t>
      </w:r>
    </w:p>
    <w:p w14:paraId="3BE3244C" w14:textId="77777777" w:rsidR="00023BBF" w:rsidRDefault="00023BBF">
      <w:pPr>
        <w:autoSpaceDE w:val="0"/>
        <w:autoSpaceDN w:val="0"/>
        <w:adjustRightInd w:val="0"/>
        <w:rPr>
          <w:rFonts w:eastAsiaTheme="minorHAnsi"/>
          <w:color w:val="000000"/>
          <w:sz w:val="22"/>
          <w:szCs w:val="22"/>
          <w:lang w:eastAsia="en-US"/>
        </w:rPr>
      </w:pPr>
    </w:p>
    <w:p w14:paraId="13F43F3E"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Toksinio poveikio jaunikliams tyrimo metu dapagliflozino duodant tiesiogiai žiurkių jaunikliams nuo 21-os iki 90-os jų gyvenimo dienos, visų dozių grupių gyvūnams rasta išsiplėtusių inkstų geldelių ir kanalėlių (mažiausios tirtos dozės sukelta ekspozicija jaunikliams 15 ar daugiau kartų viršijo susidarančią žmogui vartojant didžiausią rekomenduojamą dozę). Šie radiniai visų dozių grupių gyvūnams buvo susiję su nuo dozės priklausomu inkstų svorio padidėjimu ir </w:t>
      </w:r>
      <w:proofErr w:type="spellStart"/>
      <w:r>
        <w:rPr>
          <w:rFonts w:eastAsiaTheme="minorHAnsi"/>
          <w:color w:val="000000"/>
          <w:sz w:val="22"/>
          <w:szCs w:val="22"/>
          <w:lang w:eastAsia="en-US"/>
        </w:rPr>
        <w:t>makroskopiniu</w:t>
      </w:r>
      <w:proofErr w:type="spellEnd"/>
      <w:r>
        <w:rPr>
          <w:rFonts w:eastAsiaTheme="minorHAnsi"/>
          <w:color w:val="000000"/>
          <w:sz w:val="22"/>
          <w:szCs w:val="22"/>
          <w:lang w:eastAsia="en-US"/>
        </w:rPr>
        <w:t xml:space="preserve"> inkstų padidėjimu. Maždaug 1 mėn. vaistinio preparato nedavus, žiurkių jauniklių inkstų geldelių ir inkstų kanalėlių išsiplėtimas pilnai nepraėjo.</w:t>
      </w:r>
    </w:p>
    <w:p w14:paraId="1C2AF9E1" w14:textId="77777777" w:rsidR="00023BBF" w:rsidRDefault="00023BBF">
      <w:pPr>
        <w:autoSpaceDE w:val="0"/>
        <w:autoSpaceDN w:val="0"/>
        <w:adjustRightInd w:val="0"/>
        <w:rPr>
          <w:rFonts w:eastAsiaTheme="minorHAnsi"/>
          <w:color w:val="000000"/>
          <w:sz w:val="22"/>
          <w:szCs w:val="22"/>
          <w:lang w:eastAsia="en-US"/>
        </w:rPr>
      </w:pPr>
    </w:p>
    <w:p w14:paraId="37C0E3BD" w14:textId="77777777" w:rsidR="00023BBF" w:rsidRDefault="00E17C37">
      <w:pPr>
        <w:pStyle w:val="Default"/>
        <w:rPr>
          <w:rFonts w:eastAsiaTheme="minorHAnsi"/>
          <w:sz w:val="22"/>
          <w:szCs w:val="22"/>
          <w:lang w:val="lt-LT" w:eastAsia="en-US"/>
        </w:rPr>
      </w:pPr>
      <w:r>
        <w:rPr>
          <w:rFonts w:eastAsiaTheme="minorHAnsi"/>
          <w:sz w:val="22"/>
          <w:szCs w:val="22"/>
          <w:lang w:val="lt-LT" w:eastAsia="en-US"/>
        </w:rPr>
        <w:t xml:space="preserve">Atskirai tiriant poveikį </w:t>
      </w:r>
      <w:proofErr w:type="spellStart"/>
      <w:r>
        <w:rPr>
          <w:rFonts w:eastAsiaTheme="minorHAnsi"/>
          <w:sz w:val="22"/>
          <w:szCs w:val="22"/>
          <w:lang w:val="lt-LT" w:eastAsia="en-US"/>
        </w:rPr>
        <w:t>prenataliniam</w:t>
      </w:r>
      <w:proofErr w:type="spellEnd"/>
      <w:r>
        <w:rPr>
          <w:rFonts w:eastAsiaTheme="minorHAnsi"/>
          <w:sz w:val="22"/>
          <w:szCs w:val="22"/>
          <w:lang w:val="lt-LT" w:eastAsia="en-US"/>
        </w:rPr>
        <w:t xml:space="preserve"> ir </w:t>
      </w:r>
      <w:proofErr w:type="spellStart"/>
      <w:r>
        <w:rPr>
          <w:rFonts w:eastAsiaTheme="minorHAnsi"/>
          <w:sz w:val="22"/>
          <w:szCs w:val="22"/>
          <w:lang w:val="lt-LT" w:eastAsia="en-US"/>
        </w:rPr>
        <w:t>postnataliniam</w:t>
      </w:r>
      <w:proofErr w:type="spellEnd"/>
      <w:r>
        <w:rPr>
          <w:rFonts w:eastAsiaTheme="minorHAnsi"/>
          <w:sz w:val="22"/>
          <w:szCs w:val="22"/>
          <w:lang w:val="lt-LT" w:eastAsia="en-US"/>
        </w:rPr>
        <w:t xml:space="preserve"> vystymuisi, vaikingoms žiurkių patelėms duota dapagliflozino nuo 6-os vaikingumo dienos iki 21-os dienos po atsivedimo – tokiu būdu buvo </w:t>
      </w:r>
      <w:proofErr w:type="spellStart"/>
      <w:r>
        <w:rPr>
          <w:rFonts w:eastAsiaTheme="minorHAnsi"/>
          <w:sz w:val="22"/>
          <w:szCs w:val="22"/>
          <w:lang w:val="lt-LT" w:eastAsia="en-US"/>
        </w:rPr>
        <w:t>palikuonims</w:t>
      </w:r>
      <w:proofErr w:type="spellEnd"/>
      <w:r>
        <w:rPr>
          <w:rFonts w:eastAsiaTheme="minorHAnsi"/>
          <w:sz w:val="22"/>
          <w:szCs w:val="22"/>
          <w:lang w:val="lt-LT" w:eastAsia="en-US"/>
        </w:rPr>
        <w:t xml:space="preserve"> </w:t>
      </w:r>
      <w:proofErr w:type="spellStart"/>
      <w:r>
        <w:rPr>
          <w:rFonts w:eastAsiaTheme="minorHAnsi"/>
          <w:i/>
          <w:iCs/>
          <w:sz w:val="22"/>
          <w:szCs w:val="22"/>
          <w:lang w:val="lt-LT" w:eastAsia="en-US"/>
        </w:rPr>
        <w:t>in</w:t>
      </w:r>
      <w:proofErr w:type="spellEnd"/>
      <w:r>
        <w:rPr>
          <w:rFonts w:eastAsiaTheme="minorHAnsi"/>
          <w:i/>
          <w:iCs/>
          <w:sz w:val="22"/>
          <w:szCs w:val="22"/>
          <w:lang w:val="lt-LT" w:eastAsia="en-US"/>
        </w:rPr>
        <w:t xml:space="preserve"> </w:t>
      </w:r>
      <w:proofErr w:type="spellStart"/>
      <w:r>
        <w:rPr>
          <w:rFonts w:eastAsiaTheme="minorHAnsi"/>
          <w:i/>
          <w:iCs/>
          <w:sz w:val="22"/>
          <w:szCs w:val="22"/>
          <w:lang w:val="lt-LT" w:eastAsia="en-US"/>
        </w:rPr>
        <w:t>utero</w:t>
      </w:r>
      <w:proofErr w:type="spellEnd"/>
      <w:r>
        <w:rPr>
          <w:rFonts w:eastAsiaTheme="minorHAnsi"/>
          <w:i/>
          <w:iCs/>
          <w:sz w:val="22"/>
          <w:szCs w:val="22"/>
          <w:lang w:val="lt-LT" w:eastAsia="en-US"/>
        </w:rPr>
        <w:t xml:space="preserve"> </w:t>
      </w:r>
      <w:r>
        <w:rPr>
          <w:rFonts w:eastAsiaTheme="minorHAnsi"/>
          <w:sz w:val="22"/>
          <w:szCs w:val="22"/>
          <w:lang w:val="lt-LT" w:eastAsia="en-US"/>
        </w:rPr>
        <w:t xml:space="preserve">ir žindymo laikotarpiu sukelta netiesioginė jo ekspozicija (kartu atliktas satelitinis dapagliflozino ekspozicijos piene ir </w:t>
      </w:r>
      <w:proofErr w:type="spellStart"/>
      <w:r>
        <w:rPr>
          <w:rFonts w:eastAsiaTheme="minorHAnsi"/>
          <w:sz w:val="22"/>
          <w:szCs w:val="22"/>
          <w:lang w:val="lt-LT" w:eastAsia="en-US"/>
        </w:rPr>
        <w:t>palikuonims</w:t>
      </w:r>
      <w:proofErr w:type="spellEnd"/>
      <w:r>
        <w:rPr>
          <w:rFonts w:eastAsiaTheme="minorHAnsi"/>
          <w:sz w:val="22"/>
          <w:szCs w:val="22"/>
          <w:lang w:val="lt-LT" w:eastAsia="en-US"/>
        </w:rPr>
        <w:t xml:space="preserve"> tyrimas). Dapagliflozino gavusių patelių suaugusiems </w:t>
      </w:r>
      <w:proofErr w:type="spellStart"/>
      <w:r>
        <w:rPr>
          <w:rFonts w:eastAsiaTheme="minorHAnsi"/>
          <w:sz w:val="22"/>
          <w:szCs w:val="22"/>
          <w:lang w:val="lt-LT" w:eastAsia="en-US"/>
        </w:rPr>
        <w:t>palikuonims</w:t>
      </w:r>
      <w:proofErr w:type="spellEnd"/>
      <w:r>
        <w:rPr>
          <w:rFonts w:eastAsiaTheme="minorHAnsi"/>
          <w:sz w:val="22"/>
          <w:szCs w:val="22"/>
          <w:lang w:val="lt-LT" w:eastAsia="en-US"/>
        </w:rPr>
        <w:t xml:space="preserve"> inkstų geldelių išsiplėtimas rastas dažniau ir (ar) sunkesnio laipsnio, tačiau tik didžiausios tirtos dozės grupėje (kai dapagliflozino ekspozicija patelėms 1 415 kartų, o jų </w:t>
      </w:r>
      <w:proofErr w:type="spellStart"/>
      <w:r>
        <w:rPr>
          <w:rFonts w:eastAsiaTheme="minorHAnsi"/>
          <w:sz w:val="22"/>
          <w:szCs w:val="22"/>
          <w:lang w:val="lt-LT" w:eastAsia="en-US"/>
        </w:rPr>
        <w:t>palikuonims</w:t>
      </w:r>
      <w:proofErr w:type="spellEnd"/>
      <w:r>
        <w:rPr>
          <w:rFonts w:eastAsiaTheme="minorHAnsi"/>
          <w:sz w:val="22"/>
          <w:szCs w:val="22"/>
          <w:lang w:val="lt-LT" w:eastAsia="en-US"/>
        </w:rPr>
        <w:t xml:space="preserve"> – 137 kartus viršijo susidarančią žmogui vartojant didžiausią rekomenduojamą dozę). Kitoks toksinis poveikis vystymuisi pasireiškė tik su doze susijusiu palikuonių kūno svorio sumažėjimu, pasireiškusiu tik nuo ≥ 15 mg/kg paros dozių (palikuonių ekspozicija tuomet ≥ 29 kartų viršijo susidarančią žmogui vartojant didžiausią rekomenduojamą dozę). Toksinis poveikis vaikingai ar atsivedusiai patelei nustatytas tik tiriant didžiausią dozę. Jis pasireiškė tik trumpalaikiu kūno svorio ir maisto suvartojimo sumažėjimu. Tiriant toksinį poveikį vystymuisi nustatyta, kad jam nekenkia tokia mažiausia dozė (NOAEL, </w:t>
      </w:r>
      <w:r>
        <w:rPr>
          <w:rFonts w:eastAsiaTheme="minorHAnsi"/>
          <w:i/>
          <w:iCs/>
          <w:sz w:val="22"/>
          <w:szCs w:val="22"/>
          <w:lang w:val="lt-LT" w:eastAsia="en-US"/>
        </w:rPr>
        <w:t xml:space="preserve">angl. </w:t>
      </w:r>
      <w:proofErr w:type="spellStart"/>
      <w:r>
        <w:rPr>
          <w:rFonts w:eastAsiaTheme="minorHAnsi"/>
          <w:i/>
          <w:iCs/>
          <w:sz w:val="22"/>
          <w:szCs w:val="22"/>
          <w:lang w:val="lt-LT" w:eastAsia="en-US"/>
        </w:rPr>
        <w:t>no</w:t>
      </w:r>
      <w:proofErr w:type="spellEnd"/>
      <w:r>
        <w:rPr>
          <w:rFonts w:eastAsiaTheme="minorHAnsi"/>
          <w:i/>
          <w:iCs/>
          <w:sz w:val="22"/>
          <w:szCs w:val="22"/>
          <w:lang w:val="lt-LT" w:eastAsia="en-US"/>
        </w:rPr>
        <w:t xml:space="preserve"> </w:t>
      </w:r>
      <w:proofErr w:type="spellStart"/>
      <w:r>
        <w:rPr>
          <w:rFonts w:eastAsiaTheme="minorHAnsi"/>
          <w:i/>
          <w:iCs/>
          <w:sz w:val="22"/>
          <w:szCs w:val="22"/>
          <w:lang w:val="lt-LT" w:eastAsia="en-US"/>
        </w:rPr>
        <w:t>observed</w:t>
      </w:r>
      <w:proofErr w:type="spellEnd"/>
      <w:r>
        <w:rPr>
          <w:rFonts w:eastAsiaTheme="minorHAnsi"/>
          <w:i/>
          <w:iCs/>
          <w:sz w:val="22"/>
          <w:szCs w:val="22"/>
          <w:lang w:val="lt-LT" w:eastAsia="en-US"/>
        </w:rPr>
        <w:t xml:space="preserve"> </w:t>
      </w:r>
      <w:proofErr w:type="spellStart"/>
      <w:r>
        <w:rPr>
          <w:rFonts w:eastAsiaTheme="minorHAnsi"/>
          <w:i/>
          <w:iCs/>
          <w:sz w:val="22"/>
          <w:szCs w:val="22"/>
          <w:lang w:val="lt-LT" w:eastAsia="en-US"/>
        </w:rPr>
        <w:t>adverse</w:t>
      </w:r>
      <w:proofErr w:type="spellEnd"/>
      <w:r>
        <w:rPr>
          <w:rFonts w:eastAsiaTheme="minorHAnsi"/>
          <w:i/>
          <w:iCs/>
          <w:sz w:val="22"/>
          <w:szCs w:val="22"/>
          <w:lang w:val="lt-LT" w:eastAsia="en-US"/>
        </w:rPr>
        <w:t xml:space="preserve"> </w:t>
      </w:r>
      <w:proofErr w:type="spellStart"/>
      <w:r>
        <w:rPr>
          <w:rFonts w:eastAsiaTheme="minorHAnsi"/>
          <w:i/>
          <w:iCs/>
          <w:sz w:val="22"/>
          <w:szCs w:val="22"/>
          <w:lang w:val="lt-LT" w:eastAsia="en-US"/>
        </w:rPr>
        <w:t>effect</w:t>
      </w:r>
      <w:proofErr w:type="spellEnd"/>
      <w:r>
        <w:rPr>
          <w:rFonts w:eastAsiaTheme="minorHAnsi"/>
          <w:i/>
          <w:iCs/>
          <w:sz w:val="22"/>
          <w:szCs w:val="22"/>
          <w:lang w:val="lt-LT" w:eastAsia="en-US"/>
        </w:rPr>
        <w:t xml:space="preserve"> </w:t>
      </w:r>
      <w:proofErr w:type="spellStart"/>
      <w:r>
        <w:rPr>
          <w:rFonts w:eastAsiaTheme="minorHAnsi"/>
          <w:i/>
          <w:iCs/>
          <w:sz w:val="22"/>
          <w:szCs w:val="22"/>
          <w:lang w:val="lt-LT" w:eastAsia="en-US"/>
        </w:rPr>
        <w:t>level</w:t>
      </w:r>
      <w:proofErr w:type="spellEnd"/>
      <w:r>
        <w:rPr>
          <w:rFonts w:eastAsiaTheme="minorHAnsi"/>
          <w:sz w:val="22"/>
          <w:szCs w:val="22"/>
          <w:lang w:val="lt-LT" w:eastAsia="en-US"/>
        </w:rPr>
        <w:t>), kurios sukelta sisteminė ekspozicija vaikingai ar atsivedusiai patelei maždaug 19 kartų viršija susidarančią žmogui vartojant didžiausią rekomenduojamą dozę.</w:t>
      </w:r>
    </w:p>
    <w:p w14:paraId="7DED8992" w14:textId="77777777" w:rsidR="00023BBF" w:rsidRDefault="00023BBF">
      <w:pPr>
        <w:pStyle w:val="Default"/>
        <w:rPr>
          <w:rFonts w:eastAsiaTheme="minorHAnsi"/>
          <w:sz w:val="22"/>
          <w:szCs w:val="22"/>
          <w:lang w:val="lt-LT" w:eastAsia="en-US"/>
        </w:rPr>
      </w:pPr>
    </w:p>
    <w:p w14:paraId="1CC3A3EC"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Papildomų poveikio žiurkių ir triušių embrionų ir vaisių vystymuisi tyrimų metu dapagliflozino buvo duodama intervalais, atitinkančiais pagrindinius kiekvienos rūšies </w:t>
      </w:r>
      <w:proofErr w:type="spellStart"/>
      <w:r>
        <w:rPr>
          <w:rFonts w:eastAsiaTheme="minorHAnsi"/>
          <w:color w:val="000000"/>
          <w:sz w:val="22"/>
          <w:szCs w:val="22"/>
          <w:lang w:eastAsia="en-US"/>
        </w:rPr>
        <w:t>organogenezės</w:t>
      </w:r>
      <w:proofErr w:type="spellEnd"/>
      <w:r>
        <w:rPr>
          <w:rFonts w:eastAsiaTheme="minorHAnsi"/>
          <w:color w:val="000000"/>
          <w:sz w:val="22"/>
          <w:szCs w:val="22"/>
          <w:lang w:eastAsia="en-US"/>
        </w:rPr>
        <w:t xml:space="preserve"> laikotarpius. Jokios tirtos dozės toksinio poveikio vaikingoms triušių patelėms ar jų atsivestų jauniklių vystymuisi nenustatyta (didžiausios tirtos dozės sukelta sisteminė ekspozicija maždaug 1 191 kartą viršijo susidarančią žmogui vartojant didžiausią rekomenduojamą dozę). Žiurkių ekspozicijai iki 1 441 karto viršijus susidarančią žmogui vartojant didžiausią rekomenduojamą dozę, embrionų žuvimo ar </w:t>
      </w:r>
      <w:proofErr w:type="spellStart"/>
      <w:r>
        <w:rPr>
          <w:rFonts w:eastAsiaTheme="minorHAnsi"/>
          <w:color w:val="000000"/>
          <w:sz w:val="22"/>
          <w:szCs w:val="22"/>
          <w:lang w:eastAsia="en-US"/>
        </w:rPr>
        <w:t>teratogeninio</w:t>
      </w:r>
      <w:proofErr w:type="spellEnd"/>
      <w:r>
        <w:rPr>
          <w:rFonts w:eastAsiaTheme="minorHAnsi"/>
          <w:color w:val="000000"/>
          <w:sz w:val="22"/>
          <w:szCs w:val="22"/>
          <w:lang w:eastAsia="en-US"/>
        </w:rPr>
        <w:t xml:space="preserve"> poveikio dapagliflozinas nesukėlė.</w:t>
      </w:r>
    </w:p>
    <w:p w14:paraId="18744E35" w14:textId="77777777" w:rsidR="00023BBF" w:rsidRDefault="00023BBF">
      <w:pPr>
        <w:autoSpaceDE w:val="0"/>
        <w:autoSpaceDN w:val="0"/>
        <w:adjustRightInd w:val="0"/>
        <w:rPr>
          <w:rFonts w:eastAsiaTheme="minorHAnsi"/>
          <w:color w:val="000000"/>
          <w:sz w:val="22"/>
          <w:szCs w:val="22"/>
          <w:lang w:eastAsia="en-US"/>
        </w:rPr>
      </w:pPr>
    </w:p>
    <w:p w14:paraId="40E906F1" w14:textId="77777777" w:rsidR="00023BBF" w:rsidRDefault="00E17C37">
      <w:pPr>
        <w:autoSpaceDE w:val="0"/>
        <w:autoSpaceDN w:val="0"/>
        <w:adjustRightInd w:val="0"/>
        <w:rPr>
          <w:rFonts w:eastAsiaTheme="minorHAnsi"/>
          <w:color w:val="000000"/>
          <w:sz w:val="22"/>
          <w:szCs w:val="22"/>
          <w:u w:val="single"/>
          <w:lang w:eastAsia="en-US"/>
        </w:rPr>
      </w:pPr>
      <w:proofErr w:type="spellStart"/>
      <w:r>
        <w:rPr>
          <w:rFonts w:eastAsiaTheme="minorHAnsi"/>
          <w:color w:val="000000"/>
          <w:sz w:val="22"/>
          <w:szCs w:val="22"/>
          <w:u w:val="single"/>
          <w:lang w:eastAsia="en-US"/>
        </w:rPr>
        <w:t>Metforminas</w:t>
      </w:r>
      <w:proofErr w:type="spellEnd"/>
    </w:p>
    <w:p w14:paraId="46BC3486" w14:textId="77777777" w:rsidR="00023BBF" w:rsidRDefault="00E17C37">
      <w:pPr>
        <w:rPr>
          <w:rFonts w:eastAsia="Calibri"/>
          <w:sz w:val="22"/>
          <w:szCs w:val="22"/>
          <w:lang w:eastAsia="en-US"/>
        </w:rPr>
      </w:pPr>
      <w:r>
        <w:rPr>
          <w:rFonts w:eastAsiaTheme="minorHAnsi"/>
          <w:color w:val="000000"/>
          <w:sz w:val="22"/>
          <w:szCs w:val="22"/>
          <w:lang w:eastAsia="en-US"/>
        </w:rPr>
        <w:t xml:space="preserve">Įprastų farmakologinio saugumo, kartotinių dozių toksiškumo, </w:t>
      </w:r>
      <w:proofErr w:type="spellStart"/>
      <w:r>
        <w:rPr>
          <w:rFonts w:eastAsiaTheme="minorHAnsi"/>
          <w:color w:val="000000"/>
          <w:sz w:val="22"/>
          <w:szCs w:val="22"/>
          <w:lang w:eastAsia="en-US"/>
        </w:rPr>
        <w:t>genotoksiškumo</w:t>
      </w:r>
      <w:proofErr w:type="spellEnd"/>
      <w:r>
        <w:rPr>
          <w:rFonts w:eastAsiaTheme="minorHAnsi"/>
          <w:color w:val="000000"/>
          <w:sz w:val="22"/>
          <w:szCs w:val="22"/>
          <w:lang w:eastAsia="en-US"/>
        </w:rPr>
        <w:t xml:space="preserve">, galimo </w:t>
      </w:r>
      <w:proofErr w:type="spellStart"/>
      <w:r>
        <w:rPr>
          <w:rFonts w:eastAsiaTheme="minorHAnsi"/>
          <w:color w:val="000000"/>
          <w:sz w:val="22"/>
          <w:szCs w:val="22"/>
          <w:lang w:eastAsia="en-US"/>
        </w:rPr>
        <w:t>kancerogeniškumo</w:t>
      </w:r>
      <w:proofErr w:type="spellEnd"/>
      <w:r>
        <w:rPr>
          <w:rFonts w:eastAsiaTheme="minorHAnsi"/>
          <w:color w:val="000000"/>
          <w:sz w:val="22"/>
          <w:szCs w:val="22"/>
          <w:lang w:eastAsia="en-US"/>
        </w:rPr>
        <w:t xml:space="preserve"> bei toksinio poveikio reprodukcijai ir vystymuisi </w:t>
      </w:r>
      <w:proofErr w:type="spellStart"/>
      <w:r>
        <w:rPr>
          <w:rFonts w:eastAsiaTheme="minorHAnsi"/>
          <w:color w:val="000000"/>
          <w:sz w:val="22"/>
          <w:szCs w:val="22"/>
          <w:lang w:eastAsia="en-US"/>
        </w:rPr>
        <w:t>ikiklinikinių</w:t>
      </w:r>
      <w:proofErr w:type="spellEnd"/>
      <w:r>
        <w:rPr>
          <w:rFonts w:eastAsiaTheme="minorHAnsi"/>
          <w:color w:val="000000"/>
          <w:sz w:val="22"/>
          <w:szCs w:val="22"/>
          <w:lang w:eastAsia="en-US"/>
        </w:rPr>
        <w:t xml:space="preserve"> tyrimų duomenys specifinio pavojaus žmogui nerodo.</w:t>
      </w:r>
    </w:p>
    <w:p w14:paraId="3D37E4E0" w14:textId="77777777" w:rsidR="00023BBF" w:rsidRDefault="00023BBF">
      <w:pPr>
        <w:rPr>
          <w:rFonts w:eastAsia="Calibri"/>
          <w:sz w:val="22"/>
          <w:szCs w:val="22"/>
          <w:lang w:eastAsia="en-US"/>
        </w:rPr>
      </w:pPr>
    </w:p>
    <w:p w14:paraId="24544A4E" w14:textId="77777777" w:rsidR="00023BBF" w:rsidRDefault="00E17C37">
      <w:pPr>
        <w:widowControl w:val="0"/>
        <w:tabs>
          <w:tab w:val="left" w:pos="567"/>
        </w:tabs>
        <w:outlineLvl w:val="2"/>
        <w:rPr>
          <w:b/>
          <w:bCs/>
          <w:snapToGrid w:val="0"/>
          <w:sz w:val="22"/>
          <w:szCs w:val="22"/>
          <w:lang w:eastAsia="lt-LT"/>
        </w:rPr>
      </w:pPr>
      <w:r>
        <w:rPr>
          <w:b/>
          <w:bCs/>
          <w:snapToGrid w:val="0"/>
          <w:sz w:val="22"/>
          <w:szCs w:val="22"/>
          <w:lang w:eastAsia="lt-LT"/>
        </w:rPr>
        <w:t>6.</w:t>
      </w:r>
      <w:r>
        <w:rPr>
          <w:b/>
          <w:bCs/>
          <w:snapToGrid w:val="0"/>
          <w:sz w:val="22"/>
          <w:szCs w:val="22"/>
          <w:lang w:eastAsia="lt-LT"/>
        </w:rPr>
        <w:tab/>
        <w:t>FARMACINĖ INFORMACIJA</w:t>
      </w:r>
    </w:p>
    <w:p w14:paraId="50B35F83" w14:textId="77777777" w:rsidR="00023BBF" w:rsidRDefault="00023BBF">
      <w:pPr>
        <w:widowControl w:val="0"/>
        <w:rPr>
          <w:snapToGrid w:val="0"/>
          <w:sz w:val="22"/>
          <w:szCs w:val="22"/>
          <w:lang w:eastAsia="en-US"/>
        </w:rPr>
      </w:pPr>
    </w:p>
    <w:p w14:paraId="0C6401E1" w14:textId="77777777" w:rsidR="00023BBF" w:rsidRDefault="00E17C37">
      <w:pPr>
        <w:widowControl w:val="0"/>
        <w:tabs>
          <w:tab w:val="left" w:pos="567"/>
        </w:tabs>
        <w:jc w:val="both"/>
        <w:outlineLvl w:val="3"/>
        <w:rPr>
          <w:b/>
          <w:bCs/>
          <w:snapToGrid w:val="0"/>
          <w:sz w:val="22"/>
          <w:szCs w:val="22"/>
          <w:lang w:eastAsia="lt-LT"/>
        </w:rPr>
      </w:pPr>
      <w:r>
        <w:rPr>
          <w:b/>
          <w:bCs/>
          <w:snapToGrid w:val="0"/>
          <w:sz w:val="22"/>
          <w:szCs w:val="22"/>
          <w:lang w:eastAsia="lt-LT"/>
        </w:rPr>
        <w:t>6.1</w:t>
      </w:r>
      <w:r>
        <w:rPr>
          <w:b/>
          <w:bCs/>
          <w:snapToGrid w:val="0"/>
          <w:sz w:val="22"/>
          <w:szCs w:val="22"/>
          <w:lang w:eastAsia="lt-LT"/>
        </w:rPr>
        <w:tab/>
        <w:t>Pagalbinių medžiagų sąrašas</w:t>
      </w:r>
    </w:p>
    <w:p w14:paraId="73A8CDAE" w14:textId="77777777" w:rsidR="00023BBF" w:rsidRDefault="00023BBF">
      <w:pPr>
        <w:widowControl w:val="0"/>
        <w:rPr>
          <w:snapToGrid w:val="0"/>
          <w:sz w:val="22"/>
          <w:szCs w:val="22"/>
          <w:lang w:eastAsia="en-US"/>
        </w:rPr>
      </w:pPr>
    </w:p>
    <w:p w14:paraId="2DE78E37" w14:textId="77777777" w:rsidR="00023BBF" w:rsidRDefault="00E17C37">
      <w:pPr>
        <w:widowControl w:val="0"/>
        <w:rPr>
          <w:sz w:val="22"/>
          <w:szCs w:val="22"/>
          <w:u w:val="single"/>
          <w:lang w:eastAsia="en-US"/>
        </w:rPr>
      </w:pPr>
      <w:r>
        <w:rPr>
          <w:sz w:val="22"/>
          <w:szCs w:val="22"/>
          <w:u w:val="single"/>
          <w:lang w:eastAsia="en-US"/>
        </w:rPr>
        <w:t>Tabletės branduolys</w:t>
      </w:r>
    </w:p>
    <w:p w14:paraId="27478D27" w14:textId="77777777" w:rsidR="00023BBF" w:rsidRDefault="00E17C37">
      <w:pPr>
        <w:widowControl w:val="0"/>
        <w:rPr>
          <w:sz w:val="22"/>
          <w:szCs w:val="22"/>
          <w:lang w:eastAsia="en-US"/>
        </w:rPr>
      </w:pPr>
      <w:bookmarkStart w:id="5" w:name="_Hlk190774534"/>
      <w:bookmarkStart w:id="6" w:name="_Hlk198627583"/>
      <w:proofErr w:type="spellStart"/>
      <w:r>
        <w:rPr>
          <w:sz w:val="22"/>
          <w:szCs w:val="22"/>
          <w:lang w:eastAsia="en-US"/>
        </w:rPr>
        <w:t>Krospovidonas</w:t>
      </w:r>
      <w:proofErr w:type="spellEnd"/>
    </w:p>
    <w:p w14:paraId="7EFEDB58" w14:textId="77777777" w:rsidR="00023BBF" w:rsidRDefault="00E17C37">
      <w:pPr>
        <w:widowControl w:val="0"/>
        <w:rPr>
          <w:sz w:val="22"/>
          <w:szCs w:val="22"/>
          <w:lang w:eastAsia="en-US"/>
        </w:rPr>
      </w:pPr>
      <w:proofErr w:type="spellStart"/>
      <w:r>
        <w:rPr>
          <w:sz w:val="22"/>
          <w:szCs w:val="22"/>
          <w:lang w:eastAsia="en-US"/>
        </w:rPr>
        <w:t>Kroskarmeliozės</w:t>
      </w:r>
      <w:proofErr w:type="spellEnd"/>
      <w:r>
        <w:rPr>
          <w:sz w:val="22"/>
          <w:szCs w:val="22"/>
          <w:lang w:eastAsia="en-US"/>
        </w:rPr>
        <w:t xml:space="preserve"> natrio druska</w:t>
      </w:r>
    </w:p>
    <w:p w14:paraId="1231B86E" w14:textId="77777777" w:rsidR="00023BBF" w:rsidRDefault="00E17C37">
      <w:pPr>
        <w:widowControl w:val="0"/>
        <w:rPr>
          <w:sz w:val="22"/>
          <w:szCs w:val="22"/>
          <w:lang w:eastAsia="en-US"/>
        </w:rPr>
      </w:pPr>
      <w:proofErr w:type="spellStart"/>
      <w:r>
        <w:rPr>
          <w:sz w:val="22"/>
          <w:szCs w:val="22"/>
          <w:lang w:eastAsia="en-US"/>
        </w:rPr>
        <w:lastRenderedPageBreak/>
        <w:t>Mikrokristalinė</w:t>
      </w:r>
      <w:proofErr w:type="spellEnd"/>
      <w:r>
        <w:rPr>
          <w:sz w:val="22"/>
          <w:szCs w:val="22"/>
          <w:lang w:eastAsia="en-US"/>
        </w:rPr>
        <w:t xml:space="preserve"> celiuliozė</w:t>
      </w:r>
    </w:p>
    <w:p w14:paraId="187D1860" w14:textId="77777777" w:rsidR="00023BBF" w:rsidRDefault="00E17C37">
      <w:pPr>
        <w:widowControl w:val="0"/>
        <w:rPr>
          <w:sz w:val="22"/>
          <w:szCs w:val="22"/>
          <w:lang w:eastAsia="en-US"/>
        </w:rPr>
      </w:pPr>
      <w:r>
        <w:rPr>
          <w:sz w:val="22"/>
          <w:szCs w:val="22"/>
          <w:lang w:eastAsia="en-US"/>
        </w:rPr>
        <w:t xml:space="preserve">Magnio </w:t>
      </w:r>
      <w:proofErr w:type="spellStart"/>
      <w:r>
        <w:rPr>
          <w:sz w:val="22"/>
          <w:szCs w:val="22"/>
          <w:lang w:eastAsia="en-US"/>
        </w:rPr>
        <w:t>stearatas</w:t>
      </w:r>
      <w:proofErr w:type="spellEnd"/>
    </w:p>
    <w:bookmarkEnd w:id="5"/>
    <w:bookmarkEnd w:id="6"/>
    <w:p w14:paraId="121CC823" w14:textId="77777777" w:rsidR="00023BBF" w:rsidRDefault="00023BBF">
      <w:pPr>
        <w:widowControl w:val="0"/>
        <w:rPr>
          <w:sz w:val="22"/>
          <w:szCs w:val="22"/>
          <w:u w:val="single"/>
          <w:lang w:eastAsia="en-US"/>
        </w:rPr>
      </w:pPr>
    </w:p>
    <w:p w14:paraId="75368F19" w14:textId="77777777" w:rsidR="00023BBF" w:rsidRDefault="00E17C37">
      <w:pPr>
        <w:widowControl w:val="0"/>
        <w:rPr>
          <w:sz w:val="22"/>
          <w:szCs w:val="22"/>
          <w:u w:val="single"/>
          <w:lang w:eastAsia="en-US"/>
        </w:rPr>
      </w:pPr>
      <w:r>
        <w:rPr>
          <w:sz w:val="22"/>
          <w:szCs w:val="22"/>
          <w:u w:val="single"/>
          <w:lang w:eastAsia="en-US"/>
        </w:rPr>
        <w:t>Tabletės plėvelė</w:t>
      </w:r>
    </w:p>
    <w:p w14:paraId="491CAE9D" w14:textId="77777777" w:rsidR="00023BBF" w:rsidRDefault="00E17C37">
      <w:pPr>
        <w:widowControl w:val="0"/>
        <w:rPr>
          <w:sz w:val="22"/>
          <w:szCs w:val="22"/>
          <w:lang w:eastAsia="en-US"/>
        </w:rPr>
      </w:pPr>
      <w:bookmarkStart w:id="7" w:name="_Hlk190775240"/>
      <w:r>
        <w:rPr>
          <w:sz w:val="22"/>
          <w:szCs w:val="22"/>
          <w:lang w:eastAsia="en-US"/>
        </w:rPr>
        <w:t>Polivinilo alkoholis</w:t>
      </w:r>
    </w:p>
    <w:p w14:paraId="6C6392AD" w14:textId="77777777" w:rsidR="00023BBF" w:rsidRDefault="00E17C37">
      <w:pPr>
        <w:widowControl w:val="0"/>
        <w:rPr>
          <w:sz w:val="22"/>
          <w:szCs w:val="22"/>
          <w:lang w:eastAsia="en-US"/>
        </w:rPr>
      </w:pPr>
      <w:r>
        <w:rPr>
          <w:sz w:val="22"/>
          <w:szCs w:val="22"/>
          <w:lang w:eastAsia="en-US"/>
        </w:rPr>
        <w:t>Kalcio karbonatas</w:t>
      </w:r>
    </w:p>
    <w:p w14:paraId="42FEE84A" w14:textId="77777777" w:rsidR="00023BBF" w:rsidRDefault="00E17C37">
      <w:pPr>
        <w:widowControl w:val="0"/>
        <w:rPr>
          <w:sz w:val="22"/>
          <w:szCs w:val="22"/>
          <w:lang w:eastAsia="en-US"/>
        </w:rPr>
      </w:pPr>
      <w:proofErr w:type="spellStart"/>
      <w:r>
        <w:rPr>
          <w:sz w:val="22"/>
          <w:szCs w:val="22"/>
          <w:lang w:eastAsia="en-US"/>
        </w:rPr>
        <w:t>Makrogolis</w:t>
      </w:r>
      <w:proofErr w:type="spellEnd"/>
    </w:p>
    <w:p w14:paraId="48223905" w14:textId="77777777" w:rsidR="00023BBF" w:rsidRDefault="00E17C37">
      <w:pPr>
        <w:widowControl w:val="0"/>
        <w:rPr>
          <w:sz w:val="22"/>
          <w:szCs w:val="22"/>
          <w:lang w:eastAsia="en-US"/>
        </w:rPr>
      </w:pPr>
      <w:r>
        <w:rPr>
          <w:sz w:val="22"/>
          <w:szCs w:val="22"/>
          <w:lang w:eastAsia="en-US"/>
        </w:rPr>
        <w:t>Talkas</w:t>
      </w:r>
    </w:p>
    <w:p w14:paraId="63F2625C" w14:textId="77777777" w:rsidR="00023BBF" w:rsidRDefault="00E17C37">
      <w:pPr>
        <w:widowControl w:val="0"/>
        <w:rPr>
          <w:sz w:val="22"/>
          <w:szCs w:val="22"/>
          <w:lang w:eastAsia="en-US"/>
        </w:rPr>
      </w:pPr>
      <w:r>
        <w:rPr>
          <w:sz w:val="22"/>
          <w:szCs w:val="22"/>
          <w:lang w:eastAsia="en-US"/>
        </w:rPr>
        <w:t>Geltonasis geležies oksidas (E172)</w:t>
      </w:r>
    </w:p>
    <w:bookmarkEnd w:id="7"/>
    <w:p w14:paraId="64B452B0" w14:textId="77777777" w:rsidR="00023BBF" w:rsidRDefault="00E17C37">
      <w:pPr>
        <w:widowControl w:val="0"/>
        <w:rPr>
          <w:sz w:val="22"/>
          <w:szCs w:val="22"/>
          <w:lang w:eastAsia="en-US"/>
        </w:rPr>
      </w:pPr>
      <w:r>
        <w:rPr>
          <w:sz w:val="22"/>
          <w:szCs w:val="22"/>
          <w:lang w:eastAsia="en-US"/>
        </w:rPr>
        <w:t xml:space="preserve">Raudonasis geležies oksidas (E172) </w:t>
      </w:r>
      <w:r>
        <w:rPr>
          <w:sz w:val="22"/>
          <w:szCs w:val="22"/>
          <w:lang w:val="de-AT" w:eastAsia="sl-SI"/>
        </w:rPr>
        <w:t xml:space="preserve">– </w:t>
      </w:r>
      <w:proofErr w:type="spellStart"/>
      <w:r>
        <w:rPr>
          <w:i/>
          <w:iCs/>
          <w:sz w:val="22"/>
          <w:szCs w:val="22"/>
          <w:lang w:val="de-AT" w:eastAsia="sl-SI"/>
        </w:rPr>
        <w:t>tik</w:t>
      </w:r>
      <w:proofErr w:type="spellEnd"/>
      <w:r>
        <w:rPr>
          <w:i/>
          <w:iCs/>
          <w:sz w:val="22"/>
          <w:szCs w:val="22"/>
          <w:lang w:val="de-AT" w:eastAsia="sl-SI"/>
        </w:rPr>
        <w:t xml:space="preserve"> </w:t>
      </w:r>
      <w:r>
        <w:rPr>
          <w:i/>
          <w:sz w:val="22"/>
          <w:szCs w:val="20"/>
          <w:lang w:val="de-AT" w:eastAsia="sl-SI"/>
        </w:rPr>
        <w:t>5 mg/850 mg</w:t>
      </w:r>
    </w:p>
    <w:p w14:paraId="74D52006" w14:textId="77777777" w:rsidR="00023BBF" w:rsidRDefault="00023BBF">
      <w:pPr>
        <w:widowControl w:val="0"/>
        <w:rPr>
          <w:sz w:val="22"/>
          <w:szCs w:val="22"/>
          <w:lang w:eastAsia="en-US"/>
        </w:rPr>
      </w:pPr>
    </w:p>
    <w:p w14:paraId="2F3A6A36" w14:textId="77777777" w:rsidR="00023BBF" w:rsidRDefault="00E17C37">
      <w:pPr>
        <w:widowControl w:val="0"/>
        <w:tabs>
          <w:tab w:val="left" w:pos="567"/>
        </w:tabs>
        <w:jc w:val="both"/>
        <w:outlineLvl w:val="3"/>
        <w:rPr>
          <w:b/>
          <w:bCs/>
          <w:snapToGrid w:val="0"/>
          <w:sz w:val="22"/>
          <w:szCs w:val="22"/>
          <w:lang w:eastAsia="lt-LT"/>
        </w:rPr>
      </w:pPr>
      <w:r>
        <w:rPr>
          <w:b/>
          <w:bCs/>
          <w:snapToGrid w:val="0"/>
          <w:sz w:val="22"/>
          <w:szCs w:val="22"/>
          <w:lang w:eastAsia="lt-LT"/>
        </w:rPr>
        <w:t>6.2</w:t>
      </w:r>
      <w:r>
        <w:rPr>
          <w:b/>
          <w:bCs/>
          <w:snapToGrid w:val="0"/>
          <w:sz w:val="22"/>
          <w:szCs w:val="22"/>
          <w:lang w:eastAsia="lt-LT"/>
        </w:rPr>
        <w:tab/>
        <w:t>Nesuderinamumas</w:t>
      </w:r>
    </w:p>
    <w:p w14:paraId="6F095FF9" w14:textId="77777777" w:rsidR="00023BBF" w:rsidRDefault="00023BBF">
      <w:pPr>
        <w:widowControl w:val="0"/>
        <w:rPr>
          <w:snapToGrid w:val="0"/>
          <w:sz w:val="22"/>
          <w:szCs w:val="22"/>
          <w:lang w:eastAsia="en-US"/>
        </w:rPr>
      </w:pPr>
    </w:p>
    <w:p w14:paraId="55B3C2CD" w14:textId="77777777" w:rsidR="00023BBF" w:rsidRDefault="00E17C37">
      <w:pPr>
        <w:widowControl w:val="0"/>
        <w:rPr>
          <w:snapToGrid w:val="0"/>
          <w:sz w:val="22"/>
          <w:szCs w:val="22"/>
          <w:lang w:eastAsia="en-US"/>
        </w:rPr>
      </w:pPr>
      <w:r>
        <w:rPr>
          <w:snapToGrid w:val="0"/>
          <w:sz w:val="22"/>
          <w:szCs w:val="22"/>
          <w:lang w:eastAsia="en-US"/>
        </w:rPr>
        <w:t>Duomenys nebūtini.</w:t>
      </w:r>
    </w:p>
    <w:p w14:paraId="6C450950" w14:textId="77777777" w:rsidR="00023BBF" w:rsidRDefault="00023BBF">
      <w:pPr>
        <w:widowControl w:val="0"/>
        <w:rPr>
          <w:snapToGrid w:val="0"/>
          <w:sz w:val="22"/>
          <w:szCs w:val="22"/>
          <w:lang w:eastAsia="en-US"/>
        </w:rPr>
      </w:pPr>
    </w:p>
    <w:p w14:paraId="2F832FE9" w14:textId="77777777" w:rsidR="00023BBF" w:rsidRDefault="00E17C37">
      <w:pPr>
        <w:widowControl w:val="0"/>
        <w:tabs>
          <w:tab w:val="left" w:pos="567"/>
        </w:tabs>
        <w:jc w:val="both"/>
        <w:outlineLvl w:val="3"/>
        <w:rPr>
          <w:b/>
          <w:bCs/>
          <w:snapToGrid w:val="0"/>
          <w:sz w:val="22"/>
          <w:szCs w:val="22"/>
          <w:lang w:eastAsia="lt-LT"/>
        </w:rPr>
      </w:pPr>
      <w:r>
        <w:rPr>
          <w:b/>
          <w:bCs/>
          <w:snapToGrid w:val="0"/>
          <w:sz w:val="22"/>
          <w:szCs w:val="22"/>
          <w:lang w:eastAsia="lt-LT"/>
        </w:rPr>
        <w:t>6.3</w:t>
      </w:r>
      <w:r>
        <w:rPr>
          <w:b/>
          <w:bCs/>
          <w:snapToGrid w:val="0"/>
          <w:sz w:val="22"/>
          <w:szCs w:val="22"/>
          <w:lang w:eastAsia="lt-LT"/>
        </w:rPr>
        <w:tab/>
        <w:t>Tinkamumo laikas</w:t>
      </w:r>
    </w:p>
    <w:p w14:paraId="56D1BC35" w14:textId="77777777" w:rsidR="00023BBF" w:rsidRDefault="00023BBF">
      <w:pPr>
        <w:widowControl w:val="0"/>
        <w:rPr>
          <w:snapToGrid w:val="0"/>
          <w:sz w:val="22"/>
          <w:szCs w:val="22"/>
          <w:lang w:eastAsia="en-US"/>
        </w:rPr>
      </w:pPr>
    </w:p>
    <w:p w14:paraId="472E30CB" w14:textId="35089C8B" w:rsidR="00023BBF" w:rsidRDefault="00E17C37">
      <w:pPr>
        <w:widowControl w:val="0"/>
        <w:rPr>
          <w:snapToGrid w:val="0"/>
          <w:sz w:val="22"/>
          <w:szCs w:val="22"/>
          <w:lang w:eastAsia="en-US"/>
        </w:rPr>
      </w:pPr>
      <w:r>
        <w:rPr>
          <w:snapToGrid w:val="0"/>
          <w:sz w:val="22"/>
          <w:szCs w:val="22"/>
          <w:lang w:eastAsia="en-US"/>
        </w:rPr>
        <w:t>3 metai</w:t>
      </w:r>
    </w:p>
    <w:p w14:paraId="5212B908" w14:textId="77777777" w:rsidR="00023BBF" w:rsidRDefault="00023BBF">
      <w:pPr>
        <w:widowControl w:val="0"/>
        <w:rPr>
          <w:snapToGrid w:val="0"/>
          <w:sz w:val="22"/>
          <w:szCs w:val="22"/>
          <w:lang w:eastAsia="en-US"/>
        </w:rPr>
      </w:pPr>
    </w:p>
    <w:p w14:paraId="33514737" w14:textId="77777777" w:rsidR="00023BBF" w:rsidRDefault="00E17C37">
      <w:pPr>
        <w:widowControl w:val="0"/>
        <w:tabs>
          <w:tab w:val="left" w:pos="567"/>
        </w:tabs>
        <w:jc w:val="both"/>
        <w:outlineLvl w:val="3"/>
        <w:rPr>
          <w:b/>
          <w:bCs/>
          <w:snapToGrid w:val="0"/>
          <w:sz w:val="22"/>
          <w:szCs w:val="22"/>
          <w:lang w:eastAsia="lt-LT"/>
        </w:rPr>
      </w:pPr>
      <w:r>
        <w:rPr>
          <w:b/>
          <w:bCs/>
          <w:snapToGrid w:val="0"/>
          <w:sz w:val="22"/>
          <w:szCs w:val="22"/>
          <w:lang w:eastAsia="lt-LT"/>
        </w:rPr>
        <w:t>6.4</w:t>
      </w:r>
      <w:r>
        <w:rPr>
          <w:b/>
          <w:bCs/>
          <w:snapToGrid w:val="0"/>
          <w:sz w:val="22"/>
          <w:szCs w:val="22"/>
          <w:lang w:eastAsia="lt-LT"/>
        </w:rPr>
        <w:tab/>
        <w:t>Specialios laikymo sąlygos</w:t>
      </w:r>
    </w:p>
    <w:p w14:paraId="5025E49E" w14:textId="77777777" w:rsidR="00023BBF" w:rsidRDefault="00023BBF">
      <w:pPr>
        <w:widowControl w:val="0"/>
        <w:rPr>
          <w:snapToGrid w:val="0"/>
          <w:sz w:val="22"/>
          <w:szCs w:val="22"/>
          <w:lang w:eastAsia="en-US"/>
        </w:rPr>
      </w:pPr>
    </w:p>
    <w:p w14:paraId="58C060DB" w14:textId="77777777" w:rsidR="00023BBF" w:rsidRDefault="00E17C37">
      <w:pPr>
        <w:spacing w:line="259" w:lineRule="auto"/>
        <w:rPr>
          <w:rFonts w:eastAsia="Calibri"/>
          <w:sz w:val="22"/>
          <w:szCs w:val="22"/>
          <w:lang w:eastAsia="en-US"/>
        </w:rPr>
      </w:pPr>
      <w:r>
        <w:rPr>
          <w:rFonts w:eastAsia="Calibri"/>
          <w:sz w:val="22"/>
          <w:szCs w:val="22"/>
          <w:lang w:eastAsia="en-US"/>
        </w:rPr>
        <w:t>Laikyti gamintojo pakuotėje, kad vaistinis preparatas būtų apsaugotas nuo drėgmės.</w:t>
      </w:r>
    </w:p>
    <w:p w14:paraId="67509B21" w14:textId="77777777" w:rsidR="00023BBF" w:rsidRDefault="00E17C37">
      <w:pPr>
        <w:spacing w:line="259" w:lineRule="auto"/>
        <w:rPr>
          <w:rFonts w:eastAsia="Calibri"/>
          <w:sz w:val="22"/>
          <w:szCs w:val="22"/>
          <w:lang w:eastAsia="en-US"/>
        </w:rPr>
      </w:pPr>
      <w:r>
        <w:rPr>
          <w:snapToGrid w:val="0"/>
          <w:sz w:val="22"/>
          <w:szCs w:val="20"/>
          <w:lang w:eastAsia="en-US"/>
        </w:rPr>
        <w:t>Šio vaistinio preparato laikymui specialių temperatūros sąlygų nereikalaujama.</w:t>
      </w:r>
    </w:p>
    <w:p w14:paraId="1A5C3E92" w14:textId="77777777" w:rsidR="00023BBF" w:rsidRDefault="00023BBF">
      <w:pPr>
        <w:widowControl w:val="0"/>
        <w:rPr>
          <w:snapToGrid w:val="0"/>
          <w:sz w:val="22"/>
          <w:szCs w:val="22"/>
          <w:lang w:eastAsia="en-US"/>
        </w:rPr>
      </w:pPr>
    </w:p>
    <w:p w14:paraId="5FD92AFF" w14:textId="77777777" w:rsidR="00023BBF" w:rsidRDefault="00E17C37">
      <w:pPr>
        <w:widowControl w:val="0"/>
        <w:tabs>
          <w:tab w:val="left" w:pos="567"/>
        </w:tabs>
        <w:jc w:val="both"/>
        <w:outlineLvl w:val="3"/>
        <w:rPr>
          <w:b/>
          <w:bCs/>
          <w:snapToGrid w:val="0"/>
          <w:sz w:val="22"/>
          <w:szCs w:val="22"/>
          <w:lang w:eastAsia="lt-LT"/>
        </w:rPr>
      </w:pPr>
      <w:r>
        <w:rPr>
          <w:b/>
          <w:bCs/>
          <w:snapToGrid w:val="0"/>
          <w:sz w:val="22"/>
          <w:szCs w:val="22"/>
          <w:lang w:eastAsia="lt-LT"/>
        </w:rPr>
        <w:t>6.5</w:t>
      </w:r>
      <w:r>
        <w:rPr>
          <w:b/>
          <w:bCs/>
          <w:snapToGrid w:val="0"/>
          <w:sz w:val="22"/>
          <w:szCs w:val="22"/>
          <w:lang w:eastAsia="lt-LT"/>
        </w:rPr>
        <w:tab/>
      </w:r>
      <w:proofErr w:type="spellStart"/>
      <w:r>
        <w:rPr>
          <w:b/>
          <w:bCs/>
          <w:snapToGrid w:val="0"/>
          <w:sz w:val="22"/>
          <w:szCs w:val="22"/>
          <w:lang w:eastAsia="lt-LT"/>
        </w:rPr>
        <w:t>Talpyklės</w:t>
      </w:r>
      <w:proofErr w:type="spellEnd"/>
      <w:r>
        <w:rPr>
          <w:b/>
          <w:bCs/>
          <w:snapToGrid w:val="0"/>
          <w:sz w:val="22"/>
          <w:szCs w:val="22"/>
          <w:lang w:eastAsia="lt-LT"/>
        </w:rPr>
        <w:t xml:space="preserve"> pobūdis ir jos turinys</w:t>
      </w:r>
    </w:p>
    <w:p w14:paraId="29536F2D" w14:textId="77777777" w:rsidR="00023BBF" w:rsidRDefault="00023BBF">
      <w:pPr>
        <w:widowControl w:val="0"/>
        <w:rPr>
          <w:snapToGrid w:val="0"/>
          <w:sz w:val="22"/>
          <w:szCs w:val="22"/>
          <w:lang w:eastAsia="en-US"/>
        </w:rPr>
      </w:pPr>
    </w:p>
    <w:p w14:paraId="00DCD277" w14:textId="77777777" w:rsidR="00023BBF" w:rsidRDefault="00E17C37">
      <w:pPr>
        <w:widowControl w:val="0"/>
        <w:rPr>
          <w:sz w:val="22"/>
          <w:szCs w:val="22"/>
          <w:lang w:eastAsia="sl-SI"/>
        </w:rPr>
      </w:pPr>
      <w:bookmarkStart w:id="8" w:name="_Hlk190775593"/>
      <w:r>
        <w:rPr>
          <w:snapToGrid w:val="0"/>
          <w:sz w:val="22"/>
          <w:szCs w:val="22"/>
          <w:lang w:eastAsia="en-US"/>
        </w:rPr>
        <w:t>Lizdinė plokštelė (PVC/PVDC/PVC</w:t>
      </w:r>
      <w:r>
        <w:rPr>
          <w:sz w:val="22"/>
          <w:szCs w:val="22"/>
          <w:lang w:eastAsia="en-US"/>
        </w:rPr>
        <w:t>//</w:t>
      </w:r>
      <w:r>
        <w:rPr>
          <w:snapToGrid w:val="0"/>
          <w:sz w:val="22"/>
          <w:szCs w:val="22"/>
          <w:lang w:eastAsia="en-US"/>
        </w:rPr>
        <w:t>aliuminio):</w:t>
      </w:r>
      <w:r>
        <w:rPr>
          <w:sz w:val="22"/>
          <w:szCs w:val="22"/>
          <w:lang w:eastAsia="sl-SI"/>
        </w:rPr>
        <w:t xml:space="preserve"> 14, 28, 30, 56, 60, 90 arba 196</w:t>
      </w:r>
      <w:r>
        <w:rPr>
          <w:noProof/>
          <w:sz w:val="22"/>
          <w:szCs w:val="22"/>
          <w:lang w:eastAsia="sl-SI"/>
        </w:rPr>
        <w:t xml:space="preserve"> plėvele dengtų tablečių dėžutėje.</w:t>
      </w:r>
    </w:p>
    <w:bookmarkEnd w:id="8"/>
    <w:p w14:paraId="3282CCCA" w14:textId="77777777" w:rsidR="00023BBF" w:rsidRDefault="00023BBF">
      <w:pPr>
        <w:widowControl w:val="0"/>
        <w:rPr>
          <w:snapToGrid w:val="0"/>
          <w:sz w:val="22"/>
          <w:szCs w:val="22"/>
          <w:lang w:eastAsia="en-US"/>
        </w:rPr>
      </w:pPr>
    </w:p>
    <w:p w14:paraId="5EF725A4" w14:textId="77777777" w:rsidR="00023BBF" w:rsidRDefault="00E17C37">
      <w:pPr>
        <w:widowControl w:val="0"/>
        <w:rPr>
          <w:snapToGrid w:val="0"/>
          <w:sz w:val="22"/>
          <w:szCs w:val="22"/>
          <w:lang w:eastAsia="en-US"/>
        </w:rPr>
      </w:pPr>
      <w:r>
        <w:rPr>
          <w:snapToGrid w:val="0"/>
          <w:sz w:val="22"/>
          <w:szCs w:val="22"/>
          <w:lang w:eastAsia="en-US"/>
        </w:rPr>
        <w:t>Gali būti tiekiamos ne visų dydžių pakuotės.</w:t>
      </w:r>
    </w:p>
    <w:p w14:paraId="4A6BFC20" w14:textId="77777777" w:rsidR="00023BBF" w:rsidRDefault="00023BBF">
      <w:pPr>
        <w:widowControl w:val="0"/>
        <w:rPr>
          <w:snapToGrid w:val="0"/>
          <w:sz w:val="22"/>
          <w:szCs w:val="22"/>
          <w:lang w:eastAsia="en-US"/>
        </w:rPr>
      </w:pPr>
    </w:p>
    <w:p w14:paraId="2BB43D3B" w14:textId="77777777" w:rsidR="00023BBF" w:rsidRDefault="00E17C37">
      <w:pPr>
        <w:widowControl w:val="0"/>
        <w:tabs>
          <w:tab w:val="left" w:pos="567"/>
        </w:tabs>
        <w:jc w:val="both"/>
        <w:outlineLvl w:val="3"/>
        <w:rPr>
          <w:b/>
          <w:bCs/>
          <w:snapToGrid w:val="0"/>
          <w:sz w:val="22"/>
          <w:szCs w:val="22"/>
          <w:lang w:eastAsia="lt-LT"/>
        </w:rPr>
      </w:pPr>
      <w:bookmarkStart w:id="9" w:name="OLE_LINK1"/>
      <w:r>
        <w:rPr>
          <w:b/>
          <w:bCs/>
          <w:snapToGrid w:val="0"/>
          <w:sz w:val="22"/>
          <w:szCs w:val="22"/>
          <w:lang w:eastAsia="lt-LT"/>
        </w:rPr>
        <w:t>6.6</w:t>
      </w:r>
      <w:r>
        <w:rPr>
          <w:b/>
          <w:bCs/>
          <w:snapToGrid w:val="0"/>
          <w:sz w:val="22"/>
          <w:szCs w:val="22"/>
          <w:lang w:eastAsia="lt-LT"/>
        </w:rPr>
        <w:tab/>
        <w:t>Specialūs reikalavimai atliekoms tvarkyti</w:t>
      </w:r>
    </w:p>
    <w:bookmarkEnd w:id="9"/>
    <w:p w14:paraId="3C9DBF99" w14:textId="77777777" w:rsidR="00023BBF" w:rsidRDefault="00023BBF">
      <w:pPr>
        <w:widowControl w:val="0"/>
        <w:rPr>
          <w:snapToGrid w:val="0"/>
          <w:sz w:val="22"/>
          <w:szCs w:val="22"/>
          <w:lang w:eastAsia="en-US"/>
        </w:rPr>
      </w:pPr>
    </w:p>
    <w:p w14:paraId="0ACC2F25" w14:textId="77777777" w:rsidR="00023BBF" w:rsidRDefault="00E17C37">
      <w:pPr>
        <w:widowControl w:val="0"/>
        <w:rPr>
          <w:snapToGrid w:val="0"/>
          <w:sz w:val="22"/>
          <w:szCs w:val="22"/>
          <w:lang w:eastAsia="en-US"/>
        </w:rPr>
      </w:pPr>
      <w:r>
        <w:rPr>
          <w:snapToGrid w:val="0"/>
          <w:sz w:val="22"/>
          <w:szCs w:val="22"/>
          <w:lang w:eastAsia="en-US"/>
        </w:rPr>
        <w:t>Nesuvartotą vaistinį preparatą ar atliekas reikia tvarkyti laikantis vietinių reikalavimų.</w:t>
      </w:r>
    </w:p>
    <w:p w14:paraId="56395AC2" w14:textId="77777777" w:rsidR="00023BBF" w:rsidRDefault="00023BBF">
      <w:pPr>
        <w:widowControl w:val="0"/>
        <w:rPr>
          <w:snapToGrid w:val="0"/>
          <w:sz w:val="22"/>
          <w:szCs w:val="22"/>
          <w:lang w:eastAsia="en-US"/>
        </w:rPr>
      </w:pPr>
    </w:p>
    <w:p w14:paraId="715BA6C8" w14:textId="77777777" w:rsidR="00023BBF" w:rsidRDefault="00023BBF">
      <w:pPr>
        <w:widowControl w:val="0"/>
        <w:rPr>
          <w:snapToGrid w:val="0"/>
          <w:sz w:val="22"/>
          <w:szCs w:val="22"/>
          <w:lang w:eastAsia="en-US"/>
        </w:rPr>
      </w:pPr>
    </w:p>
    <w:p w14:paraId="641A2C7B" w14:textId="77777777" w:rsidR="00023BBF" w:rsidRDefault="00E17C37">
      <w:pPr>
        <w:widowControl w:val="0"/>
        <w:tabs>
          <w:tab w:val="left" w:pos="567"/>
        </w:tabs>
        <w:outlineLvl w:val="2"/>
        <w:rPr>
          <w:b/>
          <w:bCs/>
          <w:snapToGrid w:val="0"/>
          <w:sz w:val="22"/>
          <w:szCs w:val="22"/>
          <w:lang w:eastAsia="lt-LT"/>
        </w:rPr>
      </w:pPr>
      <w:r>
        <w:rPr>
          <w:b/>
          <w:bCs/>
          <w:snapToGrid w:val="0"/>
          <w:sz w:val="22"/>
          <w:szCs w:val="22"/>
          <w:lang w:eastAsia="lt-LT"/>
        </w:rPr>
        <w:t>7.</w:t>
      </w:r>
      <w:r>
        <w:rPr>
          <w:b/>
          <w:bCs/>
          <w:snapToGrid w:val="0"/>
          <w:sz w:val="22"/>
          <w:szCs w:val="22"/>
          <w:lang w:eastAsia="lt-LT"/>
        </w:rPr>
        <w:tab/>
        <w:t>REGISTRUOTOJAS</w:t>
      </w:r>
    </w:p>
    <w:p w14:paraId="5B296531" w14:textId="77777777" w:rsidR="00023BBF" w:rsidRDefault="00023BBF">
      <w:pPr>
        <w:widowControl w:val="0"/>
        <w:rPr>
          <w:snapToGrid w:val="0"/>
          <w:sz w:val="22"/>
          <w:szCs w:val="22"/>
          <w:lang w:eastAsia="en-US"/>
        </w:rPr>
      </w:pPr>
    </w:p>
    <w:p w14:paraId="5E1BE1F7" w14:textId="77777777" w:rsidR="00023BBF" w:rsidRDefault="00E17C37">
      <w:pPr>
        <w:widowControl w:val="0"/>
        <w:rPr>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6EB8A069" w14:textId="77777777" w:rsidR="00023BBF" w:rsidRDefault="00E17C37">
      <w:pPr>
        <w:widowControl w:val="0"/>
        <w:rPr>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3BEEDAA0" w14:textId="77777777" w:rsidR="00023BBF" w:rsidRDefault="00E17C37">
      <w:pPr>
        <w:widowControl w:val="0"/>
        <w:rPr>
          <w:sz w:val="22"/>
          <w:szCs w:val="22"/>
          <w:lang w:eastAsia="sl-SI"/>
        </w:rPr>
      </w:pPr>
      <w:r>
        <w:rPr>
          <w:sz w:val="22"/>
          <w:szCs w:val="22"/>
          <w:lang w:eastAsia="sl-SI"/>
        </w:rPr>
        <w:t>8501 Novo mesto</w:t>
      </w:r>
    </w:p>
    <w:p w14:paraId="5545F6FA" w14:textId="77777777" w:rsidR="00023BBF" w:rsidRDefault="00E17C37">
      <w:pPr>
        <w:widowControl w:val="0"/>
        <w:rPr>
          <w:sz w:val="22"/>
          <w:szCs w:val="22"/>
          <w:lang w:eastAsia="sl-SI"/>
        </w:rPr>
      </w:pPr>
      <w:r>
        <w:rPr>
          <w:sz w:val="22"/>
          <w:szCs w:val="22"/>
          <w:lang w:eastAsia="sl-SI"/>
        </w:rPr>
        <w:t>Slovėnija</w:t>
      </w:r>
    </w:p>
    <w:p w14:paraId="7820C044" w14:textId="77777777" w:rsidR="00023BBF" w:rsidRDefault="00023BBF">
      <w:pPr>
        <w:widowControl w:val="0"/>
        <w:rPr>
          <w:sz w:val="22"/>
          <w:szCs w:val="22"/>
          <w:lang w:eastAsia="sl-SI"/>
        </w:rPr>
      </w:pPr>
    </w:p>
    <w:p w14:paraId="1B7CDCAD" w14:textId="77777777" w:rsidR="00023BBF" w:rsidRDefault="00023BBF">
      <w:pPr>
        <w:widowControl w:val="0"/>
        <w:rPr>
          <w:snapToGrid w:val="0"/>
          <w:sz w:val="22"/>
          <w:szCs w:val="22"/>
          <w:lang w:eastAsia="en-US"/>
        </w:rPr>
      </w:pPr>
    </w:p>
    <w:p w14:paraId="202AA8F3" w14:textId="77777777" w:rsidR="00023BBF" w:rsidRDefault="00E17C37">
      <w:pPr>
        <w:widowControl w:val="0"/>
        <w:tabs>
          <w:tab w:val="left" w:pos="567"/>
        </w:tabs>
        <w:outlineLvl w:val="2"/>
        <w:rPr>
          <w:b/>
          <w:bCs/>
          <w:snapToGrid w:val="0"/>
          <w:sz w:val="22"/>
          <w:szCs w:val="22"/>
          <w:lang w:eastAsia="lt-LT"/>
        </w:rPr>
      </w:pPr>
      <w:r>
        <w:rPr>
          <w:b/>
          <w:bCs/>
          <w:snapToGrid w:val="0"/>
          <w:sz w:val="22"/>
          <w:szCs w:val="22"/>
          <w:lang w:eastAsia="lt-LT"/>
        </w:rPr>
        <w:t>8.</w:t>
      </w:r>
      <w:r>
        <w:rPr>
          <w:b/>
          <w:bCs/>
          <w:snapToGrid w:val="0"/>
          <w:sz w:val="22"/>
          <w:szCs w:val="22"/>
          <w:lang w:eastAsia="lt-LT"/>
        </w:rPr>
        <w:tab/>
        <w:t>REGISTRACIJOS PAŽYMĖJIMO NUMERIS (-IAI)</w:t>
      </w:r>
    </w:p>
    <w:p w14:paraId="1FA02C6D" w14:textId="77777777" w:rsidR="00023BBF" w:rsidRDefault="00023BBF">
      <w:pPr>
        <w:widowControl w:val="0"/>
        <w:tabs>
          <w:tab w:val="left" w:pos="567"/>
        </w:tabs>
        <w:outlineLvl w:val="2"/>
        <w:rPr>
          <w:b/>
          <w:bCs/>
          <w:snapToGrid w:val="0"/>
          <w:sz w:val="22"/>
          <w:szCs w:val="22"/>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20"/>
      </w:tblGrid>
      <w:tr w:rsidR="00023BBF" w14:paraId="4E159C00" w14:textId="77777777">
        <w:tc>
          <w:tcPr>
            <w:tcW w:w="4820" w:type="dxa"/>
          </w:tcPr>
          <w:p w14:paraId="5ED50346" w14:textId="77777777" w:rsidR="00023BBF" w:rsidRDefault="00E17C37">
            <w:pPr>
              <w:widowControl w:val="0"/>
              <w:tabs>
                <w:tab w:val="left" w:pos="567"/>
              </w:tabs>
              <w:outlineLvl w:val="2"/>
              <w:rPr>
                <w:u w:val="single"/>
                <w:lang w:val="x-none" w:eastAsia="x-none"/>
              </w:rPr>
            </w:pPr>
            <w:bookmarkStart w:id="10" w:name="_Hlk205531568"/>
            <w:r>
              <w:rPr>
                <w:u w:val="single"/>
                <w:lang w:val="x-none" w:eastAsia="x-none"/>
              </w:rPr>
              <w:t>5 mg/</w:t>
            </w:r>
            <w:r>
              <w:rPr>
                <w:u w:val="single"/>
                <w:lang w:eastAsia="x-none"/>
              </w:rPr>
              <w:t xml:space="preserve"> </w:t>
            </w:r>
            <w:r>
              <w:rPr>
                <w:u w:val="single"/>
                <w:lang w:val="x-none" w:eastAsia="x-none"/>
              </w:rPr>
              <w:t>850 mg</w:t>
            </w:r>
          </w:p>
          <w:p w14:paraId="2CEB7EAE" w14:textId="77777777" w:rsidR="00023BBF" w:rsidRDefault="00E17C37">
            <w:pPr>
              <w:widowControl w:val="0"/>
              <w:tabs>
                <w:tab w:val="left" w:pos="567"/>
              </w:tabs>
              <w:outlineLvl w:val="2"/>
              <w:rPr>
                <w:snapToGrid w:val="0"/>
                <w:sz w:val="22"/>
                <w:szCs w:val="22"/>
                <w:lang w:eastAsia="lt-LT"/>
              </w:rPr>
            </w:pPr>
            <w:r>
              <w:rPr>
                <w:snapToGrid w:val="0"/>
                <w:sz w:val="22"/>
                <w:szCs w:val="22"/>
                <w:lang w:eastAsia="lt-LT"/>
              </w:rPr>
              <w:t>LT/1/25/5827/001 – N14</w:t>
            </w:r>
          </w:p>
          <w:p w14:paraId="6167A26A" w14:textId="77777777" w:rsidR="00023BBF" w:rsidRDefault="00E17C37">
            <w:pPr>
              <w:widowControl w:val="0"/>
              <w:tabs>
                <w:tab w:val="left" w:pos="567"/>
              </w:tabs>
              <w:outlineLvl w:val="2"/>
              <w:rPr>
                <w:snapToGrid w:val="0"/>
                <w:sz w:val="22"/>
                <w:szCs w:val="22"/>
                <w:lang w:eastAsia="lt-LT"/>
              </w:rPr>
            </w:pPr>
            <w:r>
              <w:rPr>
                <w:snapToGrid w:val="0"/>
                <w:sz w:val="22"/>
                <w:szCs w:val="22"/>
                <w:lang w:eastAsia="lt-LT"/>
              </w:rPr>
              <w:t>LT/1/25/5827/002 – N28</w:t>
            </w:r>
          </w:p>
          <w:p w14:paraId="5FCEA81A" w14:textId="77777777" w:rsidR="00023BBF" w:rsidRDefault="00E17C37">
            <w:pPr>
              <w:widowControl w:val="0"/>
              <w:tabs>
                <w:tab w:val="left" w:pos="567"/>
              </w:tabs>
              <w:outlineLvl w:val="2"/>
              <w:rPr>
                <w:snapToGrid w:val="0"/>
                <w:sz w:val="22"/>
                <w:szCs w:val="22"/>
                <w:lang w:eastAsia="lt-LT"/>
              </w:rPr>
            </w:pPr>
            <w:r>
              <w:rPr>
                <w:snapToGrid w:val="0"/>
                <w:sz w:val="22"/>
                <w:szCs w:val="22"/>
                <w:lang w:eastAsia="lt-LT"/>
              </w:rPr>
              <w:t>LT/1/25/5827/003 – N30</w:t>
            </w:r>
          </w:p>
          <w:p w14:paraId="1613E75B" w14:textId="77777777" w:rsidR="00023BBF" w:rsidRDefault="00E17C37">
            <w:pPr>
              <w:widowControl w:val="0"/>
              <w:tabs>
                <w:tab w:val="left" w:pos="567"/>
              </w:tabs>
              <w:outlineLvl w:val="2"/>
              <w:rPr>
                <w:snapToGrid w:val="0"/>
                <w:sz w:val="22"/>
                <w:szCs w:val="22"/>
                <w:lang w:eastAsia="lt-LT"/>
              </w:rPr>
            </w:pPr>
            <w:r>
              <w:rPr>
                <w:snapToGrid w:val="0"/>
                <w:sz w:val="22"/>
                <w:szCs w:val="22"/>
                <w:lang w:eastAsia="lt-LT"/>
              </w:rPr>
              <w:t>LT/1/25/5827/004 – N56</w:t>
            </w:r>
          </w:p>
          <w:p w14:paraId="149F55D8" w14:textId="77777777" w:rsidR="00023BBF" w:rsidRDefault="00E17C37">
            <w:pPr>
              <w:widowControl w:val="0"/>
              <w:tabs>
                <w:tab w:val="left" w:pos="567"/>
              </w:tabs>
              <w:outlineLvl w:val="2"/>
              <w:rPr>
                <w:snapToGrid w:val="0"/>
                <w:sz w:val="22"/>
                <w:szCs w:val="22"/>
                <w:lang w:eastAsia="lt-LT"/>
              </w:rPr>
            </w:pPr>
            <w:r>
              <w:rPr>
                <w:snapToGrid w:val="0"/>
                <w:sz w:val="22"/>
                <w:szCs w:val="22"/>
                <w:lang w:eastAsia="lt-LT"/>
              </w:rPr>
              <w:t>LT/1/25/5827/005 – N60</w:t>
            </w:r>
          </w:p>
          <w:p w14:paraId="3FACF365" w14:textId="77777777" w:rsidR="00023BBF" w:rsidRDefault="00E17C37">
            <w:pPr>
              <w:widowControl w:val="0"/>
              <w:tabs>
                <w:tab w:val="left" w:pos="567"/>
              </w:tabs>
              <w:outlineLvl w:val="2"/>
              <w:rPr>
                <w:snapToGrid w:val="0"/>
                <w:sz w:val="22"/>
                <w:szCs w:val="22"/>
                <w:lang w:eastAsia="lt-LT"/>
              </w:rPr>
            </w:pPr>
            <w:r>
              <w:rPr>
                <w:snapToGrid w:val="0"/>
                <w:sz w:val="22"/>
                <w:szCs w:val="22"/>
                <w:lang w:eastAsia="lt-LT"/>
              </w:rPr>
              <w:t>LT/1/25/5827/006 – N90</w:t>
            </w:r>
          </w:p>
          <w:p w14:paraId="69023ECF" w14:textId="77777777" w:rsidR="00023BBF" w:rsidRDefault="00E17C37">
            <w:pPr>
              <w:widowControl w:val="0"/>
              <w:tabs>
                <w:tab w:val="left" w:pos="567"/>
              </w:tabs>
              <w:outlineLvl w:val="2"/>
              <w:rPr>
                <w:snapToGrid w:val="0"/>
                <w:sz w:val="22"/>
                <w:szCs w:val="22"/>
                <w:lang w:eastAsia="lt-LT"/>
              </w:rPr>
            </w:pPr>
            <w:r>
              <w:rPr>
                <w:snapToGrid w:val="0"/>
                <w:sz w:val="22"/>
                <w:szCs w:val="22"/>
                <w:lang w:eastAsia="lt-LT"/>
              </w:rPr>
              <w:t>LT/1/25/5827/007 – N196</w:t>
            </w:r>
          </w:p>
        </w:tc>
        <w:tc>
          <w:tcPr>
            <w:tcW w:w="4820" w:type="dxa"/>
          </w:tcPr>
          <w:p w14:paraId="1630723A" w14:textId="77777777" w:rsidR="00023BBF" w:rsidRDefault="00E17C37">
            <w:pPr>
              <w:widowControl w:val="0"/>
              <w:tabs>
                <w:tab w:val="left" w:pos="567"/>
              </w:tabs>
              <w:outlineLvl w:val="2"/>
              <w:rPr>
                <w:lang w:val="x-none" w:eastAsia="x-none"/>
              </w:rPr>
            </w:pPr>
            <w:r>
              <w:rPr>
                <w:u w:val="single"/>
                <w:lang w:val="x-none" w:eastAsia="x-none"/>
              </w:rPr>
              <w:t>5 mg/ 1000 mg</w:t>
            </w:r>
          </w:p>
          <w:p w14:paraId="5B9AEB8B" w14:textId="77777777" w:rsidR="00023BBF" w:rsidRDefault="00E17C37">
            <w:pPr>
              <w:widowControl w:val="0"/>
              <w:tabs>
                <w:tab w:val="left" w:pos="567"/>
              </w:tabs>
              <w:outlineLvl w:val="2"/>
              <w:rPr>
                <w:snapToGrid w:val="0"/>
                <w:sz w:val="22"/>
                <w:szCs w:val="22"/>
                <w:lang w:eastAsia="lt-LT"/>
              </w:rPr>
            </w:pPr>
            <w:r>
              <w:rPr>
                <w:snapToGrid w:val="0"/>
                <w:sz w:val="22"/>
                <w:szCs w:val="22"/>
                <w:lang w:eastAsia="lt-LT"/>
              </w:rPr>
              <w:t>LT/1/25/5828/001 – N14</w:t>
            </w:r>
          </w:p>
          <w:p w14:paraId="614B107B" w14:textId="77777777" w:rsidR="00023BBF" w:rsidRDefault="00E17C37">
            <w:pPr>
              <w:widowControl w:val="0"/>
              <w:tabs>
                <w:tab w:val="left" w:pos="567"/>
              </w:tabs>
              <w:outlineLvl w:val="2"/>
              <w:rPr>
                <w:snapToGrid w:val="0"/>
                <w:sz w:val="22"/>
                <w:szCs w:val="22"/>
                <w:lang w:eastAsia="lt-LT"/>
              </w:rPr>
            </w:pPr>
            <w:r>
              <w:rPr>
                <w:snapToGrid w:val="0"/>
                <w:sz w:val="22"/>
                <w:szCs w:val="22"/>
                <w:lang w:eastAsia="lt-LT"/>
              </w:rPr>
              <w:t>LT/1/25/5828/002 – N28</w:t>
            </w:r>
          </w:p>
          <w:p w14:paraId="17C4287C" w14:textId="77777777" w:rsidR="00023BBF" w:rsidRDefault="00E17C37">
            <w:pPr>
              <w:widowControl w:val="0"/>
              <w:tabs>
                <w:tab w:val="left" w:pos="567"/>
              </w:tabs>
              <w:outlineLvl w:val="2"/>
              <w:rPr>
                <w:snapToGrid w:val="0"/>
                <w:sz w:val="22"/>
                <w:szCs w:val="22"/>
                <w:lang w:eastAsia="lt-LT"/>
              </w:rPr>
            </w:pPr>
            <w:r>
              <w:rPr>
                <w:snapToGrid w:val="0"/>
                <w:sz w:val="22"/>
                <w:szCs w:val="22"/>
                <w:lang w:eastAsia="lt-LT"/>
              </w:rPr>
              <w:t>LT/1/25/5828/003 – N30</w:t>
            </w:r>
          </w:p>
          <w:p w14:paraId="5B51E2CE" w14:textId="77777777" w:rsidR="00023BBF" w:rsidRDefault="00E17C37">
            <w:pPr>
              <w:widowControl w:val="0"/>
              <w:tabs>
                <w:tab w:val="left" w:pos="567"/>
              </w:tabs>
              <w:outlineLvl w:val="2"/>
              <w:rPr>
                <w:snapToGrid w:val="0"/>
                <w:sz w:val="22"/>
                <w:szCs w:val="22"/>
                <w:lang w:eastAsia="lt-LT"/>
              </w:rPr>
            </w:pPr>
            <w:r>
              <w:rPr>
                <w:snapToGrid w:val="0"/>
                <w:sz w:val="22"/>
                <w:szCs w:val="22"/>
                <w:lang w:eastAsia="lt-LT"/>
              </w:rPr>
              <w:t>LT/1/25/5828/004 – N56</w:t>
            </w:r>
          </w:p>
          <w:p w14:paraId="6F76D6CB" w14:textId="77777777" w:rsidR="00023BBF" w:rsidRDefault="00E17C37">
            <w:pPr>
              <w:widowControl w:val="0"/>
              <w:tabs>
                <w:tab w:val="left" w:pos="567"/>
              </w:tabs>
              <w:outlineLvl w:val="2"/>
              <w:rPr>
                <w:snapToGrid w:val="0"/>
                <w:sz w:val="22"/>
                <w:szCs w:val="22"/>
                <w:lang w:eastAsia="lt-LT"/>
              </w:rPr>
            </w:pPr>
            <w:r>
              <w:rPr>
                <w:snapToGrid w:val="0"/>
                <w:sz w:val="22"/>
                <w:szCs w:val="22"/>
                <w:lang w:eastAsia="lt-LT"/>
              </w:rPr>
              <w:t>LT/1/25/5828/005 – N60</w:t>
            </w:r>
          </w:p>
          <w:p w14:paraId="3D1B2168" w14:textId="77777777" w:rsidR="00023BBF" w:rsidRDefault="00E17C37">
            <w:pPr>
              <w:widowControl w:val="0"/>
              <w:tabs>
                <w:tab w:val="left" w:pos="567"/>
              </w:tabs>
              <w:outlineLvl w:val="2"/>
              <w:rPr>
                <w:snapToGrid w:val="0"/>
                <w:sz w:val="22"/>
                <w:szCs w:val="22"/>
                <w:lang w:eastAsia="lt-LT"/>
              </w:rPr>
            </w:pPr>
            <w:r>
              <w:rPr>
                <w:snapToGrid w:val="0"/>
                <w:sz w:val="22"/>
                <w:szCs w:val="22"/>
                <w:lang w:eastAsia="lt-LT"/>
              </w:rPr>
              <w:t>LT/1/25/5828/006 – N90</w:t>
            </w:r>
          </w:p>
          <w:p w14:paraId="54DD6FC4" w14:textId="77777777" w:rsidR="00023BBF" w:rsidRDefault="00E17C37">
            <w:pPr>
              <w:widowControl w:val="0"/>
              <w:tabs>
                <w:tab w:val="left" w:pos="567"/>
              </w:tabs>
              <w:outlineLvl w:val="2"/>
              <w:rPr>
                <w:snapToGrid w:val="0"/>
                <w:sz w:val="22"/>
                <w:szCs w:val="22"/>
                <w:lang w:eastAsia="lt-LT"/>
              </w:rPr>
            </w:pPr>
            <w:r>
              <w:rPr>
                <w:snapToGrid w:val="0"/>
                <w:sz w:val="22"/>
                <w:szCs w:val="22"/>
                <w:lang w:eastAsia="lt-LT"/>
              </w:rPr>
              <w:t>LT/1/25/5828/007 – N196</w:t>
            </w:r>
          </w:p>
        </w:tc>
      </w:tr>
      <w:bookmarkEnd w:id="10"/>
    </w:tbl>
    <w:p w14:paraId="2E0E981F" w14:textId="77777777" w:rsidR="00023BBF" w:rsidRDefault="00023BBF">
      <w:pPr>
        <w:widowControl w:val="0"/>
        <w:tabs>
          <w:tab w:val="left" w:pos="567"/>
        </w:tabs>
        <w:outlineLvl w:val="2"/>
        <w:rPr>
          <w:b/>
          <w:bCs/>
          <w:snapToGrid w:val="0"/>
          <w:sz w:val="22"/>
          <w:szCs w:val="22"/>
          <w:lang w:eastAsia="lt-LT"/>
        </w:rPr>
      </w:pPr>
    </w:p>
    <w:p w14:paraId="00EEBB3A" w14:textId="77777777" w:rsidR="00023BBF" w:rsidRDefault="00023BBF">
      <w:pPr>
        <w:widowControl w:val="0"/>
        <w:tabs>
          <w:tab w:val="left" w:pos="567"/>
        </w:tabs>
        <w:outlineLvl w:val="2"/>
        <w:rPr>
          <w:b/>
          <w:bCs/>
          <w:snapToGrid w:val="0"/>
          <w:sz w:val="22"/>
          <w:szCs w:val="22"/>
          <w:lang w:eastAsia="lt-LT"/>
        </w:rPr>
      </w:pPr>
    </w:p>
    <w:p w14:paraId="61914B01" w14:textId="77777777" w:rsidR="00023BBF" w:rsidRDefault="00E17C37">
      <w:pPr>
        <w:widowControl w:val="0"/>
        <w:tabs>
          <w:tab w:val="left" w:pos="567"/>
        </w:tabs>
        <w:outlineLvl w:val="2"/>
        <w:rPr>
          <w:b/>
          <w:bCs/>
          <w:snapToGrid w:val="0"/>
          <w:sz w:val="22"/>
          <w:szCs w:val="22"/>
          <w:lang w:eastAsia="lt-LT"/>
        </w:rPr>
      </w:pPr>
      <w:r>
        <w:rPr>
          <w:b/>
          <w:bCs/>
          <w:snapToGrid w:val="0"/>
          <w:sz w:val="22"/>
          <w:szCs w:val="22"/>
          <w:lang w:eastAsia="lt-LT"/>
        </w:rPr>
        <w:t>9.</w:t>
      </w:r>
      <w:r>
        <w:rPr>
          <w:b/>
          <w:bCs/>
          <w:snapToGrid w:val="0"/>
          <w:sz w:val="22"/>
          <w:szCs w:val="22"/>
          <w:lang w:eastAsia="lt-LT"/>
        </w:rPr>
        <w:tab/>
        <w:t>REGISTRAVIMO / PERREGISTRAVIMO DATA</w:t>
      </w:r>
    </w:p>
    <w:p w14:paraId="1DF74247" w14:textId="77777777" w:rsidR="00023BBF" w:rsidRDefault="00023BBF">
      <w:pPr>
        <w:widowControl w:val="0"/>
        <w:rPr>
          <w:snapToGrid w:val="0"/>
          <w:sz w:val="22"/>
          <w:szCs w:val="22"/>
          <w:lang w:eastAsia="en-US"/>
        </w:rPr>
      </w:pPr>
    </w:p>
    <w:p w14:paraId="31B665BA" w14:textId="77777777" w:rsidR="00023BBF" w:rsidRDefault="00E17C37">
      <w:pPr>
        <w:widowControl w:val="0"/>
        <w:rPr>
          <w:snapToGrid w:val="0"/>
          <w:sz w:val="22"/>
          <w:szCs w:val="22"/>
          <w:lang w:eastAsia="en-US"/>
        </w:rPr>
      </w:pPr>
      <w:r>
        <w:rPr>
          <w:snapToGrid w:val="0"/>
          <w:sz w:val="22"/>
          <w:szCs w:val="22"/>
          <w:lang w:eastAsia="en-US"/>
        </w:rPr>
        <w:t>Registravimo data 2025 m. rugpjūčio 7 d.</w:t>
      </w:r>
    </w:p>
    <w:p w14:paraId="3D69526F" w14:textId="77777777" w:rsidR="00023BBF" w:rsidRDefault="00023BBF">
      <w:pPr>
        <w:rPr>
          <w:snapToGrid w:val="0"/>
          <w:sz w:val="22"/>
          <w:szCs w:val="22"/>
          <w:lang w:eastAsia="en-US"/>
        </w:rPr>
      </w:pPr>
    </w:p>
    <w:p w14:paraId="0C8C3934" w14:textId="77777777" w:rsidR="00023BBF" w:rsidRDefault="00023BBF">
      <w:pPr>
        <w:widowControl w:val="0"/>
        <w:rPr>
          <w:snapToGrid w:val="0"/>
          <w:sz w:val="22"/>
          <w:szCs w:val="22"/>
          <w:lang w:eastAsia="en-US"/>
        </w:rPr>
      </w:pPr>
    </w:p>
    <w:p w14:paraId="7A7B414D" w14:textId="77777777" w:rsidR="00023BBF" w:rsidRDefault="00E17C37">
      <w:pPr>
        <w:widowControl w:val="0"/>
        <w:tabs>
          <w:tab w:val="left" w:pos="567"/>
        </w:tabs>
        <w:outlineLvl w:val="2"/>
        <w:rPr>
          <w:b/>
          <w:bCs/>
          <w:snapToGrid w:val="0"/>
          <w:sz w:val="22"/>
          <w:szCs w:val="22"/>
          <w:lang w:eastAsia="lt-LT"/>
        </w:rPr>
      </w:pPr>
      <w:r>
        <w:rPr>
          <w:b/>
          <w:bCs/>
          <w:snapToGrid w:val="0"/>
          <w:sz w:val="22"/>
          <w:szCs w:val="22"/>
          <w:lang w:eastAsia="lt-LT"/>
        </w:rPr>
        <w:t>10.</w:t>
      </w:r>
      <w:r>
        <w:rPr>
          <w:b/>
          <w:bCs/>
          <w:snapToGrid w:val="0"/>
          <w:sz w:val="22"/>
          <w:szCs w:val="22"/>
          <w:lang w:eastAsia="lt-LT"/>
        </w:rPr>
        <w:tab/>
        <w:t>TEKSTO PERŽIŪROS DATA</w:t>
      </w:r>
    </w:p>
    <w:p w14:paraId="658516C4" w14:textId="77777777" w:rsidR="00023BBF" w:rsidRDefault="00023BBF">
      <w:pPr>
        <w:widowControl w:val="0"/>
        <w:tabs>
          <w:tab w:val="left" w:pos="567"/>
        </w:tabs>
        <w:outlineLvl w:val="2"/>
        <w:rPr>
          <w:b/>
          <w:bCs/>
          <w:snapToGrid w:val="0"/>
          <w:sz w:val="22"/>
          <w:szCs w:val="22"/>
          <w:lang w:eastAsia="lt-LT"/>
        </w:rPr>
      </w:pPr>
    </w:p>
    <w:p w14:paraId="3DC73758" w14:textId="5555723D" w:rsidR="00023BBF" w:rsidRDefault="00E17C37">
      <w:pPr>
        <w:widowControl w:val="0"/>
        <w:tabs>
          <w:tab w:val="left" w:pos="567"/>
        </w:tabs>
        <w:outlineLvl w:val="2"/>
        <w:rPr>
          <w:b/>
          <w:bCs/>
          <w:snapToGrid w:val="0"/>
          <w:sz w:val="22"/>
          <w:szCs w:val="22"/>
          <w:lang w:eastAsia="lt-LT"/>
        </w:rPr>
      </w:pPr>
      <w:r>
        <w:rPr>
          <w:snapToGrid w:val="0"/>
          <w:sz w:val="22"/>
          <w:szCs w:val="22"/>
          <w:lang w:eastAsia="en-US"/>
        </w:rPr>
        <w:t>2026 m. gegužės 22 d.</w:t>
      </w:r>
    </w:p>
    <w:p w14:paraId="1EA2F227" w14:textId="77777777" w:rsidR="00023BBF" w:rsidRDefault="00023BBF">
      <w:pPr>
        <w:widowControl w:val="0"/>
        <w:rPr>
          <w:snapToGrid w:val="0"/>
          <w:sz w:val="22"/>
          <w:szCs w:val="22"/>
          <w:lang w:eastAsia="en-US"/>
        </w:rPr>
      </w:pPr>
    </w:p>
    <w:p w14:paraId="6C308B12" w14:textId="77777777" w:rsidR="00023BBF" w:rsidRDefault="00E17C37">
      <w:pPr>
        <w:widowControl w:val="0"/>
        <w:tabs>
          <w:tab w:val="left" w:pos="5954"/>
          <w:tab w:val="left" w:pos="6237"/>
          <w:tab w:val="left" w:pos="6663"/>
          <w:tab w:val="left" w:pos="6946"/>
        </w:tabs>
        <w:rPr>
          <w:rFonts w:eastAsia="SimSun"/>
          <w:sz w:val="22"/>
          <w:szCs w:val="22"/>
          <w:lang w:eastAsia="en-US"/>
        </w:rPr>
      </w:pPr>
      <w:r>
        <w:rPr>
          <w:rFonts w:eastAsia="SimSun"/>
          <w:sz w:val="22"/>
          <w:szCs w:val="22"/>
          <w:lang w:eastAsia="en-US"/>
        </w:rPr>
        <w:t>Išsami informacija apie šį vaistinį preparatą pateikiama Valstybinės vaistų kontrolės tarnybos prie Lietuvos Respublikos sveikatos apsaugos ministerijos tinklalapyje</w:t>
      </w:r>
      <w:r>
        <w:rPr>
          <w:rFonts w:eastAsia="SimSun"/>
          <w:i/>
          <w:sz w:val="22"/>
          <w:szCs w:val="22"/>
          <w:lang w:eastAsia="en-US"/>
        </w:rPr>
        <w:t xml:space="preserve"> </w:t>
      </w:r>
      <w:r>
        <w:rPr>
          <w:snapToGrid w:val="0"/>
          <w:color w:val="0000EE"/>
          <w:sz w:val="22"/>
          <w:szCs w:val="22"/>
          <w:u w:val="single"/>
          <w:lang w:eastAsia="lt-LT"/>
        </w:rPr>
        <w:t>https://vvkt.lrv.lt/lt/</w:t>
      </w:r>
      <w:r>
        <w:rPr>
          <w:snapToGrid w:val="0"/>
          <w:sz w:val="22"/>
          <w:szCs w:val="22"/>
          <w:lang w:eastAsia="lt-LT"/>
        </w:rPr>
        <w:t>.</w:t>
      </w:r>
    </w:p>
    <w:p w14:paraId="1D5427A1" w14:textId="77777777" w:rsidR="00023BBF" w:rsidRDefault="00E17C37">
      <w:pPr>
        <w:widowControl w:val="0"/>
        <w:tabs>
          <w:tab w:val="left" w:pos="4962"/>
        </w:tabs>
        <w:rPr>
          <w:rFonts w:eastAsia="SimSun"/>
          <w:sz w:val="22"/>
          <w:szCs w:val="22"/>
          <w:lang w:eastAsia="en-US"/>
        </w:rPr>
      </w:pPr>
      <w:r>
        <w:rPr>
          <w:rFonts w:eastAsia="SimSun"/>
          <w:sz w:val="22"/>
          <w:szCs w:val="22"/>
          <w:lang w:eastAsia="en-US"/>
        </w:rPr>
        <w:br w:type="page"/>
      </w:r>
    </w:p>
    <w:p w14:paraId="40810928" w14:textId="77777777" w:rsidR="00023BBF" w:rsidRDefault="00023BBF">
      <w:pPr>
        <w:rPr>
          <w:rFonts w:eastAsia="Calibri"/>
          <w:sz w:val="22"/>
          <w:szCs w:val="22"/>
          <w:lang w:eastAsia="en-US"/>
        </w:rPr>
      </w:pPr>
    </w:p>
    <w:p w14:paraId="314909D1" w14:textId="77777777" w:rsidR="00023BBF" w:rsidRDefault="00023BBF">
      <w:pPr>
        <w:spacing w:line="259" w:lineRule="auto"/>
        <w:jc w:val="center"/>
        <w:rPr>
          <w:rFonts w:eastAsia="Calibri"/>
          <w:b/>
          <w:sz w:val="22"/>
          <w:szCs w:val="22"/>
          <w:lang w:eastAsia="en-US"/>
        </w:rPr>
      </w:pPr>
    </w:p>
    <w:p w14:paraId="5A0A58F0" w14:textId="77777777" w:rsidR="00023BBF" w:rsidRDefault="00023BBF">
      <w:pPr>
        <w:spacing w:line="259" w:lineRule="auto"/>
        <w:jc w:val="center"/>
        <w:rPr>
          <w:rFonts w:eastAsia="Calibri"/>
          <w:b/>
          <w:sz w:val="22"/>
          <w:szCs w:val="22"/>
          <w:lang w:eastAsia="en-US"/>
        </w:rPr>
      </w:pPr>
    </w:p>
    <w:p w14:paraId="5A02CA00" w14:textId="77777777" w:rsidR="00023BBF" w:rsidRDefault="00023BBF">
      <w:pPr>
        <w:spacing w:line="259" w:lineRule="auto"/>
        <w:jc w:val="center"/>
        <w:rPr>
          <w:rFonts w:eastAsia="Calibri"/>
          <w:b/>
          <w:sz w:val="22"/>
          <w:szCs w:val="22"/>
          <w:lang w:eastAsia="en-US"/>
        </w:rPr>
      </w:pPr>
    </w:p>
    <w:p w14:paraId="380C4189" w14:textId="77777777" w:rsidR="00023BBF" w:rsidRDefault="00023BBF">
      <w:pPr>
        <w:spacing w:line="259" w:lineRule="auto"/>
        <w:jc w:val="center"/>
        <w:rPr>
          <w:rFonts w:eastAsia="Calibri"/>
          <w:b/>
          <w:sz w:val="22"/>
          <w:szCs w:val="22"/>
          <w:lang w:eastAsia="en-US"/>
        </w:rPr>
      </w:pPr>
    </w:p>
    <w:p w14:paraId="493AEEF3" w14:textId="77777777" w:rsidR="00023BBF" w:rsidRDefault="00023BBF">
      <w:pPr>
        <w:spacing w:line="259" w:lineRule="auto"/>
        <w:jc w:val="center"/>
        <w:rPr>
          <w:rFonts w:eastAsia="Calibri"/>
          <w:b/>
          <w:sz w:val="22"/>
          <w:szCs w:val="22"/>
          <w:lang w:eastAsia="en-US"/>
        </w:rPr>
      </w:pPr>
    </w:p>
    <w:p w14:paraId="74EDB35F" w14:textId="77777777" w:rsidR="00023BBF" w:rsidRDefault="00023BBF">
      <w:pPr>
        <w:spacing w:line="259" w:lineRule="auto"/>
        <w:jc w:val="center"/>
        <w:rPr>
          <w:rFonts w:eastAsia="Calibri"/>
          <w:b/>
          <w:sz w:val="22"/>
          <w:szCs w:val="22"/>
          <w:lang w:eastAsia="en-US"/>
        </w:rPr>
      </w:pPr>
    </w:p>
    <w:p w14:paraId="5E072E35" w14:textId="77777777" w:rsidR="00023BBF" w:rsidRDefault="00023BBF">
      <w:pPr>
        <w:spacing w:line="259" w:lineRule="auto"/>
        <w:jc w:val="center"/>
        <w:rPr>
          <w:rFonts w:eastAsia="Calibri"/>
          <w:b/>
          <w:sz w:val="22"/>
          <w:szCs w:val="22"/>
          <w:lang w:eastAsia="en-US"/>
        </w:rPr>
      </w:pPr>
    </w:p>
    <w:p w14:paraId="54849A45" w14:textId="77777777" w:rsidR="00023BBF" w:rsidRDefault="00023BBF">
      <w:pPr>
        <w:spacing w:line="259" w:lineRule="auto"/>
        <w:jc w:val="center"/>
        <w:rPr>
          <w:rFonts w:eastAsia="Calibri"/>
          <w:b/>
          <w:sz w:val="22"/>
          <w:szCs w:val="22"/>
          <w:lang w:eastAsia="en-US"/>
        </w:rPr>
      </w:pPr>
    </w:p>
    <w:p w14:paraId="7E1F1BEF" w14:textId="77777777" w:rsidR="00023BBF" w:rsidRDefault="00023BBF">
      <w:pPr>
        <w:spacing w:line="259" w:lineRule="auto"/>
        <w:jc w:val="center"/>
        <w:rPr>
          <w:rFonts w:eastAsia="Calibri"/>
          <w:b/>
          <w:sz w:val="22"/>
          <w:szCs w:val="22"/>
          <w:lang w:eastAsia="en-US"/>
        </w:rPr>
      </w:pPr>
    </w:p>
    <w:p w14:paraId="0A7F9BFC" w14:textId="77777777" w:rsidR="00023BBF" w:rsidRDefault="00023BBF">
      <w:pPr>
        <w:spacing w:line="259" w:lineRule="auto"/>
        <w:jc w:val="center"/>
        <w:rPr>
          <w:rFonts w:eastAsia="Calibri"/>
          <w:b/>
          <w:sz w:val="22"/>
          <w:szCs w:val="22"/>
          <w:lang w:eastAsia="en-US"/>
        </w:rPr>
      </w:pPr>
    </w:p>
    <w:p w14:paraId="5C8FC546" w14:textId="77777777" w:rsidR="00023BBF" w:rsidRDefault="00023BBF">
      <w:pPr>
        <w:spacing w:line="259" w:lineRule="auto"/>
        <w:jc w:val="center"/>
        <w:rPr>
          <w:rFonts w:eastAsia="Calibri"/>
          <w:b/>
          <w:sz w:val="22"/>
          <w:szCs w:val="22"/>
          <w:lang w:eastAsia="en-US"/>
        </w:rPr>
      </w:pPr>
    </w:p>
    <w:p w14:paraId="128FE726" w14:textId="77777777" w:rsidR="00023BBF" w:rsidRDefault="00023BBF">
      <w:pPr>
        <w:spacing w:line="259" w:lineRule="auto"/>
        <w:jc w:val="center"/>
        <w:rPr>
          <w:rFonts w:eastAsia="Calibri"/>
          <w:b/>
          <w:sz w:val="22"/>
          <w:szCs w:val="22"/>
          <w:lang w:eastAsia="en-US"/>
        </w:rPr>
      </w:pPr>
    </w:p>
    <w:p w14:paraId="35A352AE" w14:textId="77777777" w:rsidR="00023BBF" w:rsidRDefault="00023BBF">
      <w:pPr>
        <w:spacing w:line="259" w:lineRule="auto"/>
        <w:jc w:val="center"/>
        <w:rPr>
          <w:rFonts w:eastAsia="Calibri"/>
          <w:b/>
          <w:sz w:val="22"/>
          <w:szCs w:val="22"/>
          <w:lang w:eastAsia="en-US"/>
        </w:rPr>
      </w:pPr>
    </w:p>
    <w:p w14:paraId="55A7A7B0" w14:textId="77777777" w:rsidR="00023BBF" w:rsidRDefault="00023BBF">
      <w:pPr>
        <w:spacing w:line="259" w:lineRule="auto"/>
        <w:jc w:val="center"/>
        <w:rPr>
          <w:rFonts w:eastAsia="Calibri"/>
          <w:b/>
          <w:sz w:val="22"/>
          <w:szCs w:val="22"/>
          <w:lang w:eastAsia="en-US"/>
        </w:rPr>
      </w:pPr>
    </w:p>
    <w:p w14:paraId="1BD8F9E9" w14:textId="77777777" w:rsidR="00023BBF" w:rsidRDefault="00023BBF">
      <w:pPr>
        <w:spacing w:line="259" w:lineRule="auto"/>
        <w:jc w:val="center"/>
        <w:rPr>
          <w:rFonts w:eastAsia="Calibri"/>
          <w:b/>
          <w:sz w:val="22"/>
          <w:szCs w:val="22"/>
          <w:lang w:eastAsia="en-US"/>
        </w:rPr>
      </w:pPr>
    </w:p>
    <w:p w14:paraId="6DF8137E" w14:textId="77777777" w:rsidR="00023BBF" w:rsidRDefault="00023BBF">
      <w:pPr>
        <w:spacing w:line="259" w:lineRule="auto"/>
        <w:jc w:val="center"/>
        <w:rPr>
          <w:rFonts w:eastAsia="Calibri"/>
          <w:b/>
          <w:sz w:val="22"/>
          <w:szCs w:val="22"/>
          <w:lang w:eastAsia="en-US"/>
        </w:rPr>
      </w:pPr>
    </w:p>
    <w:p w14:paraId="6110BD49" w14:textId="77777777" w:rsidR="00023BBF" w:rsidRDefault="00023BBF">
      <w:pPr>
        <w:spacing w:line="259" w:lineRule="auto"/>
        <w:jc w:val="center"/>
        <w:rPr>
          <w:rFonts w:eastAsia="Calibri"/>
          <w:b/>
          <w:sz w:val="22"/>
          <w:szCs w:val="22"/>
          <w:lang w:eastAsia="en-US"/>
        </w:rPr>
      </w:pPr>
    </w:p>
    <w:p w14:paraId="5A3A84BE" w14:textId="77777777" w:rsidR="00023BBF" w:rsidRDefault="00023BBF">
      <w:pPr>
        <w:spacing w:line="259" w:lineRule="auto"/>
        <w:jc w:val="center"/>
        <w:rPr>
          <w:rFonts w:eastAsia="Calibri"/>
          <w:b/>
          <w:sz w:val="22"/>
          <w:szCs w:val="22"/>
          <w:lang w:eastAsia="en-US"/>
        </w:rPr>
      </w:pPr>
    </w:p>
    <w:p w14:paraId="12034418" w14:textId="77777777" w:rsidR="00023BBF" w:rsidRDefault="00023BBF">
      <w:pPr>
        <w:spacing w:line="259" w:lineRule="auto"/>
        <w:jc w:val="center"/>
        <w:rPr>
          <w:rFonts w:eastAsia="Calibri"/>
          <w:b/>
          <w:sz w:val="22"/>
          <w:szCs w:val="22"/>
          <w:lang w:eastAsia="en-US"/>
        </w:rPr>
      </w:pPr>
    </w:p>
    <w:p w14:paraId="225802BF" w14:textId="77777777" w:rsidR="00023BBF" w:rsidRDefault="00023BBF">
      <w:pPr>
        <w:spacing w:line="259" w:lineRule="auto"/>
        <w:jc w:val="center"/>
        <w:rPr>
          <w:rFonts w:eastAsia="Calibri"/>
          <w:b/>
          <w:sz w:val="22"/>
          <w:szCs w:val="22"/>
          <w:lang w:eastAsia="en-US"/>
        </w:rPr>
      </w:pPr>
    </w:p>
    <w:p w14:paraId="256E0B71" w14:textId="77777777" w:rsidR="00023BBF" w:rsidRDefault="00023BBF">
      <w:pPr>
        <w:spacing w:line="259" w:lineRule="auto"/>
        <w:jc w:val="center"/>
        <w:rPr>
          <w:rFonts w:eastAsia="Calibri"/>
          <w:b/>
          <w:sz w:val="22"/>
          <w:szCs w:val="22"/>
          <w:lang w:eastAsia="en-US"/>
        </w:rPr>
      </w:pPr>
    </w:p>
    <w:p w14:paraId="09B9AE6B" w14:textId="77777777" w:rsidR="00023BBF" w:rsidRDefault="00023BBF">
      <w:pPr>
        <w:spacing w:line="259" w:lineRule="auto"/>
        <w:jc w:val="center"/>
        <w:rPr>
          <w:rFonts w:eastAsia="Calibri"/>
          <w:b/>
          <w:sz w:val="22"/>
          <w:szCs w:val="22"/>
          <w:lang w:eastAsia="en-US"/>
        </w:rPr>
      </w:pPr>
    </w:p>
    <w:p w14:paraId="3364F379" w14:textId="77777777" w:rsidR="00023BBF" w:rsidRDefault="00023BBF">
      <w:pPr>
        <w:spacing w:line="259" w:lineRule="auto"/>
        <w:jc w:val="center"/>
        <w:rPr>
          <w:rFonts w:eastAsia="Calibri"/>
          <w:b/>
          <w:sz w:val="22"/>
          <w:szCs w:val="22"/>
          <w:lang w:eastAsia="en-US"/>
        </w:rPr>
      </w:pPr>
    </w:p>
    <w:p w14:paraId="42DD3010" w14:textId="77777777" w:rsidR="00023BBF" w:rsidRDefault="00E17C37">
      <w:pPr>
        <w:spacing w:line="259" w:lineRule="auto"/>
        <w:jc w:val="center"/>
        <w:rPr>
          <w:rFonts w:eastAsia="Calibri"/>
          <w:b/>
          <w:sz w:val="22"/>
          <w:szCs w:val="22"/>
          <w:lang w:eastAsia="en-US"/>
        </w:rPr>
      </w:pPr>
      <w:r>
        <w:rPr>
          <w:rFonts w:eastAsia="Calibri"/>
          <w:b/>
          <w:sz w:val="22"/>
          <w:szCs w:val="22"/>
          <w:lang w:eastAsia="en-US"/>
        </w:rPr>
        <w:t>II PRIEDAS</w:t>
      </w:r>
    </w:p>
    <w:p w14:paraId="3A89BE1D" w14:textId="77777777" w:rsidR="00023BBF" w:rsidRDefault="00023BBF">
      <w:pPr>
        <w:spacing w:line="259" w:lineRule="auto"/>
        <w:ind w:hanging="567"/>
        <w:jc w:val="center"/>
        <w:rPr>
          <w:rFonts w:eastAsia="Calibri"/>
          <w:sz w:val="22"/>
          <w:szCs w:val="22"/>
          <w:lang w:eastAsia="en-US"/>
        </w:rPr>
      </w:pPr>
    </w:p>
    <w:p w14:paraId="514F3261" w14:textId="77777777" w:rsidR="00023BBF" w:rsidRDefault="00E17C37">
      <w:pPr>
        <w:spacing w:line="259" w:lineRule="auto"/>
        <w:jc w:val="center"/>
        <w:rPr>
          <w:rFonts w:eastAsia="Calibri"/>
          <w:i/>
          <w:sz w:val="22"/>
          <w:szCs w:val="22"/>
          <w:lang w:eastAsia="en-US"/>
        </w:rPr>
      </w:pPr>
      <w:r>
        <w:rPr>
          <w:rFonts w:eastAsia="Calibri"/>
          <w:b/>
          <w:sz w:val="22"/>
          <w:szCs w:val="22"/>
          <w:lang w:eastAsia="en-US"/>
        </w:rPr>
        <w:t>REGISTRACIJOS SĄLYGOS</w:t>
      </w:r>
    </w:p>
    <w:p w14:paraId="664C96E4" w14:textId="77777777" w:rsidR="00023BBF" w:rsidRDefault="00023BBF">
      <w:pPr>
        <w:spacing w:line="259" w:lineRule="auto"/>
        <w:rPr>
          <w:rFonts w:eastAsia="Calibri"/>
          <w:sz w:val="22"/>
          <w:szCs w:val="22"/>
          <w:lang w:eastAsia="en-US"/>
        </w:rPr>
      </w:pPr>
    </w:p>
    <w:p w14:paraId="234598FF" w14:textId="77777777" w:rsidR="00023BBF" w:rsidRDefault="00E17C37">
      <w:pPr>
        <w:tabs>
          <w:tab w:val="left" w:pos="1701"/>
        </w:tabs>
        <w:spacing w:line="259" w:lineRule="auto"/>
        <w:ind w:left="1689" w:hanging="555"/>
        <w:rPr>
          <w:rFonts w:eastAsia="Calibri"/>
          <w:b/>
          <w:noProof/>
          <w:sz w:val="22"/>
          <w:szCs w:val="22"/>
          <w:lang w:eastAsia="en-US"/>
        </w:rPr>
      </w:pPr>
      <w:r>
        <w:rPr>
          <w:rFonts w:eastAsia="Calibri"/>
          <w:b/>
          <w:noProof/>
          <w:sz w:val="22"/>
          <w:szCs w:val="22"/>
          <w:lang w:eastAsia="en-US"/>
        </w:rPr>
        <w:t>A.</w:t>
      </w:r>
      <w:r>
        <w:rPr>
          <w:rFonts w:eastAsia="Calibri"/>
          <w:b/>
          <w:noProof/>
          <w:sz w:val="22"/>
          <w:szCs w:val="22"/>
          <w:lang w:eastAsia="en-US"/>
        </w:rPr>
        <w:tab/>
        <w:t>GAMINTOJAS (-AI), ATSAKINGAS (-I) UŽ SERIJŲ IŠLEIDIMĄ</w:t>
      </w:r>
    </w:p>
    <w:p w14:paraId="400B4541" w14:textId="77777777" w:rsidR="00023BBF" w:rsidRDefault="00023BBF">
      <w:pPr>
        <w:tabs>
          <w:tab w:val="left" w:pos="1701"/>
        </w:tabs>
        <w:spacing w:line="259" w:lineRule="auto"/>
        <w:ind w:left="1701" w:hanging="567"/>
        <w:rPr>
          <w:rFonts w:eastAsia="Calibri"/>
          <w:noProof/>
          <w:sz w:val="22"/>
          <w:szCs w:val="22"/>
          <w:lang w:eastAsia="en-US"/>
        </w:rPr>
      </w:pPr>
    </w:p>
    <w:p w14:paraId="0B6CA78F" w14:textId="77777777" w:rsidR="00023BBF" w:rsidRDefault="00E17C37">
      <w:pPr>
        <w:tabs>
          <w:tab w:val="left" w:pos="1701"/>
        </w:tabs>
        <w:spacing w:line="259" w:lineRule="auto"/>
        <w:ind w:left="1701" w:hanging="567"/>
        <w:rPr>
          <w:rFonts w:eastAsia="Calibri"/>
          <w:b/>
          <w:sz w:val="22"/>
          <w:szCs w:val="22"/>
          <w:lang w:eastAsia="en-US"/>
        </w:rPr>
      </w:pPr>
      <w:r>
        <w:rPr>
          <w:rFonts w:eastAsia="Calibri"/>
          <w:b/>
          <w:sz w:val="22"/>
          <w:szCs w:val="22"/>
          <w:lang w:eastAsia="en-US"/>
        </w:rPr>
        <w:t>B.</w:t>
      </w:r>
      <w:r>
        <w:rPr>
          <w:rFonts w:eastAsia="Calibri"/>
          <w:b/>
          <w:sz w:val="22"/>
          <w:szCs w:val="22"/>
          <w:lang w:eastAsia="en-US"/>
        </w:rPr>
        <w:tab/>
        <w:t>TIEKIMO IR VARTOJIMO SĄLYGOS AR APRIBOJIMAI</w:t>
      </w:r>
    </w:p>
    <w:p w14:paraId="6264BD5D" w14:textId="77777777" w:rsidR="00023BBF" w:rsidRDefault="00E17C37">
      <w:pPr>
        <w:spacing w:line="259" w:lineRule="auto"/>
        <w:ind w:left="567" w:hanging="567"/>
        <w:rPr>
          <w:rFonts w:eastAsia="Calibri"/>
          <w:b/>
          <w:sz w:val="22"/>
          <w:szCs w:val="22"/>
          <w:lang w:eastAsia="en-US"/>
        </w:rPr>
      </w:pPr>
      <w:r>
        <w:rPr>
          <w:rFonts w:eastAsia="Calibri"/>
          <w:sz w:val="22"/>
          <w:szCs w:val="22"/>
          <w:lang w:eastAsia="en-US"/>
        </w:rPr>
        <w:br w:type="page"/>
      </w:r>
      <w:r>
        <w:rPr>
          <w:rFonts w:eastAsia="Calibri"/>
          <w:b/>
          <w:sz w:val="22"/>
          <w:szCs w:val="22"/>
          <w:lang w:eastAsia="en-US"/>
        </w:rPr>
        <w:lastRenderedPageBreak/>
        <w:t>A.</w:t>
      </w:r>
      <w:r>
        <w:rPr>
          <w:rFonts w:eastAsia="Calibri"/>
          <w:b/>
          <w:sz w:val="22"/>
          <w:szCs w:val="22"/>
          <w:lang w:eastAsia="en-US"/>
        </w:rPr>
        <w:tab/>
        <w:t>GAMINTOJAS (-AI), ATSAKINGAS (-I) UŽ SERIJŲ IŠLEIDIMĄ</w:t>
      </w:r>
    </w:p>
    <w:p w14:paraId="4DC17D43" w14:textId="77777777" w:rsidR="00023BBF" w:rsidRDefault="00023BBF">
      <w:pPr>
        <w:spacing w:line="259" w:lineRule="auto"/>
        <w:rPr>
          <w:rFonts w:eastAsia="Calibri"/>
          <w:sz w:val="22"/>
          <w:szCs w:val="22"/>
          <w:lang w:eastAsia="en-US"/>
        </w:rPr>
      </w:pPr>
    </w:p>
    <w:p w14:paraId="12EF6370" w14:textId="77777777" w:rsidR="00023BBF" w:rsidRDefault="00E17C37">
      <w:pPr>
        <w:rPr>
          <w:rFonts w:eastAsia="Calibri"/>
          <w:sz w:val="22"/>
          <w:szCs w:val="22"/>
          <w:lang w:eastAsia="en-US"/>
        </w:rPr>
      </w:pPr>
      <w:r>
        <w:rPr>
          <w:rFonts w:eastAsia="Calibri"/>
          <w:sz w:val="22"/>
          <w:szCs w:val="22"/>
          <w:u w:val="single"/>
          <w:lang w:eastAsia="en-US"/>
        </w:rPr>
        <w:t>Gamintojo (-ų), atsakingo (-ų) už serijų išleidimą, pavadinimas (-ai) ir adresas (-ai)</w:t>
      </w:r>
    </w:p>
    <w:p w14:paraId="04C668FA" w14:textId="77777777" w:rsidR="00023BBF" w:rsidRDefault="00023BBF">
      <w:pPr>
        <w:spacing w:line="259" w:lineRule="auto"/>
        <w:rPr>
          <w:rFonts w:eastAsia="Calibri"/>
          <w:sz w:val="22"/>
          <w:szCs w:val="22"/>
          <w:lang w:eastAsia="en-US"/>
        </w:rPr>
      </w:pPr>
    </w:p>
    <w:p w14:paraId="4AB5F585" w14:textId="77777777" w:rsidR="00023BBF" w:rsidRDefault="00E17C37">
      <w:pPr>
        <w:widowControl w:val="0"/>
        <w:rPr>
          <w:b/>
          <w:sz w:val="22"/>
          <w:szCs w:val="22"/>
          <w:lang w:eastAsia="sl-SI"/>
        </w:rPr>
      </w:pPr>
      <w:bookmarkStart w:id="11" w:name="_Hlk161231600"/>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4198B9B8" w14:textId="77777777" w:rsidR="00023BBF" w:rsidRDefault="00E17C37">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1B19AFD9" w14:textId="77777777" w:rsidR="00023BBF" w:rsidRDefault="00E17C37">
      <w:pPr>
        <w:widowControl w:val="0"/>
        <w:rPr>
          <w:b/>
          <w:sz w:val="22"/>
          <w:szCs w:val="22"/>
          <w:lang w:eastAsia="sl-SI"/>
        </w:rPr>
      </w:pPr>
      <w:r>
        <w:rPr>
          <w:sz w:val="22"/>
          <w:szCs w:val="22"/>
          <w:lang w:eastAsia="sl-SI"/>
        </w:rPr>
        <w:t>8501 Novo mesto</w:t>
      </w:r>
    </w:p>
    <w:p w14:paraId="437BCFCE" w14:textId="77777777" w:rsidR="00023BBF" w:rsidRDefault="00E17C37">
      <w:pPr>
        <w:widowControl w:val="0"/>
        <w:rPr>
          <w:b/>
          <w:sz w:val="22"/>
          <w:szCs w:val="22"/>
          <w:lang w:eastAsia="sl-SI"/>
        </w:rPr>
      </w:pPr>
      <w:r>
        <w:rPr>
          <w:sz w:val="22"/>
          <w:szCs w:val="22"/>
          <w:lang w:eastAsia="sl-SI"/>
        </w:rPr>
        <w:t>Slovėnija</w:t>
      </w:r>
    </w:p>
    <w:bookmarkEnd w:id="11"/>
    <w:p w14:paraId="7FDFDF9C" w14:textId="77777777" w:rsidR="00023BBF" w:rsidRDefault="00023BBF">
      <w:pPr>
        <w:spacing w:line="259" w:lineRule="auto"/>
        <w:rPr>
          <w:rFonts w:eastAsia="Calibri"/>
          <w:sz w:val="22"/>
          <w:szCs w:val="22"/>
          <w:lang w:eastAsia="en-US"/>
        </w:rPr>
      </w:pPr>
    </w:p>
    <w:p w14:paraId="4A925257" w14:textId="77777777" w:rsidR="00023BBF" w:rsidRDefault="00E17C37">
      <w:pPr>
        <w:numPr>
          <w:ilvl w:val="12"/>
          <w:numId w:val="0"/>
        </w:numPr>
        <w:jc w:val="both"/>
        <w:rPr>
          <w:rFonts w:eastAsia="Calibri"/>
          <w:noProof/>
          <w:sz w:val="22"/>
          <w:szCs w:val="22"/>
          <w:lang w:eastAsia="en-US"/>
        </w:rPr>
      </w:pPr>
      <w:r>
        <w:rPr>
          <w:rFonts w:eastAsia="Calibri"/>
          <w:noProof/>
          <w:sz w:val="22"/>
          <w:szCs w:val="22"/>
          <w:lang w:eastAsia="en-US"/>
        </w:rPr>
        <w:t>arba</w:t>
      </w:r>
    </w:p>
    <w:p w14:paraId="6A6DB862" w14:textId="77777777" w:rsidR="00023BBF" w:rsidRDefault="00023BBF">
      <w:pPr>
        <w:numPr>
          <w:ilvl w:val="12"/>
          <w:numId w:val="0"/>
        </w:numPr>
        <w:jc w:val="both"/>
        <w:rPr>
          <w:rFonts w:eastAsia="Calibri"/>
          <w:noProof/>
          <w:sz w:val="22"/>
          <w:szCs w:val="22"/>
          <w:lang w:eastAsia="en-US"/>
        </w:rPr>
      </w:pPr>
    </w:p>
    <w:p w14:paraId="0E476D35" w14:textId="77777777" w:rsidR="00023BBF" w:rsidRDefault="00E17C37">
      <w:pPr>
        <w:numPr>
          <w:ilvl w:val="12"/>
          <w:numId w:val="0"/>
        </w:numPr>
        <w:jc w:val="both"/>
        <w:rPr>
          <w:rFonts w:eastAsia="Calibri"/>
          <w:sz w:val="22"/>
          <w:szCs w:val="22"/>
          <w:lang w:val="pt-PT" w:eastAsia="en-US"/>
        </w:rPr>
      </w:pPr>
      <w:r>
        <w:rPr>
          <w:rFonts w:eastAsia="Calibri"/>
          <w:sz w:val="22"/>
          <w:szCs w:val="22"/>
          <w:lang w:val="pt-PT" w:eastAsia="en-US"/>
        </w:rPr>
        <w:t>TAD Pharma GmbH</w:t>
      </w:r>
    </w:p>
    <w:p w14:paraId="6535496B" w14:textId="77777777" w:rsidR="00023BBF" w:rsidRDefault="00E17C37">
      <w:pPr>
        <w:numPr>
          <w:ilvl w:val="12"/>
          <w:numId w:val="0"/>
        </w:numPr>
        <w:jc w:val="both"/>
        <w:rPr>
          <w:rFonts w:eastAsia="Calibri"/>
          <w:sz w:val="22"/>
          <w:szCs w:val="22"/>
          <w:lang w:val="pt-PT" w:eastAsia="en-US"/>
        </w:rPr>
      </w:pPr>
      <w:r>
        <w:rPr>
          <w:rFonts w:eastAsia="Calibri"/>
          <w:sz w:val="22"/>
          <w:szCs w:val="22"/>
          <w:lang w:val="pt-PT" w:eastAsia="en-US"/>
        </w:rPr>
        <w:t>Heinz-Lohmann - Stra</w:t>
      </w:r>
      <w:r>
        <w:rPr>
          <w:rFonts w:eastAsia="Calibri"/>
          <w:sz w:val="22"/>
          <w:szCs w:val="22"/>
          <w:lang w:val="en-US" w:eastAsia="en-US"/>
        </w:rPr>
        <w:t>β</w:t>
      </w:r>
      <w:r>
        <w:rPr>
          <w:rFonts w:eastAsia="Calibri"/>
          <w:sz w:val="22"/>
          <w:szCs w:val="22"/>
          <w:lang w:val="pt-PT" w:eastAsia="en-US"/>
        </w:rPr>
        <w:t>e 5</w:t>
      </w:r>
    </w:p>
    <w:p w14:paraId="484E6C6E" w14:textId="77777777" w:rsidR="00023BBF" w:rsidRDefault="00E17C37">
      <w:pPr>
        <w:numPr>
          <w:ilvl w:val="12"/>
          <w:numId w:val="0"/>
        </w:numPr>
        <w:jc w:val="both"/>
        <w:rPr>
          <w:rFonts w:eastAsia="Calibri"/>
          <w:sz w:val="22"/>
          <w:szCs w:val="22"/>
          <w:lang w:val="pt-PT" w:eastAsia="en-US"/>
        </w:rPr>
      </w:pPr>
      <w:r>
        <w:rPr>
          <w:rFonts w:eastAsia="Calibri"/>
          <w:sz w:val="22"/>
          <w:szCs w:val="22"/>
          <w:lang w:val="pt-PT" w:eastAsia="en-US"/>
        </w:rPr>
        <w:t>27472 Cuxhaven</w:t>
      </w:r>
    </w:p>
    <w:p w14:paraId="03A29AA5" w14:textId="77777777" w:rsidR="00023BBF" w:rsidRDefault="00E17C37">
      <w:pPr>
        <w:numPr>
          <w:ilvl w:val="12"/>
          <w:numId w:val="0"/>
        </w:numPr>
        <w:jc w:val="both"/>
        <w:rPr>
          <w:rFonts w:eastAsia="Calibri"/>
          <w:bCs/>
          <w:noProof/>
          <w:sz w:val="22"/>
          <w:szCs w:val="22"/>
          <w:lang w:eastAsia="en-US"/>
        </w:rPr>
      </w:pPr>
      <w:r>
        <w:rPr>
          <w:rFonts w:eastAsia="Calibri"/>
          <w:sz w:val="22"/>
          <w:szCs w:val="22"/>
          <w:lang w:val="pt-PT" w:eastAsia="en-US"/>
        </w:rPr>
        <w:t>Vokietija</w:t>
      </w:r>
    </w:p>
    <w:p w14:paraId="101367E3" w14:textId="77777777" w:rsidR="00023BBF" w:rsidRDefault="00023BBF">
      <w:pPr>
        <w:spacing w:line="259" w:lineRule="auto"/>
        <w:rPr>
          <w:rFonts w:eastAsia="Calibri"/>
          <w:sz w:val="22"/>
          <w:szCs w:val="22"/>
          <w:lang w:eastAsia="en-US"/>
        </w:rPr>
      </w:pPr>
    </w:p>
    <w:p w14:paraId="53852EEE" w14:textId="77777777" w:rsidR="00023BBF" w:rsidRDefault="00E17C37">
      <w:pPr>
        <w:spacing w:line="259" w:lineRule="auto"/>
        <w:rPr>
          <w:noProof/>
          <w:snapToGrid w:val="0"/>
          <w:sz w:val="22"/>
          <w:lang w:eastAsia="en-US"/>
        </w:rPr>
      </w:pPr>
      <w:r>
        <w:rPr>
          <w:noProof/>
          <w:snapToGrid w:val="0"/>
          <w:sz w:val="22"/>
          <w:lang w:eastAsia="en-US"/>
        </w:rPr>
        <w:t>Su pakuote pateikiamame lapelyje nurodomas gamintojo, atsakingo už konkrečios serijos išleidimą, pavadinimas ir adresas.</w:t>
      </w:r>
    </w:p>
    <w:p w14:paraId="37663488" w14:textId="77777777" w:rsidR="00023BBF" w:rsidRDefault="00023BBF">
      <w:pPr>
        <w:spacing w:line="259" w:lineRule="auto"/>
        <w:rPr>
          <w:noProof/>
          <w:snapToGrid w:val="0"/>
          <w:sz w:val="22"/>
          <w:lang w:eastAsia="en-US"/>
        </w:rPr>
      </w:pPr>
    </w:p>
    <w:p w14:paraId="66FA179A" w14:textId="77777777" w:rsidR="00023BBF" w:rsidRDefault="00023BBF">
      <w:pPr>
        <w:spacing w:line="259" w:lineRule="auto"/>
        <w:rPr>
          <w:rFonts w:eastAsia="Calibri"/>
          <w:sz w:val="22"/>
          <w:szCs w:val="22"/>
          <w:lang w:eastAsia="en-US"/>
        </w:rPr>
      </w:pPr>
    </w:p>
    <w:p w14:paraId="236852C0" w14:textId="77777777" w:rsidR="00023BBF" w:rsidRDefault="00E17C37">
      <w:pPr>
        <w:spacing w:line="259" w:lineRule="auto"/>
        <w:ind w:left="567" w:hanging="567"/>
        <w:rPr>
          <w:rFonts w:eastAsia="Calibri"/>
          <w:sz w:val="22"/>
          <w:szCs w:val="22"/>
          <w:lang w:eastAsia="en-US"/>
        </w:rPr>
      </w:pPr>
      <w:r>
        <w:rPr>
          <w:rFonts w:eastAsia="Calibri"/>
          <w:b/>
          <w:noProof/>
          <w:sz w:val="22"/>
          <w:szCs w:val="22"/>
          <w:lang w:eastAsia="en-US"/>
        </w:rPr>
        <w:t>B.</w:t>
      </w:r>
      <w:r>
        <w:rPr>
          <w:rFonts w:eastAsia="Calibri"/>
          <w:b/>
          <w:sz w:val="22"/>
          <w:szCs w:val="22"/>
          <w:lang w:eastAsia="en-US"/>
        </w:rPr>
        <w:tab/>
      </w:r>
      <w:r>
        <w:rPr>
          <w:rFonts w:eastAsia="Calibri"/>
          <w:b/>
          <w:noProof/>
          <w:sz w:val="22"/>
          <w:szCs w:val="22"/>
          <w:lang w:eastAsia="en-US"/>
        </w:rPr>
        <w:t>TIEKIMO IR VARTOJIMO SĄLYGOS AR APRIBOJIMAI</w:t>
      </w:r>
    </w:p>
    <w:p w14:paraId="743B677D" w14:textId="77777777" w:rsidR="00023BBF" w:rsidRDefault="00023BBF">
      <w:pPr>
        <w:spacing w:line="259" w:lineRule="auto"/>
        <w:rPr>
          <w:rFonts w:eastAsia="Calibri"/>
          <w:sz w:val="22"/>
          <w:szCs w:val="22"/>
          <w:lang w:eastAsia="en-US"/>
        </w:rPr>
      </w:pPr>
    </w:p>
    <w:p w14:paraId="25FE1B26" w14:textId="77777777" w:rsidR="00023BBF" w:rsidRDefault="00E17C37">
      <w:pPr>
        <w:spacing w:line="259" w:lineRule="auto"/>
        <w:rPr>
          <w:rFonts w:eastAsia="Calibri"/>
          <w:sz w:val="22"/>
          <w:szCs w:val="22"/>
          <w:lang w:eastAsia="en-US"/>
        </w:rPr>
      </w:pPr>
      <w:r>
        <w:rPr>
          <w:rFonts w:eastAsia="Calibri"/>
          <w:sz w:val="22"/>
          <w:szCs w:val="22"/>
          <w:lang w:eastAsia="en-US"/>
        </w:rPr>
        <w:t>Receptinis vaistinis preparatas.</w:t>
      </w:r>
    </w:p>
    <w:p w14:paraId="20645AA5" w14:textId="77777777" w:rsidR="00023BBF" w:rsidRDefault="00E17C37">
      <w:pPr>
        <w:spacing w:line="259" w:lineRule="auto"/>
        <w:rPr>
          <w:rFonts w:eastAsia="Calibri"/>
          <w:sz w:val="22"/>
          <w:szCs w:val="22"/>
          <w:lang w:eastAsia="en-US"/>
        </w:rPr>
      </w:pPr>
      <w:r>
        <w:rPr>
          <w:rFonts w:eastAsia="Calibri"/>
          <w:b/>
          <w:sz w:val="22"/>
          <w:szCs w:val="22"/>
          <w:lang w:eastAsia="en-US"/>
        </w:rPr>
        <w:br w:type="page"/>
      </w:r>
    </w:p>
    <w:p w14:paraId="44F63D9D" w14:textId="77777777" w:rsidR="00023BBF" w:rsidRDefault="00023BBF">
      <w:pPr>
        <w:spacing w:line="259" w:lineRule="auto"/>
        <w:rPr>
          <w:rFonts w:eastAsia="Calibri"/>
          <w:sz w:val="22"/>
          <w:szCs w:val="22"/>
          <w:lang w:eastAsia="en-US"/>
        </w:rPr>
      </w:pPr>
    </w:p>
    <w:p w14:paraId="35A6896D" w14:textId="77777777" w:rsidR="00023BBF" w:rsidRDefault="00023BBF">
      <w:pPr>
        <w:spacing w:line="259" w:lineRule="auto"/>
        <w:rPr>
          <w:rFonts w:eastAsia="Calibri"/>
          <w:sz w:val="22"/>
          <w:szCs w:val="22"/>
          <w:lang w:eastAsia="en-US"/>
        </w:rPr>
      </w:pPr>
    </w:p>
    <w:p w14:paraId="50F2E8D2" w14:textId="77777777" w:rsidR="00023BBF" w:rsidRDefault="00023BBF">
      <w:pPr>
        <w:spacing w:line="259" w:lineRule="auto"/>
        <w:rPr>
          <w:rFonts w:eastAsia="Calibri"/>
          <w:sz w:val="22"/>
          <w:szCs w:val="22"/>
          <w:lang w:eastAsia="en-US"/>
        </w:rPr>
      </w:pPr>
    </w:p>
    <w:p w14:paraId="11DAB268" w14:textId="77777777" w:rsidR="00023BBF" w:rsidRDefault="00023BBF">
      <w:pPr>
        <w:spacing w:line="259" w:lineRule="auto"/>
        <w:rPr>
          <w:rFonts w:eastAsia="Calibri"/>
          <w:sz w:val="22"/>
          <w:szCs w:val="22"/>
          <w:lang w:eastAsia="en-US"/>
        </w:rPr>
      </w:pPr>
    </w:p>
    <w:p w14:paraId="0DFB0BC3" w14:textId="77777777" w:rsidR="00023BBF" w:rsidRDefault="00023BBF">
      <w:pPr>
        <w:spacing w:line="259" w:lineRule="auto"/>
        <w:rPr>
          <w:rFonts w:eastAsia="Calibri"/>
          <w:sz w:val="22"/>
          <w:szCs w:val="22"/>
          <w:lang w:eastAsia="en-US"/>
        </w:rPr>
      </w:pPr>
    </w:p>
    <w:p w14:paraId="72FEF25B" w14:textId="77777777" w:rsidR="00023BBF" w:rsidRDefault="00023BBF">
      <w:pPr>
        <w:spacing w:line="259" w:lineRule="auto"/>
        <w:rPr>
          <w:rFonts w:eastAsia="Calibri"/>
          <w:sz w:val="22"/>
          <w:szCs w:val="22"/>
          <w:lang w:eastAsia="en-US"/>
        </w:rPr>
      </w:pPr>
    </w:p>
    <w:p w14:paraId="39A487F1" w14:textId="77777777" w:rsidR="00023BBF" w:rsidRDefault="00023BBF">
      <w:pPr>
        <w:spacing w:line="259" w:lineRule="auto"/>
        <w:rPr>
          <w:rFonts w:eastAsia="Calibri"/>
          <w:sz w:val="22"/>
          <w:szCs w:val="22"/>
          <w:lang w:eastAsia="en-US"/>
        </w:rPr>
      </w:pPr>
    </w:p>
    <w:p w14:paraId="77FFFE31" w14:textId="77777777" w:rsidR="00023BBF" w:rsidRDefault="00023BBF">
      <w:pPr>
        <w:spacing w:line="259" w:lineRule="auto"/>
        <w:rPr>
          <w:rFonts w:eastAsia="Calibri"/>
          <w:sz w:val="22"/>
          <w:szCs w:val="22"/>
          <w:lang w:eastAsia="en-US"/>
        </w:rPr>
      </w:pPr>
    </w:p>
    <w:p w14:paraId="32C78F3E" w14:textId="77777777" w:rsidR="00023BBF" w:rsidRDefault="00023BBF">
      <w:pPr>
        <w:spacing w:line="259" w:lineRule="auto"/>
        <w:rPr>
          <w:rFonts w:eastAsia="Calibri"/>
          <w:sz w:val="22"/>
          <w:szCs w:val="22"/>
          <w:lang w:eastAsia="en-US"/>
        </w:rPr>
      </w:pPr>
    </w:p>
    <w:p w14:paraId="2CCF17AA" w14:textId="77777777" w:rsidR="00023BBF" w:rsidRDefault="00023BBF">
      <w:pPr>
        <w:spacing w:line="259" w:lineRule="auto"/>
        <w:rPr>
          <w:rFonts w:eastAsia="Calibri"/>
          <w:sz w:val="22"/>
          <w:szCs w:val="22"/>
          <w:lang w:eastAsia="en-US"/>
        </w:rPr>
      </w:pPr>
    </w:p>
    <w:p w14:paraId="1FCB9BF1" w14:textId="77777777" w:rsidR="00023BBF" w:rsidRDefault="00023BBF">
      <w:pPr>
        <w:spacing w:line="259" w:lineRule="auto"/>
        <w:rPr>
          <w:rFonts w:eastAsia="Calibri"/>
          <w:sz w:val="22"/>
          <w:szCs w:val="22"/>
          <w:lang w:eastAsia="en-US"/>
        </w:rPr>
      </w:pPr>
    </w:p>
    <w:p w14:paraId="612A3574" w14:textId="77777777" w:rsidR="00023BBF" w:rsidRDefault="00023BBF">
      <w:pPr>
        <w:spacing w:line="259" w:lineRule="auto"/>
        <w:rPr>
          <w:rFonts w:eastAsia="Calibri"/>
          <w:sz w:val="22"/>
          <w:szCs w:val="22"/>
          <w:lang w:eastAsia="en-US"/>
        </w:rPr>
      </w:pPr>
    </w:p>
    <w:p w14:paraId="2B51993B" w14:textId="77777777" w:rsidR="00023BBF" w:rsidRDefault="00023BBF">
      <w:pPr>
        <w:spacing w:line="259" w:lineRule="auto"/>
        <w:rPr>
          <w:rFonts w:eastAsia="Calibri"/>
          <w:sz w:val="22"/>
          <w:szCs w:val="22"/>
          <w:lang w:eastAsia="en-US"/>
        </w:rPr>
      </w:pPr>
    </w:p>
    <w:p w14:paraId="74702A19" w14:textId="77777777" w:rsidR="00023BBF" w:rsidRDefault="00023BBF">
      <w:pPr>
        <w:spacing w:line="259" w:lineRule="auto"/>
        <w:rPr>
          <w:rFonts w:eastAsia="Calibri"/>
          <w:sz w:val="22"/>
          <w:szCs w:val="22"/>
          <w:lang w:eastAsia="en-US"/>
        </w:rPr>
      </w:pPr>
    </w:p>
    <w:p w14:paraId="0E0BEDBB" w14:textId="77777777" w:rsidR="00023BBF" w:rsidRDefault="00023BBF">
      <w:pPr>
        <w:spacing w:line="259" w:lineRule="auto"/>
        <w:rPr>
          <w:rFonts w:eastAsia="Calibri"/>
          <w:sz w:val="22"/>
          <w:szCs w:val="22"/>
          <w:lang w:eastAsia="en-US"/>
        </w:rPr>
      </w:pPr>
    </w:p>
    <w:p w14:paraId="7AABE118" w14:textId="77777777" w:rsidR="00023BBF" w:rsidRDefault="00023BBF">
      <w:pPr>
        <w:spacing w:line="259" w:lineRule="auto"/>
        <w:rPr>
          <w:rFonts w:eastAsia="Calibri"/>
          <w:sz w:val="22"/>
          <w:szCs w:val="22"/>
          <w:lang w:eastAsia="en-US"/>
        </w:rPr>
      </w:pPr>
    </w:p>
    <w:p w14:paraId="2EE73E78" w14:textId="77777777" w:rsidR="00023BBF" w:rsidRDefault="00023BBF">
      <w:pPr>
        <w:spacing w:line="259" w:lineRule="auto"/>
        <w:outlineLvl w:val="0"/>
        <w:rPr>
          <w:rFonts w:eastAsia="Calibri"/>
          <w:b/>
          <w:sz w:val="22"/>
          <w:szCs w:val="22"/>
          <w:lang w:eastAsia="en-US"/>
        </w:rPr>
      </w:pPr>
    </w:p>
    <w:p w14:paraId="78545908" w14:textId="77777777" w:rsidR="00023BBF" w:rsidRDefault="00023BBF">
      <w:pPr>
        <w:spacing w:line="259" w:lineRule="auto"/>
        <w:outlineLvl w:val="0"/>
        <w:rPr>
          <w:rFonts w:eastAsia="Calibri"/>
          <w:b/>
          <w:sz w:val="22"/>
          <w:szCs w:val="22"/>
          <w:lang w:eastAsia="en-US"/>
        </w:rPr>
      </w:pPr>
    </w:p>
    <w:p w14:paraId="56E88722" w14:textId="77777777" w:rsidR="00023BBF" w:rsidRDefault="00023BBF">
      <w:pPr>
        <w:spacing w:line="259" w:lineRule="auto"/>
        <w:outlineLvl w:val="0"/>
        <w:rPr>
          <w:rFonts w:eastAsia="Calibri"/>
          <w:b/>
          <w:sz w:val="22"/>
          <w:szCs w:val="22"/>
          <w:lang w:eastAsia="en-US"/>
        </w:rPr>
      </w:pPr>
    </w:p>
    <w:p w14:paraId="31950DAD" w14:textId="77777777" w:rsidR="00023BBF" w:rsidRDefault="00023BBF">
      <w:pPr>
        <w:spacing w:line="259" w:lineRule="auto"/>
        <w:outlineLvl w:val="0"/>
        <w:rPr>
          <w:rFonts w:eastAsia="Calibri"/>
          <w:b/>
          <w:sz w:val="22"/>
          <w:szCs w:val="22"/>
          <w:lang w:eastAsia="en-US"/>
        </w:rPr>
      </w:pPr>
    </w:p>
    <w:p w14:paraId="3E3A7605" w14:textId="77777777" w:rsidR="00023BBF" w:rsidRDefault="00023BBF">
      <w:pPr>
        <w:spacing w:line="259" w:lineRule="auto"/>
        <w:outlineLvl w:val="0"/>
        <w:rPr>
          <w:rFonts w:eastAsia="Calibri"/>
          <w:b/>
          <w:sz w:val="22"/>
          <w:szCs w:val="22"/>
          <w:lang w:eastAsia="en-US"/>
        </w:rPr>
      </w:pPr>
    </w:p>
    <w:p w14:paraId="63CE854A" w14:textId="77777777" w:rsidR="00023BBF" w:rsidRDefault="00023BBF">
      <w:pPr>
        <w:spacing w:line="259" w:lineRule="auto"/>
        <w:outlineLvl w:val="0"/>
        <w:rPr>
          <w:rFonts w:eastAsia="Calibri"/>
          <w:b/>
          <w:sz w:val="22"/>
          <w:szCs w:val="22"/>
          <w:lang w:eastAsia="en-US"/>
        </w:rPr>
      </w:pPr>
    </w:p>
    <w:p w14:paraId="04DC622B" w14:textId="77777777" w:rsidR="00023BBF" w:rsidRDefault="00023BBF">
      <w:pPr>
        <w:keepNext/>
        <w:tabs>
          <w:tab w:val="left" w:pos="567"/>
        </w:tabs>
        <w:jc w:val="center"/>
        <w:outlineLvl w:val="1"/>
        <w:rPr>
          <w:b/>
          <w:bCs/>
          <w:iCs/>
          <w:snapToGrid w:val="0"/>
          <w:sz w:val="22"/>
          <w:szCs w:val="22"/>
          <w:lang w:eastAsia="x-none"/>
        </w:rPr>
      </w:pPr>
    </w:p>
    <w:p w14:paraId="15AECFE2" w14:textId="77777777" w:rsidR="00023BBF" w:rsidRDefault="00E17C37">
      <w:pPr>
        <w:keepNext/>
        <w:tabs>
          <w:tab w:val="left" w:pos="567"/>
        </w:tabs>
        <w:jc w:val="center"/>
        <w:outlineLvl w:val="1"/>
        <w:rPr>
          <w:b/>
          <w:snapToGrid w:val="0"/>
          <w:sz w:val="22"/>
          <w:szCs w:val="22"/>
          <w:lang w:eastAsia="x-none"/>
        </w:rPr>
      </w:pPr>
      <w:r>
        <w:rPr>
          <w:b/>
          <w:bCs/>
          <w:iCs/>
          <w:snapToGrid w:val="0"/>
          <w:sz w:val="22"/>
          <w:szCs w:val="22"/>
          <w:lang w:eastAsia="x-none"/>
        </w:rPr>
        <w:t>III PRIEDAS</w:t>
      </w:r>
    </w:p>
    <w:p w14:paraId="6E69D6C8" w14:textId="77777777" w:rsidR="00023BBF" w:rsidRDefault="00023BBF">
      <w:pPr>
        <w:spacing w:line="259" w:lineRule="auto"/>
        <w:rPr>
          <w:rFonts w:eastAsia="Calibri"/>
          <w:sz w:val="22"/>
          <w:szCs w:val="22"/>
          <w:lang w:eastAsia="en-US"/>
        </w:rPr>
      </w:pPr>
    </w:p>
    <w:p w14:paraId="6D61B402" w14:textId="77777777" w:rsidR="00023BBF" w:rsidRDefault="00E17C37">
      <w:pPr>
        <w:keepNext/>
        <w:tabs>
          <w:tab w:val="left" w:pos="567"/>
        </w:tabs>
        <w:jc w:val="center"/>
        <w:outlineLvl w:val="1"/>
        <w:rPr>
          <w:b/>
          <w:snapToGrid w:val="0"/>
          <w:sz w:val="22"/>
          <w:szCs w:val="22"/>
          <w:lang w:eastAsia="x-none"/>
        </w:rPr>
      </w:pPr>
      <w:r>
        <w:rPr>
          <w:b/>
          <w:bCs/>
          <w:iCs/>
          <w:snapToGrid w:val="0"/>
          <w:sz w:val="22"/>
          <w:szCs w:val="22"/>
          <w:lang w:eastAsia="x-none"/>
        </w:rPr>
        <w:t>ŽENKLINIMAS IR PAKUOTĖS LAPELIS</w:t>
      </w:r>
    </w:p>
    <w:p w14:paraId="5843AC95" w14:textId="77777777" w:rsidR="00023BBF" w:rsidRDefault="00E17C37">
      <w:pPr>
        <w:spacing w:line="259" w:lineRule="auto"/>
        <w:rPr>
          <w:rFonts w:eastAsia="Calibri"/>
          <w:sz w:val="22"/>
          <w:szCs w:val="22"/>
          <w:lang w:eastAsia="en-US"/>
        </w:rPr>
      </w:pPr>
      <w:r>
        <w:rPr>
          <w:rFonts w:eastAsia="Calibri"/>
          <w:sz w:val="22"/>
          <w:szCs w:val="22"/>
          <w:lang w:eastAsia="en-US"/>
        </w:rPr>
        <w:br w:type="page"/>
      </w:r>
    </w:p>
    <w:p w14:paraId="3740B3B6" w14:textId="77777777" w:rsidR="00023BBF" w:rsidRDefault="00023BBF">
      <w:pPr>
        <w:spacing w:line="259" w:lineRule="auto"/>
        <w:rPr>
          <w:rFonts w:eastAsia="Calibri"/>
          <w:sz w:val="22"/>
          <w:szCs w:val="22"/>
          <w:lang w:eastAsia="en-US"/>
        </w:rPr>
      </w:pPr>
    </w:p>
    <w:p w14:paraId="483B0FF4" w14:textId="77777777" w:rsidR="00023BBF" w:rsidRDefault="00023BBF">
      <w:pPr>
        <w:spacing w:line="259" w:lineRule="auto"/>
        <w:rPr>
          <w:rFonts w:eastAsia="Calibri"/>
          <w:sz w:val="22"/>
          <w:szCs w:val="22"/>
          <w:lang w:eastAsia="en-US"/>
        </w:rPr>
      </w:pPr>
    </w:p>
    <w:p w14:paraId="1CDFDE62" w14:textId="77777777" w:rsidR="00023BBF" w:rsidRDefault="00023BBF">
      <w:pPr>
        <w:spacing w:line="259" w:lineRule="auto"/>
        <w:rPr>
          <w:rFonts w:eastAsia="Calibri"/>
          <w:sz w:val="22"/>
          <w:szCs w:val="22"/>
          <w:lang w:eastAsia="en-US"/>
        </w:rPr>
      </w:pPr>
    </w:p>
    <w:p w14:paraId="536307CD" w14:textId="77777777" w:rsidR="00023BBF" w:rsidRDefault="00023BBF">
      <w:pPr>
        <w:spacing w:line="259" w:lineRule="auto"/>
        <w:rPr>
          <w:rFonts w:eastAsia="Calibri"/>
          <w:sz w:val="22"/>
          <w:szCs w:val="22"/>
          <w:lang w:eastAsia="en-US"/>
        </w:rPr>
      </w:pPr>
    </w:p>
    <w:p w14:paraId="192F3824" w14:textId="77777777" w:rsidR="00023BBF" w:rsidRDefault="00023BBF">
      <w:pPr>
        <w:spacing w:line="259" w:lineRule="auto"/>
        <w:rPr>
          <w:rFonts w:eastAsia="Calibri"/>
          <w:sz w:val="22"/>
          <w:szCs w:val="22"/>
          <w:lang w:eastAsia="en-US"/>
        </w:rPr>
      </w:pPr>
    </w:p>
    <w:p w14:paraId="43896970" w14:textId="77777777" w:rsidR="00023BBF" w:rsidRDefault="00023BBF">
      <w:pPr>
        <w:spacing w:line="259" w:lineRule="auto"/>
        <w:rPr>
          <w:rFonts w:eastAsia="Calibri"/>
          <w:sz w:val="22"/>
          <w:szCs w:val="22"/>
          <w:lang w:eastAsia="en-US"/>
        </w:rPr>
      </w:pPr>
    </w:p>
    <w:p w14:paraId="099EB58C" w14:textId="77777777" w:rsidR="00023BBF" w:rsidRDefault="00023BBF">
      <w:pPr>
        <w:spacing w:line="259" w:lineRule="auto"/>
        <w:rPr>
          <w:rFonts w:eastAsia="Calibri"/>
          <w:sz w:val="22"/>
          <w:szCs w:val="22"/>
          <w:lang w:eastAsia="en-US"/>
        </w:rPr>
      </w:pPr>
    </w:p>
    <w:p w14:paraId="28A776C1" w14:textId="77777777" w:rsidR="00023BBF" w:rsidRDefault="00023BBF">
      <w:pPr>
        <w:spacing w:line="259" w:lineRule="auto"/>
        <w:rPr>
          <w:rFonts w:eastAsia="Calibri"/>
          <w:sz w:val="22"/>
          <w:szCs w:val="22"/>
          <w:lang w:eastAsia="en-US"/>
        </w:rPr>
      </w:pPr>
    </w:p>
    <w:p w14:paraId="3B839B1D" w14:textId="77777777" w:rsidR="00023BBF" w:rsidRDefault="00023BBF">
      <w:pPr>
        <w:spacing w:line="259" w:lineRule="auto"/>
        <w:rPr>
          <w:rFonts w:eastAsia="Calibri"/>
          <w:sz w:val="22"/>
          <w:szCs w:val="22"/>
          <w:lang w:eastAsia="en-US"/>
        </w:rPr>
      </w:pPr>
    </w:p>
    <w:p w14:paraId="42E26893" w14:textId="77777777" w:rsidR="00023BBF" w:rsidRDefault="00023BBF">
      <w:pPr>
        <w:spacing w:line="259" w:lineRule="auto"/>
        <w:rPr>
          <w:rFonts w:eastAsia="Calibri"/>
          <w:sz w:val="22"/>
          <w:szCs w:val="22"/>
          <w:lang w:eastAsia="en-US"/>
        </w:rPr>
      </w:pPr>
    </w:p>
    <w:p w14:paraId="02D29C5C" w14:textId="77777777" w:rsidR="00023BBF" w:rsidRDefault="00023BBF">
      <w:pPr>
        <w:spacing w:line="259" w:lineRule="auto"/>
        <w:rPr>
          <w:rFonts w:eastAsia="Calibri"/>
          <w:sz w:val="22"/>
          <w:szCs w:val="22"/>
          <w:lang w:eastAsia="en-US"/>
        </w:rPr>
      </w:pPr>
    </w:p>
    <w:p w14:paraId="64C51770" w14:textId="77777777" w:rsidR="00023BBF" w:rsidRDefault="00023BBF">
      <w:pPr>
        <w:spacing w:line="259" w:lineRule="auto"/>
        <w:rPr>
          <w:rFonts w:eastAsia="Calibri"/>
          <w:sz w:val="22"/>
          <w:szCs w:val="22"/>
          <w:lang w:eastAsia="en-US"/>
        </w:rPr>
      </w:pPr>
    </w:p>
    <w:p w14:paraId="78210F5C" w14:textId="77777777" w:rsidR="00023BBF" w:rsidRDefault="00023BBF">
      <w:pPr>
        <w:spacing w:line="259" w:lineRule="auto"/>
        <w:rPr>
          <w:rFonts w:eastAsia="Calibri"/>
          <w:sz w:val="22"/>
          <w:szCs w:val="22"/>
          <w:lang w:eastAsia="en-US"/>
        </w:rPr>
      </w:pPr>
    </w:p>
    <w:p w14:paraId="27572DF1" w14:textId="77777777" w:rsidR="00023BBF" w:rsidRDefault="00023BBF">
      <w:pPr>
        <w:spacing w:line="259" w:lineRule="auto"/>
        <w:rPr>
          <w:rFonts w:eastAsia="Calibri"/>
          <w:sz w:val="22"/>
          <w:szCs w:val="22"/>
          <w:lang w:eastAsia="en-US"/>
        </w:rPr>
      </w:pPr>
    </w:p>
    <w:p w14:paraId="568A3138" w14:textId="77777777" w:rsidR="00023BBF" w:rsidRDefault="00023BBF">
      <w:pPr>
        <w:spacing w:line="259" w:lineRule="auto"/>
        <w:rPr>
          <w:rFonts w:eastAsia="Calibri"/>
          <w:sz w:val="22"/>
          <w:szCs w:val="22"/>
          <w:lang w:eastAsia="en-US"/>
        </w:rPr>
      </w:pPr>
    </w:p>
    <w:p w14:paraId="0E8F13CE" w14:textId="77777777" w:rsidR="00023BBF" w:rsidRDefault="00023BBF">
      <w:pPr>
        <w:spacing w:line="259" w:lineRule="auto"/>
        <w:rPr>
          <w:rFonts w:eastAsia="Calibri"/>
          <w:sz w:val="22"/>
          <w:szCs w:val="22"/>
          <w:lang w:eastAsia="en-US"/>
        </w:rPr>
      </w:pPr>
    </w:p>
    <w:p w14:paraId="21F76CE0" w14:textId="77777777" w:rsidR="00023BBF" w:rsidRDefault="00023BBF">
      <w:pPr>
        <w:spacing w:line="259" w:lineRule="auto"/>
        <w:rPr>
          <w:rFonts w:eastAsia="Calibri"/>
          <w:sz w:val="22"/>
          <w:szCs w:val="22"/>
          <w:lang w:eastAsia="en-US"/>
        </w:rPr>
      </w:pPr>
    </w:p>
    <w:p w14:paraId="2C189934" w14:textId="77777777" w:rsidR="00023BBF" w:rsidRDefault="00023BBF">
      <w:pPr>
        <w:spacing w:line="259" w:lineRule="auto"/>
        <w:rPr>
          <w:rFonts w:eastAsia="Calibri"/>
          <w:sz w:val="22"/>
          <w:szCs w:val="22"/>
          <w:lang w:eastAsia="en-US"/>
        </w:rPr>
      </w:pPr>
    </w:p>
    <w:p w14:paraId="46BA32D6" w14:textId="77777777" w:rsidR="00023BBF" w:rsidRDefault="00023BBF">
      <w:pPr>
        <w:spacing w:line="259" w:lineRule="auto"/>
        <w:rPr>
          <w:rFonts w:eastAsia="Calibri"/>
          <w:sz w:val="22"/>
          <w:szCs w:val="22"/>
          <w:lang w:eastAsia="en-US"/>
        </w:rPr>
      </w:pPr>
    </w:p>
    <w:p w14:paraId="703D1880" w14:textId="77777777" w:rsidR="00023BBF" w:rsidRDefault="00023BBF">
      <w:pPr>
        <w:spacing w:line="259" w:lineRule="auto"/>
        <w:rPr>
          <w:rFonts w:eastAsia="Calibri"/>
          <w:sz w:val="22"/>
          <w:szCs w:val="22"/>
          <w:lang w:eastAsia="en-US"/>
        </w:rPr>
      </w:pPr>
    </w:p>
    <w:p w14:paraId="72E1E1C1" w14:textId="77777777" w:rsidR="00023BBF" w:rsidRDefault="00023BBF">
      <w:pPr>
        <w:spacing w:line="259" w:lineRule="auto"/>
        <w:rPr>
          <w:rFonts w:eastAsia="Calibri"/>
          <w:sz w:val="22"/>
          <w:szCs w:val="22"/>
          <w:lang w:eastAsia="en-US"/>
        </w:rPr>
      </w:pPr>
    </w:p>
    <w:p w14:paraId="5E9EA1AC" w14:textId="77777777" w:rsidR="00023BBF" w:rsidRDefault="00023BBF">
      <w:pPr>
        <w:spacing w:line="259" w:lineRule="auto"/>
        <w:rPr>
          <w:rFonts w:eastAsia="Calibri"/>
          <w:sz w:val="22"/>
          <w:szCs w:val="22"/>
          <w:lang w:eastAsia="en-US"/>
        </w:rPr>
      </w:pPr>
    </w:p>
    <w:p w14:paraId="06AD275E" w14:textId="77777777" w:rsidR="00023BBF" w:rsidRDefault="00023BBF">
      <w:pPr>
        <w:keepNext/>
        <w:tabs>
          <w:tab w:val="left" w:pos="567"/>
        </w:tabs>
        <w:jc w:val="center"/>
        <w:outlineLvl w:val="1"/>
        <w:rPr>
          <w:b/>
          <w:bCs/>
          <w:iCs/>
          <w:snapToGrid w:val="0"/>
          <w:sz w:val="22"/>
          <w:szCs w:val="22"/>
          <w:lang w:eastAsia="x-none"/>
        </w:rPr>
      </w:pPr>
    </w:p>
    <w:p w14:paraId="3BCBF97F" w14:textId="77777777" w:rsidR="00023BBF" w:rsidRDefault="00E17C37">
      <w:pPr>
        <w:keepNext/>
        <w:tabs>
          <w:tab w:val="left" w:pos="567"/>
        </w:tabs>
        <w:jc w:val="center"/>
        <w:outlineLvl w:val="1"/>
        <w:rPr>
          <w:b/>
          <w:snapToGrid w:val="0"/>
          <w:sz w:val="22"/>
          <w:szCs w:val="22"/>
          <w:lang w:eastAsia="x-none"/>
        </w:rPr>
      </w:pPr>
      <w:r>
        <w:rPr>
          <w:b/>
          <w:bCs/>
          <w:iCs/>
          <w:snapToGrid w:val="0"/>
          <w:sz w:val="22"/>
          <w:szCs w:val="22"/>
          <w:lang w:eastAsia="x-none"/>
        </w:rPr>
        <w:t>A. ŽENKLINIMAS</w:t>
      </w:r>
    </w:p>
    <w:p w14:paraId="1B2F4765" w14:textId="77777777" w:rsidR="00023BBF" w:rsidRDefault="00E17C37">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rFonts w:eastAsia="Calibri"/>
          <w:sz w:val="22"/>
          <w:szCs w:val="22"/>
          <w:lang w:eastAsia="en-US"/>
        </w:rPr>
        <w:br w:type="page"/>
      </w:r>
      <w:r>
        <w:rPr>
          <w:rFonts w:eastAsia="Calibri"/>
          <w:b/>
          <w:noProof/>
          <w:sz w:val="22"/>
          <w:szCs w:val="22"/>
          <w:lang w:eastAsia="en-US"/>
        </w:rPr>
        <w:lastRenderedPageBreak/>
        <w:t>INFORMACIJA ANT IŠORINĖS PAKUOTĖS</w:t>
      </w:r>
    </w:p>
    <w:p w14:paraId="7FD2A163" w14:textId="77777777" w:rsidR="00023BBF" w:rsidRDefault="00023BBF">
      <w:pPr>
        <w:pBdr>
          <w:top w:val="single" w:sz="4" w:space="1" w:color="auto"/>
          <w:left w:val="single" w:sz="4" w:space="4" w:color="auto"/>
          <w:bottom w:val="single" w:sz="4" w:space="1" w:color="auto"/>
          <w:right w:val="single" w:sz="4" w:space="4" w:color="auto"/>
        </w:pBdr>
        <w:rPr>
          <w:rFonts w:eastAsia="Calibri"/>
          <w:b/>
          <w:sz w:val="22"/>
          <w:szCs w:val="22"/>
          <w:lang w:eastAsia="en-US"/>
        </w:rPr>
      </w:pPr>
    </w:p>
    <w:p w14:paraId="4E865FE8" w14:textId="77777777" w:rsidR="00023BBF" w:rsidRDefault="00E17C37">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noProof/>
          <w:sz w:val="22"/>
          <w:lang w:eastAsia="en-US"/>
        </w:rPr>
      </w:pPr>
      <w:r>
        <w:rPr>
          <w:b/>
          <w:sz w:val="22"/>
          <w:lang w:eastAsia="en-US"/>
        </w:rPr>
        <w:t xml:space="preserve">KARTONO DĖŽUTĖ </w:t>
      </w:r>
      <w:r>
        <w:rPr>
          <w:b/>
          <w:noProof/>
          <w:sz w:val="22"/>
          <w:lang w:eastAsia="en-US"/>
        </w:rPr>
        <w:t xml:space="preserve">- visas / </w:t>
      </w:r>
      <w:r>
        <w:rPr>
          <w:b/>
          <w:i/>
          <w:iCs/>
          <w:noProof/>
          <w:sz w:val="22"/>
          <w:highlight w:val="darkGray"/>
          <w:lang w:eastAsia="en-US"/>
        </w:rPr>
        <w:t>sutrumpintas</w:t>
      </w:r>
      <w:r>
        <w:rPr>
          <w:b/>
          <w:i/>
          <w:iCs/>
          <w:noProof/>
          <w:sz w:val="22"/>
          <w:lang w:eastAsia="en-US"/>
        </w:rPr>
        <w:t xml:space="preserve"> </w:t>
      </w:r>
      <w:r>
        <w:rPr>
          <w:b/>
          <w:noProof/>
          <w:sz w:val="22"/>
          <w:lang w:eastAsia="en-US"/>
        </w:rPr>
        <w:t>ES harmonizuotas ženklinimo tekstas</w:t>
      </w:r>
    </w:p>
    <w:p w14:paraId="141A1463" w14:textId="77777777" w:rsidR="00023BBF" w:rsidRDefault="00023BBF">
      <w:pPr>
        <w:rPr>
          <w:rFonts w:eastAsia="Calibri"/>
          <w:sz w:val="22"/>
          <w:szCs w:val="22"/>
          <w:lang w:eastAsia="en-US"/>
        </w:rPr>
      </w:pPr>
    </w:p>
    <w:p w14:paraId="478CC9EB" w14:textId="77777777" w:rsidR="00023BBF" w:rsidRDefault="00023BBF">
      <w:pPr>
        <w:rPr>
          <w:rFonts w:eastAsia="Calibri"/>
          <w:sz w:val="22"/>
          <w:szCs w:val="22"/>
          <w:lang w:eastAsia="en-US"/>
        </w:rPr>
      </w:pPr>
    </w:p>
    <w:p w14:paraId="7F2B1FCC"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w:t>
      </w:r>
      <w:r>
        <w:rPr>
          <w:rFonts w:eastAsia="Calibri"/>
          <w:b/>
          <w:sz w:val="22"/>
          <w:szCs w:val="22"/>
          <w:lang w:eastAsia="en-US"/>
        </w:rPr>
        <w:tab/>
      </w:r>
      <w:r>
        <w:rPr>
          <w:rFonts w:eastAsia="Calibri"/>
          <w:b/>
          <w:caps/>
          <w:noProof/>
          <w:sz w:val="22"/>
          <w:szCs w:val="22"/>
          <w:lang w:eastAsia="en-US"/>
        </w:rPr>
        <w:t>VAISTINIO</w:t>
      </w:r>
      <w:r>
        <w:rPr>
          <w:rFonts w:eastAsia="Calibri"/>
          <w:b/>
          <w:noProof/>
          <w:sz w:val="22"/>
          <w:szCs w:val="22"/>
          <w:lang w:eastAsia="en-US"/>
        </w:rPr>
        <w:t xml:space="preserve"> PREPARATO PAVADINIMAS</w:t>
      </w:r>
    </w:p>
    <w:p w14:paraId="346FD6BD" w14:textId="77777777" w:rsidR="00023BBF" w:rsidRDefault="00023BBF">
      <w:pPr>
        <w:rPr>
          <w:rFonts w:eastAsia="Calibri"/>
          <w:sz w:val="22"/>
          <w:szCs w:val="22"/>
          <w:lang w:eastAsia="en-US"/>
        </w:rPr>
      </w:pPr>
    </w:p>
    <w:p w14:paraId="418DCD6D"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5 mg/850 mg plėvele dengtos tabletės</w:t>
      </w:r>
    </w:p>
    <w:p w14:paraId="780EB459" w14:textId="77777777" w:rsidR="00023BBF" w:rsidRDefault="00E17C37">
      <w:pPr>
        <w:rPr>
          <w:rFonts w:eastAsiaTheme="minorHAnsi"/>
          <w:color w:val="000000"/>
          <w:sz w:val="22"/>
          <w:szCs w:val="22"/>
          <w:lang w:eastAsia="en-US"/>
        </w:rPr>
      </w:pP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5 mg/1 000 mg plėvele dengtos tabletės</w:t>
      </w:r>
    </w:p>
    <w:p w14:paraId="6729ADCB" w14:textId="77777777" w:rsidR="00023BBF" w:rsidRDefault="00023BBF">
      <w:pPr>
        <w:rPr>
          <w:rFonts w:eastAsia="Calibri"/>
          <w:sz w:val="22"/>
          <w:szCs w:val="22"/>
          <w:lang w:eastAsia="en-US"/>
        </w:rPr>
      </w:pPr>
    </w:p>
    <w:p w14:paraId="44FD4180" w14:textId="77777777" w:rsidR="00023BBF" w:rsidRDefault="00E17C37">
      <w:pPr>
        <w:tabs>
          <w:tab w:val="left" w:pos="426"/>
        </w:tabs>
        <w:rPr>
          <w:rFonts w:eastAsia="Arial Unicode MS"/>
          <w:bCs/>
          <w:noProof/>
          <w:color w:val="000000"/>
          <w:sz w:val="22"/>
          <w:szCs w:val="22"/>
          <w:lang w:eastAsia="en-US"/>
        </w:rPr>
      </w:pPr>
      <w:r>
        <w:rPr>
          <w:rFonts w:eastAsia="Arial Unicode MS"/>
          <w:bCs/>
          <w:noProof/>
          <w:color w:val="000000"/>
          <w:sz w:val="22"/>
          <w:szCs w:val="22"/>
          <w:lang w:eastAsia="en-US"/>
        </w:rPr>
        <w:t>dapagliflozinas/</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hidrochloridas</w:t>
      </w:r>
    </w:p>
    <w:p w14:paraId="42C6B5E6" w14:textId="77777777" w:rsidR="00023BBF" w:rsidRDefault="00023BBF">
      <w:pPr>
        <w:rPr>
          <w:rFonts w:eastAsia="Calibri"/>
          <w:sz w:val="22"/>
          <w:szCs w:val="22"/>
          <w:lang w:eastAsia="en-US"/>
        </w:rPr>
      </w:pPr>
    </w:p>
    <w:p w14:paraId="5C3D0FB2" w14:textId="77777777" w:rsidR="00023BBF" w:rsidRDefault="00023BBF">
      <w:pPr>
        <w:rPr>
          <w:rFonts w:eastAsia="Calibri"/>
          <w:sz w:val="22"/>
          <w:szCs w:val="22"/>
          <w:lang w:eastAsia="en-US"/>
        </w:rPr>
      </w:pPr>
    </w:p>
    <w:p w14:paraId="2D900305"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Pr>
          <w:rFonts w:eastAsia="Calibri"/>
          <w:b/>
          <w:sz w:val="22"/>
          <w:szCs w:val="22"/>
          <w:lang w:eastAsia="en-US"/>
        </w:rPr>
        <w:t>2.</w:t>
      </w:r>
      <w:r>
        <w:rPr>
          <w:rFonts w:eastAsia="Calibri"/>
          <w:b/>
          <w:sz w:val="22"/>
          <w:szCs w:val="22"/>
          <w:lang w:eastAsia="en-US"/>
        </w:rPr>
        <w:tab/>
      </w:r>
      <w:r>
        <w:rPr>
          <w:rFonts w:eastAsia="Calibri"/>
          <w:b/>
          <w:noProof/>
          <w:sz w:val="22"/>
          <w:szCs w:val="22"/>
          <w:lang w:eastAsia="en-US"/>
        </w:rPr>
        <w:t>VEIKLIOJI (-IOSIOS) MEDŽIAGA (-OS) IR JOS (-Ų) KIEKIS (-IAI)</w:t>
      </w:r>
    </w:p>
    <w:p w14:paraId="08D0AB1D" w14:textId="77777777" w:rsidR="00023BBF" w:rsidRDefault="00023BBF">
      <w:pPr>
        <w:rPr>
          <w:rFonts w:eastAsia="Calibri"/>
          <w:sz w:val="22"/>
          <w:szCs w:val="22"/>
          <w:lang w:eastAsia="en-US"/>
        </w:rPr>
      </w:pPr>
    </w:p>
    <w:p w14:paraId="48413846" w14:textId="77777777" w:rsidR="00023BBF" w:rsidRDefault="00E17C37">
      <w:pPr>
        <w:autoSpaceDE w:val="0"/>
        <w:autoSpaceDN w:val="0"/>
        <w:adjustRightInd w:val="0"/>
        <w:rPr>
          <w:rFonts w:eastAsiaTheme="minorHAnsi"/>
          <w:color w:val="000000"/>
          <w:sz w:val="22"/>
          <w:szCs w:val="22"/>
          <w:u w:val="single"/>
          <w:lang w:eastAsia="en-US"/>
        </w:rPr>
      </w:pPr>
      <w:proofErr w:type="spellStart"/>
      <w:r>
        <w:rPr>
          <w:rFonts w:eastAsiaTheme="minorHAnsi"/>
          <w:color w:val="000000"/>
          <w:sz w:val="22"/>
          <w:szCs w:val="22"/>
          <w:u w:val="single"/>
          <w:lang w:eastAsia="en-US"/>
        </w:rPr>
        <w:t>Mexdagry</w:t>
      </w:r>
      <w:proofErr w:type="spellEnd"/>
      <w:r>
        <w:rPr>
          <w:rFonts w:eastAsiaTheme="minorHAnsi"/>
          <w:color w:val="000000"/>
          <w:sz w:val="22"/>
          <w:szCs w:val="22"/>
          <w:u w:val="single"/>
          <w:lang w:eastAsia="en-US"/>
        </w:rPr>
        <w:t xml:space="preserve"> 5 mg/850 mg plėvele dengtos tabletės</w:t>
      </w:r>
    </w:p>
    <w:p w14:paraId="0918ACE0"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Kiekvienoje plėvele dengtoje tabletėje yra 5 mg dapagliflozino (dapagliflozino </w:t>
      </w:r>
      <w:proofErr w:type="spellStart"/>
      <w:r>
        <w:rPr>
          <w:rFonts w:eastAsiaTheme="minorHAnsi"/>
          <w:color w:val="000000"/>
          <w:sz w:val="22"/>
          <w:szCs w:val="22"/>
          <w:lang w:eastAsia="en-US"/>
        </w:rPr>
        <w:t>propanediolo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monohidrato</w:t>
      </w:r>
      <w:proofErr w:type="spellEnd"/>
      <w:r>
        <w:rPr>
          <w:rFonts w:eastAsiaTheme="minorHAnsi"/>
          <w:color w:val="000000"/>
          <w:sz w:val="22"/>
          <w:szCs w:val="22"/>
          <w:lang w:eastAsia="en-US"/>
        </w:rPr>
        <w:t xml:space="preserve"> forma) ir 850 mg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hidrochlorido.</w:t>
      </w:r>
    </w:p>
    <w:p w14:paraId="12ACBFE1" w14:textId="77777777" w:rsidR="00023BBF" w:rsidRDefault="00023BBF">
      <w:pPr>
        <w:autoSpaceDE w:val="0"/>
        <w:autoSpaceDN w:val="0"/>
        <w:adjustRightInd w:val="0"/>
        <w:rPr>
          <w:rFonts w:eastAsiaTheme="minorHAnsi"/>
          <w:color w:val="000000"/>
          <w:sz w:val="22"/>
          <w:szCs w:val="22"/>
          <w:lang w:eastAsia="en-US"/>
        </w:rPr>
      </w:pPr>
    </w:p>
    <w:p w14:paraId="0849DE8D" w14:textId="77777777" w:rsidR="00023BBF" w:rsidRDefault="00E17C37">
      <w:pPr>
        <w:autoSpaceDE w:val="0"/>
        <w:autoSpaceDN w:val="0"/>
        <w:adjustRightInd w:val="0"/>
        <w:rPr>
          <w:rFonts w:eastAsiaTheme="minorHAnsi"/>
          <w:color w:val="000000"/>
          <w:sz w:val="22"/>
          <w:szCs w:val="22"/>
          <w:highlight w:val="lightGray"/>
          <w:u w:val="single"/>
          <w:lang w:eastAsia="en-US"/>
        </w:rPr>
      </w:pPr>
      <w:proofErr w:type="spellStart"/>
      <w:r>
        <w:rPr>
          <w:rFonts w:eastAsiaTheme="minorHAnsi"/>
          <w:color w:val="000000"/>
          <w:sz w:val="22"/>
          <w:szCs w:val="22"/>
          <w:highlight w:val="lightGray"/>
          <w:u w:val="single"/>
          <w:lang w:eastAsia="en-US"/>
        </w:rPr>
        <w:t>Mexdagry</w:t>
      </w:r>
      <w:proofErr w:type="spellEnd"/>
      <w:r>
        <w:rPr>
          <w:rFonts w:eastAsiaTheme="minorHAnsi"/>
          <w:color w:val="000000"/>
          <w:sz w:val="22"/>
          <w:szCs w:val="22"/>
          <w:highlight w:val="lightGray"/>
          <w:u w:val="single"/>
          <w:lang w:eastAsia="en-US"/>
        </w:rPr>
        <w:t xml:space="preserve"> 5 mg/1 000 mg plėvele dengtos tabletės</w:t>
      </w:r>
    </w:p>
    <w:p w14:paraId="14EB8976" w14:textId="77777777" w:rsidR="00023BBF" w:rsidRDefault="00E17C37">
      <w:pPr>
        <w:rPr>
          <w:rFonts w:eastAsiaTheme="minorHAnsi"/>
          <w:color w:val="000000"/>
          <w:sz w:val="22"/>
          <w:szCs w:val="22"/>
          <w:lang w:eastAsia="en-US"/>
        </w:rPr>
      </w:pPr>
      <w:r>
        <w:rPr>
          <w:rFonts w:eastAsiaTheme="minorHAnsi"/>
          <w:color w:val="000000"/>
          <w:sz w:val="22"/>
          <w:szCs w:val="22"/>
          <w:highlight w:val="lightGray"/>
          <w:lang w:eastAsia="en-US"/>
        </w:rPr>
        <w:t xml:space="preserve">Kiekvienoje plėvele dengtoje tabletėje yra 5 mg dapagliflozino (dapagliflozino </w:t>
      </w:r>
      <w:proofErr w:type="spellStart"/>
      <w:r>
        <w:rPr>
          <w:rFonts w:eastAsiaTheme="minorHAnsi"/>
          <w:color w:val="000000"/>
          <w:sz w:val="22"/>
          <w:szCs w:val="22"/>
          <w:highlight w:val="lightGray"/>
          <w:lang w:eastAsia="en-US"/>
        </w:rPr>
        <w:t>propanediolo</w:t>
      </w:r>
      <w:proofErr w:type="spellEnd"/>
      <w:r>
        <w:rPr>
          <w:rFonts w:eastAsiaTheme="minorHAnsi"/>
          <w:color w:val="000000"/>
          <w:sz w:val="22"/>
          <w:szCs w:val="22"/>
          <w:highlight w:val="lightGray"/>
          <w:lang w:eastAsia="en-US"/>
        </w:rPr>
        <w:t xml:space="preserve"> </w:t>
      </w:r>
      <w:proofErr w:type="spellStart"/>
      <w:r>
        <w:rPr>
          <w:rFonts w:eastAsiaTheme="minorHAnsi"/>
          <w:color w:val="000000"/>
          <w:sz w:val="22"/>
          <w:szCs w:val="22"/>
          <w:highlight w:val="lightGray"/>
          <w:lang w:eastAsia="en-US"/>
        </w:rPr>
        <w:t>monohidrato</w:t>
      </w:r>
      <w:proofErr w:type="spellEnd"/>
      <w:r>
        <w:rPr>
          <w:rFonts w:eastAsiaTheme="minorHAnsi"/>
          <w:color w:val="000000"/>
          <w:sz w:val="22"/>
          <w:szCs w:val="22"/>
          <w:highlight w:val="lightGray"/>
          <w:lang w:eastAsia="en-US"/>
        </w:rPr>
        <w:t xml:space="preserve"> forma) ir 1 000 mg </w:t>
      </w:r>
      <w:proofErr w:type="spellStart"/>
      <w:r>
        <w:rPr>
          <w:rFonts w:eastAsiaTheme="minorHAnsi"/>
          <w:color w:val="000000"/>
          <w:sz w:val="22"/>
          <w:szCs w:val="22"/>
          <w:highlight w:val="lightGray"/>
          <w:lang w:eastAsia="en-US"/>
        </w:rPr>
        <w:t>metformino</w:t>
      </w:r>
      <w:proofErr w:type="spellEnd"/>
      <w:r>
        <w:rPr>
          <w:rFonts w:eastAsiaTheme="minorHAnsi"/>
          <w:color w:val="000000"/>
          <w:sz w:val="22"/>
          <w:szCs w:val="22"/>
          <w:highlight w:val="lightGray"/>
          <w:lang w:eastAsia="en-US"/>
        </w:rPr>
        <w:t xml:space="preserve"> hidrochlorido.</w:t>
      </w:r>
    </w:p>
    <w:p w14:paraId="2B053D39" w14:textId="77777777" w:rsidR="00023BBF" w:rsidRDefault="00023BBF">
      <w:pPr>
        <w:rPr>
          <w:rFonts w:eastAsia="Calibri"/>
          <w:sz w:val="22"/>
          <w:szCs w:val="22"/>
          <w:lang w:eastAsia="en-US"/>
        </w:rPr>
      </w:pPr>
    </w:p>
    <w:p w14:paraId="030A86E2" w14:textId="77777777" w:rsidR="00023BBF" w:rsidRDefault="00023BBF">
      <w:pPr>
        <w:rPr>
          <w:rFonts w:eastAsia="Calibri"/>
          <w:sz w:val="22"/>
          <w:szCs w:val="22"/>
          <w:lang w:eastAsia="en-US"/>
        </w:rPr>
      </w:pPr>
    </w:p>
    <w:p w14:paraId="45E5310B"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3.</w:t>
      </w:r>
      <w:r>
        <w:rPr>
          <w:rFonts w:eastAsia="Calibri"/>
          <w:b/>
          <w:sz w:val="22"/>
          <w:szCs w:val="22"/>
          <w:lang w:eastAsia="en-US"/>
        </w:rPr>
        <w:tab/>
      </w:r>
      <w:r>
        <w:rPr>
          <w:rFonts w:eastAsia="Calibri"/>
          <w:b/>
          <w:noProof/>
          <w:sz w:val="22"/>
          <w:szCs w:val="22"/>
          <w:lang w:eastAsia="en-US"/>
        </w:rPr>
        <w:t>PAGALBINIŲ MEDŽIAGŲ SĄRAŠAS</w:t>
      </w:r>
    </w:p>
    <w:p w14:paraId="04973B88" w14:textId="77777777" w:rsidR="00023BBF" w:rsidRDefault="00023BBF">
      <w:pPr>
        <w:rPr>
          <w:rFonts w:eastAsia="Calibri"/>
          <w:sz w:val="22"/>
          <w:szCs w:val="22"/>
          <w:lang w:eastAsia="en-US"/>
        </w:rPr>
      </w:pPr>
    </w:p>
    <w:p w14:paraId="38D3944B" w14:textId="77777777" w:rsidR="00023BBF" w:rsidRDefault="00023BBF">
      <w:pPr>
        <w:rPr>
          <w:rFonts w:eastAsia="Calibri"/>
          <w:sz w:val="22"/>
          <w:szCs w:val="22"/>
          <w:lang w:eastAsia="en-US"/>
        </w:rPr>
      </w:pPr>
    </w:p>
    <w:p w14:paraId="27ECCA74" w14:textId="77777777" w:rsidR="00023BBF" w:rsidRDefault="00023BBF">
      <w:pPr>
        <w:rPr>
          <w:rFonts w:eastAsia="Calibri"/>
          <w:sz w:val="22"/>
          <w:szCs w:val="22"/>
          <w:lang w:eastAsia="en-US"/>
        </w:rPr>
      </w:pPr>
    </w:p>
    <w:p w14:paraId="421F8960"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4.</w:t>
      </w:r>
      <w:r>
        <w:rPr>
          <w:rFonts w:eastAsia="Calibri"/>
          <w:b/>
          <w:sz w:val="22"/>
          <w:szCs w:val="22"/>
          <w:lang w:eastAsia="en-US"/>
        </w:rPr>
        <w:tab/>
      </w:r>
      <w:r>
        <w:rPr>
          <w:rFonts w:eastAsia="Calibri"/>
          <w:b/>
          <w:noProof/>
          <w:sz w:val="22"/>
          <w:szCs w:val="22"/>
          <w:lang w:eastAsia="en-US"/>
        </w:rPr>
        <w:t>FARMACINĖ FORMA IR KIEKIS PAKUOTĖJE</w:t>
      </w:r>
    </w:p>
    <w:p w14:paraId="4EE5FB6B" w14:textId="77777777" w:rsidR="00023BBF" w:rsidRDefault="00023BBF">
      <w:pPr>
        <w:rPr>
          <w:rFonts w:eastAsia="Calibri"/>
          <w:sz w:val="22"/>
          <w:szCs w:val="22"/>
          <w:lang w:eastAsia="en-US"/>
        </w:rPr>
      </w:pPr>
    </w:p>
    <w:p w14:paraId="67EB2603" w14:textId="77777777" w:rsidR="00023BBF" w:rsidRDefault="00E17C37">
      <w:pPr>
        <w:rPr>
          <w:rFonts w:eastAsia="Calibri"/>
          <w:i/>
          <w:iCs/>
          <w:sz w:val="22"/>
          <w:szCs w:val="22"/>
          <w:lang w:eastAsia="en-US"/>
        </w:rPr>
      </w:pPr>
      <w:r>
        <w:rPr>
          <w:rFonts w:eastAsia="Calibri"/>
          <w:i/>
          <w:iCs/>
          <w:sz w:val="22"/>
          <w:szCs w:val="22"/>
          <w:highlight w:val="darkGray"/>
          <w:lang w:eastAsia="en-US"/>
        </w:rPr>
        <w:t>plėvele dengta tabletė</w:t>
      </w:r>
    </w:p>
    <w:p w14:paraId="431E41BE" w14:textId="77777777" w:rsidR="00023BBF" w:rsidRDefault="00023BBF">
      <w:pPr>
        <w:rPr>
          <w:rFonts w:eastAsia="Calibri"/>
          <w:sz w:val="22"/>
          <w:szCs w:val="22"/>
          <w:highlight w:val="lightGray"/>
          <w:lang w:eastAsia="en-US"/>
        </w:rPr>
      </w:pPr>
    </w:p>
    <w:p w14:paraId="7ACCEB24" w14:textId="77777777" w:rsidR="00023BBF" w:rsidRDefault="00E17C37">
      <w:pPr>
        <w:rPr>
          <w:rFonts w:eastAsia="Calibri"/>
          <w:sz w:val="22"/>
          <w:szCs w:val="22"/>
          <w:highlight w:val="lightGray"/>
          <w:lang w:eastAsia="en-US"/>
        </w:rPr>
      </w:pPr>
      <w:r>
        <w:rPr>
          <w:rFonts w:eastAsia="Calibri"/>
          <w:sz w:val="22"/>
          <w:szCs w:val="22"/>
          <w:lang w:eastAsia="en-US"/>
        </w:rPr>
        <w:t xml:space="preserve">14 </w:t>
      </w:r>
      <w:r>
        <w:rPr>
          <w:rFonts w:eastAsia="Calibri"/>
          <w:i/>
          <w:iCs/>
          <w:sz w:val="22"/>
          <w:szCs w:val="22"/>
          <w:highlight w:val="darkGray"/>
          <w:lang w:eastAsia="en-US"/>
        </w:rPr>
        <w:t>plėvele dengtų</w:t>
      </w:r>
      <w:r>
        <w:rPr>
          <w:rFonts w:eastAsia="Calibri"/>
          <w:sz w:val="22"/>
          <w:szCs w:val="22"/>
          <w:lang w:eastAsia="en-US"/>
        </w:rPr>
        <w:t xml:space="preserve"> tablečių</w:t>
      </w:r>
    </w:p>
    <w:p w14:paraId="2265AB1B" w14:textId="77777777" w:rsidR="00023BBF" w:rsidRDefault="00E17C37">
      <w:pPr>
        <w:rPr>
          <w:rFonts w:eastAsia="Calibri"/>
          <w:sz w:val="22"/>
          <w:szCs w:val="22"/>
          <w:highlight w:val="lightGray"/>
          <w:lang w:eastAsia="en-US"/>
        </w:rPr>
      </w:pPr>
      <w:bookmarkStart w:id="12" w:name="_Hlk190770775"/>
      <w:r>
        <w:rPr>
          <w:rFonts w:eastAsia="Calibri"/>
          <w:sz w:val="22"/>
          <w:szCs w:val="22"/>
          <w:highlight w:val="lightGray"/>
          <w:lang w:eastAsia="en-US"/>
        </w:rPr>
        <w:t xml:space="preserve">28 </w:t>
      </w:r>
      <w:r>
        <w:rPr>
          <w:rFonts w:eastAsia="Calibri"/>
          <w:i/>
          <w:iCs/>
          <w:sz w:val="22"/>
          <w:szCs w:val="22"/>
          <w:highlight w:val="darkGray"/>
          <w:lang w:eastAsia="en-US"/>
        </w:rPr>
        <w:t>plėvele dengtos</w:t>
      </w:r>
      <w:r>
        <w:rPr>
          <w:rFonts w:eastAsia="Calibri"/>
          <w:sz w:val="22"/>
          <w:szCs w:val="22"/>
          <w:highlight w:val="lightGray"/>
          <w:lang w:eastAsia="en-US"/>
        </w:rPr>
        <w:t xml:space="preserve"> tabletės</w:t>
      </w:r>
    </w:p>
    <w:bookmarkEnd w:id="12"/>
    <w:p w14:paraId="3161FB5C" w14:textId="77777777" w:rsidR="00023BBF" w:rsidRDefault="00E17C37">
      <w:pPr>
        <w:rPr>
          <w:rFonts w:eastAsia="Calibri"/>
          <w:sz w:val="22"/>
          <w:szCs w:val="22"/>
          <w:highlight w:val="lightGray"/>
          <w:lang w:eastAsia="en-US"/>
        </w:rPr>
      </w:pPr>
      <w:r>
        <w:rPr>
          <w:rFonts w:eastAsia="Calibri"/>
          <w:sz w:val="22"/>
          <w:szCs w:val="22"/>
          <w:highlight w:val="lightGray"/>
          <w:lang w:eastAsia="en-US"/>
        </w:rPr>
        <w:t xml:space="preserve">30 </w:t>
      </w:r>
      <w:r>
        <w:rPr>
          <w:rFonts w:eastAsia="Calibri"/>
          <w:i/>
          <w:iCs/>
          <w:sz w:val="22"/>
          <w:szCs w:val="22"/>
          <w:highlight w:val="darkGray"/>
          <w:lang w:eastAsia="en-US"/>
        </w:rPr>
        <w:t>plėvele dengtų</w:t>
      </w:r>
      <w:r>
        <w:rPr>
          <w:rFonts w:eastAsia="Calibri"/>
          <w:sz w:val="22"/>
          <w:szCs w:val="22"/>
          <w:highlight w:val="lightGray"/>
          <w:lang w:eastAsia="en-US"/>
        </w:rPr>
        <w:t xml:space="preserve"> tablečių</w:t>
      </w:r>
    </w:p>
    <w:p w14:paraId="16F4B604" w14:textId="77777777" w:rsidR="00023BBF" w:rsidRDefault="00E17C37">
      <w:pPr>
        <w:rPr>
          <w:rFonts w:eastAsia="Calibri"/>
          <w:sz w:val="22"/>
          <w:szCs w:val="22"/>
          <w:highlight w:val="lightGray"/>
          <w:lang w:eastAsia="en-US"/>
        </w:rPr>
      </w:pPr>
      <w:r>
        <w:rPr>
          <w:rFonts w:eastAsia="Calibri"/>
          <w:sz w:val="22"/>
          <w:szCs w:val="22"/>
          <w:highlight w:val="lightGray"/>
          <w:lang w:eastAsia="en-US"/>
        </w:rPr>
        <w:t xml:space="preserve">56 </w:t>
      </w:r>
      <w:r>
        <w:rPr>
          <w:rFonts w:eastAsia="Calibri"/>
          <w:i/>
          <w:iCs/>
          <w:sz w:val="22"/>
          <w:szCs w:val="22"/>
          <w:highlight w:val="darkGray"/>
          <w:lang w:eastAsia="en-US"/>
        </w:rPr>
        <w:t>plėvele dengtos</w:t>
      </w:r>
      <w:r>
        <w:rPr>
          <w:rFonts w:eastAsia="Calibri"/>
          <w:sz w:val="22"/>
          <w:szCs w:val="22"/>
          <w:highlight w:val="lightGray"/>
          <w:lang w:eastAsia="en-US"/>
        </w:rPr>
        <w:t xml:space="preserve"> tabletės</w:t>
      </w:r>
    </w:p>
    <w:p w14:paraId="44F776C4" w14:textId="77777777" w:rsidR="00023BBF" w:rsidRDefault="00E17C37">
      <w:pPr>
        <w:rPr>
          <w:rFonts w:eastAsia="Calibri"/>
          <w:sz w:val="22"/>
          <w:szCs w:val="22"/>
          <w:highlight w:val="lightGray"/>
          <w:lang w:eastAsia="en-US"/>
        </w:rPr>
      </w:pPr>
      <w:r>
        <w:rPr>
          <w:rFonts w:eastAsia="Calibri"/>
          <w:sz w:val="22"/>
          <w:szCs w:val="22"/>
          <w:highlight w:val="lightGray"/>
          <w:lang w:eastAsia="en-US"/>
        </w:rPr>
        <w:t xml:space="preserve">60 </w:t>
      </w:r>
      <w:r>
        <w:rPr>
          <w:rFonts w:eastAsia="Calibri"/>
          <w:i/>
          <w:iCs/>
          <w:sz w:val="22"/>
          <w:szCs w:val="22"/>
          <w:highlight w:val="darkGray"/>
          <w:lang w:eastAsia="en-US"/>
        </w:rPr>
        <w:t>plėvele dengtų</w:t>
      </w:r>
      <w:r>
        <w:rPr>
          <w:rFonts w:eastAsia="Calibri"/>
          <w:sz w:val="22"/>
          <w:szCs w:val="22"/>
          <w:highlight w:val="lightGray"/>
          <w:lang w:eastAsia="en-US"/>
        </w:rPr>
        <w:t xml:space="preserve"> tablečių</w:t>
      </w:r>
    </w:p>
    <w:p w14:paraId="649429B3" w14:textId="77777777" w:rsidR="00023BBF" w:rsidRDefault="00E17C37">
      <w:pPr>
        <w:rPr>
          <w:rFonts w:eastAsia="Calibri"/>
          <w:sz w:val="22"/>
          <w:szCs w:val="22"/>
          <w:highlight w:val="lightGray"/>
          <w:lang w:eastAsia="en-US"/>
        </w:rPr>
      </w:pPr>
      <w:r>
        <w:rPr>
          <w:rFonts w:eastAsia="Calibri"/>
          <w:sz w:val="22"/>
          <w:szCs w:val="22"/>
          <w:highlight w:val="lightGray"/>
          <w:lang w:eastAsia="en-US"/>
        </w:rPr>
        <w:t xml:space="preserve">90 </w:t>
      </w:r>
      <w:r>
        <w:rPr>
          <w:rFonts w:eastAsia="Calibri"/>
          <w:i/>
          <w:iCs/>
          <w:sz w:val="22"/>
          <w:szCs w:val="22"/>
          <w:highlight w:val="darkGray"/>
          <w:lang w:eastAsia="en-US"/>
        </w:rPr>
        <w:t>plėvele dengtų</w:t>
      </w:r>
      <w:r>
        <w:rPr>
          <w:rFonts w:eastAsia="Calibri"/>
          <w:sz w:val="22"/>
          <w:szCs w:val="22"/>
          <w:highlight w:val="lightGray"/>
          <w:lang w:eastAsia="en-US"/>
        </w:rPr>
        <w:t xml:space="preserve"> tablečių</w:t>
      </w:r>
    </w:p>
    <w:p w14:paraId="23109278" w14:textId="77777777" w:rsidR="00023BBF" w:rsidRDefault="00E17C37">
      <w:pPr>
        <w:rPr>
          <w:rFonts w:eastAsia="Calibri"/>
          <w:sz w:val="22"/>
          <w:szCs w:val="22"/>
          <w:highlight w:val="lightGray"/>
          <w:lang w:eastAsia="en-US"/>
        </w:rPr>
      </w:pPr>
      <w:r>
        <w:rPr>
          <w:rFonts w:eastAsia="Calibri"/>
          <w:sz w:val="22"/>
          <w:szCs w:val="22"/>
          <w:highlight w:val="lightGray"/>
          <w:lang w:eastAsia="en-US"/>
        </w:rPr>
        <w:t xml:space="preserve">196 </w:t>
      </w:r>
      <w:r>
        <w:rPr>
          <w:rFonts w:eastAsia="Calibri"/>
          <w:i/>
          <w:iCs/>
          <w:sz w:val="22"/>
          <w:szCs w:val="22"/>
          <w:highlight w:val="darkGray"/>
          <w:lang w:eastAsia="en-US"/>
        </w:rPr>
        <w:t>plėvele dengtos</w:t>
      </w:r>
      <w:r>
        <w:rPr>
          <w:rFonts w:eastAsia="Calibri"/>
          <w:sz w:val="22"/>
          <w:szCs w:val="22"/>
          <w:highlight w:val="lightGray"/>
          <w:lang w:eastAsia="en-US"/>
        </w:rPr>
        <w:t xml:space="preserve"> tabletės</w:t>
      </w:r>
    </w:p>
    <w:p w14:paraId="4DCFC249" w14:textId="77777777" w:rsidR="00023BBF" w:rsidRDefault="00023BBF">
      <w:pPr>
        <w:rPr>
          <w:rFonts w:eastAsia="Calibri"/>
          <w:sz w:val="22"/>
          <w:szCs w:val="22"/>
          <w:lang w:eastAsia="en-US"/>
        </w:rPr>
      </w:pPr>
    </w:p>
    <w:p w14:paraId="365D494E" w14:textId="77777777" w:rsidR="00023BBF" w:rsidRDefault="00023BBF">
      <w:pPr>
        <w:rPr>
          <w:rFonts w:eastAsia="Calibri"/>
          <w:sz w:val="22"/>
          <w:szCs w:val="22"/>
          <w:lang w:eastAsia="en-US"/>
        </w:rPr>
      </w:pPr>
    </w:p>
    <w:p w14:paraId="33D2068F"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5.</w:t>
      </w:r>
      <w:r>
        <w:rPr>
          <w:rFonts w:eastAsia="Calibri"/>
          <w:b/>
          <w:sz w:val="22"/>
          <w:szCs w:val="22"/>
          <w:lang w:eastAsia="en-US"/>
        </w:rPr>
        <w:tab/>
      </w:r>
      <w:r>
        <w:rPr>
          <w:rFonts w:eastAsia="Calibri"/>
          <w:b/>
          <w:noProof/>
          <w:sz w:val="22"/>
          <w:szCs w:val="22"/>
          <w:lang w:eastAsia="en-US"/>
        </w:rPr>
        <w:t>VARTOJIMO METODAS IR BŪDAS (-AI)</w:t>
      </w:r>
    </w:p>
    <w:p w14:paraId="1B5271E5" w14:textId="77777777" w:rsidR="00023BBF" w:rsidRDefault="00023BBF">
      <w:pPr>
        <w:rPr>
          <w:rFonts w:eastAsia="Calibri"/>
          <w:sz w:val="16"/>
          <w:szCs w:val="16"/>
          <w:lang w:eastAsia="en-US"/>
        </w:rPr>
      </w:pPr>
    </w:p>
    <w:p w14:paraId="44E81EC8" w14:textId="77777777" w:rsidR="00023BBF" w:rsidRDefault="00E17C37">
      <w:pPr>
        <w:rPr>
          <w:rFonts w:eastAsia="Calibri"/>
          <w:sz w:val="22"/>
          <w:szCs w:val="22"/>
          <w:lang w:eastAsia="en-US"/>
        </w:rPr>
      </w:pPr>
      <w:r>
        <w:rPr>
          <w:rFonts w:eastAsia="Calibri"/>
          <w:noProof/>
          <w:sz w:val="22"/>
          <w:szCs w:val="22"/>
          <w:lang w:eastAsia="en-US"/>
        </w:rPr>
        <w:t>Prieš vartojimą perskaitykite pakuotės lapelį.</w:t>
      </w:r>
    </w:p>
    <w:p w14:paraId="17F1A82A" w14:textId="77777777" w:rsidR="00023BBF" w:rsidRDefault="00023BBF">
      <w:pPr>
        <w:rPr>
          <w:rFonts w:eastAsia="Calibri"/>
          <w:i/>
          <w:iCs/>
          <w:sz w:val="22"/>
          <w:szCs w:val="22"/>
          <w:highlight w:val="darkGray"/>
          <w:lang w:eastAsia="en-US"/>
        </w:rPr>
      </w:pPr>
    </w:p>
    <w:p w14:paraId="2CCD0E01" w14:textId="77777777" w:rsidR="00023BBF" w:rsidRDefault="00E17C37">
      <w:pPr>
        <w:rPr>
          <w:rFonts w:eastAsia="Calibri"/>
          <w:i/>
          <w:iCs/>
          <w:sz w:val="22"/>
          <w:szCs w:val="22"/>
          <w:lang w:eastAsia="en-US"/>
        </w:rPr>
      </w:pPr>
      <w:r>
        <w:rPr>
          <w:rFonts w:eastAsia="Calibri"/>
          <w:i/>
          <w:iCs/>
          <w:sz w:val="22"/>
          <w:szCs w:val="22"/>
          <w:highlight w:val="darkGray"/>
          <w:lang w:eastAsia="en-US"/>
        </w:rPr>
        <w:t>Vartoti per burną</w:t>
      </w:r>
      <w:r>
        <w:rPr>
          <w:rFonts w:eastAsia="Calibri"/>
          <w:i/>
          <w:iCs/>
          <w:sz w:val="22"/>
          <w:szCs w:val="22"/>
          <w:highlight w:val="lightGray"/>
          <w:lang w:eastAsia="en-US"/>
        </w:rPr>
        <w:t>.</w:t>
      </w:r>
    </w:p>
    <w:p w14:paraId="519EFF6C" w14:textId="77777777" w:rsidR="00023BBF" w:rsidRDefault="00023BBF">
      <w:pPr>
        <w:rPr>
          <w:rFonts w:eastAsia="Calibri"/>
          <w:sz w:val="22"/>
          <w:szCs w:val="22"/>
          <w:lang w:eastAsia="en-US"/>
        </w:rPr>
      </w:pPr>
    </w:p>
    <w:p w14:paraId="5BB9C1E0" w14:textId="77777777" w:rsidR="00023BBF" w:rsidRDefault="00023BBF">
      <w:pPr>
        <w:rPr>
          <w:rFonts w:eastAsia="Calibri"/>
          <w:sz w:val="22"/>
          <w:szCs w:val="22"/>
          <w:lang w:eastAsia="en-US"/>
        </w:rPr>
      </w:pPr>
    </w:p>
    <w:p w14:paraId="004FA0F2"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6.</w:t>
      </w:r>
      <w:r>
        <w:rPr>
          <w:rFonts w:eastAsia="Calibri"/>
          <w:b/>
          <w:sz w:val="22"/>
          <w:szCs w:val="22"/>
          <w:lang w:eastAsia="en-US"/>
        </w:rPr>
        <w:tab/>
      </w:r>
      <w:r>
        <w:rPr>
          <w:rFonts w:eastAsia="Calibri"/>
          <w:b/>
          <w:noProof/>
          <w:sz w:val="22"/>
          <w:szCs w:val="22"/>
          <w:lang w:eastAsia="en-US"/>
        </w:rPr>
        <w:t>SPECIALUS ĮSPĖJIMAS, KAD VAISTINĮ PREPARATĄ BŪTINA LAIKYTI VAIKAMS NEPASTEBIMOJE IR NEPASIEKIAMOJE VIETOJE</w:t>
      </w:r>
    </w:p>
    <w:p w14:paraId="09DE0CFA" w14:textId="77777777" w:rsidR="00023BBF" w:rsidRDefault="00023BBF">
      <w:pPr>
        <w:rPr>
          <w:rFonts w:eastAsia="Calibri"/>
          <w:sz w:val="22"/>
          <w:szCs w:val="22"/>
          <w:lang w:eastAsia="en-US"/>
        </w:rPr>
      </w:pPr>
    </w:p>
    <w:p w14:paraId="26A49AFB" w14:textId="77777777" w:rsidR="00023BBF" w:rsidRDefault="00E17C37">
      <w:pPr>
        <w:rPr>
          <w:rFonts w:eastAsia="Calibri"/>
          <w:sz w:val="22"/>
          <w:szCs w:val="22"/>
          <w:lang w:eastAsia="en-US"/>
        </w:rPr>
      </w:pPr>
      <w:r>
        <w:rPr>
          <w:rFonts w:eastAsia="Calibri"/>
          <w:noProof/>
          <w:sz w:val="22"/>
          <w:szCs w:val="22"/>
          <w:lang w:eastAsia="en-US"/>
        </w:rPr>
        <w:t>Laikyti vaikams nepastebimoje ir nepasiekiamoje vietoje.</w:t>
      </w:r>
    </w:p>
    <w:p w14:paraId="13DA4DF8" w14:textId="77777777" w:rsidR="00023BBF" w:rsidRDefault="00023BBF">
      <w:pPr>
        <w:rPr>
          <w:rFonts w:eastAsia="Calibri"/>
          <w:sz w:val="22"/>
          <w:szCs w:val="22"/>
          <w:lang w:eastAsia="en-US"/>
        </w:rPr>
      </w:pPr>
    </w:p>
    <w:p w14:paraId="38EDCF91" w14:textId="77777777" w:rsidR="00023BBF" w:rsidRDefault="00023BBF">
      <w:pPr>
        <w:rPr>
          <w:rFonts w:eastAsia="Calibri"/>
          <w:sz w:val="22"/>
          <w:szCs w:val="22"/>
          <w:lang w:eastAsia="en-US"/>
        </w:rPr>
      </w:pPr>
    </w:p>
    <w:p w14:paraId="1640ACCE"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7.</w:t>
      </w:r>
      <w:r>
        <w:rPr>
          <w:rFonts w:eastAsia="Calibri"/>
          <w:b/>
          <w:sz w:val="22"/>
          <w:szCs w:val="22"/>
          <w:lang w:eastAsia="en-US"/>
        </w:rPr>
        <w:tab/>
      </w:r>
      <w:r>
        <w:rPr>
          <w:rFonts w:eastAsia="Calibri"/>
          <w:b/>
          <w:noProof/>
          <w:sz w:val="22"/>
          <w:szCs w:val="22"/>
          <w:lang w:eastAsia="en-US"/>
        </w:rPr>
        <w:t>KITAS (-I) SPECIALUS (-ŪS) ĮSPĖJIMAS (-AI) (JEI REIKIA)</w:t>
      </w:r>
    </w:p>
    <w:p w14:paraId="4A3222C4" w14:textId="77777777" w:rsidR="00023BBF" w:rsidRDefault="00023BBF">
      <w:pPr>
        <w:rPr>
          <w:rFonts w:eastAsia="Calibri"/>
          <w:sz w:val="22"/>
          <w:szCs w:val="22"/>
          <w:lang w:eastAsia="en-US"/>
        </w:rPr>
      </w:pPr>
    </w:p>
    <w:p w14:paraId="006CA16F" w14:textId="77777777" w:rsidR="00023BBF" w:rsidRDefault="00023BBF">
      <w:pPr>
        <w:rPr>
          <w:rFonts w:eastAsia="Calibri"/>
          <w:sz w:val="22"/>
          <w:szCs w:val="22"/>
          <w:lang w:eastAsia="en-US"/>
        </w:rPr>
      </w:pPr>
    </w:p>
    <w:p w14:paraId="6279C5D6" w14:textId="77777777" w:rsidR="00023BBF" w:rsidRDefault="00023BBF">
      <w:pPr>
        <w:rPr>
          <w:rFonts w:eastAsia="Calibri"/>
          <w:sz w:val="22"/>
          <w:szCs w:val="22"/>
          <w:lang w:eastAsia="en-US"/>
        </w:rPr>
      </w:pPr>
    </w:p>
    <w:p w14:paraId="74A78A84"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8.</w:t>
      </w:r>
      <w:r>
        <w:rPr>
          <w:rFonts w:eastAsia="Calibri"/>
          <w:b/>
          <w:sz w:val="22"/>
          <w:szCs w:val="22"/>
          <w:lang w:eastAsia="en-US"/>
        </w:rPr>
        <w:tab/>
      </w:r>
      <w:r>
        <w:rPr>
          <w:rFonts w:eastAsia="Calibri"/>
          <w:b/>
          <w:noProof/>
          <w:sz w:val="22"/>
          <w:szCs w:val="22"/>
          <w:lang w:eastAsia="en-US"/>
        </w:rPr>
        <w:t>TINKAMUMO LAIKAS</w:t>
      </w:r>
    </w:p>
    <w:p w14:paraId="5A79E535" w14:textId="77777777" w:rsidR="00023BBF" w:rsidRDefault="00023BBF">
      <w:pPr>
        <w:rPr>
          <w:rFonts w:eastAsia="Calibri"/>
          <w:sz w:val="22"/>
          <w:szCs w:val="22"/>
          <w:lang w:eastAsia="en-US"/>
        </w:rPr>
      </w:pPr>
    </w:p>
    <w:p w14:paraId="115B1AD1" w14:textId="77777777" w:rsidR="00023BBF" w:rsidRDefault="00E17C37">
      <w:pPr>
        <w:rPr>
          <w:rFonts w:eastAsia="Calibri"/>
          <w:iCs/>
          <w:noProof/>
          <w:sz w:val="22"/>
          <w:szCs w:val="22"/>
          <w:lang w:eastAsia="en-US"/>
        </w:rPr>
      </w:pPr>
      <w:r>
        <w:rPr>
          <w:rFonts w:eastAsia="Calibri"/>
          <w:sz w:val="22"/>
          <w:szCs w:val="22"/>
          <w:lang w:eastAsia="en-US"/>
        </w:rPr>
        <w:t xml:space="preserve">EXP </w:t>
      </w:r>
      <w:r>
        <w:rPr>
          <w:rFonts w:eastAsia="Calibri"/>
          <w:iCs/>
          <w:noProof/>
          <w:sz w:val="22"/>
          <w:szCs w:val="22"/>
          <w:lang w:eastAsia="en-US"/>
        </w:rPr>
        <w:t>{mm/MMMM}</w:t>
      </w:r>
    </w:p>
    <w:p w14:paraId="6F20815D" w14:textId="77777777" w:rsidR="00023BBF" w:rsidRDefault="00023BBF">
      <w:pPr>
        <w:rPr>
          <w:rFonts w:eastAsia="Calibri"/>
          <w:sz w:val="22"/>
          <w:szCs w:val="22"/>
          <w:lang w:eastAsia="en-US"/>
        </w:rPr>
      </w:pPr>
    </w:p>
    <w:p w14:paraId="4D0FCAE4" w14:textId="77777777" w:rsidR="00023BBF" w:rsidRDefault="00023BBF">
      <w:pPr>
        <w:rPr>
          <w:rFonts w:eastAsia="Calibri"/>
          <w:sz w:val="22"/>
          <w:szCs w:val="22"/>
          <w:lang w:eastAsia="en-US"/>
        </w:rPr>
      </w:pPr>
    </w:p>
    <w:p w14:paraId="71E75B46"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9.</w:t>
      </w:r>
      <w:r>
        <w:rPr>
          <w:rFonts w:eastAsia="Calibri"/>
          <w:b/>
          <w:sz w:val="22"/>
          <w:szCs w:val="22"/>
          <w:lang w:eastAsia="en-US"/>
        </w:rPr>
        <w:tab/>
      </w:r>
      <w:r>
        <w:rPr>
          <w:rFonts w:eastAsia="Calibri"/>
          <w:b/>
          <w:noProof/>
          <w:sz w:val="22"/>
          <w:szCs w:val="22"/>
          <w:lang w:eastAsia="en-US"/>
        </w:rPr>
        <w:t>SPECIALIOS LAIKYMO SĄLYGOS</w:t>
      </w:r>
    </w:p>
    <w:p w14:paraId="53A59373" w14:textId="77777777" w:rsidR="00023BBF" w:rsidRDefault="00023BBF">
      <w:pPr>
        <w:rPr>
          <w:rFonts w:eastAsia="Calibri"/>
          <w:sz w:val="22"/>
          <w:szCs w:val="22"/>
          <w:lang w:eastAsia="en-US"/>
        </w:rPr>
      </w:pPr>
    </w:p>
    <w:p w14:paraId="121688E8" w14:textId="77777777" w:rsidR="00023BBF" w:rsidRDefault="00E17C37">
      <w:pPr>
        <w:rPr>
          <w:rFonts w:eastAsia="Calibri"/>
          <w:sz w:val="22"/>
          <w:szCs w:val="22"/>
          <w:lang w:eastAsia="en-US"/>
        </w:rPr>
      </w:pPr>
      <w:r>
        <w:rPr>
          <w:rFonts w:eastAsia="Calibri"/>
          <w:sz w:val="22"/>
          <w:szCs w:val="22"/>
          <w:lang w:eastAsia="en-US"/>
        </w:rPr>
        <w:t>Laikyti gamintojo pakuotėje, kad preparatas būtų apsaugotas nuo drėgmės.</w:t>
      </w:r>
    </w:p>
    <w:p w14:paraId="058EF5DD" w14:textId="77777777" w:rsidR="00023BBF" w:rsidRDefault="00023BBF">
      <w:pPr>
        <w:rPr>
          <w:rFonts w:eastAsia="Calibri"/>
          <w:sz w:val="22"/>
          <w:szCs w:val="22"/>
          <w:lang w:eastAsia="en-US"/>
        </w:rPr>
      </w:pPr>
    </w:p>
    <w:p w14:paraId="587AE0FF" w14:textId="77777777" w:rsidR="00023BBF" w:rsidRDefault="00023BBF">
      <w:pPr>
        <w:rPr>
          <w:rFonts w:eastAsia="Calibri"/>
          <w:sz w:val="22"/>
          <w:szCs w:val="22"/>
          <w:lang w:eastAsia="en-US"/>
        </w:rPr>
      </w:pPr>
    </w:p>
    <w:p w14:paraId="7D167BF0"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Pr>
          <w:rFonts w:eastAsia="Calibri"/>
          <w:b/>
          <w:sz w:val="22"/>
          <w:szCs w:val="22"/>
          <w:lang w:eastAsia="en-US"/>
        </w:rPr>
        <w:t>10.</w:t>
      </w:r>
      <w:r>
        <w:rPr>
          <w:rFonts w:eastAsia="Calibri"/>
          <w:b/>
          <w:sz w:val="22"/>
          <w:szCs w:val="22"/>
          <w:lang w:eastAsia="en-US"/>
        </w:rPr>
        <w:tab/>
      </w:r>
      <w:r>
        <w:rPr>
          <w:rFonts w:eastAsia="Calibri"/>
          <w:b/>
          <w:noProof/>
          <w:sz w:val="22"/>
          <w:szCs w:val="22"/>
          <w:lang w:eastAsia="en-US"/>
        </w:rPr>
        <w:t>SPECIALIOS ATSARGUMO PRIEMONĖS DĖL NESUVARTOTO VAISTINIO PREPARATO AR JO ATLIEKŲ TVARKYMO (JEI REIKIA)</w:t>
      </w:r>
    </w:p>
    <w:p w14:paraId="629D9634" w14:textId="77777777" w:rsidR="00023BBF" w:rsidRDefault="00023BBF">
      <w:pPr>
        <w:rPr>
          <w:rFonts w:eastAsia="Calibri"/>
          <w:sz w:val="22"/>
          <w:szCs w:val="22"/>
          <w:lang w:eastAsia="en-US"/>
        </w:rPr>
      </w:pPr>
    </w:p>
    <w:p w14:paraId="52983802" w14:textId="77777777" w:rsidR="00023BBF" w:rsidRDefault="00023BBF">
      <w:pPr>
        <w:rPr>
          <w:rFonts w:eastAsia="Calibri"/>
          <w:sz w:val="22"/>
          <w:szCs w:val="22"/>
          <w:lang w:eastAsia="en-US"/>
        </w:rPr>
      </w:pPr>
    </w:p>
    <w:p w14:paraId="34A98CE1"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Pr>
          <w:rFonts w:eastAsia="Calibri"/>
          <w:b/>
          <w:sz w:val="22"/>
          <w:szCs w:val="22"/>
          <w:lang w:eastAsia="en-US"/>
        </w:rPr>
        <w:t>11.</w:t>
      </w:r>
      <w:r>
        <w:rPr>
          <w:rFonts w:eastAsia="Calibri"/>
          <w:b/>
          <w:sz w:val="22"/>
          <w:szCs w:val="22"/>
          <w:lang w:eastAsia="en-US"/>
        </w:rPr>
        <w:tab/>
      </w:r>
      <w:r>
        <w:rPr>
          <w:rFonts w:eastAsia="Calibri"/>
          <w:b/>
          <w:caps/>
          <w:noProof/>
          <w:sz w:val="22"/>
          <w:szCs w:val="22"/>
          <w:lang w:eastAsia="en-US"/>
        </w:rPr>
        <w:t>REGISTRUOTOJO PAVADINIMAS IR ADRESAS</w:t>
      </w:r>
    </w:p>
    <w:p w14:paraId="678E59A5" w14:textId="77777777" w:rsidR="00023BBF" w:rsidRDefault="00023BBF">
      <w:pPr>
        <w:rPr>
          <w:rFonts w:eastAsia="Calibri"/>
          <w:sz w:val="22"/>
          <w:szCs w:val="22"/>
          <w:lang w:eastAsia="en-US"/>
        </w:rPr>
      </w:pPr>
    </w:p>
    <w:p w14:paraId="5B11FAD6" w14:textId="77777777" w:rsidR="00023BBF" w:rsidRDefault="00E17C37">
      <w:pPr>
        <w:widowControl w:val="0"/>
        <w:rPr>
          <w:b/>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5BD0D329" w14:textId="77777777" w:rsidR="00023BBF" w:rsidRDefault="00E17C37">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7541A98D" w14:textId="77777777" w:rsidR="00023BBF" w:rsidRDefault="00E17C37">
      <w:pPr>
        <w:widowControl w:val="0"/>
        <w:rPr>
          <w:b/>
          <w:sz w:val="22"/>
          <w:szCs w:val="22"/>
          <w:lang w:eastAsia="sl-SI"/>
        </w:rPr>
      </w:pPr>
      <w:r>
        <w:rPr>
          <w:sz w:val="22"/>
          <w:szCs w:val="22"/>
          <w:lang w:eastAsia="sl-SI"/>
        </w:rPr>
        <w:t>8501 Novo mesto</w:t>
      </w:r>
    </w:p>
    <w:p w14:paraId="7312885F" w14:textId="77777777" w:rsidR="00023BBF" w:rsidRDefault="00E17C37">
      <w:pPr>
        <w:widowControl w:val="0"/>
        <w:rPr>
          <w:b/>
          <w:sz w:val="22"/>
          <w:szCs w:val="22"/>
          <w:lang w:eastAsia="sl-SI"/>
        </w:rPr>
      </w:pPr>
      <w:r>
        <w:rPr>
          <w:sz w:val="22"/>
          <w:szCs w:val="22"/>
          <w:lang w:eastAsia="sl-SI"/>
        </w:rPr>
        <w:t>Slovėnija</w:t>
      </w:r>
    </w:p>
    <w:p w14:paraId="290691FC" w14:textId="77777777" w:rsidR="00023BBF" w:rsidRDefault="00023BBF">
      <w:pPr>
        <w:rPr>
          <w:rFonts w:eastAsia="Calibri"/>
          <w:sz w:val="22"/>
          <w:szCs w:val="22"/>
          <w:lang w:eastAsia="en-US"/>
        </w:rPr>
      </w:pPr>
    </w:p>
    <w:p w14:paraId="7C1B328E" w14:textId="77777777" w:rsidR="00023BBF" w:rsidRDefault="00023BBF">
      <w:pPr>
        <w:rPr>
          <w:rFonts w:eastAsia="Calibri"/>
          <w:sz w:val="22"/>
          <w:szCs w:val="22"/>
          <w:lang w:eastAsia="en-US"/>
        </w:rPr>
      </w:pPr>
    </w:p>
    <w:p w14:paraId="3A6F72C3"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12.</w:t>
      </w:r>
      <w:r>
        <w:rPr>
          <w:rFonts w:eastAsia="Calibri"/>
          <w:b/>
          <w:sz w:val="22"/>
          <w:szCs w:val="22"/>
          <w:lang w:eastAsia="en-US"/>
        </w:rPr>
        <w:tab/>
      </w:r>
      <w:r>
        <w:rPr>
          <w:rFonts w:eastAsia="Calibri"/>
          <w:b/>
          <w:noProof/>
          <w:sz w:val="22"/>
          <w:szCs w:val="22"/>
          <w:lang w:eastAsia="en-US"/>
        </w:rPr>
        <w:t>REGISTRACIJOS PAŽYMĖJIMO NUMERIS (-IAI)</w:t>
      </w:r>
      <w:r>
        <w:rPr>
          <w:rFonts w:eastAsia="Calibri"/>
          <w:b/>
          <w:sz w:val="22"/>
          <w:szCs w:val="22"/>
          <w:lang w:eastAsia="en-US"/>
        </w:rPr>
        <w:t xml:space="preserve"> </w:t>
      </w:r>
    </w:p>
    <w:p w14:paraId="6092825F" w14:textId="77777777" w:rsidR="00023BBF" w:rsidRDefault="00023BBF">
      <w:pPr>
        <w:rPr>
          <w:rFonts w:eastAsia="Calibri"/>
          <w:sz w:val="22"/>
          <w:szCs w:val="22"/>
          <w:lang w:eastAsia="en-US"/>
        </w:rPr>
      </w:pPr>
    </w:p>
    <w:p w14:paraId="6FA0670D" w14:textId="77777777" w:rsidR="00023BBF" w:rsidRDefault="00E17C37">
      <w:pPr>
        <w:autoSpaceDE w:val="0"/>
        <w:autoSpaceDN w:val="0"/>
        <w:adjustRightInd w:val="0"/>
        <w:rPr>
          <w:rFonts w:eastAsia="Calibri"/>
          <w:iCs/>
          <w:sz w:val="22"/>
          <w:szCs w:val="22"/>
          <w:lang w:eastAsia="en-US"/>
        </w:rPr>
      </w:pPr>
      <w:r>
        <w:rPr>
          <w:rFonts w:eastAsia="Calibri"/>
          <w:iCs/>
          <w:sz w:val="22"/>
          <w:szCs w:val="22"/>
          <w:highlight w:val="lightGray"/>
          <w:lang w:eastAsia="en-US"/>
        </w:rPr>
        <w:t>&lt;5 mg/ 850 mg&gt;</w:t>
      </w:r>
    </w:p>
    <w:p w14:paraId="779E572E" w14:textId="77777777" w:rsidR="00023BBF" w:rsidRDefault="00E17C37">
      <w:pPr>
        <w:autoSpaceDE w:val="0"/>
        <w:autoSpaceDN w:val="0"/>
        <w:adjustRightInd w:val="0"/>
        <w:rPr>
          <w:rFonts w:eastAsia="Calibri"/>
          <w:iCs/>
          <w:sz w:val="22"/>
          <w:szCs w:val="22"/>
          <w:highlight w:val="lightGray"/>
          <w:lang w:eastAsia="en-US"/>
        </w:rPr>
      </w:pPr>
      <w:r>
        <w:rPr>
          <w:rFonts w:eastAsia="Calibri"/>
          <w:iCs/>
          <w:sz w:val="22"/>
          <w:szCs w:val="22"/>
          <w:lang w:eastAsia="en-US"/>
        </w:rPr>
        <w:t xml:space="preserve">LT/1/25/5827/001 </w:t>
      </w:r>
      <w:r>
        <w:rPr>
          <w:rFonts w:eastAsia="Calibri"/>
          <w:iCs/>
          <w:sz w:val="22"/>
          <w:szCs w:val="22"/>
          <w:highlight w:val="lightGray"/>
          <w:lang w:eastAsia="en-US"/>
        </w:rPr>
        <w:t>– N14</w:t>
      </w:r>
    </w:p>
    <w:p w14:paraId="10836A7D" w14:textId="77777777" w:rsidR="00023BBF" w:rsidRDefault="00E17C37">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LT/1/25/5827/002 – N28</w:t>
      </w:r>
    </w:p>
    <w:p w14:paraId="1C98EABF" w14:textId="77777777" w:rsidR="00023BBF" w:rsidRDefault="00E17C37">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LT/1/25/5827/003 – N30</w:t>
      </w:r>
    </w:p>
    <w:p w14:paraId="317250BE" w14:textId="77777777" w:rsidR="00023BBF" w:rsidRDefault="00E17C37">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LT/1/25/5827/004 – N56</w:t>
      </w:r>
    </w:p>
    <w:p w14:paraId="09905B13" w14:textId="77777777" w:rsidR="00023BBF" w:rsidRDefault="00E17C37">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LT/1/25/5827/005 – N60</w:t>
      </w:r>
    </w:p>
    <w:p w14:paraId="02029769" w14:textId="77777777" w:rsidR="00023BBF" w:rsidRDefault="00E17C37">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LT/1/25/5827/006 – N90</w:t>
      </w:r>
    </w:p>
    <w:p w14:paraId="387750C4" w14:textId="77777777" w:rsidR="00023BBF" w:rsidRDefault="00E17C37">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LT/1/25/5827/007 – N196</w:t>
      </w:r>
    </w:p>
    <w:p w14:paraId="54623CD5" w14:textId="77777777" w:rsidR="00023BBF" w:rsidRDefault="00023BBF">
      <w:pPr>
        <w:autoSpaceDE w:val="0"/>
        <w:autoSpaceDN w:val="0"/>
        <w:adjustRightInd w:val="0"/>
        <w:rPr>
          <w:rFonts w:eastAsia="Calibri"/>
          <w:iCs/>
          <w:sz w:val="22"/>
          <w:szCs w:val="22"/>
          <w:highlight w:val="lightGray"/>
          <w:lang w:eastAsia="en-US"/>
        </w:rPr>
      </w:pPr>
    </w:p>
    <w:p w14:paraId="57C488C0" w14:textId="77777777" w:rsidR="00023BBF" w:rsidRDefault="00E17C37">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&lt;5 mg/ 1000 mg&gt;</w:t>
      </w:r>
    </w:p>
    <w:p w14:paraId="29BF11A2" w14:textId="77777777" w:rsidR="00023BBF" w:rsidRDefault="00E17C37">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LT/1/25/5828/001 – N14</w:t>
      </w:r>
    </w:p>
    <w:p w14:paraId="22142C33" w14:textId="77777777" w:rsidR="00023BBF" w:rsidRDefault="00E17C37">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LT/1/25/5828/002 – N28</w:t>
      </w:r>
    </w:p>
    <w:p w14:paraId="7AF06AC7" w14:textId="77777777" w:rsidR="00023BBF" w:rsidRDefault="00E17C37">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LT/1/25/5828/003 – N30</w:t>
      </w:r>
    </w:p>
    <w:p w14:paraId="743D54B8" w14:textId="77777777" w:rsidR="00023BBF" w:rsidRDefault="00E17C37">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LT/1/25/5828/004 – N56</w:t>
      </w:r>
    </w:p>
    <w:p w14:paraId="6FE7FD91" w14:textId="77777777" w:rsidR="00023BBF" w:rsidRDefault="00E17C37">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LT/1/25/5828/005 – N60</w:t>
      </w:r>
    </w:p>
    <w:p w14:paraId="31F7A514" w14:textId="77777777" w:rsidR="00023BBF" w:rsidRDefault="00E17C37">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LT/1/25/5828/006 – N90</w:t>
      </w:r>
    </w:p>
    <w:p w14:paraId="0484BE6B" w14:textId="77777777" w:rsidR="00023BBF" w:rsidRDefault="00E17C37">
      <w:pPr>
        <w:autoSpaceDE w:val="0"/>
        <w:autoSpaceDN w:val="0"/>
        <w:adjustRightInd w:val="0"/>
        <w:rPr>
          <w:rFonts w:eastAsia="Calibri"/>
          <w:iCs/>
          <w:sz w:val="22"/>
          <w:szCs w:val="22"/>
          <w:lang w:eastAsia="en-US"/>
        </w:rPr>
      </w:pPr>
      <w:r>
        <w:rPr>
          <w:rFonts w:eastAsia="Calibri"/>
          <w:iCs/>
          <w:sz w:val="22"/>
          <w:szCs w:val="22"/>
          <w:highlight w:val="lightGray"/>
          <w:lang w:eastAsia="en-US"/>
        </w:rPr>
        <w:t>LT/1/25/5828/007 – N196</w:t>
      </w:r>
    </w:p>
    <w:p w14:paraId="7389D3A7" w14:textId="77777777" w:rsidR="00023BBF" w:rsidRDefault="00023BBF">
      <w:pPr>
        <w:autoSpaceDE w:val="0"/>
        <w:autoSpaceDN w:val="0"/>
        <w:adjustRightInd w:val="0"/>
        <w:rPr>
          <w:rFonts w:eastAsia="Calibri"/>
          <w:iCs/>
          <w:sz w:val="22"/>
          <w:szCs w:val="22"/>
          <w:lang w:eastAsia="en-US"/>
        </w:rPr>
      </w:pPr>
    </w:p>
    <w:p w14:paraId="0989A422" w14:textId="77777777" w:rsidR="00023BBF" w:rsidRDefault="00023BBF">
      <w:pPr>
        <w:rPr>
          <w:rFonts w:eastAsia="Calibri"/>
          <w:sz w:val="22"/>
          <w:szCs w:val="22"/>
          <w:lang w:eastAsia="en-US"/>
        </w:rPr>
      </w:pPr>
    </w:p>
    <w:p w14:paraId="006A6693"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13.</w:t>
      </w:r>
      <w:r>
        <w:rPr>
          <w:rFonts w:eastAsia="Calibri"/>
          <w:b/>
          <w:sz w:val="22"/>
          <w:szCs w:val="22"/>
          <w:lang w:eastAsia="en-US"/>
        </w:rPr>
        <w:tab/>
      </w:r>
      <w:r>
        <w:rPr>
          <w:rFonts w:eastAsia="Calibri"/>
          <w:b/>
          <w:noProof/>
          <w:sz w:val="22"/>
          <w:szCs w:val="22"/>
          <w:lang w:eastAsia="en-US"/>
        </w:rPr>
        <w:t xml:space="preserve">SERIJOS NUMERIS </w:t>
      </w:r>
    </w:p>
    <w:p w14:paraId="0CEDCE0D" w14:textId="77777777" w:rsidR="00023BBF" w:rsidRDefault="00023BBF">
      <w:pPr>
        <w:rPr>
          <w:rFonts w:eastAsia="Calibri"/>
          <w:sz w:val="22"/>
          <w:szCs w:val="22"/>
          <w:lang w:eastAsia="en-US"/>
        </w:rPr>
      </w:pPr>
    </w:p>
    <w:p w14:paraId="1A06887E" w14:textId="77777777" w:rsidR="00023BBF" w:rsidRDefault="00E17C37">
      <w:pPr>
        <w:rPr>
          <w:rFonts w:eastAsia="Calibri"/>
          <w:sz w:val="22"/>
          <w:szCs w:val="22"/>
          <w:lang w:eastAsia="en-US"/>
        </w:rPr>
      </w:pPr>
      <w:r>
        <w:rPr>
          <w:rFonts w:eastAsia="Calibri"/>
          <w:sz w:val="22"/>
          <w:szCs w:val="22"/>
          <w:lang w:eastAsia="en-US"/>
        </w:rPr>
        <w:t>Lot</w:t>
      </w:r>
    </w:p>
    <w:p w14:paraId="07AEF87F" w14:textId="77777777" w:rsidR="00023BBF" w:rsidRDefault="00023BBF">
      <w:pPr>
        <w:rPr>
          <w:rFonts w:eastAsia="Calibri"/>
          <w:sz w:val="22"/>
          <w:szCs w:val="22"/>
          <w:lang w:eastAsia="en-US"/>
        </w:rPr>
      </w:pPr>
    </w:p>
    <w:p w14:paraId="5E7FCA22" w14:textId="77777777" w:rsidR="00023BBF" w:rsidRDefault="00023BBF">
      <w:pPr>
        <w:rPr>
          <w:rFonts w:eastAsia="Calibri"/>
          <w:sz w:val="22"/>
          <w:szCs w:val="22"/>
          <w:lang w:eastAsia="en-US"/>
        </w:rPr>
      </w:pPr>
    </w:p>
    <w:p w14:paraId="677A6011"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14.</w:t>
      </w:r>
      <w:r>
        <w:rPr>
          <w:rFonts w:eastAsia="Calibri"/>
          <w:b/>
          <w:sz w:val="22"/>
          <w:szCs w:val="22"/>
          <w:lang w:eastAsia="en-US"/>
        </w:rPr>
        <w:tab/>
      </w:r>
      <w:r>
        <w:rPr>
          <w:rFonts w:eastAsia="Calibri"/>
          <w:b/>
          <w:noProof/>
          <w:sz w:val="22"/>
          <w:szCs w:val="22"/>
          <w:lang w:eastAsia="en-US"/>
        </w:rPr>
        <w:t>PARDAVIMO (IŠDAVIMO) TVARKA</w:t>
      </w:r>
    </w:p>
    <w:p w14:paraId="5CC448F0" w14:textId="77777777" w:rsidR="00023BBF" w:rsidRDefault="00023BBF">
      <w:pPr>
        <w:rPr>
          <w:rFonts w:eastAsia="Calibri"/>
          <w:sz w:val="22"/>
          <w:szCs w:val="22"/>
          <w:lang w:eastAsia="en-US"/>
        </w:rPr>
      </w:pPr>
    </w:p>
    <w:p w14:paraId="712EF414" w14:textId="77777777" w:rsidR="00023BBF" w:rsidRDefault="00E17C37">
      <w:pPr>
        <w:rPr>
          <w:rFonts w:eastAsia="Calibri"/>
          <w:sz w:val="22"/>
          <w:szCs w:val="22"/>
          <w:lang w:eastAsia="en-US"/>
        </w:rPr>
      </w:pPr>
      <w:r>
        <w:rPr>
          <w:rFonts w:eastAsia="Calibri"/>
          <w:sz w:val="22"/>
          <w:szCs w:val="22"/>
          <w:lang w:eastAsia="en-US"/>
        </w:rPr>
        <w:t>Receptinis vaistas</w:t>
      </w:r>
    </w:p>
    <w:p w14:paraId="31569BC0" w14:textId="77777777" w:rsidR="00023BBF" w:rsidRDefault="00023BBF">
      <w:pPr>
        <w:rPr>
          <w:rFonts w:eastAsia="Calibri"/>
          <w:sz w:val="22"/>
          <w:szCs w:val="22"/>
          <w:lang w:eastAsia="en-US"/>
        </w:rPr>
      </w:pPr>
    </w:p>
    <w:p w14:paraId="62A1F196" w14:textId="77777777" w:rsidR="00023BBF" w:rsidRDefault="00023BBF">
      <w:pPr>
        <w:rPr>
          <w:rFonts w:eastAsia="Calibri"/>
          <w:sz w:val="22"/>
          <w:szCs w:val="22"/>
          <w:lang w:eastAsia="en-US"/>
        </w:rPr>
      </w:pPr>
    </w:p>
    <w:p w14:paraId="79BDE35A"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15.</w:t>
      </w:r>
      <w:r>
        <w:rPr>
          <w:rFonts w:eastAsia="Calibri"/>
          <w:b/>
          <w:sz w:val="22"/>
          <w:szCs w:val="22"/>
          <w:lang w:eastAsia="en-US"/>
        </w:rPr>
        <w:tab/>
      </w:r>
      <w:r>
        <w:rPr>
          <w:rFonts w:eastAsia="Calibri"/>
          <w:b/>
          <w:noProof/>
          <w:sz w:val="22"/>
          <w:szCs w:val="22"/>
          <w:lang w:eastAsia="en-US"/>
        </w:rPr>
        <w:t>VARTOJIMO INSTRUKCIJA</w:t>
      </w:r>
    </w:p>
    <w:p w14:paraId="04C7E810" w14:textId="77777777" w:rsidR="00023BBF" w:rsidRDefault="00023BBF">
      <w:pPr>
        <w:rPr>
          <w:rFonts w:eastAsia="Calibri"/>
          <w:sz w:val="22"/>
          <w:szCs w:val="22"/>
          <w:lang w:eastAsia="en-US"/>
        </w:rPr>
      </w:pPr>
    </w:p>
    <w:p w14:paraId="041E64BD" w14:textId="77777777" w:rsidR="00023BBF" w:rsidRDefault="00023BBF">
      <w:pPr>
        <w:rPr>
          <w:rFonts w:eastAsia="Calibri"/>
          <w:sz w:val="22"/>
          <w:szCs w:val="22"/>
          <w:lang w:eastAsia="en-US"/>
        </w:rPr>
      </w:pPr>
    </w:p>
    <w:p w14:paraId="1D0B5F9C"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16.</w:t>
      </w:r>
      <w:r>
        <w:rPr>
          <w:rFonts w:eastAsia="Calibri"/>
          <w:b/>
          <w:sz w:val="22"/>
          <w:szCs w:val="22"/>
          <w:lang w:eastAsia="en-US"/>
        </w:rPr>
        <w:tab/>
      </w:r>
      <w:r>
        <w:rPr>
          <w:rFonts w:eastAsia="Calibri"/>
          <w:b/>
          <w:noProof/>
          <w:sz w:val="22"/>
          <w:szCs w:val="22"/>
          <w:lang w:eastAsia="en-US"/>
        </w:rPr>
        <w:t>INFORMACIJA BRAILIO RAŠTU</w:t>
      </w:r>
    </w:p>
    <w:p w14:paraId="585F98F2" w14:textId="77777777" w:rsidR="00023BBF" w:rsidRDefault="00023BBF">
      <w:pPr>
        <w:rPr>
          <w:rFonts w:eastAsia="Calibri"/>
          <w:sz w:val="22"/>
          <w:szCs w:val="22"/>
          <w:lang w:eastAsia="en-US"/>
        </w:rPr>
      </w:pPr>
    </w:p>
    <w:p w14:paraId="667B5B5F"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5 mg/850 mg</w:t>
      </w:r>
    </w:p>
    <w:p w14:paraId="256D3516" w14:textId="77777777" w:rsidR="00023BBF" w:rsidRDefault="00E17C37">
      <w:pPr>
        <w:rPr>
          <w:rFonts w:eastAsiaTheme="minorHAnsi"/>
          <w:color w:val="000000"/>
          <w:sz w:val="22"/>
          <w:szCs w:val="22"/>
          <w:lang w:eastAsia="en-US"/>
        </w:rPr>
      </w:pP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5 mg/1 000 mg</w:t>
      </w:r>
    </w:p>
    <w:p w14:paraId="699A6435" w14:textId="77777777" w:rsidR="00023BBF" w:rsidRDefault="00023BBF">
      <w:pPr>
        <w:rPr>
          <w:rFonts w:eastAsia="Calibri"/>
          <w:iCs/>
          <w:sz w:val="22"/>
          <w:szCs w:val="22"/>
          <w:lang w:eastAsia="en-US"/>
        </w:rPr>
      </w:pPr>
    </w:p>
    <w:p w14:paraId="63032F93" w14:textId="77777777" w:rsidR="00023BBF" w:rsidRDefault="00023BBF">
      <w:pPr>
        <w:rPr>
          <w:rFonts w:eastAsia="Calibri"/>
          <w:iCs/>
          <w:sz w:val="22"/>
          <w:szCs w:val="22"/>
          <w:lang w:eastAsia="en-US"/>
        </w:rPr>
      </w:pPr>
    </w:p>
    <w:p w14:paraId="0C4510F1"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17.</w:t>
      </w:r>
      <w:r>
        <w:rPr>
          <w:rFonts w:eastAsia="Calibri"/>
          <w:b/>
          <w:sz w:val="22"/>
          <w:szCs w:val="22"/>
          <w:lang w:eastAsia="en-US"/>
        </w:rPr>
        <w:tab/>
      </w:r>
      <w:r>
        <w:rPr>
          <w:rFonts w:eastAsia="Calibri"/>
          <w:b/>
          <w:noProof/>
          <w:sz w:val="22"/>
          <w:szCs w:val="22"/>
          <w:lang w:eastAsia="en-US"/>
        </w:rPr>
        <w:t>UNIKALUS IDENTIFIKATORIUS – 2D BRŪKŠNINIS KODAS</w:t>
      </w:r>
    </w:p>
    <w:p w14:paraId="50A7AEAA" w14:textId="77777777" w:rsidR="00023BBF" w:rsidRDefault="00023BBF">
      <w:pPr>
        <w:rPr>
          <w:rFonts w:eastAsia="Calibri"/>
          <w:sz w:val="22"/>
          <w:szCs w:val="22"/>
          <w:lang w:eastAsia="en-US"/>
        </w:rPr>
      </w:pPr>
    </w:p>
    <w:p w14:paraId="4BE483AD" w14:textId="77777777" w:rsidR="00023BBF" w:rsidRDefault="00E17C37">
      <w:pPr>
        <w:rPr>
          <w:rFonts w:eastAsia="Calibri"/>
          <w:sz w:val="22"/>
          <w:szCs w:val="22"/>
          <w:shd w:val="clear" w:color="auto" w:fill="CCCCCC"/>
          <w:lang w:eastAsia="en-US"/>
        </w:rPr>
      </w:pPr>
      <w:r>
        <w:rPr>
          <w:rFonts w:eastAsia="Calibri"/>
          <w:sz w:val="22"/>
          <w:szCs w:val="22"/>
          <w:highlight w:val="lightGray"/>
          <w:lang w:eastAsia="en-US"/>
        </w:rPr>
        <w:t>2D brūkšninis kodas su nurodytu unikaliu identifikatoriumi.</w:t>
      </w:r>
    </w:p>
    <w:p w14:paraId="189C6E79" w14:textId="77777777" w:rsidR="00023BBF" w:rsidRDefault="00023BBF">
      <w:pPr>
        <w:rPr>
          <w:rFonts w:eastAsia="Calibri"/>
          <w:iCs/>
          <w:sz w:val="22"/>
          <w:szCs w:val="22"/>
          <w:lang w:eastAsia="en-US"/>
        </w:rPr>
      </w:pPr>
    </w:p>
    <w:p w14:paraId="4446DDA4" w14:textId="77777777" w:rsidR="00023BBF" w:rsidRDefault="00023BBF">
      <w:pPr>
        <w:rPr>
          <w:rFonts w:eastAsia="Calibri"/>
          <w:iCs/>
          <w:sz w:val="22"/>
          <w:szCs w:val="22"/>
          <w:lang w:eastAsia="en-US"/>
        </w:rPr>
      </w:pPr>
    </w:p>
    <w:p w14:paraId="6DB1B391"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18.</w:t>
      </w:r>
      <w:r>
        <w:rPr>
          <w:rFonts w:eastAsia="Calibri"/>
          <w:b/>
          <w:sz w:val="22"/>
          <w:szCs w:val="22"/>
          <w:lang w:eastAsia="en-US"/>
        </w:rPr>
        <w:tab/>
      </w:r>
      <w:r>
        <w:rPr>
          <w:rFonts w:eastAsia="Calibri"/>
          <w:b/>
          <w:noProof/>
          <w:sz w:val="22"/>
          <w:szCs w:val="22"/>
          <w:lang w:eastAsia="en-US"/>
        </w:rPr>
        <w:t>UNIKALUS IDENTIFIKATORIUS – ŽMONĖMS SUPRANTAMI DUOMENYS</w:t>
      </w:r>
    </w:p>
    <w:p w14:paraId="5542BD75" w14:textId="77777777" w:rsidR="00023BBF" w:rsidRDefault="00023BBF">
      <w:pPr>
        <w:rPr>
          <w:rFonts w:eastAsia="Calibri"/>
          <w:sz w:val="22"/>
          <w:szCs w:val="22"/>
          <w:lang w:eastAsia="en-US"/>
        </w:rPr>
      </w:pPr>
    </w:p>
    <w:p w14:paraId="7C6B0E09" w14:textId="77777777" w:rsidR="00023BBF" w:rsidRDefault="00E17C37">
      <w:pPr>
        <w:rPr>
          <w:rFonts w:eastAsia="Calibri"/>
          <w:sz w:val="22"/>
          <w:szCs w:val="22"/>
          <w:lang w:eastAsia="en-US"/>
        </w:rPr>
      </w:pPr>
      <w:r>
        <w:rPr>
          <w:rFonts w:eastAsia="Calibri"/>
          <w:sz w:val="22"/>
          <w:szCs w:val="22"/>
          <w:lang w:eastAsia="en-US"/>
        </w:rPr>
        <w:t>PC</w:t>
      </w:r>
    </w:p>
    <w:p w14:paraId="32067BFC" w14:textId="77777777" w:rsidR="00023BBF" w:rsidRDefault="00E17C37">
      <w:pPr>
        <w:rPr>
          <w:rFonts w:eastAsia="Calibri"/>
          <w:sz w:val="22"/>
          <w:szCs w:val="22"/>
          <w:lang w:eastAsia="en-US"/>
        </w:rPr>
      </w:pPr>
      <w:r>
        <w:rPr>
          <w:rFonts w:eastAsia="Calibri"/>
          <w:sz w:val="22"/>
          <w:szCs w:val="22"/>
          <w:lang w:eastAsia="en-US"/>
        </w:rPr>
        <w:t>SN</w:t>
      </w:r>
    </w:p>
    <w:p w14:paraId="3DCF512F" w14:textId="77777777" w:rsidR="00023BBF" w:rsidRDefault="00E17C37">
      <w:pPr>
        <w:rPr>
          <w:rFonts w:eastAsia="Calibri"/>
          <w:sz w:val="22"/>
          <w:szCs w:val="22"/>
          <w:lang w:eastAsia="en-US"/>
        </w:rPr>
      </w:pPr>
      <w:r>
        <w:rPr>
          <w:rFonts w:eastAsia="Calibri"/>
          <w:sz w:val="22"/>
          <w:szCs w:val="22"/>
          <w:highlight w:val="lightGray"/>
          <w:lang w:eastAsia="en-US"/>
        </w:rPr>
        <w:t>NN</w:t>
      </w:r>
    </w:p>
    <w:p w14:paraId="556A3B5C" w14:textId="77777777" w:rsidR="00023BBF" w:rsidRDefault="00023BBF">
      <w:pPr>
        <w:rPr>
          <w:rFonts w:eastAsia="Calibri"/>
          <w:sz w:val="22"/>
          <w:szCs w:val="22"/>
          <w:lang w:eastAsia="en-US"/>
        </w:rPr>
      </w:pPr>
    </w:p>
    <w:p w14:paraId="6774169B" w14:textId="77777777" w:rsidR="00023BBF" w:rsidRDefault="00E17C37">
      <w:pPr>
        <w:rPr>
          <w:rFonts w:eastAsia="Calibri"/>
          <w:sz w:val="22"/>
          <w:szCs w:val="22"/>
          <w:lang w:eastAsia="en-US"/>
        </w:rPr>
      </w:pPr>
      <w:r>
        <w:rPr>
          <w:rFonts w:eastAsia="Calibri"/>
          <w:sz w:val="22"/>
          <w:szCs w:val="22"/>
          <w:lang w:eastAsia="en-US"/>
        </w:rPr>
        <w:br w:type="page"/>
      </w:r>
    </w:p>
    <w:p w14:paraId="6B941E82" w14:textId="77777777" w:rsidR="00023BBF" w:rsidRDefault="00E17C37">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rFonts w:eastAsia="Calibri"/>
          <w:b/>
          <w:noProof/>
          <w:sz w:val="22"/>
          <w:szCs w:val="22"/>
          <w:lang w:eastAsia="en-US"/>
        </w:rPr>
        <w:lastRenderedPageBreak/>
        <w:t>MINIMALI INFORMACIJA ANT LIZDINIŲ PLOKŠTELIŲ ARBA DVISLUOKSNIŲ JUOSTELIŲ</w:t>
      </w:r>
    </w:p>
    <w:p w14:paraId="2C635824" w14:textId="77777777" w:rsidR="00023BBF" w:rsidRDefault="00023BBF">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p>
    <w:p w14:paraId="7A391ABE" w14:textId="77777777" w:rsidR="00023BBF" w:rsidRDefault="00E17C37">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b/>
          <w:noProof/>
          <w:sz w:val="22"/>
          <w:lang w:eastAsia="en-US"/>
        </w:rPr>
        <w:t xml:space="preserve">LIZDINĖ PLOKŠTELĖ - visas / </w:t>
      </w:r>
      <w:r>
        <w:rPr>
          <w:b/>
          <w:i/>
          <w:iCs/>
          <w:noProof/>
          <w:sz w:val="22"/>
          <w:highlight w:val="darkGray"/>
          <w:lang w:eastAsia="en-US"/>
        </w:rPr>
        <w:t>sutrumpintas</w:t>
      </w:r>
      <w:r>
        <w:rPr>
          <w:b/>
          <w:noProof/>
          <w:sz w:val="22"/>
          <w:lang w:eastAsia="en-US"/>
        </w:rPr>
        <w:t xml:space="preserve"> ES harmonizuotas ženklinimo tekstas</w:t>
      </w:r>
    </w:p>
    <w:p w14:paraId="7BC3D7AB" w14:textId="77777777" w:rsidR="00023BBF" w:rsidRDefault="00023BBF">
      <w:pPr>
        <w:rPr>
          <w:rFonts w:eastAsia="Calibri"/>
          <w:sz w:val="22"/>
          <w:szCs w:val="22"/>
          <w:lang w:eastAsia="en-US"/>
        </w:rPr>
      </w:pPr>
    </w:p>
    <w:p w14:paraId="2335A3A6" w14:textId="77777777" w:rsidR="00023BBF" w:rsidRDefault="00023BBF">
      <w:pPr>
        <w:tabs>
          <w:tab w:val="left" w:pos="567"/>
        </w:tabs>
        <w:rPr>
          <w:snapToGrid w:val="0"/>
          <w:sz w:val="22"/>
          <w:szCs w:val="22"/>
          <w:lang w:eastAsia="en-US"/>
        </w:rPr>
      </w:pPr>
    </w:p>
    <w:p w14:paraId="5BD3D9C4" w14:textId="77777777" w:rsidR="00023BBF" w:rsidRDefault="00E17C3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w:t>
      </w:r>
      <w:r>
        <w:rPr>
          <w:rFonts w:eastAsia="Calibri"/>
          <w:b/>
          <w:sz w:val="22"/>
          <w:szCs w:val="22"/>
          <w:lang w:eastAsia="en-US"/>
        </w:rPr>
        <w:tab/>
      </w:r>
      <w:r>
        <w:rPr>
          <w:rFonts w:eastAsia="Calibri"/>
          <w:b/>
          <w:caps/>
          <w:noProof/>
          <w:sz w:val="22"/>
          <w:szCs w:val="22"/>
          <w:lang w:eastAsia="en-US"/>
        </w:rPr>
        <w:t>VAISTINIO</w:t>
      </w:r>
      <w:r>
        <w:rPr>
          <w:rFonts w:eastAsia="Calibri"/>
          <w:b/>
          <w:noProof/>
          <w:sz w:val="22"/>
          <w:szCs w:val="22"/>
          <w:lang w:eastAsia="en-US"/>
        </w:rPr>
        <w:t xml:space="preserve"> PREPARATO PAVADINIMAS</w:t>
      </w:r>
    </w:p>
    <w:p w14:paraId="69561276" w14:textId="77777777" w:rsidR="00023BBF" w:rsidRDefault="00023BBF">
      <w:pPr>
        <w:rPr>
          <w:rFonts w:eastAsia="Calibri"/>
          <w:sz w:val="22"/>
          <w:szCs w:val="22"/>
          <w:lang w:eastAsia="en-US"/>
        </w:rPr>
      </w:pPr>
    </w:p>
    <w:p w14:paraId="260F260A"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5 mg/850 mg </w:t>
      </w:r>
      <w:r>
        <w:rPr>
          <w:rFonts w:eastAsiaTheme="minorHAnsi"/>
          <w:i/>
          <w:iCs/>
          <w:color w:val="000000"/>
          <w:sz w:val="22"/>
          <w:szCs w:val="22"/>
          <w:highlight w:val="darkGray"/>
          <w:lang w:eastAsia="en-US"/>
        </w:rPr>
        <w:t>plėvele dengtos</w:t>
      </w:r>
      <w:r>
        <w:rPr>
          <w:rFonts w:eastAsiaTheme="minorHAnsi"/>
          <w:color w:val="000000"/>
          <w:sz w:val="22"/>
          <w:szCs w:val="22"/>
          <w:lang w:eastAsia="en-US"/>
        </w:rPr>
        <w:t xml:space="preserve"> tabletės</w:t>
      </w:r>
    </w:p>
    <w:p w14:paraId="2E331A10" w14:textId="77777777" w:rsidR="00023BBF" w:rsidRDefault="00E17C37">
      <w:pPr>
        <w:rPr>
          <w:rFonts w:eastAsiaTheme="minorHAnsi"/>
          <w:color w:val="000000"/>
          <w:sz w:val="22"/>
          <w:szCs w:val="22"/>
          <w:lang w:eastAsia="en-US"/>
        </w:rPr>
      </w:pPr>
      <w:proofErr w:type="spellStart"/>
      <w:r>
        <w:rPr>
          <w:rFonts w:eastAsiaTheme="minorHAnsi"/>
          <w:color w:val="000000"/>
          <w:sz w:val="22"/>
          <w:szCs w:val="22"/>
          <w:highlight w:val="lightGray"/>
          <w:lang w:eastAsia="en-US"/>
        </w:rPr>
        <w:t>Mexdagry</w:t>
      </w:r>
      <w:proofErr w:type="spellEnd"/>
      <w:r>
        <w:rPr>
          <w:rFonts w:eastAsiaTheme="minorHAnsi"/>
          <w:color w:val="000000"/>
          <w:sz w:val="22"/>
          <w:szCs w:val="22"/>
          <w:highlight w:val="lightGray"/>
          <w:lang w:eastAsia="en-US"/>
        </w:rPr>
        <w:t xml:space="preserve"> 5 mg/1 000 mg </w:t>
      </w:r>
      <w:r>
        <w:rPr>
          <w:rFonts w:eastAsiaTheme="minorHAnsi"/>
          <w:i/>
          <w:iCs/>
          <w:color w:val="000000"/>
          <w:sz w:val="22"/>
          <w:szCs w:val="22"/>
          <w:highlight w:val="darkGray"/>
          <w:lang w:eastAsia="en-US"/>
        </w:rPr>
        <w:t>plėvele dengtos</w:t>
      </w:r>
      <w:r>
        <w:rPr>
          <w:rFonts w:eastAsiaTheme="minorHAnsi"/>
          <w:color w:val="000000"/>
          <w:sz w:val="22"/>
          <w:szCs w:val="22"/>
          <w:highlight w:val="darkGray"/>
          <w:lang w:eastAsia="en-US"/>
        </w:rPr>
        <w:t xml:space="preserve"> </w:t>
      </w:r>
      <w:r>
        <w:rPr>
          <w:rFonts w:eastAsiaTheme="minorHAnsi"/>
          <w:color w:val="000000"/>
          <w:sz w:val="22"/>
          <w:szCs w:val="22"/>
          <w:highlight w:val="lightGray"/>
          <w:lang w:eastAsia="en-US"/>
        </w:rPr>
        <w:t>tabletės</w:t>
      </w:r>
    </w:p>
    <w:p w14:paraId="797B95C6" w14:textId="77777777" w:rsidR="00023BBF" w:rsidRDefault="00023BBF">
      <w:pPr>
        <w:rPr>
          <w:rFonts w:eastAsia="Calibri"/>
          <w:sz w:val="22"/>
          <w:szCs w:val="22"/>
          <w:lang w:eastAsia="en-US"/>
        </w:rPr>
      </w:pPr>
    </w:p>
    <w:p w14:paraId="152DD574" w14:textId="77777777" w:rsidR="00023BBF" w:rsidRDefault="00E17C37">
      <w:pPr>
        <w:tabs>
          <w:tab w:val="left" w:pos="426"/>
        </w:tabs>
        <w:rPr>
          <w:rFonts w:eastAsia="Arial Unicode MS"/>
          <w:bCs/>
          <w:noProof/>
          <w:color w:val="000000"/>
          <w:sz w:val="22"/>
          <w:szCs w:val="22"/>
          <w:lang w:eastAsia="en-US"/>
        </w:rPr>
      </w:pPr>
      <w:r>
        <w:rPr>
          <w:rFonts w:eastAsia="Arial Unicode MS"/>
          <w:bCs/>
          <w:noProof/>
          <w:color w:val="000000"/>
          <w:sz w:val="22"/>
          <w:szCs w:val="22"/>
          <w:lang w:eastAsia="en-US"/>
        </w:rPr>
        <w:t>dapagliflozinas/</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hidrochloridas</w:t>
      </w:r>
    </w:p>
    <w:p w14:paraId="1A6274D2" w14:textId="77777777" w:rsidR="00023BBF" w:rsidRDefault="00023BBF">
      <w:pPr>
        <w:rPr>
          <w:rFonts w:eastAsia="Calibri"/>
          <w:sz w:val="22"/>
          <w:szCs w:val="22"/>
          <w:lang w:eastAsia="en-US"/>
        </w:rPr>
      </w:pPr>
    </w:p>
    <w:p w14:paraId="4E28602C" w14:textId="77777777" w:rsidR="00023BBF" w:rsidRDefault="00023BBF">
      <w:pPr>
        <w:rPr>
          <w:rFonts w:eastAsia="Calibri"/>
          <w:sz w:val="22"/>
          <w:szCs w:val="22"/>
          <w:lang w:eastAsia="en-US"/>
        </w:rPr>
      </w:pPr>
    </w:p>
    <w:p w14:paraId="7DFE678D" w14:textId="77777777" w:rsidR="00023BBF" w:rsidRDefault="00E17C37">
      <w:pPr>
        <w:widowControl w:val="0"/>
        <w:pBdr>
          <w:top w:val="single" w:sz="4" w:space="1" w:color="auto"/>
          <w:left w:val="single" w:sz="4" w:space="4" w:color="auto"/>
          <w:bottom w:val="single" w:sz="4" w:space="1" w:color="auto"/>
          <w:right w:val="single" w:sz="4" w:space="4" w:color="auto"/>
        </w:pBdr>
        <w:ind w:left="540" w:hanging="540"/>
        <w:rPr>
          <w:b/>
          <w:bCs/>
          <w:sz w:val="22"/>
          <w:szCs w:val="22"/>
          <w:lang w:eastAsia="sl-SI"/>
        </w:rPr>
      </w:pPr>
      <w:r>
        <w:rPr>
          <w:b/>
          <w:sz w:val="22"/>
          <w:szCs w:val="22"/>
          <w:lang w:eastAsia="sl-SI"/>
        </w:rPr>
        <w:t>2.</w:t>
      </w:r>
      <w:r>
        <w:rPr>
          <w:b/>
          <w:sz w:val="22"/>
          <w:szCs w:val="22"/>
          <w:lang w:eastAsia="sl-SI"/>
        </w:rPr>
        <w:tab/>
        <w:t>REGISTRUOTOJO PAVADINIMAS</w:t>
      </w:r>
    </w:p>
    <w:p w14:paraId="23D777D2" w14:textId="77777777" w:rsidR="00023BBF" w:rsidRDefault="00023BBF">
      <w:pPr>
        <w:rPr>
          <w:rFonts w:eastAsia="Calibri"/>
          <w:sz w:val="22"/>
          <w:szCs w:val="22"/>
          <w:lang w:eastAsia="en-US"/>
        </w:rPr>
      </w:pPr>
    </w:p>
    <w:p w14:paraId="1C1C86D6" w14:textId="77777777" w:rsidR="00023BBF" w:rsidRDefault="00E17C37">
      <w:pPr>
        <w:widowControl w:val="0"/>
        <w:rPr>
          <w:bCs/>
          <w:sz w:val="22"/>
          <w:szCs w:val="22"/>
          <w:lang w:eastAsia="sl-SI"/>
        </w:rPr>
      </w:pPr>
      <w:r>
        <w:rPr>
          <w:bCs/>
          <w:sz w:val="22"/>
          <w:szCs w:val="22"/>
          <w:lang w:eastAsia="sl-SI"/>
        </w:rPr>
        <w:t>KRKA</w:t>
      </w:r>
    </w:p>
    <w:p w14:paraId="0D6D8787" w14:textId="77777777" w:rsidR="00023BBF" w:rsidRDefault="00023BBF">
      <w:pPr>
        <w:rPr>
          <w:rFonts w:eastAsia="Calibri"/>
          <w:sz w:val="22"/>
          <w:szCs w:val="22"/>
          <w:lang w:eastAsia="en-US"/>
        </w:rPr>
      </w:pPr>
    </w:p>
    <w:p w14:paraId="3DF4F9F8" w14:textId="77777777" w:rsidR="00023BBF" w:rsidRDefault="00023BBF">
      <w:pPr>
        <w:rPr>
          <w:rFonts w:eastAsia="Calibri"/>
          <w:sz w:val="22"/>
          <w:szCs w:val="22"/>
          <w:lang w:eastAsia="en-US"/>
        </w:rPr>
      </w:pPr>
    </w:p>
    <w:p w14:paraId="7A267436" w14:textId="77777777" w:rsidR="00023BBF" w:rsidRDefault="00E17C37">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Pr>
          <w:b/>
          <w:sz w:val="22"/>
          <w:szCs w:val="22"/>
          <w:lang w:eastAsia="sl-SI"/>
        </w:rPr>
        <w:t>3.</w:t>
      </w:r>
      <w:r>
        <w:rPr>
          <w:b/>
          <w:sz w:val="22"/>
          <w:szCs w:val="22"/>
          <w:lang w:eastAsia="sl-SI"/>
        </w:rPr>
        <w:tab/>
        <w:t>TINKAMUMO LAIKAS</w:t>
      </w:r>
    </w:p>
    <w:p w14:paraId="304522A5" w14:textId="77777777" w:rsidR="00023BBF" w:rsidRDefault="00023BBF">
      <w:pPr>
        <w:rPr>
          <w:rFonts w:eastAsia="Calibri"/>
          <w:sz w:val="22"/>
          <w:szCs w:val="22"/>
          <w:lang w:eastAsia="en-US"/>
        </w:rPr>
      </w:pPr>
    </w:p>
    <w:p w14:paraId="674EE47D" w14:textId="77777777" w:rsidR="00023BBF" w:rsidRDefault="00E17C37">
      <w:pPr>
        <w:widowControl w:val="0"/>
        <w:rPr>
          <w:bCs/>
          <w:sz w:val="22"/>
          <w:szCs w:val="22"/>
          <w:lang w:eastAsia="sl-SI"/>
        </w:rPr>
      </w:pPr>
      <w:r>
        <w:rPr>
          <w:bCs/>
          <w:sz w:val="22"/>
          <w:szCs w:val="22"/>
          <w:lang w:eastAsia="sl-SI"/>
        </w:rPr>
        <w:t>EXP (mm/MMMM)</w:t>
      </w:r>
    </w:p>
    <w:p w14:paraId="58A0735D" w14:textId="77777777" w:rsidR="00023BBF" w:rsidRDefault="00023BBF">
      <w:pPr>
        <w:rPr>
          <w:rFonts w:eastAsia="Calibri"/>
          <w:sz w:val="22"/>
          <w:szCs w:val="22"/>
          <w:lang w:eastAsia="en-US"/>
        </w:rPr>
      </w:pPr>
    </w:p>
    <w:p w14:paraId="1E769C77" w14:textId="77777777" w:rsidR="00023BBF" w:rsidRDefault="00023BBF">
      <w:pPr>
        <w:rPr>
          <w:rFonts w:eastAsia="Calibri"/>
          <w:sz w:val="22"/>
          <w:szCs w:val="22"/>
          <w:lang w:eastAsia="en-US"/>
        </w:rPr>
      </w:pPr>
    </w:p>
    <w:p w14:paraId="475D475D" w14:textId="77777777" w:rsidR="00023BBF" w:rsidRDefault="00E17C37">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Pr>
          <w:b/>
          <w:sz w:val="22"/>
          <w:szCs w:val="22"/>
          <w:lang w:eastAsia="sl-SI"/>
        </w:rPr>
        <w:t>4.</w:t>
      </w:r>
      <w:r>
        <w:rPr>
          <w:b/>
          <w:sz w:val="22"/>
          <w:szCs w:val="22"/>
          <w:lang w:eastAsia="sl-SI"/>
        </w:rPr>
        <w:tab/>
        <w:t>SERIJOS NUMERIS</w:t>
      </w:r>
    </w:p>
    <w:p w14:paraId="60879539" w14:textId="77777777" w:rsidR="00023BBF" w:rsidRDefault="00023BBF">
      <w:pPr>
        <w:rPr>
          <w:rFonts w:eastAsia="Calibri"/>
          <w:sz w:val="22"/>
          <w:szCs w:val="22"/>
          <w:lang w:eastAsia="en-US"/>
        </w:rPr>
      </w:pPr>
    </w:p>
    <w:p w14:paraId="4C748EC3" w14:textId="77777777" w:rsidR="00023BBF" w:rsidRDefault="00E17C37">
      <w:pPr>
        <w:rPr>
          <w:rFonts w:eastAsia="Calibri"/>
          <w:sz w:val="22"/>
          <w:szCs w:val="22"/>
          <w:highlight w:val="lightGray"/>
          <w:lang w:eastAsia="en-US"/>
        </w:rPr>
      </w:pPr>
      <w:r>
        <w:rPr>
          <w:rFonts w:eastAsia="Calibri"/>
          <w:sz w:val="22"/>
          <w:szCs w:val="22"/>
          <w:lang w:eastAsia="en-US"/>
        </w:rPr>
        <w:t>Lot</w:t>
      </w:r>
    </w:p>
    <w:p w14:paraId="2E95ADA0" w14:textId="77777777" w:rsidR="00023BBF" w:rsidRDefault="00023BBF">
      <w:pPr>
        <w:rPr>
          <w:rFonts w:eastAsia="Calibri"/>
          <w:sz w:val="22"/>
          <w:szCs w:val="22"/>
          <w:lang w:eastAsia="en-US"/>
        </w:rPr>
      </w:pPr>
    </w:p>
    <w:p w14:paraId="3F32A459" w14:textId="77777777" w:rsidR="00023BBF" w:rsidRDefault="00023BBF">
      <w:pPr>
        <w:widowControl w:val="0"/>
        <w:rPr>
          <w:b/>
          <w:bCs/>
          <w:sz w:val="22"/>
          <w:szCs w:val="22"/>
          <w:lang w:eastAsia="sl-SI"/>
        </w:rPr>
      </w:pPr>
    </w:p>
    <w:p w14:paraId="14D7C047" w14:textId="77777777" w:rsidR="00023BBF" w:rsidRDefault="00E17C37">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Pr>
          <w:b/>
          <w:sz w:val="22"/>
          <w:szCs w:val="22"/>
          <w:lang w:eastAsia="sl-SI"/>
        </w:rPr>
        <w:t>5.</w:t>
      </w:r>
      <w:r>
        <w:rPr>
          <w:b/>
          <w:sz w:val="22"/>
          <w:szCs w:val="22"/>
          <w:lang w:eastAsia="sl-SI"/>
        </w:rPr>
        <w:tab/>
        <w:t>KITA</w:t>
      </w:r>
    </w:p>
    <w:p w14:paraId="33F82462" w14:textId="77777777" w:rsidR="00023BBF" w:rsidRDefault="00023BBF">
      <w:pPr>
        <w:tabs>
          <w:tab w:val="left" w:pos="567"/>
        </w:tabs>
        <w:snapToGrid w:val="0"/>
        <w:spacing w:line="260" w:lineRule="exact"/>
        <w:rPr>
          <w:sz w:val="22"/>
          <w:szCs w:val="22"/>
          <w:highlight w:val="lightGray"/>
          <w:lang w:eastAsia="en-US"/>
        </w:rPr>
      </w:pPr>
    </w:p>
    <w:p w14:paraId="51988D1B" w14:textId="77777777" w:rsidR="00023BBF" w:rsidRDefault="00E17C37">
      <w:pPr>
        <w:widowControl w:val="0"/>
        <w:rPr>
          <w:i/>
          <w:sz w:val="22"/>
          <w:szCs w:val="20"/>
          <w:lang w:eastAsia="sl-SI"/>
        </w:rPr>
      </w:pPr>
      <w:r w:rsidRPr="00EE5BE7">
        <w:rPr>
          <w:noProof/>
          <w:lang w:val="sl-SI"/>
        </w:rPr>
        <w:drawing>
          <wp:inline distT="0" distB="0" distL="0" distR="0" wp14:anchorId="186AB881" wp14:editId="5134FA30">
            <wp:extent cx="523875" cy="571500"/>
            <wp:effectExtent l="0" t="0" r="9525"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23875" cy="571500"/>
                    </a:xfrm>
                    <a:prstGeom prst="rect">
                      <a:avLst/>
                    </a:prstGeom>
                    <a:noFill/>
                    <a:ln>
                      <a:noFill/>
                    </a:ln>
                  </pic:spPr>
                </pic:pic>
              </a:graphicData>
            </a:graphic>
          </wp:inline>
        </w:drawing>
      </w:r>
      <w:r>
        <w:rPr>
          <w:i/>
          <w:sz w:val="22"/>
          <w:szCs w:val="20"/>
          <w:highlight w:val="lightGray"/>
          <w:lang w:eastAsia="sl-SI"/>
        </w:rPr>
        <w:t xml:space="preserve"> saulė</w:t>
      </w:r>
    </w:p>
    <w:p w14:paraId="646A25EA" w14:textId="77777777" w:rsidR="00023BBF" w:rsidRDefault="00E17C37">
      <w:pPr>
        <w:widowControl w:val="0"/>
        <w:rPr>
          <w:b/>
          <w:bCs/>
          <w:sz w:val="22"/>
          <w:szCs w:val="22"/>
          <w:lang w:eastAsia="sl-SI"/>
        </w:rPr>
      </w:pPr>
      <w:r w:rsidRPr="00EE5BE7">
        <w:rPr>
          <w:noProof/>
          <w:lang w:val="sl-SI"/>
        </w:rPr>
        <w:drawing>
          <wp:inline distT="0" distB="0" distL="0" distR="0" wp14:anchorId="786EEEA8" wp14:editId="52C6A076">
            <wp:extent cx="571500" cy="447675"/>
            <wp:effectExtent l="0" t="0" r="0" b="9525"/>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71500" cy="447675"/>
                    </a:xfrm>
                    <a:prstGeom prst="rect">
                      <a:avLst/>
                    </a:prstGeom>
                    <a:noFill/>
                    <a:ln>
                      <a:noFill/>
                    </a:ln>
                  </pic:spPr>
                </pic:pic>
              </a:graphicData>
            </a:graphic>
          </wp:inline>
        </w:drawing>
      </w:r>
      <w:r>
        <w:rPr>
          <w:i/>
          <w:sz w:val="22"/>
          <w:szCs w:val="20"/>
          <w:highlight w:val="lightGray"/>
          <w:lang w:eastAsia="sl-SI"/>
        </w:rPr>
        <w:t xml:space="preserve"> mėnulis</w:t>
      </w:r>
    </w:p>
    <w:p w14:paraId="573D6B6E" w14:textId="77777777" w:rsidR="00023BBF" w:rsidRDefault="00E17C37">
      <w:pPr>
        <w:widowControl w:val="0"/>
        <w:rPr>
          <w:b/>
          <w:sz w:val="22"/>
          <w:szCs w:val="22"/>
          <w:lang w:eastAsia="sl-SI"/>
        </w:rPr>
      </w:pPr>
      <w:r>
        <w:rPr>
          <w:b/>
          <w:sz w:val="22"/>
          <w:szCs w:val="22"/>
          <w:lang w:eastAsia="sl-SI"/>
        </w:rPr>
        <w:br w:type="page"/>
      </w:r>
    </w:p>
    <w:p w14:paraId="6A4F4A9A" w14:textId="77777777" w:rsidR="00023BBF" w:rsidRDefault="00023BBF">
      <w:pPr>
        <w:spacing w:line="259" w:lineRule="auto"/>
        <w:outlineLvl w:val="0"/>
        <w:rPr>
          <w:rFonts w:eastAsia="Calibri"/>
          <w:sz w:val="22"/>
          <w:szCs w:val="22"/>
          <w:lang w:eastAsia="en-US"/>
        </w:rPr>
      </w:pPr>
    </w:p>
    <w:p w14:paraId="7EEDE882" w14:textId="77777777" w:rsidR="00023BBF" w:rsidRDefault="00023BBF">
      <w:pPr>
        <w:spacing w:line="259" w:lineRule="auto"/>
        <w:outlineLvl w:val="0"/>
        <w:rPr>
          <w:rFonts w:eastAsia="Calibri"/>
          <w:sz w:val="22"/>
          <w:szCs w:val="22"/>
          <w:lang w:eastAsia="en-US"/>
        </w:rPr>
      </w:pPr>
    </w:p>
    <w:p w14:paraId="07FDB905" w14:textId="77777777" w:rsidR="00023BBF" w:rsidRDefault="00023BBF">
      <w:pPr>
        <w:spacing w:line="259" w:lineRule="auto"/>
        <w:outlineLvl w:val="0"/>
        <w:rPr>
          <w:rFonts w:eastAsia="Calibri"/>
          <w:sz w:val="22"/>
          <w:szCs w:val="22"/>
          <w:lang w:eastAsia="en-US"/>
        </w:rPr>
      </w:pPr>
    </w:p>
    <w:p w14:paraId="2BAF969C" w14:textId="77777777" w:rsidR="00023BBF" w:rsidRDefault="00023BBF">
      <w:pPr>
        <w:spacing w:line="259" w:lineRule="auto"/>
        <w:outlineLvl w:val="0"/>
        <w:rPr>
          <w:rFonts w:eastAsia="Calibri"/>
          <w:sz w:val="22"/>
          <w:szCs w:val="22"/>
          <w:lang w:eastAsia="en-US"/>
        </w:rPr>
      </w:pPr>
    </w:p>
    <w:p w14:paraId="0A31B571" w14:textId="77777777" w:rsidR="00023BBF" w:rsidRDefault="00023BBF">
      <w:pPr>
        <w:spacing w:line="259" w:lineRule="auto"/>
        <w:outlineLvl w:val="0"/>
        <w:rPr>
          <w:rFonts w:eastAsia="Calibri"/>
          <w:sz w:val="22"/>
          <w:szCs w:val="22"/>
          <w:lang w:eastAsia="en-US"/>
        </w:rPr>
      </w:pPr>
    </w:p>
    <w:p w14:paraId="300A7091" w14:textId="77777777" w:rsidR="00023BBF" w:rsidRDefault="00023BBF">
      <w:pPr>
        <w:spacing w:line="259" w:lineRule="auto"/>
        <w:outlineLvl w:val="0"/>
        <w:rPr>
          <w:rFonts w:eastAsia="Calibri"/>
          <w:sz w:val="22"/>
          <w:szCs w:val="22"/>
          <w:lang w:eastAsia="en-US"/>
        </w:rPr>
      </w:pPr>
    </w:p>
    <w:p w14:paraId="1B8D2D37" w14:textId="77777777" w:rsidR="00023BBF" w:rsidRDefault="00023BBF">
      <w:pPr>
        <w:spacing w:line="259" w:lineRule="auto"/>
        <w:outlineLvl w:val="0"/>
        <w:rPr>
          <w:rFonts w:eastAsia="Calibri"/>
          <w:sz w:val="22"/>
          <w:szCs w:val="22"/>
          <w:lang w:eastAsia="en-US"/>
        </w:rPr>
      </w:pPr>
    </w:p>
    <w:p w14:paraId="120C55D9" w14:textId="77777777" w:rsidR="00023BBF" w:rsidRDefault="00023BBF">
      <w:pPr>
        <w:spacing w:line="259" w:lineRule="auto"/>
        <w:outlineLvl w:val="0"/>
        <w:rPr>
          <w:rFonts w:eastAsia="Calibri"/>
          <w:sz w:val="22"/>
          <w:szCs w:val="22"/>
          <w:lang w:eastAsia="en-US"/>
        </w:rPr>
      </w:pPr>
    </w:p>
    <w:p w14:paraId="7E462884" w14:textId="77777777" w:rsidR="00023BBF" w:rsidRDefault="00023BBF">
      <w:pPr>
        <w:spacing w:line="259" w:lineRule="auto"/>
        <w:outlineLvl w:val="0"/>
        <w:rPr>
          <w:rFonts w:eastAsia="Calibri"/>
          <w:sz w:val="22"/>
          <w:szCs w:val="22"/>
          <w:lang w:eastAsia="en-US"/>
        </w:rPr>
      </w:pPr>
    </w:p>
    <w:p w14:paraId="648D431E" w14:textId="77777777" w:rsidR="00023BBF" w:rsidRDefault="00023BBF">
      <w:pPr>
        <w:spacing w:line="259" w:lineRule="auto"/>
        <w:outlineLvl w:val="0"/>
        <w:rPr>
          <w:rFonts w:eastAsia="Calibri"/>
          <w:sz w:val="22"/>
          <w:szCs w:val="22"/>
          <w:lang w:eastAsia="en-US"/>
        </w:rPr>
      </w:pPr>
    </w:p>
    <w:p w14:paraId="1A54B6C9" w14:textId="77777777" w:rsidR="00023BBF" w:rsidRDefault="00023BBF">
      <w:pPr>
        <w:spacing w:line="259" w:lineRule="auto"/>
        <w:outlineLvl w:val="0"/>
        <w:rPr>
          <w:rFonts w:eastAsia="Calibri"/>
          <w:sz w:val="22"/>
          <w:szCs w:val="22"/>
          <w:lang w:eastAsia="en-US"/>
        </w:rPr>
      </w:pPr>
    </w:p>
    <w:p w14:paraId="3EF4EB2D" w14:textId="77777777" w:rsidR="00023BBF" w:rsidRDefault="00023BBF">
      <w:pPr>
        <w:spacing w:line="259" w:lineRule="auto"/>
        <w:outlineLvl w:val="0"/>
        <w:rPr>
          <w:rFonts w:eastAsia="Calibri"/>
          <w:sz w:val="22"/>
          <w:szCs w:val="22"/>
          <w:lang w:eastAsia="en-US"/>
        </w:rPr>
      </w:pPr>
    </w:p>
    <w:p w14:paraId="54EEF2FD" w14:textId="77777777" w:rsidR="00023BBF" w:rsidRDefault="00023BBF">
      <w:pPr>
        <w:spacing w:line="259" w:lineRule="auto"/>
        <w:outlineLvl w:val="0"/>
        <w:rPr>
          <w:rFonts w:eastAsia="Calibri"/>
          <w:sz w:val="22"/>
          <w:szCs w:val="22"/>
          <w:lang w:eastAsia="en-US"/>
        </w:rPr>
      </w:pPr>
    </w:p>
    <w:p w14:paraId="6DECC559" w14:textId="77777777" w:rsidR="00023BBF" w:rsidRDefault="00023BBF">
      <w:pPr>
        <w:spacing w:line="259" w:lineRule="auto"/>
        <w:outlineLvl w:val="0"/>
        <w:rPr>
          <w:rFonts w:eastAsia="Calibri"/>
          <w:sz w:val="22"/>
          <w:szCs w:val="22"/>
          <w:lang w:eastAsia="en-US"/>
        </w:rPr>
      </w:pPr>
    </w:p>
    <w:p w14:paraId="2F5BE7AF" w14:textId="77777777" w:rsidR="00023BBF" w:rsidRDefault="00023BBF">
      <w:pPr>
        <w:spacing w:line="259" w:lineRule="auto"/>
        <w:outlineLvl w:val="0"/>
        <w:rPr>
          <w:rFonts w:eastAsia="Calibri"/>
          <w:sz w:val="22"/>
          <w:szCs w:val="22"/>
          <w:lang w:eastAsia="en-US"/>
        </w:rPr>
      </w:pPr>
    </w:p>
    <w:p w14:paraId="73D40441" w14:textId="77777777" w:rsidR="00023BBF" w:rsidRDefault="00023BBF">
      <w:pPr>
        <w:spacing w:line="259" w:lineRule="auto"/>
        <w:outlineLvl w:val="0"/>
        <w:rPr>
          <w:rFonts w:eastAsia="Calibri"/>
          <w:sz w:val="22"/>
          <w:szCs w:val="22"/>
          <w:lang w:eastAsia="en-US"/>
        </w:rPr>
      </w:pPr>
    </w:p>
    <w:p w14:paraId="27B43018" w14:textId="77777777" w:rsidR="00023BBF" w:rsidRDefault="00023BBF">
      <w:pPr>
        <w:spacing w:line="259" w:lineRule="auto"/>
        <w:outlineLvl w:val="0"/>
        <w:rPr>
          <w:rFonts w:eastAsia="Calibri"/>
          <w:sz w:val="22"/>
          <w:szCs w:val="22"/>
          <w:lang w:eastAsia="en-US"/>
        </w:rPr>
      </w:pPr>
    </w:p>
    <w:p w14:paraId="46A5D392" w14:textId="77777777" w:rsidR="00023BBF" w:rsidRDefault="00023BBF">
      <w:pPr>
        <w:spacing w:line="259" w:lineRule="auto"/>
        <w:outlineLvl w:val="0"/>
        <w:rPr>
          <w:rFonts w:eastAsia="Calibri"/>
          <w:sz w:val="22"/>
          <w:szCs w:val="22"/>
          <w:lang w:eastAsia="en-US"/>
        </w:rPr>
      </w:pPr>
    </w:p>
    <w:p w14:paraId="62B2737C" w14:textId="77777777" w:rsidR="00023BBF" w:rsidRDefault="00023BBF">
      <w:pPr>
        <w:spacing w:line="259" w:lineRule="auto"/>
        <w:outlineLvl w:val="0"/>
        <w:rPr>
          <w:rFonts w:eastAsia="Calibri"/>
          <w:sz w:val="22"/>
          <w:szCs w:val="22"/>
          <w:lang w:eastAsia="en-US"/>
        </w:rPr>
      </w:pPr>
    </w:p>
    <w:p w14:paraId="73054804" w14:textId="77777777" w:rsidR="00023BBF" w:rsidRDefault="00023BBF">
      <w:pPr>
        <w:spacing w:line="259" w:lineRule="auto"/>
        <w:outlineLvl w:val="0"/>
        <w:rPr>
          <w:rFonts w:eastAsia="Calibri"/>
          <w:sz w:val="22"/>
          <w:szCs w:val="22"/>
          <w:lang w:eastAsia="en-US"/>
        </w:rPr>
      </w:pPr>
    </w:p>
    <w:p w14:paraId="2CA8B7D7" w14:textId="77777777" w:rsidR="00023BBF" w:rsidRDefault="00023BBF">
      <w:pPr>
        <w:spacing w:line="259" w:lineRule="auto"/>
        <w:jc w:val="center"/>
        <w:outlineLvl w:val="0"/>
        <w:rPr>
          <w:rFonts w:eastAsia="Calibri"/>
          <w:b/>
          <w:sz w:val="22"/>
          <w:szCs w:val="22"/>
          <w:lang w:eastAsia="en-US"/>
        </w:rPr>
      </w:pPr>
    </w:p>
    <w:p w14:paraId="5FA18CA5" w14:textId="77777777" w:rsidR="00023BBF" w:rsidRDefault="00023BBF">
      <w:pPr>
        <w:spacing w:line="259" w:lineRule="auto"/>
        <w:jc w:val="center"/>
        <w:outlineLvl w:val="0"/>
        <w:rPr>
          <w:rFonts w:eastAsia="Calibri"/>
          <w:b/>
          <w:sz w:val="22"/>
          <w:szCs w:val="22"/>
          <w:lang w:eastAsia="en-US"/>
        </w:rPr>
      </w:pPr>
    </w:p>
    <w:p w14:paraId="539D721A" w14:textId="77777777" w:rsidR="00023BBF" w:rsidRDefault="00023BBF">
      <w:pPr>
        <w:spacing w:line="259" w:lineRule="auto"/>
        <w:jc w:val="center"/>
        <w:outlineLvl w:val="0"/>
        <w:rPr>
          <w:rFonts w:eastAsia="Calibri"/>
          <w:b/>
          <w:sz w:val="22"/>
          <w:szCs w:val="22"/>
          <w:lang w:eastAsia="en-US"/>
        </w:rPr>
      </w:pPr>
    </w:p>
    <w:p w14:paraId="5A2F3951" w14:textId="77777777" w:rsidR="00023BBF" w:rsidRDefault="00E17C37">
      <w:pPr>
        <w:spacing w:line="259" w:lineRule="auto"/>
        <w:jc w:val="center"/>
        <w:outlineLvl w:val="0"/>
        <w:rPr>
          <w:rFonts w:eastAsia="Calibri"/>
          <w:b/>
          <w:sz w:val="22"/>
          <w:szCs w:val="22"/>
          <w:lang w:eastAsia="en-US"/>
        </w:rPr>
      </w:pPr>
      <w:r>
        <w:rPr>
          <w:rFonts w:eastAsia="Calibri"/>
          <w:b/>
          <w:sz w:val="22"/>
          <w:szCs w:val="22"/>
          <w:lang w:eastAsia="en-US"/>
        </w:rPr>
        <w:t>B. PAKUOTĖS LAPELIS</w:t>
      </w:r>
    </w:p>
    <w:p w14:paraId="60B6CB84" w14:textId="77777777" w:rsidR="00023BBF" w:rsidRDefault="00E17C37">
      <w:pPr>
        <w:widowControl w:val="0"/>
        <w:spacing w:after="160" w:line="259" w:lineRule="auto"/>
        <w:jc w:val="center"/>
        <w:outlineLvl w:val="0"/>
        <w:rPr>
          <w:b/>
          <w:sz w:val="22"/>
          <w:szCs w:val="22"/>
          <w:lang w:eastAsia="sl-SI"/>
        </w:rPr>
      </w:pPr>
      <w:r>
        <w:rPr>
          <w:rFonts w:eastAsia="Calibri"/>
          <w:sz w:val="22"/>
          <w:szCs w:val="22"/>
          <w:lang w:eastAsia="en-US"/>
        </w:rPr>
        <w:br w:type="page"/>
      </w:r>
      <w:r>
        <w:rPr>
          <w:b/>
          <w:bCs/>
          <w:sz w:val="22"/>
          <w:szCs w:val="22"/>
          <w:lang w:eastAsia="sl-SI"/>
        </w:rPr>
        <w:lastRenderedPageBreak/>
        <w:t>Pakuotės lapelis: informacija pacientui</w:t>
      </w:r>
    </w:p>
    <w:p w14:paraId="5FAA60CA" w14:textId="77777777" w:rsidR="00023BBF" w:rsidRDefault="00023BBF">
      <w:pPr>
        <w:widowControl w:val="0"/>
        <w:jc w:val="center"/>
        <w:outlineLvl w:val="0"/>
        <w:rPr>
          <w:b/>
          <w:sz w:val="22"/>
          <w:szCs w:val="22"/>
          <w:lang w:eastAsia="sl-SI"/>
        </w:rPr>
      </w:pPr>
    </w:p>
    <w:p w14:paraId="26501D6B" w14:textId="77777777" w:rsidR="00023BBF" w:rsidRDefault="00E17C37">
      <w:pPr>
        <w:widowControl w:val="0"/>
        <w:jc w:val="center"/>
        <w:rPr>
          <w:b/>
          <w:bCs/>
          <w:sz w:val="22"/>
          <w:szCs w:val="22"/>
          <w:lang w:eastAsia="sl-SI"/>
        </w:rPr>
      </w:pPr>
      <w:proofErr w:type="spellStart"/>
      <w:r>
        <w:rPr>
          <w:b/>
          <w:bCs/>
          <w:sz w:val="22"/>
          <w:szCs w:val="22"/>
          <w:lang w:eastAsia="sl-SI"/>
        </w:rPr>
        <w:t>Mexdagry</w:t>
      </w:r>
      <w:proofErr w:type="spellEnd"/>
      <w:r>
        <w:rPr>
          <w:b/>
          <w:bCs/>
          <w:sz w:val="22"/>
          <w:szCs w:val="22"/>
          <w:lang w:eastAsia="sl-SI"/>
        </w:rPr>
        <w:t xml:space="preserve"> 5 mg/850 mg plėvele dengtos tabletės</w:t>
      </w:r>
    </w:p>
    <w:p w14:paraId="6A856B42" w14:textId="77777777" w:rsidR="00023BBF" w:rsidRDefault="00E17C37">
      <w:pPr>
        <w:widowControl w:val="0"/>
        <w:jc w:val="center"/>
        <w:rPr>
          <w:b/>
          <w:bCs/>
          <w:sz w:val="22"/>
          <w:szCs w:val="22"/>
          <w:lang w:eastAsia="sl-SI"/>
        </w:rPr>
      </w:pPr>
      <w:proofErr w:type="spellStart"/>
      <w:r>
        <w:rPr>
          <w:b/>
          <w:bCs/>
          <w:sz w:val="22"/>
          <w:szCs w:val="22"/>
          <w:lang w:eastAsia="sl-SI"/>
        </w:rPr>
        <w:t>Mexdagry</w:t>
      </w:r>
      <w:proofErr w:type="spellEnd"/>
      <w:r>
        <w:rPr>
          <w:b/>
          <w:bCs/>
          <w:sz w:val="22"/>
          <w:szCs w:val="22"/>
          <w:lang w:eastAsia="sl-SI"/>
        </w:rPr>
        <w:t xml:space="preserve"> 5 mg/1 000 mg plėvele dengtos tabletės</w:t>
      </w:r>
    </w:p>
    <w:p w14:paraId="1B70B791" w14:textId="77777777" w:rsidR="00023BBF" w:rsidRDefault="00E17C37">
      <w:pPr>
        <w:widowControl w:val="0"/>
        <w:jc w:val="center"/>
        <w:rPr>
          <w:sz w:val="22"/>
          <w:szCs w:val="22"/>
          <w:lang w:eastAsia="sl-SI"/>
        </w:rPr>
      </w:pPr>
      <w:r>
        <w:rPr>
          <w:sz w:val="22"/>
          <w:szCs w:val="22"/>
          <w:lang w:eastAsia="sl-SI"/>
        </w:rPr>
        <w:t>dapagliflozinas/</w:t>
      </w:r>
      <w:proofErr w:type="spellStart"/>
      <w:r>
        <w:rPr>
          <w:sz w:val="22"/>
          <w:szCs w:val="22"/>
          <w:lang w:eastAsia="sl-SI"/>
        </w:rPr>
        <w:t>metformino</w:t>
      </w:r>
      <w:proofErr w:type="spellEnd"/>
      <w:r>
        <w:rPr>
          <w:sz w:val="22"/>
          <w:szCs w:val="22"/>
          <w:lang w:eastAsia="sl-SI"/>
        </w:rPr>
        <w:t xml:space="preserve"> hidrochloridas</w:t>
      </w:r>
    </w:p>
    <w:p w14:paraId="4E3F016E" w14:textId="77777777" w:rsidR="00023BBF" w:rsidRDefault="00023BBF">
      <w:pPr>
        <w:rPr>
          <w:rFonts w:eastAsia="Cambria"/>
          <w:b/>
          <w:sz w:val="22"/>
          <w:szCs w:val="22"/>
          <w:lang w:eastAsia="en-US"/>
        </w:rPr>
      </w:pPr>
    </w:p>
    <w:p w14:paraId="6226A4F0" w14:textId="77777777" w:rsidR="00023BBF" w:rsidRDefault="00E17C37">
      <w:pPr>
        <w:rPr>
          <w:rFonts w:eastAsia="Cambria"/>
          <w:b/>
          <w:sz w:val="22"/>
          <w:szCs w:val="22"/>
          <w:lang w:eastAsia="en-US"/>
        </w:rPr>
      </w:pPr>
      <w:r>
        <w:rPr>
          <w:rFonts w:eastAsia="Cambria"/>
          <w:b/>
          <w:sz w:val="22"/>
          <w:szCs w:val="22"/>
          <w:lang w:eastAsia="en-US"/>
        </w:rPr>
        <w:t>Atidžiai perskaitykite visą šį lapelį, prieš pradėdami vartoti vaistą, nes jame pateikiama Jums svarbi informacija.</w:t>
      </w:r>
    </w:p>
    <w:p w14:paraId="7F926C11" w14:textId="77777777" w:rsidR="00023BBF" w:rsidRDefault="00E17C37">
      <w:pPr>
        <w:numPr>
          <w:ilvl w:val="0"/>
          <w:numId w:val="5"/>
        </w:numPr>
        <w:spacing w:after="200" w:line="259" w:lineRule="auto"/>
        <w:ind w:left="567" w:hanging="567"/>
        <w:contextualSpacing/>
        <w:rPr>
          <w:sz w:val="22"/>
          <w:szCs w:val="22"/>
          <w:lang w:eastAsia="lt-LT"/>
        </w:rPr>
      </w:pPr>
      <w:r>
        <w:rPr>
          <w:sz w:val="22"/>
          <w:szCs w:val="22"/>
          <w:lang w:eastAsia="lt-LT"/>
        </w:rPr>
        <w:t>Neišmeskite šio lapelio, nes vėl gali prireikti jį perskaityti.</w:t>
      </w:r>
    </w:p>
    <w:p w14:paraId="2F48C30F" w14:textId="77777777" w:rsidR="00023BBF" w:rsidRDefault="00E17C37">
      <w:pPr>
        <w:numPr>
          <w:ilvl w:val="0"/>
          <w:numId w:val="5"/>
        </w:numPr>
        <w:spacing w:after="200" w:line="259" w:lineRule="auto"/>
        <w:ind w:left="567" w:hanging="567"/>
        <w:contextualSpacing/>
        <w:rPr>
          <w:sz w:val="22"/>
          <w:szCs w:val="22"/>
          <w:lang w:eastAsia="lt-LT"/>
        </w:rPr>
      </w:pPr>
      <w:r>
        <w:rPr>
          <w:sz w:val="22"/>
          <w:szCs w:val="22"/>
          <w:lang w:eastAsia="lt-LT"/>
        </w:rPr>
        <w:t>Jeigu kiltų daugiau klausimų, kreipkitės į gydytoją, vaistininką arba slaugytoją.</w:t>
      </w:r>
    </w:p>
    <w:p w14:paraId="156FEC18" w14:textId="77777777" w:rsidR="00023BBF" w:rsidRDefault="00E17C37">
      <w:pPr>
        <w:numPr>
          <w:ilvl w:val="0"/>
          <w:numId w:val="5"/>
        </w:numPr>
        <w:spacing w:after="200" w:line="259" w:lineRule="auto"/>
        <w:ind w:left="567" w:hanging="567"/>
        <w:contextualSpacing/>
        <w:rPr>
          <w:sz w:val="22"/>
          <w:szCs w:val="22"/>
          <w:lang w:eastAsia="lt-LT"/>
        </w:rPr>
      </w:pPr>
      <w:r>
        <w:rPr>
          <w:sz w:val="22"/>
          <w:szCs w:val="22"/>
          <w:lang w:eastAsia="lt-LT"/>
        </w:rPr>
        <w:t>Šis vaistas skirtas tik Jums, todėl kitiems žmonėms jo duoti negalima. Vaistas gali jiems pakenkti (net tiems, kurių ligos požymiai yra tokie patys kaip Jūsų).</w:t>
      </w:r>
    </w:p>
    <w:p w14:paraId="01C11FCD" w14:textId="77777777" w:rsidR="00023BBF" w:rsidRDefault="00E17C37">
      <w:pPr>
        <w:numPr>
          <w:ilvl w:val="0"/>
          <w:numId w:val="5"/>
        </w:numPr>
        <w:spacing w:after="200" w:line="259" w:lineRule="auto"/>
        <w:ind w:left="567" w:hanging="567"/>
        <w:contextualSpacing/>
        <w:rPr>
          <w:sz w:val="22"/>
          <w:szCs w:val="22"/>
          <w:lang w:eastAsia="lt-LT"/>
        </w:rPr>
      </w:pPr>
      <w:r>
        <w:rPr>
          <w:sz w:val="22"/>
          <w:szCs w:val="22"/>
          <w:lang w:eastAsia="lt-LT"/>
        </w:rPr>
        <w:t>Jeigu pasireiškė šalutinis poveikis (net jeigu jis šiame lapelyje nenurodytas), kreipkitės į gydytoją arba vaistininką. Žr. 4 skyrių.</w:t>
      </w:r>
    </w:p>
    <w:p w14:paraId="68EDAF19" w14:textId="77777777" w:rsidR="00023BBF" w:rsidRDefault="00023BBF">
      <w:pPr>
        <w:rPr>
          <w:sz w:val="22"/>
          <w:szCs w:val="22"/>
          <w:lang w:eastAsia="lt-LT"/>
        </w:rPr>
      </w:pPr>
    </w:p>
    <w:p w14:paraId="016331B2" w14:textId="77777777" w:rsidR="00023BBF" w:rsidRDefault="00E17C37">
      <w:pPr>
        <w:rPr>
          <w:b/>
          <w:sz w:val="22"/>
          <w:szCs w:val="22"/>
          <w:lang w:eastAsia="lt-LT"/>
        </w:rPr>
      </w:pPr>
      <w:r>
        <w:rPr>
          <w:b/>
          <w:sz w:val="22"/>
          <w:szCs w:val="22"/>
          <w:lang w:eastAsia="lt-LT"/>
        </w:rPr>
        <w:t>Apie ką rašoma šiame lapelyje?</w:t>
      </w:r>
    </w:p>
    <w:p w14:paraId="55763B73" w14:textId="77777777" w:rsidR="00023BBF" w:rsidRDefault="00023BBF">
      <w:pPr>
        <w:rPr>
          <w:b/>
          <w:sz w:val="22"/>
          <w:szCs w:val="22"/>
          <w:lang w:eastAsia="lt-LT"/>
        </w:rPr>
      </w:pPr>
    </w:p>
    <w:p w14:paraId="33D3970D" w14:textId="77777777" w:rsidR="00023BBF" w:rsidRDefault="00E17C37">
      <w:pPr>
        <w:ind w:left="540" w:hanging="540"/>
        <w:rPr>
          <w:sz w:val="22"/>
          <w:szCs w:val="22"/>
          <w:lang w:eastAsia="lt-LT"/>
        </w:rPr>
      </w:pPr>
      <w:r>
        <w:rPr>
          <w:sz w:val="22"/>
          <w:szCs w:val="22"/>
          <w:lang w:eastAsia="lt-LT"/>
        </w:rPr>
        <w:t>1.</w:t>
      </w:r>
      <w:r>
        <w:rPr>
          <w:sz w:val="22"/>
          <w:szCs w:val="22"/>
          <w:lang w:eastAsia="lt-LT"/>
        </w:rPr>
        <w:tab/>
        <w:t xml:space="preserve">Kas yra </w:t>
      </w:r>
      <w:proofErr w:type="spellStart"/>
      <w:r>
        <w:rPr>
          <w:sz w:val="22"/>
          <w:szCs w:val="22"/>
          <w:lang w:eastAsia="lt-LT"/>
        </w:rPr>
        <w:t>Mexdagry</w:t>
      </w:r>
      <w:proofErr w:type="spellEnd"/>
      <w:r>
        <w:rPr>
          <w:sz w:val="22"/>
          <w:szCs w:val="22"/>
          <w:lang w:eastAsia="lt-LT"/>
        </w:rPr>
        <w:t xml:space="preserve"> ir kam jis vartojamas</w:t>
      </w:r>
    </w:p>
    <w:p w14:paraId="57569EB8" w14:textId="77777777" w:rsidR="00023BBF" w:rsidRDefault="00E17C37">
      <w:pPr>
        <w:ind w:left="540" w:hanging="540"/>
        <w:rPr>
          <w:sz w:val="22"/>
          <w:szCs w:val="22"/>
          <w:lang w:eastAsia="lt-LT"/>
        </w:rPr>
      </w:pPr>
      <w:r>
        <w:rPr>
          <w:sz w:val="22"/>
          <w:szCs w:val="22"/>
          <w:lang w:eastAsia="lt-LT"/>
        </w:rPr>
        <w:t>2.</w:t>
      </w:r>
      <w:r>
        <w:rPr>
          <w:sz w:val="22"/>
          <w:szCs w:val="22"/>
          <w:lang w:eastAsia="lt-LT"/>
        </w:rPr>
        <w:tab/>
        <w:t xml:space="preserve">Kas žinotina prieš vartojant </w:t>
      </w:r>
      <w:proofErr w:type="spellStart"/>
      <w:r>
        <w:rPr>
          <w:sz w:val="22"/>
          <w:szCs w:val="22"/>
          <w:lang w:eastAsia="lt-LT"/>
        </w:rPr>
        <w:t>Mexdagry</w:t>
      </w:r>
      <w:proofErr w:type="spellEnd"/>
    </w:p>
    <w:p w14:paraId="3113E03F" w14:textId="77777777" w:rsidR="00023BBF" w:rsidRDefault="00E17C37">
      <w:pPr>
        <w:ind w:left="540" w:hanging="540"/>
        <w:rPr>
          <w:sz w:val="22"/>
          <w:szCs w:val="22"/>
          <w:lang w:eastAsia="lt-LT"/>
        </w:rPr>
      </w:pPr>
      <w:r>
        <w:rPr>
          <w:sz w:val="22"/>
          <w:szCs w:val="22"/>
          <w:lang w:eastAsia="lt-LT"/>
        </w:rPr>
        <w:t>3.</w:t>
      </w:r>
      <w:r>
        <w:rPr>
          <w:sz w:val="22"/>
          <w:szCs w:val="22"/>
          <w:lang w:eastAsia="lt-LT"/>
        </w:rPr>
        <w:tab/>
        <w:t xml:space="preserve">Kaip vartoti </w:t>
      </w:r>
      <w:proofErr w:type="spellStart"/>
      <w:r>
        <w:rPr>
          <w:sz w:val="22"/>
          <w:szCs w:val="22"/>
          <w:lang w:eastAsia="lt-LT"/>
        </w:rPr>
        <w:t>Mexdagry</w:t>
      </w:r>
      <w:proofErr w:type="spellEnd"/>
    </w:p>
    <w:p w14:paraId="628E9DD6" w14:textId="77777777" w:rsidR="00023BBF" w:rsidRDefault="00E17C37">
      <w:pPr>
        <w:ind w:left="540" w:hanging="540"/>
        <w:rPr>
          <w:sz w:val="22"/>
          <w:szCs w:val="22"/>
          <w:lang w:eastAsia="lt-LT"/>
        </w:rPr>
      </w:pPr>
      <w:r>
        <w:rPr>
          <w:sz w:val="22"/>
          <w:szCs w:val="22"/>
          <w:lang w:eastAsia="lt-LT"/>
        </w:rPr>
        <w:t>4.</w:t>
      </w:r>
      <w:r>
        <w:rPr>
          <w:sz w:val="22"/>
          <w:szCs w:val="22"/>
          <w:lang w:eastAsia="lt-LT"/>
        </w:rPr>
        <w:tab/>
        <w:t>Galimas šalutinis poveikis</w:t>
      </w:r>
    </w:p>
    <w:p w14:paraId="144A097D" w14:textId="77777777" w:rsidR="00023BBF" w:rsidRDefault="00E17C37">
      <w:pPr>
        <w:ind w:left="540" w:hanging="540"/>
        <w:rPr>
          <w:sz w:val="22"/>
          <w:szCs w:val="22"/>
          <w:lang w:eastAsia="lt-LT"/>
        </w:rPr>
      </w:pPr>
      <w:r>
        <w:rPr>
          <w:sz w:val="22"/>
          <w:szCs w:val="22"/>
          <w:lang w:eastAsia="lt-LT"/>
        </w:rPr>
        <w:t>5.</w:t>
      </w:r>
      <w:r>
        <w:rPr>
          <w:sz w:val="22"/>
          <w:szCs w:val="22"/>
          <w:lang w:eastAsia="lt-LT"/>
        </w:rPr>
        <w:tab/>
        <w:t xml:space="preserve">Kaip laikyti </w:t>
      </w:r>
      <w:proofErr w:type="spellStart"/>
      <w:r>
        <w:rPr>
          <w:sz w:val="22"/>
          <w:szCs w:val="22"/>
          <w:lang w:eastAsia="lt-LT"/>
        </w:rPr>
        <w:t>Mexdagry</w:t>
      </w:r>
      <w:proofErr w:type="spellEnd"/>
    </w:p>
    <w:p w14:paraId="775AC5B7" w14:textId="77777777" w:rsidR="00023BBF" w:rsidRDefault="00E17C37">
      <w:pPr>
        <w:ind w:left="540" w:hanging="540"/>
        <w:rPr>
          <w:sz w:val="22"/>
          <w:szCs w:val="22"/>
          <w:lang w:eastAsia="lt-LT"/>
        </w:rPr>
      </w:pPr>
      <w:r>
        <w:rPr>
          <w:sz w:val="22"/>
          <w:szCs w:val="22"/>
          <w:lang w:eastAsia="lt-LT"/>
        </w:rPr>
        <w:t>6.</w:t>
      </w:r>
      <w:r>
        <w:rPr>
          <w:sz w:val="22"/>
          <w:szCs w:val="22"/>
          <w:lang w:eastAsia="lt-LT"/>
        </w:rPr>
        <w:tab/>
        <w:t>Pakuotės turinys ir kita informacija</w:t>
      </w:r>
    </w:p>
    <w:p w14:paraId="705FFE5B" w14:textId="77777777" w:rsidR="00023BBF" w:rsidRDefault="00023BBF">
      <w:pPr>
        <w:widowControl w:val="0"/>
        <w:numPr>
          <w:ilvl w:val="12"/>
          <w:numId w:val="0"/>
        </w:numPr>
        <w:rPr>
          <w:sz w:val="22"/>
          <w:szCs w:val="22"/>
          <w:lang w:eastAsia="sl-SI"/>
        </w:rPr>
      </w:pPr>
    </w:p>
    <w:p w14:paraId="2DADD315" w14:textId="77777777" w:rsidR="00023BBF" w:rsidRDefault="00023BBF">
      <w:pPr>
        <w:widowControl w:val="0"/>
        <w:numPr>
          <w:ilvl w:val="12"/>
          <w:numId w:val="0"/>
        </w:numPr>
        <w:rPr>
          <w:sz w:val="22"/>
          <w:szCs w:val="22"/>
          <w:lang w:eastAsia="sl-SI"/>
        </w:rPr>
      </w:pPr>
    </w:p>
    <w:p w14:paraId="0087A75F" w14:textId="77777777" w:rsidR="00023BBF" w:rsidRDefault="00E17C37">
      <w:pPr>
        <w:widowControl w:val="0"/>
        <w:numPr>
          <w:ilvl w:val="12"/>
          <w:numId w:val="0"/>
        </w:numPr>
        <w:ind w:left="567" w:hanging="567"/>
        <w:outlineLvl w:val="0"/>
        <w:rPr>
          <w:b/>
          <w:caps/>
          <w:sz w:val="22"/>
          <w:szCs w:val="22"/>
          <w:lang w:eastAsia="en-US"/>
        </w:rPr>
      </w:pPr>
      <w:r>
        <w:rPr>
          <w:b/>
          <w:sz w:val="22"/>
          <w:szCs w:val="22"/>
          <w:lang w:eastAsia="en-US"/>
        </w:rPr>
        <w:t>1.</w:t>
      </w:r>
      <w:r>
        <w:rPr>
          <w:b/>
          <w:sz w:val="22"/>
          <w:szCs w:val="22"/>
          <w:lang w:eastAsia="en-US"/>
        </w:rPr>
        <w:tab/>
        <w:t xml:space="preserve">Kas yra </w:t>
      </w:r>
      <w:proofErr w:type="spellStart"/>
      <w:r>
        <w:rPr>
          <w:b/>
          <w:bCs/>
          <w:sz w:val="22"/>
          <w:szCs w:val="22"/>
          <w:lang w:eastAsia="en-US"/>
        </w:rPr>
        <w:t>Mexdagry</w:t>
      </w:r>
      <w:proofErr w:type="spellEnd"/>
      <w:r>
        <w:rPr>
          <w:b/>
          <w:bCs/>
          <w:sz w:val="22"/>
          <w:szCs w:val="22"/>
          <w:lang w:eastAsia="en-US"/>
        </w:rPr>
        <w:t xml:space="preserve"> </w:t>
      </w:r>
      <w:r>
        <w:rPr>
          <w:b/>
          <w:sz w:val="22"/>
          <w:szCs w:val="22"/>
          <w:lang w:eastAsia="en-US"/>
        </w:rPr>
        <w:t>ir kam jis vartojamas</w:t>
      </w:r>
    </w:p>
    <w:p w14:paraId="6F2C99B6" w14:textId="77777777" w:rsidR="00023BBF" w:rsidRDefault="00023BBF">
      <w:pPr>
        <w:widowControl w:val="0"/>
        <w:ind w:left="567" w:hanging="567"/>
        <w:rPr>
          <w:sz w:val="22"/>
          <w:szCs w:val="22"/>
          <w:lang w:eastAsia="en-US"/>
        </w:rPr>
      </w:pPr>
    </w:p>
    <w:p w14:paraId="1D11CFC9" w14:textId="77777777" w:rsidR="00023BBF" w:rsidRDefault="00E17C37">
      <w:pPr>
        <w:widowControl w:val="0"/>
        <w:numPr>
          <w:ilvl w:val="12"/>
          <w:numId w:val="0"/>
        </w:numPr>
        <w:rPr>
          <w:sz w:val="22"/>
          <w:szCs w:val="22"/>
        </w:rPr>
      </w:pPr>
      <w:r>
        <w:rPr>
          <w:sz w:val="22"/>
          <w:szCs w:val="22"/>
        </w:rPr>
        <w:t xml:space="preserve">Šio vaisto sudėtyje yra 2 skirtingos veikliosios medžiagos – dapagliflozinas ir </w:t>
      </w:r>
      <w:proofErr w:type="spellStart"/>
      <w:r>
        <w:rPr>
          <w:sz w:val="22"/>
          <w:szCs w:val="22"/>
        </w:rPr>
        <w:t>metforminas</w:t>
      </w:r>
      <w:proofErr w:type="spellEnd"/>
      <w:r>
        <w:rPr>
          <w:sz w:val="22"/>
          <w:szCs w:val="22"/>
        </w:rPr>
        <w:t>. Jos abi priklauso geriamųjų vaistų nuo cukrinio diabeto grupei. Šie vaistai vartojami per burną diabetui gydyti.</w:t>
      </w:r>
    </w:p>
    <w:p w14:paraId="4F5D09FE" w14:textId="77777777" w:rsidR="00023BBF" w:rsidRDefault="00023BBF">
      <w:pPr>
        <w:widowControl w:val="0"/>
        <w:numPr>
          <w:ilvl w:val="12"/>
          <w:numId w:val="0"/>
        </w:numPr>
        <w:rPr>
          <w:sz w:val="22"/>
          <w:szCs w:val="22"/>
        </w:rPr>
      </w:pPr>
    </w:p>
    <w:p w14:paraId="3F55230D" w14:textId="77777777" w:rsidR="00023BBF" w:rsidRDefault="00E17C37">
      <w:pPr>
        <w:widowControl w:val="0"/>
        <w:numPr>
          <w:ilvl w:val="12"/>
          <w:numId w:val="0"/>
        </w:numPr>
        <w:rPr>
          <w:sz w:val="22"/>
          <w:szCs w:val="22"/>
          <w:lang w:eastAsia="en-US"/>
        </w:rPr>
      </w:pPr>
      <w:proofErr w:type="spellStart"/>
      <w:r>
        <w:rPr>
          <w:sz w:val="22"/>
          <w:szCs w:val="22"/>
        </w:rPr>
        <w:t>Mexdagry</w:t>
      </w:r>
      <w:proofErr w:type="spellEnd"/>
      <w:r>
        <w:rPr>
          <w:sz w:val="22"/>
          <w:szCs w:val="22"/>
        </w:rPr>
        <w:t xml:space="preserve"> vartojamas tam tikrai suaugusių (18 metų ir vyresnių) pacientų diabeto rūšiai, kuri vadinama 2 tipo diabetu ir paprastai pasireiškia vyresniame amžiuje, gydyti. Sergant 2 tipo diabetu, kasa negamina pakankamai insulino arba organizmas nesugeba jo tinkamai panaudoti, todėl padidėja cukraus (gliukozės) kiekis kraujyje.</w:t>
      </w:r>
    </w:p>
    <w:p w14:paraId="402E7207" w14:textId="77777777" w:rsidR="00023BBF" w:rsidRDefault="00E17C37">
      <w:pPr>
        <w:widowControl w:val="0"/>
        <w:numPr>
          <w:ilvl w:val="0"/>
          <w:numId w:val="25"/>
        </w:numPr>
        <w:tabs>
          <w:tab w:val="left" w:pos="567"/>
        </w:tabs>
        <w:spacing w:line="260" w:lineRule="exact"/>
        <w:ind w:left="567" w:hanging="567"/>
        <w:rPr>
          <w:noProof/>
          <w:sz w:val="22"/>
          <w:szCs w:val="22"/>
          <w:lang w:val="en-GB" w:eastAsia="en-US"/>
        </w:rPr>
      </w:pPr>
      <w:r>
        <w:rPr>
          <w:sz w:val="22"/>
          <w:szCs w:val="22"/>
          <w:lang w:eastAsia="en-US"/>
        </w:rPr>
        <w:t>Veikiant dapagliflozinui, cukraus perteklius pašalinamas iš organizmo su šlapimu, todėl jo kiekis kraujyje sumažėja. Be to, šis vaistas gali Jus apsaugoti nuo širdies ligų.</w:t>
      </w:r>
    </w:p>
    <w:p w14:paraId="50D95B3F" w14:textId="77777777" w:rsidR="00023BBF" w:rsidRDefault="00E17C37">
      <w:pPr>
        <w:widowControl w:val="0"/>
        <w:numPr>
          <w:ilvl w:val="0"/>
          <w:numId w:val="25"/>
        </w:numPr>
        <w:tabs>
          <w:tab w:val="left" w:pos="567"/>
        </w:tabs>
        <w:spacing w:line="260" w:lineRule="exact"/>
        <w:ind w:left="567" w:hanging="567"/>
        <w:rPr>
          <w:noProof/>
          <w:sz w:val="22"/>
          <w:szCs w:val="22"/>
          <w:lang w:val="en-GB" w:eastAsia="en-US"/>
        </w:rPr>
      </w:pPr>
      <w:r>
        <w:rPr>
          <w:sz w:val="22"/>
          <w:szCs w:val="22"/>
          <w:lang w:eastAsia="en-US"/>
        </w:rPr>
        <w:t xml:space="preserve">Svarbiausias </w:t>
      </w:r>
      <w:proofErr w:type="spellStart"/>
      <w:r>
        <w:rPr>
          <w:sz w:val="22"/>
          <w:szCs w:val="22"/>
          <w:lang w:eastAsia="en-US"/>
        </w:rPr>
        <w:t>metformino</w:t>
      </w:r>
      <w:proofErr w:type="spellEnd"/>
      <w:r>
        <w:rPr>
          <w:sz w:val="22"/>
          <w:szCs w:val="22"/>
          <w:lang w:eastAsia="en-US"/>
        </w:rPr>
        <w:t xml:space="preserve"> poveikis yra gliukozės gamybos kepenyse slopinimas.</w:t>
      </w:r>
    </w:p>
    <w:p w14:paraId="3D8E5E86" w14:textId="77777777" w:rsidR="00023BBF" w:rsidRDefault="00023BBF">
      <w:pPr>
        <w:widowControl w:val="0"/>
        <w:tabs>
          <w:tab w:val="left" w:pos="567"/>
        </w:tabs>
        <w:spacing w:line="260" w:lineRule="exact"/>
        <w:rPr>
          <w:sz w:val="22"/>
          <w:szCs w:val="22"/>
          <w:lang w:eastAsia="en-US"/>
        </w:rPr>
      </w:pPr>
    </w:p>
    <w:p w14:paraId="19CCFDF8" w14:textId="77777777" w:rsidR="00023BBF" w:rsidRDefault="00E17C37">
      <w:pPr>
        <w:widowControl w:val="0"/>
        <w:tabs>
          <w:tab w:val="left" w:pos="567"/>
        </w:tabs>
        <w:spacing w:line="260" w:lineRule="exact"/>
        <w:rPr>
          <w:sz w:val="22"/>
          <w:szCs w:val="22"/>
        </w:rPr>
      </w:pPr>
      <w:r>
        <w:rPr>
          <w:sz w:val="22"/>
          <w:szCs w:val="22"/>
        </w:rPr>
        <w:t>Gydant diabetą:</w:t>
      </w:r>
    </w:p>
    <w:p w14:paraId="6837CAEA" w14:textId="77777777" w:rsidR="00023BBF" w:rsidRDefault="00E17C37">
      <w:pPr>
        <w:widowControl w:val="0"/>
        <w:numPr>
          <w:ilvl w:val="0"/>
          <w:numId w:val="25"/>
        </w:numPr>
        <w:tabs>
          <w:tab w:val="left" w:pos="567"/>
        </w:tabs>
        <w:spacing w:line="260" w:lineRule="exact"/>
        <w:ind w:left="567" w:hanging="567"/>
        <w:rPr>
          <w:noProof/>
          <w:sz w:val="20"/>
          <w:szCs w:val="20"/>
          <w:lang w:eastAsia="en-US"/>
        </w:rPr>
      </w:pPr>
      <w:r>
        <w:rPr>
          <w:rFonts w:eastAsiaTheme="minorHAnsi"/>
          <w:color w:val="000000"/>
          <w:sz w:val="22"/>
          <w:szCs w:val="22"/>
          <w:lang w:eastAsia="en-US"/>
        </w:rPr>
        <w:t>šis vaistas vartojamas derinyje su dieta ir fiziniu krūviu;</w:t>
      </w:r>
    </w:p>
    <w:p w14:paraId="3F705936"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šiuo vaistu gydomas diabetas, jeigu cukraus kiekio kraujyje nepavyksta sureguliuoti kitais vaistais nuo diabeto;</w:t>
      </w:r>
    </w:p>
    <w:p w14:paraId="541B3D2A"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 xml:space="preserve">Jūsų gydytojas gali nurodyti vartoti šio vaisto vieno arba kartu su kitais vaistais nuo diabeto. Tai gali būti kitas geriamasis ir (arba) injekcinis vaistas, pvz., insulinas arba GLP-1 receptorių </w:t>
      </w:r>
      <w:proofErr w:type="spellStart"/>
      <w:r>
        <w:rPr>
          <w:rFonts w:eastAsiaTheme="minorHAnsi"/>
          <w:color w:val="000000"/>
          <w:sz w:val="22"/>
          <w:szCs w:val="22"/>
          <w:lang w:eastAsia="en-US"/>
        </w:rPr>
        <w:t>agonistas</w:t>
      </w:r>
      <w:proofErr w:type="spellEnd"/>
      <w:r>
        <w:rPr>
          <w:rFonts w:eastAsiaTheme="minorHAnsi"/>
          <w:color w:val="000000"/>
          <w:sz w:val="22"/>
          <w:szCs w:val="22"/>
          <w:lang w:eastAsia="en-US"/>
        </w:rPr>
        <w:t xml:space="preserve"> (jis padeda Jūsų organizmui padidinti insulino gamybą, kai padidėjęs cukraus kiekis kraujyje);</w:t>
      </w:r>
    </w:p>
    <w:p w14:paraId="34065837"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 xml:space="preserve">jeigu jau vartojate atskirų dapagliflozino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tablečių, Jūsų gydytojas gali patarti vartoti šio vaisto vietoje jų. Pradėję vartoti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daugiau dapagliflozino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tablečių nebegerkite, kad išvengtumėte perdozavimo. </w:t>
      </w:r>
    </w:p>
    <w:p w14:paraId="7272F54B" w14:textId="77777777" w:rsidR="00023BBF" w:rsidRDefault="00023BBF">
      <w:pPr>
        <w:widowControl w:val="0"/>
        <w:tabs>
          <w:tab w:val="left" w:pos="567"/>
        </w:tabs>
        <w:spacing w:line="260" w:lineRule="exact"/>
        <w:rPr>
          <w:sz w:val="22"/>
          <w:szCs w:val="22"/>
        </w:rPr>
      </w:pPr>
    </w:p>
    <w:p w14:paraId="3F392ABE" w14:textId="77777777" w:rsidR="00023BBF" w:rsidRDefault="00E17C37">
      <w:pPr>
        <w:widowControl w:val="0"/>
        <w:tabs>
          <w:tab w:val="left" w:pos="567"/>
        </w:tabs>
        <w:spacing w:line="260" w:lineRule="exact"/>
        <w:rPr>
          <w:sz w:val="22"/>
          <w:szCs w:val="22"/>
        </w:rPr>
      </w:pPr>
      <w:r>
        <w:rPr>
          <w:sz w:val="22"/>
          <w:szCs w:val="22"/>
        </w:rPr>
        <w:t>Vartojant šį vaistą, svarbu toliau laikytis gydytojo, vaistininko arba slaugytojos nurodymų dėl dietos ir fizinio krūvio.</w:t>
      </w:r>
    </w:p>
    <w:p w14:paraId="0F299577" w14:textId="77777777" w:rsidR="00023BBF" w:rsidRDefault="00023BBF">
      <w:pPr>
        <w:widowControl w:val="0"/>
        <w:tabs>
          <w:tab w:val="left" w:pos="567"/>
        </w:tabs>
        <w:spacing w:line="260" w:lineRule="exact"/>
        <w:rPr>
          <w:sz w:val="22"/>
          <w:szCs w:val="22"/>
        </w:rPr>
      </w:pPr>
    </w:p>
    <w:p w14:paraId="4957B2EC" w14:textId="77777777" w:rsidR="00023BBF" w:rsidRDefault="00023BBF">
      <w:pPr>
        <w:widowControl w:val="0"/>
        <w:tabs>
          <w:tab w:val="left" w:pos="567"/>
        </w:tabs>
        <w:spacing w:line="260" w:lineRule="exact"/>
        <w:rPr>
          <w:noProof/>
          <w:sz w:val="22"/>
          <w:szCs w:val="22"/>
          <w:lang w:eastAsia="en-US"/>
        </w:rPr>
      </w:pPr>
    </w:p>
    <w:p w14:paraId="4477E685" w14:textId="77777777" w:rsidR="00023BBF" w:rsidRDefault="00E17C37">
      <w:pPr>
        <w:widowControl w:val="0"/>
        <w:numPr>
          <w:ilvl w:val="12"/>
          <w:numId w:val="0"/>
        </w:numPr>
        <w:ind w:left="567" w:hanging="567"/>
        <w:outlineLvl w:val="0"/>
        <w:rPr>
          <w:b/>
          <w:caps/>
          <w:sz w:val="22"/>
          <w:szCs w:val="22"/>
          <w:lang w:eastAsia="en-US"/>
        </w:rPr>
      </w:pPr>
      <w:r>
        <w:rPr>
          <w:b/>
          <w:sz w:val="22"/>
          <w:szCs w:val="22"/>
          <w:lang w:eastAsia="en-US"/>
        </w:rPr>
        <w:t>2.</w:t>
      </w:r>
      <w:r>
        <w:rPr>
          <w:b/>
          <w:sz w:val="22"/>
          <w:szCs w:val="22"/>
          <w:lang w:eastAsia="en-US"/>
        </w:rPr>
        <w:tab/>
        <w:t xml:space="preserve">Kas žinotina prieš vartojant </w:t>
      </w:r>
      <w:proofErr w:type="spellStart"/>
      <w:r>
        <w:rPr>
          <w:b/>
          <w:bCs/>
          <w:sz w:val="22"/>
          <w:szCs w:val="22"/>
          <w:lang w:eastAsia="en-US"/>
        </w:rPr>
        <w:t>Mexdagry</w:t>
      </w:r>
      <w:proofErr w:type="spellEnd"/>
    </w:p>
    <w:p w14:paraId="46D34D8A" w14:textId="77777777" w:rsidR="00023BBF" w:rsidRDefault="00023BBF">
      <w:pPr>
        <w:widowControl w:val="0"/>
        <w:ind w:left="567" w:hanging="567"/>
        <w:rPr>
          <w:sz w:val="22"/>
          <w:szCs w:val="22"/>
          <w:lang w:eastAsia="en-US"/>
        </w:rPr>
      </w:pPr>
    </w:p>
    <w:p w14:paraId="33527D14" w14:textId="77777777" w:rsidR="00023BBF" w:rsidRDefault="00E17C37">
      <w:pPr>
        <w:widowControl w:val="0"/>
        <w:ind w:left="567" w:hanging="567"/>
        <w:rPr>
          <w:b/>
          <w:bCs/>
          <w:caps/>
          <w:sz w:val="22"/>
          <w:szCs w:val="22"/>
          <w:lang w:eastAsia="en-US"/>
        </w:rPr>
      </w:pPr>
      <w:proofErr w:type="spellStart"/>
      <w:r>
        <w:rPr>
          <w:b/>
          <w:bCs/>
          <w:sz w:val="22"/>
          <w:szCs w:val="22"/>
          <w:lang w:eastAsia="en-US"/>
        </w:rPr>
        <w:lastRenderedPageBreak/>
        <w:t>Mexdagry</w:t>
      </w:r>
      <w:proofErr w:type="spellEnd"/>
      <w:r>
        <w:rPr>
          <w:b/>
          <w:bCs/>
          <w:sz w:val="22"/>
          <w:szCs w:val="22"/>
          <w:lang w:eastAsia="en-US"/>
        </w:rPr>
        <w:t xml:space="preserve"> vartoti draudžiama:</w:t>
      </w:r>
    </w:p>
    <w:p w14:paraId="7E9528DA" w14:textId="77777777" w:rsidR="00023BBF" w:rsidRDefault="00E17C37">
      <w:pPr>
        <w:widowControl w:val="0"/>
        <w:numPr>
          <w:ilvl w:val="0"/>
          <w:numId w:val="7"/>
        </w:numPr>
        <w:tabs>
          <w:tab w:val="left" w:pos="567"/>
        </w:tabs>
        <w:autoSpaceDE w:val="0"/>
        <w:autoSpaceDN w:val="0"/>
        <w:adjustRightInd w:val="0"/>
        <w:spacing w:line="259" w:lineRule="auto"/>
        <w:ind w:left="567" w:hanging="567"/>
        <w:rPr>
          <w:sz w:val="22"/>
          <w:szCs w:val="22"/>
          <w:lang w:eastAsia="en-US"/>
        </w:rPr>
      </w:pPr>
      <w:r>
        <w:rPr>
          <w:rFonts w:eastAsiaTheme="minorHAnsi"/>
          <w:color w:val="000000"/>
          <w:sz w:val="22"/>
          <w:szCs w:val="22"/>
          <w:lang w:eastAsia="en-US"/>
        </w:rPr>
        <w:t xml:space="preserve">jeigu yra alergija dapagliflozinui, </w:t>
      </w:r>
      <w:proofErr w:type="spellStart"/>
      <w:r>
        <w:rPr>
          <w:rFonts w:eastAsiaTheme="minorHAnsi"/>
          <w:color w:val="000000"/>
          <w:sz w:val="22"/>
          <w:szCs w:val="22"/>
          <w:lang w:eastAsia="en-US"/>
        </w:rPr>
        <w:t>metforminui</w:t>
      </w:r>
      <w:proofErr w:type="spellEnd"/>
      <w:r>
        <w:rPr>
          <w:rFonts w:eastAsiaTheme="minorHAnsi"/>
          <w:color w:val="000000"/>
          <w:sz w:val="22"/>
          <w:szCs w:val="22"/>
          <w:lang w:eastAsia="en-US"/>
        </w:rPr>
        <w:t xml:space="preserve"> arba bet kuriai pagalbinei šio vaisto medžiagai (jos išvardytos 6 skyriuje);</w:t>
      </w:r>
    </w:p>
    <w:p w14:paraId="3B4D2310" w14:textId="77777777" w:rsidR="00023BBF" w:rsidRDefault="00E17C37">
      <w:pPr>
        <w:widowControl w:val="0"/>
        <w:numPr>
          <w:ilvl w:val="0"/>
          <w:numId w:val="7"/>
        </w:numPr>
        <w:tabs>
          <w:tab w:val="left" w:pos="567"/>
        </w:tabs>
        <w:autoSpaceDE w:val="0"/>
        <w:autoSpaceDN w:val="0"/>
        <w:adjustRightInd w:val="0"/>
        <w:spacing w:line="259" w:lineRule="auto"/>
        <w:ind w:left="567" w:hanging="567"/>
        <w:rPr>
          <w:sz w:val="22"/>
          <w:szCs w:val="22"/>
          <w:lang w:eastAsia="en-US"/>
        </w:rPr>
      </w:pPr>
      <w:r>
        <w:rPr>
          <w:rFonts w:eastAsiaTheme="minorHAnsi"/>
          <w:color w:val="000000"/>
          <w:sz w:val="22"/>
          <w:szCs w:val="22"/>
          <w:lang w:eastAsia="en-US"/>
        </w:rPr>
        <w:t>jeigu Jus kada nors buvo ištikusi diabetinė koma;</w:t>
      </w:r>
    </w:p>
    <w:p w14:paraId="1946FDFF" w14:textId="77777777" w:rsidR="00023BBF" w:rsidRDefault="00E17C37">
      <w:pPr>
        <w:widowControl w:val="0"/>
        <w:numPr>
          <w:ilvl w:val="0"/>
          <w:numId w:val="7"/>
        </w:numPr>
        <w:tabs>
          <w:tab w:val="left" w:pos="567"/>
        </w:tabs>
        <w:autoSpaceDE w:val="0"/>
        <w:autoSpaceDN w:val="0"/>
        <w:adjustRightInd w:val="0"/>
        <w:spacing w:line="259" w:lineRule="auto"/>
        <w:ind w:left="567" w:hanging="567"/>
        <w:rPr>
          <w:sz w:val="22"/>
          <w:szCs w:val="22"/>
          <w:lang w:eastAsia="en-US"/>
        </w:rPr>
      </w:pPr>
      <w:r>
        <w:rPr>
          <w:rFonts w:eastAsiaTheme="minorHAnsi"/>
          <w:color w:val="000000"/>
          <w:sz w:val="22"/>
          <w:szCs w:val="22"/>
          <w:lang w:eastAsia="en-US"/>
        </w:rPr>
        <w:t xml:space="preserve">jeigu sergate nekontroliuojamu diabetu ir yra, pvz., sunki hiperglikemija (didelis gliukozės kiekis kraujyje), pasireiškia pykinimas, vėmimas, viduriavimas, greitas svorio kritimas, pieno rūgšties </w:t>
      </w:r>
      <w:proofErr w:type="spellStart"/>
      <w:r>
        <w:rPr>
          <w:rFonts w:eastAsiaTheme="minorHAnsi"/>
          <w:color w:val="000000"/>
          <w:sz w:val="22"/>
          <w:szCs w:val="22"/>
          <w:lang w:eastAsia="en-US"/>
        </w:rPr>
        <w:t>acidozė</w:t>
      </w:r>
      <w:proofErr w:type="spellEnd"/>
      <w:r>
        <w:rPr>
          <w:rFonts w:eastAsiaTheme="minorHAnsi"/>
          <w:color w:val="000000"/>
          <w:sz w:val="22"/>
          <w:szCs w:val="22"/>
          <w:lang w:eastAsia="en-US"/>
        </w:rPr>
        <w:t xml:space="preserve"> (žr. „Pieno rūgšties </w:t>
      </w:r>
      <w:proofErr w:type="spellStart"/>
      <w:r>
        <w:rPr>
          <w:rFonts w:eastAsiaTheme="minorHAnsi"/>
          <w:color w:val="000000"/>
          <w:sz w:val="22"/>
          <w:szCs w:val="22"/>
          <w:lang w:eastAsia="en-US"/>
        </w:rPr>
        <w:t>acidozės</w:t>
      </w:r>
      <w:proofErr w:type="spellEnd"/>
      <w:r>
        <w:rPr>
          <w:rFonts w:eastAsiaTheme="minorHAnsi"/>
          <w:color w:val="000000"/>
          <w:sz w:val="22"/>
          <w:szCs w:val="22"/>
          <w:lang w:eastAsia="en-US"/>
        </w:rPr>
        <w:t xml:space="preserve"> rizika“ toliau) arba </w:t>
      </w:r>
      <w:proofErr w:type="spellStart"/>
      <w:r>
        <w:rPr>
          <w:rFonts w:eastAsiaTheme="minorHAnsi"/>
          <w:color w:val="000000"/>
          <w:sz w:val="22"/>
          <w:szCs w:val="22"/>
          <w:lang w:eastAsia="en-US"/>
        </w:rPr>
        <w:t>ketoacidozė</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Ketoacidozė</w:t>
      </w:r>
      <w:proofErr w:type="spellEnd"/>
      <w:r>
        <w:rPr>
          <w:rFonts w:eastAsiaTheme="minorHAnsi"/>
          <w:color w:val="000000"/>
          <w:sz w:val="22"/>
          <w:szCs w:val="22"/>
          <w:lang w:eastAsia="en-US"/>
        </w:rPr>
        <w:t xml:space="preserve"> yra būklė, kai kraujyje kaupiasi medžiagos, vadinamos „</w:t>
      </w:r>
      <w:proofErr w:type="spellStart"/>
      <w:r>
        <w:rPr>
          <w:rFonts w:eastAsiaTheme="minorHAnsi"/>
          <w:color w:val="000000"/>
          <w:sz w:val="22"/>
          <w:szCs w:val="22"/>
          <w:lang w:eastAsia="en-US"/>
        </w:rPr>
        <w:t>ketoniniais</w:t>
      </w:r>
      <w:proofErr w:type="spellEnd"/>
      <w:r>
        <w:rPr>
          <w:rFonts w:eastAsiaTheme="minorHAnsi"/>
          <w:color w:val="000000"/>
          <w:sz w:val="22"/>
          <w:szCs w:val="22"/>
          <w:lang w:eastAsia="en-US"/>
        </w:rPr>
        <w:t xml:space="preserve"> kūnais“, ji gali sukelti diabetinę </w:t>
      </w:r>
      <w:proofErr w:type="spellStart"/>
      <w:r>
        <w:rPr>
          <w:rFonts w:eastAsiaTheme="minorHAnsi"/>
          <w:color w:val="000000"/>
          <w:sz w:val="22"/>
          <w:szCs w:val="22"/>
          <w:lang w:eastAsia="en-US"/>
        </w:rPr>
        <w:t>prekomą</w:t>
      </w:r>
      <w:proofErr w:type="spellEnd"/>
      <w:r>
        <w:rPr>
          <w:rFonts w:eastAsiaTheme="minorHAnsi"/>
          <w:color w:val="000000"/>
          <w:sz w:val="22"/>
          <w:szCs w:val="22"/>
          <w:lang w:eastAsia="en-US"/>
        </w:rPr>
        <w:t>. Simptomai gali būti pilvo skausmas, greitas ir gilus kvėpavimas, mieguistumas arba neįprastas vaisių kvapas iš burnos;</w:t>
      </w:r>
    </w:p>
    <w:p w14:paraId="538AE9AA" w14:textId="77777777" w:rsidR="00023BBF" w:rsidRDefault="00E17C37">
      <w:pPr>
        <w:widowControl w:val="0"/>
        <w:numPr>
          <w:ilvl w:val="0"/>
          <w:numId w:val="7"/>
        </w:numPr>
        <w:tabs>
          <w:tab w:val="left" w:pos="567"/>
        </w:tabs>
        <w:autoSpaceDE w:val="0"/>
        <w:autoSpaceDN w:val="0"/>
        <w:adjustRightInd w:val="0"/>
        <w:spacing w:line="259" w:lineRule="auto"/>
        <w:ind w:left="567" w:hanging="567"/>
        <w:rPr>
          <w:sz w:val="22"/>
          <w:szCs w:val="22"/>
          <w:lang w:eastAsia="en-US"/>
        </w:rPr>
      </w:pPr>
      <w:r>
        <w:rPr>
          <w:rFonts w:eastAsiaTheme="minorHAnsi"/>
          <w:color w:val="000000"/>
          <w:sz w:val="22"/>
          <w:szCs w:val="22"/>
          <w:lang w:eastAsia="en-US"/>
        </w:rPr>
        <w:t>jeigu yra labai susilpnėjusi inkstų funkcija;</w:t>
      </w:r>
    </w:p>
    <w:p w14:paraId="13330A48" w14:textId="77777777" w:rsidR="00023BBF" w:rsidRDefault="00E17C37">
      <w:pPr>
        <w:widowControl w:val="0"/>
        <w:numPr>
          <w:ilvl w:val="0"/>
          <w:numId w:val="7"/>
        </w:numPr>
        <w:tabs>
          <w:tab w:val="left" w:pos="567"/>
        </w:tabs>
        <w:autoSpaceDE w:val="0"/>
        <w:autoSpaceDN w:val="0"/>
        <w:adjustRightInd w:val="0"/>
        <w:spacing w:line="259" w:lineRule="auto"/>
        <w:ind w:left="567" w:hanging="567"/>
        <w:rPr>
          <w:sz w:val="22"/>
          <w:szCs w:val="22"/>
          <w:lang w:eastAsia="en-US"/>
        </w:rPr>
      </w:pPr>
      <w:r>
        <w:rPr>
          <w:rFonts w:eastAsiaTheme="minorHAnsi"/>
          <w:color w:val="000000"/>
          <w:sz w:val="22"/>
          <w:szCs w:val="22"/>
          <w:lang w:eastAsia="en-US"/>
        </w:rPr>
        <w:t>jeigu sergate sunkia infekcine liga;</w:t>
      </w:r>
    </w:p>
    <w:p w14:paraId="281E38BC" w14:textId="77777777" w:rsidR="00023BBF" w:rsidRDefault="00E17C37">
      <w:pPr>
        <w:widowControl w:val="0"/>
        <w:numPr>
          <w:ilvl w:val="0"/>
          <w:numId w:val="7"/>
        </w:numPr>
        <w:tabs>
          <w:tab w:val="left" w:pos="567"/>
        </w:tabs>
        <w:autoSpaceDE w:val="0"/>
        <w:autoSpaceDN w:val="0"/>
        <w:adjustRightInd w:val="0"/>
        <w:spacing w:line="259" w:lineRule="auto"/>
        <w:ind w:left="567" w:hanging="567"/>
        <w:rPr>
          <w:sz w:val="22"/>
          <w:szCs w:val="22"/>
          <w:lang w:eastAsia="en-US"/>
        </w:rPr>
      </w:pPr>
      <w:r>
        <w:rPr>
          <w:rFonts w:eastAsiaTheme="minorHAnsi"/>
          <w:color w:val="000000"/>
          <w:sz w:val="22"/>
          <w:szCs w:val="22"/>
          <w:lang w:eastAsia="en-US"/>
        </w:rPr>
        <w:t>jeigu Jūsų organizmas yra netekęs daug vandens (ši būklė vadinama dehidratacija), pvz., dėl ilgalaikio ar stipraus viduriavimo arba besikartojančio vėmimo;</w:t>
      </w:r>
    </w:p>
    <w:p w14:paraId="2A735033" w14:textId="77777777" w:rsidR="00023BBF" w:rsidRDefault="00E17C37">
      <w:pPr>
        <w:widowControl w:val="0"/>
        <w:numPr>
          <w:ilvl w:val="0"/>
          <w:numId w:val="7"/>
        </w:numPr>
        <w:tabs>
          <w:tab w:val="left" w:pos="567"/>
        </w:tabs>
        <w:autoSpaceDE w:val="0"/>
        <w:autoSpaceDN w:val="0"/>
        <w:adjustRightInd w:val="0"/>
        <w:spacing w:line="259" w:lineRule="auto"/>
        <w:ind w:left="567" w:hanging="567"/>
        <w:rPr>
          <w:sz w:val="22"/>
          <w:szCs w:val="22"/>
          <w:lang w:eastAsia="en-US"/>
        </w:rPr>
      </w:pPr>
      <w:r>
        <w:rPr>
          <w:rFonts w:eastAsiaTheme="minorHAnsi"/>
          <w:color w:val="000000"/>
          <w:sz w:val="22"/>
          <w:szCs w:val="22"/>
          <w:lang w:eastAsia="en-US"/>
        </w:rPr>
        <w:t>jeigu neseniai Jus ištiko širdies priepuolis arba sergate širdies nepakankamumu, arba labai sutrikusi kraujotaka, ar pasunkėjęs kvėpavimas;</w:t>
      </w:r>
    </w:p>
    <w:p w14:paraId="24D88E71" w14:textId="77777777" w:rsidR="00023BBF" w:rsidRDefault="00E17C37">
      <w:pPr>
        <w:widowControl w:val="0"/>
        <w:numPr>
          <w:ilvl w:val="0"/>
          <w:numId w:val="7"/>
        </w:numPr>
        <w:tabs>
          <w:tab w:val="left" w:pos="567"/>
        </w:tabs>
        <w:autoSpaceDE w:val="0"/>
        <w:autoSpaceDN w:val="0"/>
        <w:adjustRightInd w:val="0"/>
        <w:spacing w:line="259" w:lineRule="auto"/>
        <w:ind w:left="567" w:hanging="567"/>
        <w:rPr>
          <w:sz w:val="22"/>
          <w:szCs w:val="22"/>
          <w:lang w:eastAsia="en-US"/>
        </w:rPr>
      </w:pPr>
      <w:r>
        <w:rPr>
          <w:rFonts w:eastAsiaTheme="minorHAnsi"/>
          <w:color w:val="000000"/>
          <w:sz w:val="22"/>
          <w:szCs w:val="22"/>
          <w:lang w:eastAsia="en-US"/>
        </w:rPr>
        <w:t>jeigu Jūsų kepenų funkcija sutrikusi;</w:t>
      </w:r>
    </w:p>
    <w:p w14:paraId="22DD5DB1" w14:textId="77777777" w:rsidR="00023BBF" w:rsidRDefault="00E17C37">
      <w:pPr>
        <w:widowControl w:val="0"/>
        <w:numPr>
          <w:ilvl w:val="0"/>
          <w:numId w:val="7"/>
        </w:numPr>
        <w:tabs>
          <w:tab w:val="left" w:pos="567"/>
        </w:tabs>
        <w:autoSpaceDE w:val="0"/>
        <w:autoSpaceDN w:val="0"/>
        <w:adjustRightInd w:val="0"/>
        <w:spacing w:line="259" w:lineRule="auto"/>
        <w:ind w:left="567" w:hanging="567"/>
        <w:rPr>
          <w:sz w:val="22"/>
          <w:szCs w:val="22"/>
          <w:lang w:eastAsia="en-US"/>
        </w:rPr>
      </w:pPr>
      <w:r>
        <w:rPr>
          <w:rFonts w:eastAsiaTheme="minorHAnsi"/>
          <w:color w:val="000000"/>
          <w:sz w:val="22"/>
          <w:szCs w:val="22"/>
          <w:lang w:eastAsia="en-US"/>
        </w:rPr>
        <w:t>jeigu piktnaudžiaujate alkoholiniais gėrimais (kasdien ar retkarčiais) (žr. skyrių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vartojimas su alkoholiu“).</w:t>
      </w:r>
    </w:p>
    <w:p w14:paraId="21602492" w14:textId="77777777" w:rsidR="00023BBF" w:rsidRDefault="00023BBF">
      <w:pPr>
        <w:widowControl w:val="0"/>
        <w:tabs>
          <w:tab w:val="left" w:pos="567"/>
        </w:tabs>
        <w:autoSpaceDE w:val="0"/>
        <w:autoSpaceDN w:val="0"/>
        <w:adjustRightInd w:val="0"/>
        <w:spacing w:after="160" w:line="259" w:lineRule="auto"/>
        <w:rPr>
          <w:sz w:val="22"/>
          <w:szCs w:val="22"/>
          <w:lang w:eastAsia="en-US"/>
        </w:rPr>
      </w:pPr>
    </w:p>
    <w:p w14:paraId="0067C3A5" w14:textId="77777777" w:rsidR="00023BBF" w:rsidRDefault="00E17C37">
      <w:pPr>
        <w:widowControl w:val="0"/>
        <w:tabs>
          <w:tab w:val="left" w:pos="567"/>
        </w:tabs>
        <w:autoSpaceDE w:val="0"/>
        <w:autoSpaceDN w:val="0"/>
        <w:adjustRightInd w:val="0"/>
        <w:spacing w:after="160" w:line="259" w:lineRule="auto"/>
        <w:rPr>
          <w:sz w:val="22"/>
          <w:szCs w:val="22"/>
          <w:lang w:eastAsia="en-US"/>
        </w:rPr>
      </w:pPr>
      <w:r>
        <w:rPr>
          <w:sz w:val="22"/>
          <w:szCs w:val="22"/>
          <w:lang w:eastAsia="en-US"/>
        </w:rPr>
        <w:t>Nevartokite šio vaisto, jeigu jums tinka kuris nors iš minėtų atvejų.</w:t>
      </w:r>
    </w:p>
    <w:p w14:paraId="27C932D0" w14:textId="77777777" w:rsidR="00023BBF" w:rsidRDefault="00E17C37">
      <w:pPr>
        <w:widowControl w:val="0"/>
        <w:ind w:left="567" w:hanging="567"/>
        <w:rPr>
          <w:b/>
          <w:sz w:val="22"/>
          <w:szCs w:val="22"/>
          <w:lang w:eastAsia="en-US"/>
        </w:rPr>
      </w:pPr>
      <w:r>
        <w:rPr>
          <w:b/>
          <w:sz w:val="22"/>
          <w:szCs w:val="22"/>
          <w:lang w:eastAsia="en-US"/>
        </w:rPr>
        <w:t>Įspėjimai ir atsargumo priemonės</w:t>
      </w:r>
    </w:p>
    <w:p w14:paraId="6CAF0CEF" w14:textId="77777777" w:rsidR="00023BBF" w:rsidRDefault="00E17C37">
      <w:pPr>
        <w:autoSpaceDE w:val="0"/>
        <w:autoSpaceDN w:val="0"/>
        <w:adjustRightInd w:val="0"/>
        <w:rPr>
          <w:rFonts w:eastAsiaTheme="minorHAnsi"/>
          <w:color w:val="000000"/>
          <w:sz w:val="22"/>
          <w:szCs w:val="22"/>
          <w:u w:val="single"/>
          <w:lang w:eastAsia="en-US"/>
        </w:rPr>
      </w:pPr>
      <w:r>
        <w:rPr>
          <w:rFonts w:eastAsiaTheme="minorHAnsi"/>
          <w:b/>
          <w:bCs/>
          <w:color w:val="000000"/>
          <w:sz w:val="22"/>
          <w:szCs w:val="22"/>
          <w:u w:val="single"/>
          <w:lang w:eastAsia="en-US"/>
        </w:rPr>
        <w:t xml:space="preserve">Pieno rūgšties </w:t>
      </w:r>
      <w:proofErr w:type="spellStart"/>
      <w:r>
        <w:rPr>
          <w:rFonts w:eastAsiaTheme="minorHAnsi"/>
          <w:b/>
          <w:bCs/>
          <w:color w:val="000000"/>
          <w:sz w:val="22"/>
          <w:szCs w:val="22"/>
          <w:u w:val="single"/>
          <w:lang w:eastAsia="en-US"/>
        </w:rPr>
        <w:t>acidozės</w:t>
      </w:r>
      <w:proofErr w:type="spellEnd"/>
      <w:r>
        <w:rPr>
          <w:rFonts w:eastAsiaTheme="minorHAnsi"/>
          <w:b/>
          <w:bCs/>
          <w:color w:val="000000"/>
          <w:sz w:val="22"/>
          <w:szCs w:val="22"/>
          <w:u w:val="single"/>
          <w:lang w:eastAsia="en-US"/>
        </w:rPr>
        <w:t xml:space="preserve"> rizika</w:t>
      </w:r>
    </w:p>
    <w:p w14:paraId="12901DF8"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gali sukelti labai retą, bet labai sunkų šalutinį poveikį, vadinamą pieno rūgšties </w:t>
      </w:r>
      <w:proofErr w:type="spellStart"/>
      <w:r>
        <w:rPr>
          <w:rFonts w:eastAsiaTheme="minorHAnsi"/>
          <w:color w:val="000000"/>
          <w:sz w:val="22"/>
          <w:szCs w:val="22"/>
          <w:lang w:eastAsia="en-US"/>
        </w:rPr>
        <w:t>acidoze</w:t>
      </w:r>
      <w:proofErr w:type="spellEnd"/>
      <w:r>
        <w:rPr>
          <w:rFonts w:eastAsiaTheme="minorHAnsi"/>
          <w:color w:val="000000"/>
          <w:sz w:val="22"/>
          <w:szCs w:val="22"/>
          <w:lang w:eastAsia="en-US"/>
        </w:rPr>
        <w:t xml:space="preserve">, ypač jei Jūsų inkstų funkcija sutrikusi. Pieno rūgšties </w:t>
      </w:r>
      <w:proofErr w:type="spellStart"/>
      <w:r>
        <w:rPr>
          <w:rFonts w:eastAsiaTheme="minorHAnsi"/>
          <w:color w:val="000000"/>
          <w:sz w:val="22"/>
          <w:szCs w:val="22"/>
          <w:lang w:eastAsia="en-US"/>
        </w:rPr>
        <w:t>acidozės</w:t>
      </w:r>
      <w:proofErr w:type="spellEnd"/>
      <w:r>
        <w:rPr>
          <w:rFonts w:eastAsiaTheme="minorHAnsi"/>
          <w:color w:val="000000"/>
          <w:sz w:val="22"/>
          <w:szCs w:val="22"/>
          <w:lang w:eastAsia="en-US"/>
        </w:rPr>
        <w:t xml:space="preserve"> pasireiškimo rizika padidėja ir esant nekontroliuojamam diabetui, sunkioms infekcijoms, ilgalaikiam badavimui arba piktnaudžiavimui alkoholiu, dehidratacijai (žr. kitą informaciją toliau), kepenų funkcijos sutrikimams ir bet kurioms sveikatos būklėms, kai sumažėja organizmo dalies aprūpinimas deguonimi (pvz., ūminei sunkiai širdies ligai).</w:t>
      </w:r>
    </w:p>
    <w:p w14:paraId="3DDA715C" w14:textId="77777777" w:rsidR="00023BBF" w:rsidRDefault="00E17C37">
      <w:pPr>
        <w:widowControl w:val="0"/>
        <w:numPr>
          <w:ilvl w:val="12"/>
          <w:numId w:val="0"/>
        </w:numPr>
        <w:ind w:right="-2"/>
        <w:rPr>
          <w:rFonts w:eastAsiaTheme="minorHAnsi"/>
          <w:color w:val="000000"/>
          <w:sz w:val="22"/>
          <w:szCs w:val="22"/>
          <w:lang w:eastAsia="en-US"/>
        </w:rPr>
      </w:pPr>
      <w:r>
        <w:rPr>
          <w:rFonts w:eastAsiaTheme="minorHAnsi"/>
          <w:color w:val="000000"/>
          <w:sz w:val="22"/>
          <w:szCs w:val="22"/>
          <w:lang w:eastAsia="en-US"/>
        </w:rPr>
        <w:t>Jeigu Jums tinka bent vienas iš pirmiau nurodytų punktų, kreipkitės į gydytoją dėl tolesnių nurodymų.</w:t>
      </w:r>
    </w:p>
    <w:p w14:paraId="003BAE18" w14:textId="77777777" w:rsidR="00023BBF" w:rsidRDefault="00E17C37">
      <w:pPr>
        <w:autoSpaceDE w:val="0"/>
        <w:autoSpaceDN w:val="0"/>
        <w:adjustRightInd w:val="0"/>
        <w:rPr>
          <w:rFonts w:eastAsiaTheme="minorHAnsi"/>
          <w:color w:val="000000"/>
          <w:sz w:val="22"/>
          <w:szCs w:val="22"/>
          <w:lang w:eastAsia="en-US"/>
        </w:rPr>
      </w:pPr>
      <w:r>
        <w:rPr>
          <w:rFonts w:eastAsiaTheme="minorHAnsi"/>
          <w:b/>
          <w:bCs/>
          <w:color w:val="000000"/>
          <w:sz w:val="22"/>
          <w:szCs w:val="22"/>
          <w:lang w:eastAsia="en-US"/>
        </w:rPr>
        <w:t xml:space="preserve">Trumpam nustokite vartoti </w:t>
      </w:r>
      <w:proofErr w:type="spellStart"/>
      <w:r>
        <w:rPr>
          <w:rFonts w:eastAsiaTheme="minorHAnsi"/>
          <w:b/>
          <w:bCs/>
          <w:color w:val="000000"/>
          <w:sz w:val="22"/>
          <w:szCs w:val="22"/>
          <w:lang w:eastAsia="en-US"/>
        </w:rPr>
        <w:t>Mexdagry</w:t>
      </w:r>
      <w:proofErr w:type="spellEnd"/>
      <w:r>
        <w:rPr>
          <w:rFonts w:eastAsiaTheme="minorHAnsi"/>
          <w:b/>
          <w:bCs/>
          <w:color w:val="000000"/>
          <w:sz w:val="22"/>
          <w:szCs w:val="22"/>
          <w:lang w:eastAsia="en-US"/>
        </w:rPr>
        <w:t xml:space="preserve">, jeigu Jums yra būklė, kuri gali būti susijusi su dehidratacija </w:t>
      </w:r>
      <w:r>
        <w:rPr>
          <w:rFonts w:eastAsiaTheme="minorHAnsi"/>
          <w:color w:val="000000"/>
          <w:sz w:val="22"/>
          <w:szCs w:val="22"/>
          <w:lang w:eastAsia="en-US"/>
        </w:rPr>
        <w:t>(reikšmingu organizmo skysčių netekimu), pvz., sunkus vėmimas, viduriavimas, karščiavimas, karščio poveikis arba mažesnis nei įprastai skysčių suvartojimas. Kreipkitės į gydytoją dėl tolesnių nurodymų.</w:t>
      </w:r>
    </w:p>
    <w:p w14:paraId="0C926FC4" w14:textId="77777777" w:rsidR="00023BBF" w:rsidRDefault="00023BBF">
      <w:pPr>
        <w:widowControl w:val="0"/>
        <w:numPr>
          <w:ilvl w:val="12"/>
          <w:numId w:val="0"/>
        </w:numPr>
        <w:ind w:right="-2"/>
        <w:rPr>
          <w:rFonts w:eastAsiaTheme="minorHAnsi"/>
          <w:color w:val="000000"/>
          <w:sz w:val="22"/>
          <w:szCs w:val="22"/>
          <w:lang w:eastAsia="en-US"/>
        </w:rPr>
      </w:pPr>
    </w:p>
    <w:p w14:paraId="68D669A6" w14:textId="77777777" w:rsidR="00023BBF" w:rsidRDefault="00E17C37">
      <w:pPr>
        <w:autoSpaceDE w:val="0"/>
        <w:autoSpaceDN w:val="0"/>
        <w:adjustRightInd w:val="0"/>
        <w:rPr>
          <w:rFonts w:eastAsiaTheme="minorHAnsi"/>
          <w:color w:val="000000"/>
          <w:sz w:val="22"/>
          <w:szCs w:val="22"/>
          <w:lang w:eastAsia="en-US"/>
        </w:rPr>
      </w:pPr>
      <w:r>
        <w:rPr>
          <w:rFonts w:eastAsiaTheme="minorHAnsi"/>
          <w:b/>
          <w:bCs/>
          <w:color w:val="000000"/>
          <w:sz w:val="22"/>
          <w:szCs w:val="22"/>
          <w:lang w:eastAsia="en-US"/>
        </w:rPr>
        <w:t xml:space="preserve">Nustokite vartoti </w:t>
      </w:r>
      <w:proofErr w:type="spellStart"/>
      <w:r>
        <w:rPr>
          <w:rFonts w:eastAsiaTheme="minorHAnsi"/>
          <w:b/>
          <w:bCs/>
          <w:color w:val="000000"/>
          <w:sz w:val="22"/>
          <w:szCs w:val="22"/>
          <w:lang w:eastAsia="en-US"/>
        </w:rPr>
        <w:t>Mexdagry</w:t>
      </w:r>
      <w:proofErr w:type="spellEnd"/>
      <w:r>
        <w:rPr>
          <w:rFonts w:eastAsiaTheme="minorHAnsi"/>
          <w:b/>
          <w:bCs/>
          <w:color w:val="000000"/>
          <w:sz w:val="22"/>
          <w:szCs w:val="22"/>
          <w:lang w:eastAsia="en-US"/>
        </w:rPr>
        <w:t xml:space="preserve"> ir nedelsdami kreipkitės į gydytoją arba artimiausią ligoninę, jeigu Jums pasireiškė pieno rūgšties </w:t>
      </w:r>
      <w:proofErr w:type="spellStart"/>
      <w:r>
        <w:rPr>
          <w:rFonts w:eastAsiaTheme="minorHAnsi"/>
          <w:b/>
          <w:bCs/>
          <w:color w:val="000000"/>
          <w:sz w:val="22"/>
          <w:szCs w:val="22"/>
          <w:lang w:eastAsia="en-US"/>
        </w:rPr>
        <w:t>acidozės</w:t>
      </w:r>
      <w:proofErr w:type="spellEnd"/>
      <w:r>
        <w:rPr>
          <w:rFonts w:eastAsiaTheme="minorHAnsi"/>
          <w:b/>
          <w:bCs/>
          <w:color w:val="000000"/>
          <w:sz w:val="22"/>
          <w:szCs w:val="22"/>
          <w:lang w:eastAsia="en-US"/>
        </w:rPr>
        <w:t xml:space="preserve"> simptomų</w:t>
      </w:r>
      <w:r>
        <w:rPr>
          <w:rFonts w:eastAsiaTheme="minorHAnsi"/>
          <w:color w:val="000000"/>
          <w:sz w:val="22"/>
          <w:szCs w:val="22"/>
          <w:lang w:eastAsia="en-US"/>
        </w:rPr>
        <w:t xml:space="preserve">, nes ši būklė gali sukelti komą. </w:t>
      </w:r>
    </w:p>
    <w:p w14:paraId="049FFD69" w14:textId="77777777" w:rsidR="00023BBF" w:rsidRDefault="00E17C37">
      <w:pPr>
        <w:widowControl w:val="0"/>
        <w:numPr>
          <w:ilvl w:val="12"/>
          <w:numId w:val="0"/>
        </w:numPr>
        <w:ind w:right="-2"/>
        <w:rPr>
          <w:rFonts w:eastAsiaTheme="minorHAnsi"/>
          <w:color w:val="000000"/>
          <w:sz w:val="22"/>
          <w:szCs w:val="22"/>
          <w:lang w:eastAsia="en-US"/>
        </w:rPr>
      </w:pPr>
      <w:r>
        <w:rPr>
          <w:rFonts w:eastAsiaTheme="minorHAnsi"/>
          <w:color w:val="000000"/>
          <w:sz w:val="22"/>
          <w:szCs w:val="22"/>
          <w:lang w:eastAsia="en-US"/>
        </w:rPr>
        <w:t xml:space="preserve">Pieno rūgšties </w:t>
      </w:r>
      <w:proofErr w:type="spellStart"/>
      <w:r>
        <w:rPr>
          <w:rFonts w:eastAsiaTheme="minorHAnsi"/>
          <w:color w:val="000000"/>
          <w:sz w:val="22"/>
          <w:szCs w:val="22"/>
          <w:lang w:eastAsia="en-US"/>
        </w:rPr>
        <w:t>acidozės</w:t>
      </w:r>
      <w:proofErr w:type="spellEnd"/>
      <w:r>
        <w:rPr>
          <w:rFonts w:eastAsiaTheme="minorHAnsi"/>
          <w:color w:val="000000"/>
          <w:sz w:val="22"/>
          <w:szCs w:val="22"/>
          <w:lang w:eastAsia="en-US"/>
        </w:rPr>
        <w:t xml:space="preserve"> simptomai gali būti:</w:t>
      </w:r>
    </w:p>
    <w:p w14:paraId="08C94FDB" w14:textId="77777777" w:rsidR="00023BBF" w:rsidRDefault="00E17C37">
      <w:pPr>
        <w:widowControl w:val="0"/>
        <w:numPr>
          <w:ilvl w:val="0"/>
          <w:numId w:val="6"/>
        </w:numPr>
        <w:tabs>
          <w:tab w:val="left" w:pos="851"/>
        </w:tabs>
        <w:ind w:left="851" w:hanging="491"/>
        <w:contextualSpacing/>
        <w:rPr>
          <w:noProof/>
          <w:sz w:val="22"/>
          <w:szCs w:val="22"/>
          <w:lang w:val="en-GB" w:eastAsia="en-US"/>
        </w:rPr>
      </w:pPr>
      <w:r>
        <w:rPr>
          <w:noProof/>
          <w:sz w:val="22"/>
          <w:szCs w:val="22"/>
          <w:lang w:val="en-GB" w:eastAsia="en-US"/>
        </w:rPr>
        <w:t>vėmimas;</w:t>
      </w:r>
    </w:p>
    <w:p w14:paraId="2E094C91" w14:textId="77777777" w:rsidR="00023BBF" w:rsidRDefault="00E17C37">
      <w:pPr>
        <w:widowControl w:val="0"/>
        <w:numPr>
          <w:ilvl w:val="0"/>
          <w:numId w:val="6"/>
        </w:numPr>
        <w:tabs>
          <w:tab w:val="left" w:pos="851"/>
        </w:tabs>
        <w:ind w:left="851" w:hanging="491"/>
        <w:contextualSpacing/>
        <w:rPr>
          <w:noProof/>
          <w:sz w:val="22"/>
          <w:szCs w:val="22"/>
          <w:lang w:val="en-GB" w:eastAsia="en-US"/>
        </w:rPr>
      </w:pPr>
      <w:r>
        <w:rPr>
          <w:rFonts w:eastAsiaTheme="minorHAnsi"/>
          <w:color w:val="000000"/>
          <w:sz w:val="22"/>
          <w:szCs w:val="22"/>
          <w:lang w:eastAsia="en-US"/>
        </w:rPr>
        <w:t>pilvo skausmas;</w:t>
      </w:r>
    </w:p>
    <w:p w14:paraId="35CB1F82" w14:textId="77777777" w:rsidR="00023BBF" w:rsidRDefault="00E17C37">
      <w:pPr>
        <w:widowControl w:val="0"/>
        <w:numPr>
          <w:ilvl w:val="0"/>
          <w:numId w:val="6"/>
        </w:numPr>
        <w:tabs>
          <w:tab w:val="left" w:pos="851"/>
        </w:tabs>
        <w:ind w:left="851" w:hanging="491"/>
        <w:contextualSpacing/>
        <w:rPr>
          <w:noProof/>
          <w:sz w:val="22"/>
          <w:szCs w:val="22"/>
          <w:lang w:val="en-GB" w:eastAsia="en-US"/>
        </w:rPr>
      </w:pPr>
      <w:r>
        <w:rPr>
          <w:rFonts w:eastAsiaTheme="minorHAnsi"/>
          <w:color w:val="000000"/>
          <w:sz w:val="22"/>
          <w:szCs w:val="22"/>
          <w:lang w:eastAsia="en-US"/>
        </w:rPr>
        <w:t>raumenų mėšlungis;</w:t>
      </w:r>
    </w:p>
    <w:p w14:paraId="4C8486FB" w14:textId="77777777" w:rsidR="00023BBF" w:rsidRDefault="00E17C37">
      <w:pPr>
        <w:widowControl w:val="0"/>
        <w:numPr>
          <w:ilvl w:val="0"/>
          <w:numId w:val="6"/>
        </w:numPr>
        <w:tabs>
          <w:tab w:val="left" w:pos="851"/>
        </w:tabs>
        <w:ind w:left="851" w:hanging="491"/>
        <w:contextualSpacing/>
        <w:rPr>
          <w:noProof/>
          <w:sz w:val="22"/>
          <w:szCs w:val="22"/>
          <w:lang w:val="pt-PT" w:eastAsia="en-US"/>
        </w:rPr>
      </w:pPr>
      <w:r>
        <w:rPr>
          <w:rFonts w:eastAsiaTheme="minorHAnsi"/>
          <w:color w:val="000000"/>
          <w:sz w:val="22"/>
          <w:szCs w:val="22"/>
          <w:lang w:eastAsia="en-US"/>
        </w:rPr>
        <w:t>bendras prastos savijautos pojūtis su dideliu nuovargiu;</w:t>
      </w:r>
    </w:p>
    <w:p w14:paraId="133B3356" w14:textId="77777777" w:rsidR="00023BBF" w:rsidRDefault="00E17C37">
      <w:pPr>
        <w:widowControl w:val="0"/>
        <w:numPr>
          <w:ilvl w:val="0"/>
          <w:numId w:val="6"/>
        </w:numPr>
        <w:tabs>
          <w:tab w:val="left" w:pos="851"/>
        </w:tabs>
        <w:ind w:left="851" w:hanging="491"/>
        <w:contextualSpacing/>
        <w:rPr>
          <w:noProof/>
          <w:sz w:val="22"/>
          <w:szCs w:val="22"/>
          <w:lang w:val="en-GB" w:eastAsia="en-US"/>
        </w:rPr>
      </w:pPr>
      <w:r>
        <w:rPr>
          <w:rFonts w:eastAsiaTheme="minorHAnsi"/>
          <w:color w:val="000000"/>
          <w:sz w:val="22"/>
          <w:szCs w:val="22"/>
          <w:lang w:eastAsia="en-US"/>
        </w:rPr>
        <w:t>pasunkėjęs kvėpavimas;</w:t>
      </w:r>
    </w:p>
    <w:p w14:paraId="612D3026" w14:textId="77777777" w:rsidR="00023BBF" w:rsidRDefault="00E17C37">
      <w:pPr>
        <w:widowControl w:val="0"/>
        <w:numPr>
          <w:ilvl w:val="0"/>
          <w:numId w:val="6"/>
        </w:numPr>
        <w:tabs>
          <w:tab w:val="left" w:pos="851"/>
        </w:tabs>
        <w:ind w:left="851" w:hanging="491"/>
        <w:contextualSpacing/>
        <w:rPr>
          <w:noProof/>
          <w:sz w:val="22"/>
          <w:szCs w:val="22"/>
          <w:lang w:val="pt-PT" w:eastAsia="en-US"/>
        </w:rPr>
      </w:pPr>
      <w:r>
        <w:rPr>
          <w:rFonts w:eastAsiaTheme="minorHAnsi"/>
          <w:color w:val="000000"/>
          <w:sz w:val="22"/>
          <w:szCs w:val="22"/>
          <w:lang w:eastAsia="en-US"/>
        </w:rPr>
        <w:t>sumažėjusi kūno temperatūra ir retas širdies plakimas.</w:t>
      </w:r>
    </w:p>
    <w:p w14:paraId="1D9D0DB4" w14:textId="77777777" w:rsidR="00023BBF" w:rsidRDefault="00023BBF">
      <w:pPr>
        <w:autoSpaceDE w:val="0"/>
        <w:autoSpaceDN w:val="0"/>
        <w:adjustRightInd w:val="0"/>
        <w:rPr>
          <w:rFonts w:eastAsiaTheme="minorHAnsi"/>
          <w:color w:val="000000"/>
          <w:sz w:val="22"/>
          <w:szCs w:val="22"/>
          <w:lang w:eastAsia="en-US"/>
        </w:rPr>
      </w:pPr>
    </w:p>
    <w:p w14:paraId="2D237B72"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Pieno rūgšties </w:t>
      </w:r>
      <w:proofErr w:type="spellStart"/>
      <w:r>
        <w:rPr>
          <w:rFonts w:eastAsiaTheme="minorHAnsi"/>
          <w:color w:val="000000"/>
          <w:sz w:val="22"/>
          <w:szCs w:val="22"/>
          <w:lang w:eastAsia="en-US"/>
        </w:rPr>
        <w:t>acidozė</w:t>
      </w:r>
      <w:proofErr w:type="spellEnd"/>
      <w:r>
        <w:rPr>
          <w:rFonts w:eastAsiaTheme="minorHAnsi"/>
          <w:color w:val="000000"/>
          <w:sz w:val="22"/>
          <w:szCs w:val="22"/>
          <w:lang w:eastAsia="en-US"/>
        </w:rPr>
        <w:t xml:space="preserve"> yra rimtas sutrikimas, kuris turi būti gydomas ligoninėje.</w:t>
      </w:r>
    </w:p>
    <w:p w14:paraId="4543A213" w14:textId="77777777" w:rsidR="00023BBF" w:rsidRDefault="00023BBF">
      <w:pPr>
        <w:autoSpaceDE w:val="0"/>
        <w:autoSpaceDN w:val="0"/>
        <w:adjustRightInd w:val="0"/>
        <w:rPr>
          <w:rFonts w:eastAsiaTheme="minorHAnsi"/>
          <w:b/>
          <w:bCs/>
          <w:color w:val="000000"/>
          <w:sz w:val="22"/>
          <w:szCs w:val="22"/>
          <w:lang w:eastAsia="en-US"/>
        </w:rPr>
      </w:pPr>
    </w:p>
    <w:p w14:paraId="4EAD8EB0" w14:textId="77777777" w:rsidR="00023BBF" w:rsidRDefault="00E17C37">
      <w:pPr>
        <w:autoSpaceDE w:val="0"/>
        <w:autoSpaceDN w:val="0"/>
        <w:adjustRightInd w:val="0"/>
        <w:rPr>
          <w:rFonts w:eastAsiaTheme="minorHAnsi"/>
          <w:b/>
          <w:bCs/>
          <w:color w:val="000000"/>
          <w:sz w:val="22"/>
          <w:szCs w:val="22"/>
          <w:lang w:eastAsia="en-US"/>
        </w:rPr>
      </w:pPr>
      <w:r>
        <w:rPr>
          <w:rFonts w:eastAsiaTheme="minorHAnsi"/>
          <w:b/>
          <w:bCs/>
          <w:color w:val="000000"/>
          <w:sz w:val="22"/>
          <w:szCs w:val="22"/>
          <w:lang w:eastAsia="en-US"/>
        </w:rPr>
        <w:t>Nedelsdami kreipkitės į gydytoją dėl tolesnių nurodymų, jeigu:</w:t>
      </w:r>
    </w:p>
    <w:p w14:paraId="7347E354" w14:textId="77777777" w:rsidR="00023BBF" w:rsidRDefault="00E17C37">
      <w:pPr>
        <w:numPr>
          <w:ilvl w:val="0"/>
          <w:numId w:val="30"/>
        </w:numPr>
        <w:contextualSpacing/>
        <w:rPr>
          <w:b/>
          <w:bCs/>
          <w:sz w:val="22"/>
          <w:szCs w:val="18"/>
          <w:lang w:eastAsia="sl-SI"/>
        </w:rPr>
      </w:pPr>
      <w:r>
        <w:rPr>
          <w:rFonts w:eastAsiaTheme="minorHAnsi"/>
          <w:color w:val="000000"/>
          <w:sz w:val="22"/>
          <w:szCs w:val="22"/>
          <w:lang w:eastAsia="en-US"/>
        </w:rPr>
        <w:t xml:space="preserve">Jums diagnozuota genetiškai paveldima liga, pažeidžianti </w:t>
      </w:r>
      <w:proofErr w:type="spellStart"/>
      <w:r>
        <w:rPr>
          <w:rFonts w:eastAsiaTheme="minorHAnsi"/>
          <w:color w:val="000000"/>
          <w:sz w:val="22"/>
          <w:szCs w:val="22"/>
          <w:lang w:eastAsia="en-US"/>
        </w:rPr>
        <w:t>mitochondrijas</w:t>
      </w:r>
      <w:proofErr w:type="spellEnd"/>
      <w:r>
        <w:rPr>
          <w:rFonts w:eastAsiaTheme="minorHAnsi"/>
          <w:color w:val="000000"/>
          <w:sz w:val="22"/>
          <w:szCs w:val="22"/>
          <w:lang w:eastAsia="en-US"/>
        </w:rPr>
        <w:t xml:space="preserve"> (energiją gaminančius ląstelių komponentus), pvz., </w:t>
      </w:r>
      <w:r>
        <w:rPr>
          <w:rFonts w:eastAsiaTheme="minorHAnsi"/>
          <w:i/>
          <w:iCs/>
          <w:color w:val="000000"/>
          <w:sz w:val="22"/>
          <w:szCs w:val="22"/>
          <w:lang w:eastAsia="en-US"/>
        </w:rPr>
        <w:t xml:space="preserve">MELAS </w:t>
      </w:r>
      <w:r>
        <w:rPr>
          <w:rFonts w:eastAsiaTheme="minorHAnsi"/>
          <w:color w:val="000000"/>
          <w:sz w:val="22"/>
          <w:szCs w:val="22"/>
          <w:lang w:eastAsia="en-US"/>
        </w:rPr>
        <w:t>sindromas (</w:t>
      </w:r>
      <w:proofErr w:type="spellStart"/>
      <w:r>
        <w:rPr>
          <w:rFonts w:eastAsiaTheme="minorHAnsi"/>
          <w:color w:val="000000"/>
          <w:sz w:val="22"/>
          <w:szCs w:val="22"/>
          <w:lang w:eastAsia="en-US"/>
        </w:rPr>
        <w:t>mitochondrinė</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encefalopatija</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miopatija</w:t>
      </w:r>
      <w:proofErr w:type="spellEnd"/>
      <w:r>
        <w:rPr>
          <w:rFonts w:eastAsiaTheme="minorHAnsi"/>
          <w:color w:val="000000"/>
          <w:sz w:val="22"/>
          <w:szCs w:val="22"/>
          <w:lang w:eastAsia="en-US"/>
        </w:rPr>
        <w:t xml:space="preserve">, pieno rūgšties </w:t>
      </w:r>
      <w:proofErr w:type="spellStart"/>
      <w:r>
        <w:rPr>
          <w:rFonts w:eastAsiaTheme="minorHAnsi"/>
          <w:color w:val="000000"/>
          <w:sz w:val="22"/>
          <w:szCs w:val="22"/>
          <w:lang w:eastAsia="en-US"/>
        </w:rPr>
        <w:t>acidozė</w:t>
      </w:r>
      <w:proofErr w:type="spellEnd"/>
      <w:r>
        <w:rPr>
          <w:rFonts w:eastAsiaTheme="minorHAnsi"/>
          <w:color w:val="000000"/>
          <w:sz w:val="22"/>
          <w:szCs w:val="22"/>
          <w:lang w:eastAsia="en-US"/>
        </w:rPr>
        <w:t xml:space="preserve"> ir į insultą panašūs epizodai) arba iš motinos paveldimas diabetas ir kurtumas (</w:t>
      </w:r>
      <w:r>
        <w:rPr>
          <w:rFonts w:eastAsiaTheme="minorHAnsi"/>
          <w:i/>
          <w:iCs/>
          <w:color w:val="000000"/>
          <w:sz w:val="22"/>
          <w:szCs w:val="22"/>
          <w:lang w:eastAsia="en-US"/>
        </w:rPr>
        <w:t>MIDD</w:t>
      </w:r>
      <w:r>
        <w:rPr>
          <w:rFonts w:eastAsiaTheme="minorHAnsi"/>
          <w:color w:val="000000"/>
          <w:sz w:val="22"/>
          <w:szCs w:val="22"/>
          <w:lang w:eastAsia="en-US"/>
        </w:rPr>
        <w:t>);</w:t>
      </w:r>
    </w:p>
    <w:p w14:paraId="27E91536" w14:textId="77777777" w:rsidR="00023BBF" w:rsidRDefault="00E17C37">
      <w:pPr>
        <w:numPr>
          <w:ilvl w:val="0"/>
          <w:numId w:val="30"/>
        </w:numPr>
        <w:contextualSpacing/>
        <w:rPr>
          <w:b/>
          <w:bCs/>
          <w:sz w:val="22"/>
          <w:szCs w:val="18"/>
          <w:lang w:eastAsia="sl-SI"/>
        </w:rPr>
      </w:pPr>
      <w:r>
        <w:rPr>
          <w:rFonts w:eastAsiaTheme="minorHAnsi"/>
          <w:color w:val="000000"/>
          <w:sz w:val="22"/>
          <w:szCs w:val="22"/>
          <w:lang w:eastAsia="en-US"/>
        </w:rPr>
        <w:t xml:space="preserve">pradėjus vartoti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Jums pasireiškė bet kuris iš šių simptomų: traukuliai, pablogėjo pažintiniai gebėjimai, sutriko kūno judesiai, atsirado simptomų, rodančių nervų pažeidimą (pvz., skausmas arba tirpimas), migrena ir kurtumas.</w:t>
      </w:r>
    </w:p>
    <w:p w14:paraId="33DF90A9" w14:textId="77777777" w:rsidR="00023BBF" w:rsidRDefault="00023BBF">
      <w:pPr>
        <w:widowControl w:val="0"/>
        <w:numPr>
          <w:ilvl w:val="12"/>
          <w:numId w:val="0"/>
        </w:numPr>
        <w:ind w:right="-2"/>
        <w:rPr>
          <w:snapToGrid w:val="0"/>
          <w:sz w:val="22"/>
          <w:szCs w:val="22"/>
          <w:lang w:eastAsia="en-US"/>
        </w:rPr>
      </w:pPr>
    </w:p>
    <w:p w14:paraId="22BD6748" w14:textId="77777777" w:rsidR="00023BBF" w:rsidRDefault="00E17C37">
      <w:pPr>
        <w:autoSpaceDE w:val="0"/>
        <w:autoSpaceDN w:val="0"/>
        <w:adjustRightInd w:val="0"/>
        <w:rPr>
          <w:rFonts w:eastAsiaTheme="minorHAnsi"/>
          <w:b/>
          <w:bCs/>
          <w:color w:val="000000"/>
          <w:sz w:val="22"/>
          <w:szCs w:val="22"/>
          <w:lang w:eastAsia="en-US"/>
        </w:rPr>
      </w:pPr>
      <w:r>
        <w:rPr>
          <w:rFonts w:eastAsiaTheme="minorHAnsi"/>
          <w:b/>
          <w:bCs/>
          <w:color w:val="000000"/>
          <w:sz w:val="22"/>
          <w:szCs w:val="22"/>
          <w:lang w:eastAsia="en-US"/>
        </w:rPr>
        <w:lastRenderedPageBreak/>
        <w:t xml:space="preserve">Prieš pradėdami vartoti </w:t>
      </w:r>
      <w:proofErr w:type="spellStart"/>
      <w:r>
        <w:rPr>
          <w:rFonts w:eastAsiaTheme="minorHAnsi"/>
          <w:b/>
          <w:bCs/>
          <w:color w:val="000000"/>
          <w:sz w:val="22"/>
          <w:szCs w:val="22"/>
          <w:lang w:eastAsia="en-US"/>
        </w:rPr>
        <w:t>Mexdagry</w:t>
      </w:r>
      <w:proofErr w:type="spellEnd"/>
      <w:r>
        <w:rPr>
          <w:rFonts w:eastAsiaTheme="minorHAnsi"/>
          <w:b/>
          <w:bCs/>
          <w:color w:val="000000"/>
          <w:sz w:val="22"/>
          <w:szCs w:val="22"/>
          <w:lang w:eastAsia="en-US"/>
        </w:rPr>
        <w:t xml:space="preserve"> ir jį vartodami, pasakykite gydytojui, vaistininkui arba slaugytojai:</w:t>
      </w:r>
    </w:p>
    <w:p w14:paraId="572FFE5C"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 xml:space="preserve">jeigu sergate 1 tipo diabetu (juo dažniausiai susergama jauname amžiuje, o sergant organizmas visai negamina insulino) – šiai ligai gydyti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vartoti negalima;</w:t>
      </w:r>
    </w:p>
    <w:p w14:paraId="673DFB04"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 xml:space="preserve">jeigu pradėjo greitai mažėti Jūsų svoris, pasireiškia pykinimas ar vėmimas, pilvo skausmas, didelis troškulys, dažnas ir gilus kvėpavimas, sumišimas, neįprastas mieguistumas ar nuovargis, saldus kvapas iš burnos, saldus ar metalo skonis, </w:t>
      </w:r>
      <w:proofErr w:type="spellStart"/>
      <w:r>
        <w:rPr>
          <w:rFonts w:eastAsiaTheme="minorHAnsi"/>
          <w:color w:val="000000"/>
          <w:sz w:val="22"/>
          <w:szCs w:val="22"/>
          <w:lang w:eastAsia="en-US"/>
        </w:rPr>
        <w:t>pakistęs</w:t>
      </w:r>
      <w:proofErr w:type="spellEnd"/>
      <w:r>
        <w:rPr>
          <w:rFonts w:eastAsiaTheme="minorHAnsi"/>
          <w:color w:val="000000"/>
          <w:sz w:val="22"/>
          <w:szCs w:val="22"/>
          <w:lang w:eastAsia="en-US"/>
        </w:rPr>
        <w:t xml:space="preserve"> šlapimo ar prakaito kvapas, nedelsdami kreipkitės į gydytoją arba vykite į artimiausią ligoninę. Šie simptomai gali rodyti diabetinę </w:t>
      </w:r>
      <w:proofErr w:type="spellStart"/>
      <w:r>
        <w:rPr>
          <w:rFonts w:eastAsiaTheme="minorHAnsi"/>
          <w:color w:val="000000"/>
          <w:sz w:val="22"/>
          <w:szCs w:val="22"/>
          <w:lang w:eastAsia="en-US"/>
        </w:rPr>
        <w:t>ketoacidozę</w:t>
      </w:r>
      <w:proofErr w:type="spellEnd"/>
      <w:r>
        <w:rPr>
          <w:rFonts w:eastAsiaTheme="minorHAnsi"/>
          <w:color w:val="000000"/>
          <w:sz w:val="22"/>
          <w:szCs w:val="22"/>
          <w:lang w:eastAsia="en-US"/>
        </w:rPr>
        <w:t xml:space="preserve"> – retą, bet sunkią ir kartais pavojingą gyvybei būklę, kuri gali pasireikšti sergant cukriniu diabetu, kai padidėja </w:t>
      </w:r>
      <w:proofErr w:type="spellStart"/>
      <w:r>
        <w:rPr>
          <w:rFonts w:eastAsiaTheme="minorHAnsi"/>
          <w:color w:val="000000"/>
          <w:sz w:val="22"/>
          <w:szCs w:val="22"/>
          <w:lang w:eastAsia="en-US"/>
        </w:rPr>
        <w:t>ketoninių</w:t>
      </w:r>
      <w:proofErr w:type="spellEnd"/>
      <w:r>
        <w:rPr>
          <w:rFonts w:eastAsiaTheme="minorHAnsi"/>
          <w:color w:val="000000"/>
          <w:sz w:val="22"/>
          <w:szCs w:val="22"/>
          <w:lang w:eastAsia="en-US"/>
        </w:rPr>
        <w:t xml:space="preserve"> kūnų kiekis kraujyje ir šlapime (tai nustatoma atliekant tyrimus). Diabetinės </w:t>
      </w:r>
      <w:proofErr w:type="spellStart"/>
      <w:r>
        <w:rPr>
          <w:rFonts w:eastAsiaTheme="minorHAnsi"/>
          <w:color w:val="000000"/>
          <w:sz w:val="22"/>
          <w:szCs w:val="22"/>
          <w:lang w:eastAsia="en-US"/>
        </w:rPr>
        <w:t>ketoacidozės</w:t>
      </w:r>
      <w:proofErr w:type="spellEnd"/>
      <w:r>
        <w:rPr>
          <w:rFonts w:eastAsiaTheme="minorHAnsi"/>
          <w:color w:val="000000"/>
          <w:sz w:val="22"/>
          <w:szCs w:val="22"/>
          <w:lang w:eastAsia="en-US"/>
        </w:rPr>
        <w:t xml:space="preserve"> išsivystymo rizika gali padidėti ilgai badaujant, piktnaudžiaujant alkoholiniais gėrimais, netekus daug skysčių, greitai sumažinus insulino dozę arba padidėjus jo poreikiui dėl didelės apimties operacijos arba sunkios ligos;</w:t>
      </w:r>
    </w:p>
    <w:p w14:paraId="4FD3C25C"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jeigu turite inkstų sutrikimų (tuomet Jūsų gydytojas tirs jų funkciją);</w:t>
      </w:r>
    </w:p>
    <w:p w14:paraId="09D43192"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jeigu gliukozės kiekis Jūsų kraujyje yra labai didelis (dėl jo gali pasireikšti dehidratacija – per didelio skysčio kiekio netekimas). Galimi dehidratacijos požymiai išvardyti 4 skyriuje. Jeigu jaučiate bent vieną iš ten išvardytų sutrikimų, apie tai pasakykite gydytojui, prieš pradėdami vartoti šio vaisto;</w:t>
      </w:r>
    </w:p>
    <w:p w14:paraId="2C7E61F7"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jeigu Jūs vartojate kraujospūdį mažinančių (</w:t>
      </w:r>
      <w:proofErr w:type="spellStart"/>
      <w:r>
        <w:rPr>
          <w:rFonts w:eastAsiaTheme="minorHAnsi"/>
          <w:color w:val="000000"/>
          <w:sz w:val="22"/>
          <w:szCs w:val="22"/>
          <w:lang w:eastAsia="en-US"/>
        </w:rPr>
        <w:t>antihipertenzinių</w:t>
      </w:r>
      <w:proofErr w:type="spellEnd"/>
      <w:r>
        <w:rPr>
          <w:rFonts w:eastAsiaTheme="minorHAnsi"/>
          <w:color w:val="000000"/>
          <w:sz w:val="22"/>
          <w:szCs w:val="22"/>
          <w:lang w:eastAsia="en-US"/>
        </w:rPr>
        <w:t xml:space="preserve">) vaistų arba Jūsų kraujospūdis yra ar buvo sumažėjęs (ši būklė vadinama </w:t>
      </w:r>
      <w:proofErr w:type="spellStart"/>
      <w:r>
        <w:rPr>
          <w:rFonts w:eastAsiaTheme="minorHAnsi"/>
          <w:color w:val="000000"/>
          <w:sz w:val="22"/>
          <w:szCs w:val="22"/>
          <w:lang w:eastAsia="en-US"/>
        </w:rPr>
        <w:t>hipotenzija</w:t>
      </w:r>
      <w:proofErr w:type="spellEnd"/>
      <w:r>
        <w:rPr>
          <w:rFonts w:eastAsiaTheme="minorHAnsi"/>
          <w:color w:val="000000"/>
          <w:sz w:val="22"/>
          <w:szCs w:val="22"/>
          <w:lang w:eastAsia="en-US"/>
        </w:rPr>
        <w:t xml:space="preserve">). Daugiau informacijos apie tai pateikiama žemiau, skyriuje „Kiti vaistai ir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w:t>
      </w:r>
    </w:p>
    <w:p w14:paraId="078115DA"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jeigu Jums dažnai kartojasi šlapimo takų infekcijos (šis vaistas gali sukelti šlapimo takų infekcijas, todėl gydytojas gali nuspręsti dažniau tirti Jūsų būklę. Jeigu pasireiškia sunki infekcija, Jūsų gydytojas gali svarstyti būtinybę laikinai pakeisti gydymą).</w:t>
      </w:r>
    </w:p>
    <w:p w14:paraId="7E300CDB" w14:textId="77777777" w:rsidR="00023BBF" w:rsidRDefault="00023BBF">
      <w:pPr>
        <w:widowControl w:val="0"/>
        <w:numPr>
          <w:ilvl w:val="12"/>
          <w:numId w:val="0"/>
        </w:numPr>
        <w:ind w:left="567" w:hanging="567"/>
        <w:outlineLvl w:val="0"/>
        <w:rPr>
          <w:sz w:val="22"/>
          <w:szCs w:val="22"/>
          <w:lang w:eastAsia="en-US"/>
        </w:rPr>
      </w:pPr>
    </w:p>
    <w:p w14:paraId="146A2466"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Jeigu Jums reikia atlikti didelę operaciją, turite nustoti vartoti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procedūros metu ir kurį laiką po procedūros. Gydytojas nuspręs, kada turite nustoti ir kada vėl pradėti vartoti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w:t>
      </w:r>
    </w:p>
    <w:p w14:paraId="470313D4" w14:textId="77777777" w:rsidR="00023BBF" w:rsidRDefault="00023BBF">
      <w:pPr>
        <w:autoSpaceDE w:val="0"/>
        <w:autoSpaceDN w:val="0"/>
        <w:adjustRightInd w:val="0"/>
        <w:rPr>
          <w:rFonts w:eastAsiaTheme="minorHAnsi"/>
          <w:color w:val="000000"/>
          <w:sz w:val="22"/>
          <w:szCs w:val="22"/>
          <w:lang w:eastAsia="en-US"/>
        </w:rPr>
      </w:pPr>
    </w:p>
    <w:p w14:paraId="5C1C7D63"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Jums svarbu reguliariai tikrinti pėdas ir laikytis visų kitų sveikatos priežiūros specialistų patarimų dėl jų priežiūros.</w:t>
      </w:r>
    </w:p>
    <w:p w14:paraId="4C0322D8" w14:textId="77777777" w:rsidR="00023BBF" w:rsidRDefault="00023BBF">
      <w:pPr>
        <w:autoSpaceDE w:val="0"/>
        <w:autoSpaceDN w:val="0"/>
        <w:adjustRightInd w:val="0"/>
        <w:rPr>
          <w:rFonts w:eastAsiaTheme="minorHAnsi"/>
          <w:color w:val="000000"/>
          <w:sz w:val="22"/>
          <w:szCs w:val="22"/>
          <w:lang w:eastAsia="en-US"/>
        </w:rPr>
      </w:pPr>
    </w:p>
    <w:p w14:paraId="2F5C972E"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Jeigu turite kurią nors iš aukščiau išvardytų problemų arba dėl to abejojate, pasitarkite su gydytoju, vaistininku arba slaugytoja, prieš pradėdami vartoti šio vaisto.</w:t>
      </w:r>
    </w:p>
    <w:p w14:paraId="0E2089F8" w14:textId="77777777" w:rsidR="00023BBF" w:rsidRDefault="00023BBF">
      <w:pPr>
        <w:autoSpaceDE w:val="0"/>
        <w:autoSpaceDN w:val="0"/>
        <w:adjustRightInd w:val="0"/>
        <w:rPr>
          <w:rFonts w:eastAsiaTheme="minorHAnsi"/>
          <w:color w:val="000000"/>
          <w:sz w:val="22"/>
          <w:szCs w:val="22"/>
          <w:lang w:eastAsia="en-US"/>
        </w:rPr>
      </w:pPr>
    </w:p>
    <w:p w14:paraId="1159A2CC"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Nedelsdami kreipkitės į savo gydytoją, jeigu Jums pasireiškia skausmas lyties organų srityje arba srityje tarp lyties organų ir išangės, arba tos vietos taptų skausmingos, jos paraustų arba patintų, taip pat pradėtumėte karščiuoti arba pasijustumėte blogai. Šie simptomai gali būti retos, bet rimtos ar net grėsmę gyvybei keliančios infekcijos, vadinamos </w:t>
      </w:r>
      <w:proofErr w:type="spellStart"/>
      <w:r>
        <w:rPr>
          <w:rFonts w:eastAsiaTheme="minorHAnsi"/>
          <w:color w:val="000000"/>
          <w:sz w:val="22"/>
          <w:szCs w:val="22"/>
          <w:lang w:eastAsia="en-US"/>
        </w:rPr>
        <w:t>tarpvietės</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nekrozuojančiu</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fascitu</w:t>
      </w:r>
      <w:proofErr w:type="spellEnd"/>
      <w:r>
        <w:rPr>
          <w:rFonts w:eastAsiaTheme="minorHAnsi"/>
          <w:color w:val="000000"/>
          <w:sz w:val="22"/>
          <w:szCs w:val="22"/>
          <w:lang w:eastAsia="en-US"/>
        </w:rPr>
        <w:t xml:space="preserve"> arba </w:t>
      </w:r>
      <w:proofErr w:type="spellStart"/>
      <w:r>
        <w:rPr>
          <w:rFonts w:eastAsiaTheme="minorHAnsi"/>
          <w:i/>
          <w:iCs/>
          <w:color w:val="000000"/>
          <w:sz w:val="22"/>
          <w:szCs w:val="22"/>
          <w:lang w:eastAsia="en-US"/>
        </w:rPr>
        <w:t>Fournier</w:t>
      </w:r>
      <w:proofErr w:type="spellEnd"/>
      <w:r>
        <w:rPr>
          <w:rFonts w:eastAsiaTheme="minorHAnsi"/>
          <w:i/>
          <w:iCs/>
          <w:color w:val="000000"/>
          <w:sz w:val="22"/>
          <w:szCs w:val="22"/>
          <w:lang w:eastAsia="en-US"/>
        </w:rPr>
        <w:t xml:space="preserve"> </w:t>
      </w:r>
      <w:r>
        <w:rPr>
          <w:rFonts w:eastAsiaTheme="minorHAnsi"/>
          <w:color w:val="000000"/>
          <w:sz w:val="22"/>
          <w:szCs w:val="22"/>
          <w:lang w:eastAsia="en-US"/>
        </w:rPr>
        <w:t xml:space="preserve">gangrena, kuri sunaikina poodinį audinį, požymis. </w:t>
      </w:r>
      <w:proofErr w:type="spellStart"/>
      <w:r>
        <w:rPr>
          <w:rFonts w:eastAsiaTheme="minorHAnsi"/>
          <w:i/>
          <w:iCs/>
          <w:color w:val="000000"/>
          <w:sz w:val="22"/>
          <w:szCs w:val="22"/>
          <w:lang w:eastAsia="en-US"/>
        </w:rPr>
        <w:t>Fournier</w:t>
      </w:r>
      <w:proofErr w:type="spellEnd"/>
      <w:r>
        <w:rPr>
          <w:rFonts w:eastAsiaTheme="minorHAnsi"/>
          <w:i/>
          <w:iCs/>
          <w:color w:val="000000"/>
          <w:sz w:val="22"/>
          <w:szCs w:val="22"/>
          <w:lang w:eastAsia="en-US"/>
        </w:rPr>
        <w:t xml:space="preserve"> </w:t>
      </w:r>
      <w:r>
        <w:rPr>
          <w:rFonts w:eastAsiaTheme="minorHAnsi"/>
          <w:color w:val="000000"/>
          <w:sz w:val="22"/>
          <w:szCs w:val="22"/>
          <w:lang w:eastAsia="en-US"/>
        </w:rPr>
        <w:t>gangreną būtina nedelsiant gydyti.</w:t>
      </w:r>
    </w:p>
    <w:p w14:paraId="36C72C53" w14:textId="77777777" w:rsidR="00023BBF" w:rsidRDefault="00023BBF">
      <w:pPr>
        <w:autoSpaceDE w:val="0"/>
        <w:autoSpaceDN w:val="0"/>
        <w:adjustRightInd w:val="0"/>
        <w:rPr>
          <w:rFonts w:eastAsiaTheme="minorHAnsi"/>
          <w:color w:val="000000"/>
          <w:sz w:val="22"/>
          <w:szCs w:val="22"/>
          <w:lang w:eastAsia="en-US"/>
        </w:rPr>
      </w:pPr>
    </w:p>
    <w:p w14:paraId="11FC392F" w14:textId="77777777" w:rsidR="00023BBF" w:rsidRDefault="00E17C37">
      <w:pPr>
        <w:autoSpaceDE w:val="0"/>
        <w:autoSpaceDN w:val="0"/>
        <w:adjustRightInd w:val="0"/>
        <w:rPr>
          <w:rFonts w:eastAsiaTheme="minorHAnsi"/>
          <w:color w:val="000000"/>
          <w:sz w:val="22"/>
          <w:szCs w:val="22"/>
          <w:lang w:eastAsia="en-US"/>
        </w:rPr>
      </w:pPr>
      <w:r>
        <w:rPr>
          <w:rFonts w:eastAsiaTheme="minorHAnsi"/>
          <w:b/>
          <w:bCs/>
          <w:color w:val="000000"/>
          <w:sz w:val="22"/>
          <w:szCs w:val="22"/>
          <w:lang w:eastAsia="en-US"/>
        </w:rPr>
        <w:t>Inkstų funkcija</w:t>
      </w:r>
    </w:p>
    <w:p w14:paraId="142A6910"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Jeigu esate senyvo amžiaus ir (arba) Jūsų inkstų funkcija yra susilpnėjusi, gydymo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metu gydytojas tikrins Jūsų inkstų funkciją mažiausiai kartą per metus arba dažniau.</w:t>
      </w:r>
    </w:p>
    <w:p w14:paraId="3A0D4C00" w14:textId="77777777" w:rsidR="00023BBF" w:rsidRDefault="00023BBF">
      <w:pPr>
        <w:autoSpaceDE w:val="0"/>
        <w:autoSpaceDN w:val="0"/>
        <w:adjustRightInd w:val="0"/>
        <w:rPr>
          <w:rFonts w:eastAsiaTheme="minorHAnsi"/>
          <w:color w:val="000000"/>
          <w:sz w:val="22"/>
          <w:szCs w:val="22"/>
          <w:lang w:eastAsia="en-US"/>
        </w:rPr>
      </w:pPr>
    </w:p>
    <w:p w14:paraId="2B2976E4" w14:textId="77777777" w:rsidR="00023BBF" w:rsidRDefault="00E17C37">
      <w:pPr>
        <w:autoSpaceDE w:val="0"/>
        <w:autoSpaceDN w:val="0"/>
        <w:adjustRightInd w:val="0"/>
        <w:rPr>
          <w:rFonts w:eastAsiaTheme="minorHAnsi"/>
          <w:color w:val="000000"/>
          <w:sz w:val="22"/>
          <w:szCs w:val="22"/>
          <w:lang w:eastAsia="en-US"/>
        </w:rPr>
      </w:pPr>
      <w:r>
        <w:rPr>
          <w:rFonts w:eastAsiaTheme="minorHAnsi"/>
          <w:b/>
          <w:bCs/>
          <w:color w:val="000000"/>
          <w:sz w:val="22"/>
          <w:szCs w:val="22"/>
          <w:lang w:eastAsia="en-US"/>
        </w:rPr>
        <w:t>Gliukozė šlapime</w:t>
      </w:r>
    </w:p>
    <w:p w14:paraId="70C2C8F7"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Dėl šio vaisto poveikio, vartojant šį vaistą, cukraus (gliukozės) šlapime mėginys bus teigiamas.</w:t>
      </w:r>
    </w:p>
    <w:p w14:paraId="7BA49826" w14:textId="77777777" w:rsidR="00023BBF" w:rsidRDefault="00023BBF">
      <w:pPr>
        <w:autoSpaceDE w:val="0"/>
        <w:autoSpaceDN w:val="0"/>
        <w:adjustRightInd w:val="0"/>
        <w:rPr>
          <w:rFonts w:eastAsiaTheme="minorHAnsi"/>
          <w:color w:val="000000"/>
          <w:sz w:val="22"/>
          <w:szCs w:val="22"/>
          <w:lang w:eastAsia="en-US"/>
        </w:rPr>
      </w:pPr>
    </w:p>
    <w:p w14:paraId="746DE3B6" w14:textId="77777777" w:rsidR="00023BBF" w:rsidRDefault="00E17C37">
      <w:pPr>
        <w:autoSpaceDE w:val="0"/>
        <w:autoSpaceDN w:val="0"/>
        <w:adjustRightInd w:val="0"/>
        <w:rPr>
          <w:rFonts w:eastAsiaTheme="minorHAnsi"/>
          <w:color w:val="000000"/>
          <w:sz w:val="22"/>
          <w:szCs w:val="22"/>
          <w:lang w:eastAsia="en-US"/>
        </w:rPr>
      </w:pPr>
      <w:r>
        <w:rPr>
          <w:rFonts w:eastAsiaTheme="minorHAnsi"/>
          <w:b/>
          <w:bCs/>
          <w:color w:val="000000"/>
          <w:sz w:val="22"/>
          <w:szCs w:val="22"/>
          <w:lang w:eastAsia="en-US"/>
        </w:rPr>
        <w:t>Vaikams ir paaugliams</w:t>
      </w:r>
    </w:p>
    <w:p w14:paraId="36C5AB56"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Vaikams ir paaugliams iki 18 metų šio vaisto vartoti nerekomenduojama, kadangi jo poveikis šiems pacientams netirtas.</w:t>
      </w:r>
    </w:p>
    <w:p w14:paraId="584AE393" w14:textId="77777777" w:rsidR="00023BBF" w:rsidRDefault="00023BBF">
      <w:pPr>
        <w:autoSpaceDE w:val="0"/>
        <w:autoSpaceDN w:val="0"/>
        <w:adjustRightInd w:val="0"/>
        <w:rPr>
          <w:rFonts w:eastAsiaTheme="minorHAnsi"/>
          <w:color w:val="000000"/>
          <w:sz w:val="22"/>
          <w:szCs w:val="22"/>
          <w:lang w:eastAsia="en-US"/>
        </w:rPr>
      </w:pPr>
    </w:p>
    <w:p w14:paraId="4C09565E" w14:textId="77777777" w:rsidR="00023BBF" w:rsidRDefault="00E17C37">
      <w:pPr>
        <w:widowControl w:val="0"/>
        <w:numPr>
          <w:ilvl w:val="12"/>
          <w:numId w:val="0"/>
        </w:numPr>
        <w:ind w:left="567" w:hanging="567"/>
        <w:outlineLvl w:val="0"/>
        <w:rPr>
          <w:rFonts w:eastAsiaTheme="minorHAnsi"/>
          <w:b/>
          <w:bCs/>
          <w:color w:val="000000"/>
          <w:sz w:val="22"/>
          <w:szCs w:val="22"/>
          <w:lang w:eastAsia="en-US"/>
        </w:rPr>
      </w:pPr>
      <w:r>
        <w:rPr>
          <w:rFonts w:eastAsiaTheme="minorHAnsi"/>
          <w:b/>
          <w:bCs/>
          <w:color w:val="000000"/>
          <w:sz w:val="22"/>
          <w:szCs w:val="22"/>
          <w:lang w:eastAsia="en-US"/>
        </w:rPr>
        <w:t xml:space="preserve">Kiti vaistai ir </w:t>
      </w:r>
      <w:proofErr w:type="spellStart"/>
      <w:r>
        <w:rPr>
          <w:rFonts w:eastAsiaTheme="minorHAnsi"/>
          <w:b/>
          <w:bCs/>
          <w:color w:val="000000"/>
          <w:sz w:val="22"/>
          <w:szCs w:val="22"/>
          <w:lang w:eastAsia="en-US"/>
        </w:rPr>
        <w:t>Mexdagry</w:t>
      </w:r>
      <w:proofErr w:type="spellEnd"/>
    </w:p>
    <w:p w14:paraId="1D43376E" w14:textId="77777777" w:rsidR="00023BBF" w:rsidRDefault="00023BBF">
      <w:pPr>
        <w:widowControl w:val="0"/>
        <w:numPr>
          <w:ilvl w:val="12"/>
          <w:numId w:val="0"/>
        </w:numPr>
        <w:ind w:left="567" w:hanging="567"/>
        <w:outlineLvl w:val="0"/>
        <w:rPr>
          <w:rFonts w:eastAsiaTheme="minorHAnsi"/>
          <w:b/>
          <w:bCs/>
          <w:color w:val="000000"/>
          <w:sz w:val="22"/>
          <w:szCs w:val="22"/>
          <w:lang w:eastAsia="en-US"/>
        </w:rPr>
      </w:pPr>
    </w:p>
    <w:p w14:paraId="36B2444A"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Jeigu Jums reikia į kraują suleisti kontrastinės medžiagos, kurios sudėtyje yra jodo, pvz., atliekant rentgeno arba skenavimo tyrimą, prieš leidžiant arba leidimo metu turite nustoti vartoti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Gydytojas nuspręs, kada turite nustoti ir kada vėl pradėti vartoti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w:t>
      </w:r>
    </w:p>
    <w:p w14:paraId="6FF28FBD" w14:textId="77777777" w:rsidR="00023BBF" w:rsidRDefault="00023BBF">
      <w:pPr>
        <w:autoSpaceDE w:val="0"/>
        <w:autoSpaceDN w:val="0"/>
        <w:adjustRightInd w:val="0"/>
        <w:rPr>
          <w:rFonts w:eastAsiaTheme="minorHAnsi"/>
          <w:color w:val="000000"/>
          <w:sz w:val="22"/>
          <w:szCs w:val="22"/>
          <w:lang w:eastAsia="en-US"/>
        </w:rPr>
      </w:pPr>
    </w:p>
    <w:p w14:paraId="47814317" w14:textId="77777777" w:rsidR="00023BBF" w:rsidRDefault="00E17C37">
      <w:pPr>
        <w:widowControl w:val="0"/>
        <w:autoSpaceDE w:val="0"/>
        <w:autoSpaceDN w:val="0"/>
        <w:adjustRightInd w:val="0"/>
        <w:rPr>
          <w:sz w:val="22"/>
          <w:szCs w:val="22"/>
        </w:rPr>
      </w:pPr>
      <w:r>
        <w:rPr>
          <w:sz w:val="22"/>
          <w:szCs w:val="22"/>
        </w:rPr>
        <w:t xml:space="preserve">Jeigu vartojate ar neseniai vartojote kitų vaistų arba dėl to nesate tikri, apie tai pasakykite gydytojui. Jums </w:t>
      </w:r>
      <w:r>
        <w:rPr>
          <w:sz w:val="22"/>
          <w:szCs w:val="22"/>
        </w:rPr>
        <w:lastRenderedPageBreak/>
        <w:t xml:space="preserve">gali reikėti dažniau tirti gliukozės kiekį kraujyje ir inkstų funkciją arba gydytojui gali reikėti koreguoti </w:t>
      </w:r>
      <w:proofErr w:type="spellStart"/>
      <w:r>
        <w:rPr>
          <w:sz w:val="22"/>
          <w:szCs w:val="22"/>
        </w:rPr>
        <w:t>Mexdagry</w:t>
      </w:r>
      <w:proofErr w:type="spellEnd"/>
      <w:r>
        <w:rPr>
          <w:sz w:val="22"/>
          <w:szCs w:val="22"/>
        </w:rPr>
        <w:t xml:space="preserve"> dozavimą. Ypač svarbu paminėti:</w:t>
      </w:r>
    </w:p>
    <w:p w14:paraId="44F7A5E4" w14:textId="77777777" w:rsidR="00023BBF" w:rsidRDefault="00E17C37">
      <w:pPr>
        <w:widowControl w:val="0"/>
        <w:numPr>
          <w:ilvl w:val="0"/>
          <w:numId w:val="25"/>
        </w:numPr>
        <w:tabs>
          <w:tab w:val="left" w:pos="567"/>
        </w:tabs>
        <w:spacing w:line="260" w:lineRule="exact"/>
        <w:ind w:left="567" w:hanging="567"/>
        <w:rPr>
          <w:noProof/>
          <w:sz w:val="20"/>
          <w:szCs w:val="20"/>
          <w:lang w:eastAsia="en-US"/>
        </w:rPr>
      </w:pPr>
      <w:r>
        <w:rPr>
          <w:rFonts w:eastAsiaTheme="minorHAnsi"/>
          <w:color w:val="000000"/>
          <w:sz w:val="22"/>
          <w:szCs w:val="22"/>
          <w:lang w:eastAsia="en-US"/>
        </w:rPr>
        <w:t>jeigu Jūs vartojate vaistų, kurie skatina šlapimo gamybą (diuretikų);</w:t>
      </w:r>
    </w:p>
    <w:p w14:paraId="6BA4022E"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 xml:space="preserve">jeigu Jūs vartojate kitų cukraus kiekį kraujyje mažinančių vaistų (pvz., insulino arba </w:t>
      </w:r>
      <w:proofErr w:type="spellStart"/>
      <w:r>
        <w:rPr>
          <w:rFonts w:eastAsiaTheme="minorHAnsi"/>
          <w:color w:val="000000"/>
          <w:sz w:val="22"/>
          <w:szCs w:val="22"/>
          <w:lang w:eastAsia="en-US"/>
        </w:rPr>
        <w:t>sulfonilkarbamido</w:t>
      </w:r>
      <w:proofErr w:type="spellEnd"/>
      <w:r>
        <w:rPr>
          <w:rFonts w:eastAsiaTheme="minorHAnsi"/>
          <w:color w:val="000000"/>
          <w:sz w:val="22"/>
          <w:szCs w:val="22"/>
          <w:lang w:eastAsia="en-US"/>
        </w:rPr>
        <w:t xml:space="preserve"> darinių grupės). Gydytojas gali patarti sumažinti šių vaistų dozes, kad per daug nesumažėtų cukraus kiekis Jūsų kraujyje (t. y. kad išvengtumėte hipoglikemijos);</w:t>
      </w:r>
    </w:p>
    <w:p w14:paraId="0DF47D33"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 xml:space="preserve">jeigu Jūs vartojate ličio preparatų, nes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gali sumažinti ličio kiekį Jūsų kraujyje;</w:t>
      </w:r>
    </w:p>
    <w:p w14:paraId="7773C2F3"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 xml:space="preserve">jeigu Jūs vartojate </w:t>
      </w:r>
      <w:proofErr w:type="spellStart"/>
      <w:r>
        <w:rPr>
          <w:rFonts w:eastAsiaTheme="minorHAnsi"/>
          <w:color w:val="000000"/>
          <w:sz w:val="22"/>
          <w:szCs w:val="22"/>
          <w:lang w:eastAsia="en-US"/>
        </w:rPr>
        <w:t>cimetidino</w:t>
      </w:r>
      <w:proofErr w:type="spellEnd"/>
      <w:r>
        <w:rPr>
          <w:rFonts w:eastAsiaTheme="minorHAnsi"/>
          <w:color w:val="000000"/>
          <w:sz w:val="22"/>
          <w:szCs w:val="22"/>
          <w:lang w:eastAsia="en-US"/>
        </w:rPr>
        <w:t xml:space="preserve"> (vaisto skrandžio sutrikimams gydyti);</w:t>
      </w:r>
    </w:p>
    <w:p w14:paraId="2F0AD1AD"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 xml:space="preserve">jeigu Jūs vartojate bronchus plečiančių vaistų (beta 2 </w:t>
      </w:r>
      <w:proofErr w:type="spellStart"/>
      <w:r>
        <w:rPr>
          <w:rFonts w:eastAsiaTheme="minorHAnsi"/>
          <w:color w:val="000000"/>
          <w:sz w:val="22"/>
          <w:szCs w:val="22"/>
          <w:lang w:eastAsia="en-US"/>
        </w:rPr>
        <w:t>agonistų</w:t>
      </w:r>
      <w:proofErr w:type="spellEnd"/>
      <w:r>
        <w:rPr>
          <w:rFonts w:eastAsiaTheme="minorHAnsi"/>
          <w:color w:val="000000"/>
          <w:sz w:val="22"/>
          <w:szCs w:val="22"/>
          <w:lang w:eastAsia="en-US"/>
        </w:rPr>
        <w:t>), kurie skirti bronchų astmai gydyti;</w:t>
      </w:r>
    </w:p>
    <w:p w14:paraId="4D1A94D1"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jeigu Jūs vartojate geriamųjų, injekcinių arba įkvepiamųjų kortikosteroidų, skirtų uždegimui gydyti sergant, pvz., astma arba artritu (sąnarių uždegimu);</w:t>
      </w:r>
    </w:p>
    <w:p w14:paraId="0FCBEDE5"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 xml:space="preserve">jeigu Jūs vartojate vaistų, vartojamus skausmui ir uždegimui gydyti (NVNU ir COX-2 inhibitoriai, pvz., </w:t>
      </w:r>
      <w:proofErr w:type="spellStart"/>
      <w:r>
        <w:rPr>
          <w:rFonts w:eastAsiaTheme="minorHAnsi"/>
          <w:color w:val="000000"/>
          <w:sz w:val="22"/>
          <w:szCs w:val="22"/>
          <w:lang w:eastAsia="en-US"/>
        </w:rPr>
        <w:t>ibuprofenas</w:t>
      </w:r>
      <w:proofErr w:type="spellEnd"/>
      <w:r>
        <w:rPr>
          <w:rFonts w:eastAsiaTheme="minorHAnsi"/>
          <w:color w:val="000000"/>
          <w:sz w:val="22"/>
          <w:szCs w:val="22"/>
          <w:lang w:eastAsia="en-US"/>
        </w:rPr>
        <w:t xml:space="preserve"> ir </w:t>
      </w:r>
      <w:proofErr w:type="spellStart"/>
      <w:r>
        <w:rPr>
          <w:rFonts w:eastAsiaTheme="minorHAnsi"/>
          <w:color w:val="000000"/>
          <w:sz w:val="22"/>
          <w:szCs w:val="22"/>
          <w:lang w:eastAsia="en-US"/>
        </w:rPr>
        <w:t>celekoksibas</w:t>
      </w:r>
      <w:proofErr w:type="spellEnd"/>
      <w:r>
        <w:rPr>
          <w:rFonts w:eastAsiaTheme="minorHAnsi"/>
          <w:color w:val="000000"/>
          <w:sz w:val="22"/>
          <w:szCs w:val="22"/>
          <w:lang w:eastAsia="en-US"/>
        </w:rPr>
        <w:t>);</w:t>
      </w:r>
    </w:p>
    <w:p w14:paraId="1D72271C"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 xml:space="preserve">jeigu Jūs vartojate tam tikrų vaistų padidėjusiam kraujospūdžiui gydyti (AKF inhibitoriai ir </w:t>
      </w:r>
      <w:proofErr w:type="spellStart"/>
      <w:r>
        <w:rPr>
          <w:rFonts w:eastAsiaTheme="minorHAnsi"/>
          <w:color w:val="000000"/>
          <w:sz w:val="22"/>
          <w:szCs w:val="22"/>
          <w:lang w:eastAsia="en-US"/>
        </w:rPr>
        <w:t>angiotenzino</w:t>
      </w:r>
      <w:proofErr w:type="spellEnd"/>
      <w:r>
        <w:rPr>
          <w:rFonts w:eastAsiaTheme="minorHAnsi"/>
          <w:color w:val="000000"/>
          <w:sz w:val="22"/>
          <w:szCs w:val="22"/>
          <w:lang w:eastAsia="en-US"/>
        </w:rPr>
        <w:t xml:space="preserve"> II receptorių blokatoriai).</w:t>
      </w:r>
    </w:p>
    <w:p w14:paraId="3F532A80" w14:textId="77777777" w:rsidR="00023BBF" w:rsidRDefault="00023BBF">
      <w:pPr>
        <w:widowControl w:val="0"/>
        <w:numPr>
          <w:ilvl w:val="12"/>
          <w:numId w:val="0"/>
        </w:numPr>
        <w:ind w:left="567" w:hanging="567"/>
        <w:outlineLvl w:val="0"/>
        <w:rPr>
          <w:sz w:val="22"/>
          <w:szCs w:val="22"/>
          <w:lang w:eastAsia="en-US"/>
        </w:rPr>
      </w:pPr>
    </w:p>
    <w:p w14:paraId="7492355B" w14:textId="77777777" w:rsidR="00023BBF" w:rsidRDefault="00E17C37">
      <w:pPr>
        <w:autoSpaceDE w:val="0"/>
        <w:autoSpaceDN w:val="0"/>
        <w:adjustRightInd w:val="0"/>
        <w:rPr>
          <w:rFonts w:eastAsiaTheme="minorHAnsi"/>
          <w:color w:val="000000"/>
          <w:sz w:val="22"/>
          <w:szCs w:val="22"/>
          <w:lang w:eastAsia="en-US"/>
        </w:rPr>
      </w:pPr>
      <w:proofErr w:type="spellStart"/>
      <w:r>
        <w:rPr>
          <w:rFonts w:eastAsiaTheme="minorHAnsi"/>
          <w:b/>
          <w:bCs/>
          <w:color w:val="000000"/>
          <w:sz w:val="22"/>
          <w:szCs w:val="22"/>
          <w:lang w:eastAsia="en-US"/>
        </w:rPr>
        <w:t>Mexdagry</w:t>
      </w:r>
      <w:proofErr w:type="spellEnd"/>
      <w:r>
        <w:rPr>
          <w:rFonts w:eastAsiaTheme="minorHAnsi"/>
          <w:b/>
          <w:bCs/>
          <w:color w:val="000000"/>
          <w:sz w:val="22"/>
          <w:szCs w:val="22"/>
          <w:lang w:eastAsia="en-US"/>
        </w:rPr>
        <w:t xml:space="preserve"> vartojimas su alkoholiu</w:t>
      </w:r>
    </w:p>
    <w:p w14:paraId="2815E17E"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Vartodami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venkite piktnaudžiauti alkoholiu, nes tai gali padidinti pieno rūgšties </w:t>
      </w:r>
      <w:proofErr w:type="spellStart"/>
      <w:r>
        <w:rPr>
          <w:rFonts w:eastAsiaTheme="minorHAnsi"/>
          <w:color w:val="000000"/>
          <w:sz w:val="22"/>
          <w:szCs w:val="22"/>
          <w:lang w:eastAsia="en-US"/>
        </w:rPr>
        <w:t>acidozės</w:t>
      </w:r>
      <w:proofErr w:type="spellEnd"/>
      <w:r>
        <w:rPr>
          <w:rFonts w:eastAsiaTheme="minorHAnsi"/>
          <w:color w:val="000000"/>
          <w:sz w:val="22"/>
          <w:szCs w:val="22"/>
          <w:lang w:eastAsia="en-US"/>
        </w:rPr>
        <w:t xml:space="preserve"> riziką (žr. skyrių „Įspėjimai ir atsargumo priemonės“).</w:t>
      </w:r>
    </w:p>
    <w:p w14:paraId="6A7854F2" w14:textId="77777777" w:rsidR="00023BBF" w:rsidRDefault="00023BBF">
      <w:pPr>
        <w:autoSpaceDE w:val="0"/>
        <w:autoSpaceDN w:val="0"/>
        <w:adjustRightInd w:val="0"/>
        <w:rPr>
          <w:rFonts w:eastAsiaTheme="minorHAnsi"/>
          <w:color w:val="000000"/>
          <w:sz w:val="22"/>
          <w:szCs w:val="22"/>
          <w:lang w:eastAsia="en-US"/>
        </w:rPr>
      </w:pPr>
    </w:p>
    <w:p w14:paraId="255FAE45" w14:textId="77777777" w:rsidR="00023BBF" w:rsidRDefault="00E17C37">
      <w:pPr>
        <w:autoSpaceDE w:val="0"/>
        <w:autoSpaceDN w:val="0"/>
        <w:adjustRightInd w:val="0"/>
        <w:rPr>
          <w:rFonts w:eastAsiaTheme="minorHAnsi"/>
          <w:color w:val="000000"/>
          <w:sz w:val="22"/>
          <w:szCs w:val="22"/>
          <w:lang w:eastAsia="en-US"/>
        </w:rPr>
      </w:pPr>
      <w:r>
        <w:rPr>
          <w:rFonts w:eastAsiaTheme="minorHAnsi"/>
          <w:b/>
          <w:bCs/>
          <w:color w:val="000000"/>
          <w:sz w:val="22"/>
          <w:szCs w:val="22"/>
          <w:lang w:eastAsia="en-US"/>
        </w:rPr>
        <w:t>Nėštumas ir žindymo laikotarpis</w:t>
      </w:r>
    </w:p>
    <w:p w14:paraId="62AD4530"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Jeigu esate nėščia, žindote kūdikį, manote, kad galbūt esate nėščia arba planuojate pastoti, tai prieš vartodama šį vaistą pasitarkite su gydytoju arba vaistininku. Pastojus reikia nutraukti šio vaisto vartojimą, kadangi antrą ir trečią nėštumo trimestrus (paskutinius 6 mėn.) jis nerekomenduojamas. Kaip geriausia reguliuoti cukraus kiekį kraujyje nėštumo laikotarpiu, klauskite gydytojo.</w:t>
      </w:r>
    </w:p>
    <w:p w14:paraId="2C441E27" w14:textId="77777777" w:rsidR="00023BBF" w:rsidRDefault="00023BBF">
      <w:pPr>
        <w:autoSpaceDE w:val="0"/>
        <w:autoSpaceDN w:val="0"/>
        <w:adjustRightInd w:val="0"/>
        <w:rPr>
          <w:rFonts w:eastAsiaTheme="minorHAnsi"/>
          <w:color w:val="000000"/>
          <w:sz w:val="22"/>
          <w:szCs w:val="22"/>
          <w:lang w:eastAsia="en-US"/>
        </w:rPr>
      </w:pPr>
    </w:p>
    <w:p w14:paraId="4C457E3B"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Jeigu žindote arba norite žindyti kūdikį, tai prieš vartodama šį vaistą, pasitarkite su gydytoju. Žindymo laikotarpiu šio vaisto vartoti negalima. Nedidelis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kiekis išsiskiria į motinos pieną. Nežinoma, ar dapagliflozino išsiskiria į gydytų moterų pieną.</w:t>
      </w:r>
    </w:p>
    <w:p w14:paraId="210882E4" w14:textId="77777777" w:rsidR="00023BBF" w:rsidRDefault="00023BBF">
      <w:pPr>
        <w:autoSpaceDE w:val="0"/>
        <w:autoSpaceDN w:val="0"/>
        <w:adjustRightInd w:val="0"/>
        <w:rPr>
          <w:rFonts w:eastAsiaTheme="minorHAnsi"/>
          <w:color w:val="000000"/>
          <w:sz w:val="22"/>
          <w:szCs w:val="22"/>
          <w:lang w:eastAsia="en-US"/>
        </w:rPr>
      </w:pPr>
    </w:p>
    <w:p w14:paraId="5E92160E" w14:textId="77777777" w:rsidR="00023BBF" w:rsidRDefault="00E17C37">
      <w:pPr>
        <w:autoSpaceDE w:val="0"/>
        <w:autoSpaceDN w:val="0"/>
        <w:adjustRightInd w:val="0"/>
        <w:rPr>
          <w:rFonts w:eastAsiaTheme="minorHAnsi"/>
          <w:color w:val="000000"/>
          <w:sz w:val="22"/>
          <w:szCs w:val="22"/>
          <w:lang w:eastAsia="en-US"/>
        </w:rPr>
      </w:pPr>
      <w:r>
        <w:rPr>
          <w:rFonts w:eastAsiaTheme="minorHAnsi"/>
          <w:b/>
          <w:bCs/>
          <w:color w:val="000000"/>
          <w:sz w:val="22"/>
          <w:szCs w:val="22"/>
          <w:lang w:eastAsia="en-US"/>
        </w:rPr>
        <w:t>Vairavimas ir mechanizmų valdymas</w:t>
      </w:r>
    </w:p>
    <w:p w14:paraId="2564FDE4"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Šis vaistas gebėjimo vairuoti ir valdyti mechanizmus neveikia arba veikia nereikšmingai. Jo vartojant kartu su kitais cukraus kiekį kraujyje mažinančiais vaistais (pvz., insulinu arba </w:t>
      </w:r>
      <w:proofErr w:type="spellStart"/>
      <w:r>
        <w:rPr>
          <w:rFonts w:eastAsiaTheme="minorHAnsi"/>
          <w:color w:val="000000"/>
          <w:sz w:val="22"/>
          <w:szCs w:val="22"/>
          <w:lang w:eastAsia="en-US"/>
        </w:rPr>
        <w:t>sulfonilkarbamidų</w:t>
      </w:r>
      <w:proofErr w:type="spellEnd"/>
      <w:r>
        <w:rPr>
          <w:rFonts w:eastAsiaTheme="minorHAnsi"/>
          <w:color w:val="000000"/>
          <w:sz w:val="22"/>
          <w:szCs w:val="22"/>
          <w:lang w:eastAsia="en-US"/>
        </w:rPr>
        <w:t xml:space="preserve"> dariniais), šis kiekis gali sumažėti per daug, t. y. pasireikšti hipoglikemija, kurios galimi simptomai yra silpnumas, svaigulys, padidėjęs prakaitavimas, padažnėjęs širdies plakimas, regos sutrikimai ir pablogėjęs susikaupimas. Dėl hipoglikemijos gali sutrikti Jūsų gebėjimas vairuoti ir valdyti mechanizmus, todėl jeigu pajustumėte tokių simptomų, tai nevairuokite ir nedirbkite su įrankiais ar mechanizmais.</w:t>
      </w:r>
    </w:p>
    <w:p w14:paraId="2E6CCF66" w14:textId="77777777" w:rsidR="00023BBF" w:rsidRDefault="00023BBF">
      <w:pPr>
        <w:autoSpaceDE w:val="0"/>
        <w:autoSpaceDN w:val="0"/>
        <w:adjustRightInd w:val="0"/>
        <w:rPr>
          <w:rFonts w:eastAsiaTheme="minorHAnsi"/>
          <w:color w:val="000000"/>
          <w:sz w:val="22"/>
          <w:szCs w:val="22"/>
          <w:lang w:eastAsia="en-US"/>
        </w:rPr>
      </w:pPr>
    </w:p>
    <w:p w14:paraId="1F5D3F0B" w14:textId="77777777" w:rsidR="00023BBF" w:rsidRDefault="00E17C37">
      <w:pPr>
        <w:autoSpaceDE w:val="0"/>
        <w:autoSpaceDN w:val="0"/>
        <w:adjustRightInd w:val="0"/>
        <w:rPr>
          <w:rFonts w:eastAsiaTheme="minorHAnsi"/>
          <w:color w:val="000000"/>
          <w:sz w:val="22"/>
          <w:szCs w:val="22"/>
          <w:lang w:eastAsia="en-US"/>
        </w:rPr>
      </w:pPr>
      <w:r>
        <w:rPr>
          <w:rFonts w:eastAsiaTheme="minorHAnsi"/>
          <w:b/>
          <w:bCs/>
          <w:color w:val="000000"/>
          <w:sz w:val="22"/>
          <w:szCs w:val="22"/>
          <w:lang w:eastAsia="en-US"/>
        </w:rPr>
        <w:t>Natrio kiekis</w:t>
      </w:r>
    </w:p>
    <w:p w14:paraId="57484B4E" w14:textId="77777777" w:rsidR="00023BBF" w:rsidRDefault="00E17C37">
      <w:pPr>
        <w:widowControl w:val="0"/>
        <w:numPr>
          <w:ilvl w:val="12"/>
          <w:numId w:val="0"/>
        </w:numPr>
        <w:ind w:left="567" w:hanging="567"/>
        <w:outlineLvl w:val="0"/>
        <w:rPr>
          <w:sz w:val="22"/>
          <w:szCs w:val="22"/>
          <w:lang w:eastAsia="en-US"/>
        </w:rPr>
      </w:pPr>
      <w:r>
        <w:rPr>
          <w:rFonts w:eastAsiaTheme="minorHAnsi"/>
          <w:color w:val="000000"/>
          <w:sz w:val="22"/>
          <w:szCs w:val="22"/>
          <w:lang w:eastAsia="en-US"/>
        </w:rPr>
        <w:t>Šio vaisto kiekvienoje dozėje yra mažiau kaip 1 </w:t>
      </w:r>
      <w:proofErr w:type="spellStart"/>
      <w:r>
        <w:rPr>
          <w:rFonts w:eastAsiaTheme="minorHAnsi"/>
          <w:color w:val="000000"/>
          <w:sz w:val="22"/>
          <w:szCs w:val="22"/>
          <w:lang w:eastAsia="en-US"/>
        </w:rPr>
        <w:t>mmol</w:t>
      </w:r>
      <w:proofErr w:type="spellEnd"/>
      <w:r>
        <w:rPr>
          <w:rFonts w:eastAsiaTheme="minorHAnsi"/>
          <w:color w:val="000000"/>
          <w:sz w:val="22"/>
          <w:szCs w:val="22"/>
          <w:lang w:eastAsia="en-US"/>
        </w:rPr>
        <w:t xml:space="preserve"> (23 mg) natrio, t. y. jis beveik neturi reikšmės.</w:t>
      </w:r>
    </w:p>
    <w:p w14:paraId="0B7DE607" w14:textId="77777777" w:rsidR="00023BBF" w:rsidRDefault="00023BBF">
      <w:pPr>
        <w:widowControl w:val="0"/>
        <w:numPr>
          <w:ilvl w:val="12"/>
          <w:numId w:val="0"/>
        </w:numPr>
        <w:ind w:left="567" w:hanging="567"/>
        <w:outlineLvl w:val="0"/>
        <w:rPr>
          <w:sz w:val="22"/>
          <w:szCs w:val="22"/>
          <w:lang w:eastAsia="en-US"/>
        </w:rPr>
      </w:pPr>
    </w:p>
    <w:p w14:paraId="77EE433A" w14:textId="77777777" w:rsidR="00023BBF" w:rsidRDefault="00023BBF">
      <w:pPr>
        <w:widowControl w:val="0"/>
        <w:numPr>
          <w:ilvl w:val="12"/>
          <w:numId w:val="0"/>
        </w:numPr>
        <w:ind w:left="567" w:hanging="567"/>
        <w:outlineLvl w:val="0"/>
        <w:rPr>
          <w:sz w:val="22"/>
          <w:szCs w:val="22"/>
          <w:lang w:eastAsia="en-US"/>
        </w:rPr>
      </w:pPr>
    </w:p>
    <w:p w14:paraId="0A95FA1D" w14:textId="77777777" w:rsidR="00023BBF" w:rsidRDefault="00E17C37">
      <w:pPr>
        <w:widowControl w:val="0"/>
        <w:numPr>
          <w:ilvl w:val="12"/>
          <w:numId w:val="0"/>
        </w:numPr>
        <w:ind w:left="567" w:hanging="567"/>
        <w:outlineLvl w:val="0"/>
        <w:rPr>
          <w:b/>
          <w:caps/>
          <w:sz w:val="22"/>
          <w:szCs w:val="22"/>
          <w:lang w:eastAsia="en-US"/>
        </w:rPr>
      </w:pPr>
      <w:r>
        <w:rPr>
          <w:b/>
          <w:sz w:val="22"/>
          <w:szCs w:val="22"/>
          <w:lang w:eastAsia="en-US"/>
        </w:rPr>
        <w:t>3.</w:t>
      </w:r>
      <w:r>
        <w:rPr>
          <w:b/>
          <w:sz w:val="22"/>
          <w:szCs w:val="22"/>
          <w:lang w:eastAsia="en-US"/>
        </w:rPr>
        <w:tab/>
        <w:t xml:space="preserve">Kaip vartoti </w:t>
      </w:r>
      <w:proofErr w:type="spellStart"/>
      <w:r>
        <w:rPr>
          <w:b/>
          <w:sz w:val="22"/>
          <w:szCs w:val="22"/>
          <w:lang w:eastAsia="en-US"/>
        </w:rPr>
        <w:t>Mexdagry</w:t>
      </w:r>
      <w:proofErr w:type="spellEnd"/>
    </w:p>
    <w:p w14:paraId="36A8EFB2" w14:textId="77777777" w:rsidR="00023BBF" w:rsidRDefault="00023BBF">
      <w:pPr>
        <w:widowControl w:val="0"/>
        <w:ind w:left="567" w:hanging="567"/>
        <w:rPr>
          <w:sz w:val="22"/>
          <w:szCs w:val="22"/>
          <w:lang w:eastAsia="en-US"/>
        </w:rPr>
      </w:pPr>
    </w:p>
    <w:p w14:paraId="0A004C3F" w14:textId="77777777" w:rsidR="00023BBF" w:rsidRDefault="00E17C37">
      <w:pPr>
        <w:widowControl w:val="0"/>
        <w:autoSpaceDE w:val="0"/>
        <w:autoSpaceDN w:val="0"/>
        <w:adjustRightInd w:val="0"/>
        <w:rPr>
          <w:sz w:val="22"/>
          <w:szCs w:val="22"/>
        </w:rPr>
      </w:pPr>
      <w:r>
        <w:rPr>
          <w:sz w:val="22"/>
          <w:szCs w:val="22"/>
        </w:rPr>
        <w:t>Visada vartokite šį vaistą tiksliai, kaip nurodė gydytojas. Jeigu abejojate, kreipkitės į gydytoją arba vaistininką.</w:t>
      </w:r>
    </w:p>
    <w:p w14:paraId="4879B26D" w14:textId="77777777" w:rsidR="00023BBF" w:rsidRDefault="00023BBF">
      <w:pPr>
        <w:autoSpaceDE w:val="0"/>
        <w:autoSpaceDN w:val="0"/>
        <w:adjustRightInd w:val="0"/>
        <w:rPr>
          <w:rFonts w:eastAsiaTheme="minorHAnsi"/>
          <w:b/>
          <w:bCs/>
          <w:color w:val="000000"/>
          <w:sz w:val="22"/>
          <w:szCs w:val="22"/>
          <w:lang w:eastAsia="en-US"/>
        </w:rPr>
      </w:pPr>
    </w:p>
    <w:p w14:paraId="7FBED982" w14:textId="77777777" w:rsidR="00023BBF" w:rsidRDefault="00E17C37">
      <w:pPr>
        <w:autoSpaceDE w:val="0"/>
        <w:autoSpaceDN w:val="0"/>
        <w:adjustRightInd w:val="0"/>
        <w:rPr>
          <w:rFonts w:eastAsiaTheme="minorHAnsi"/>
          <w:b/>
          <w:bCs/>
          <w:color w:val="000000"/>
          <w:sz w:val="22"/>
          <w:szCs w:val="22"/>
          <w:lang w:eastAsia="en-US"/>
        </w:rPr>
      </w:pPr>
      <w:r>
        <w:rPr>
          <w:rFonts w:eastAsiaTheme="minorHAnsi"/>
          <w:b/>
          <w:bCs/>
          <w:color w:val="000000"/>
          <w:sz w:val="22"/>
          <w:szCs w:val="22"/>
          <w:lang w:eastAsia="en-US"/>
        </w:rPr>
        <w:t>Kiek šio vaisto vartoti?</w:t>
      </w:r>
    </w:p>
    <w:p w14:paraId="57AB4F3B" w14:textId="77777777" w:rsidR="00023BBF" w:rsidRDefault="00E17C37">
      <w:pPr>
        <w:widowControl w:val="0"/>
        <w:numPr>
          <w:ilvl w:val="0"/>
          <w:numId w:val="25"/>
        </w:numPr>
        <w:tabs>
          <w:tab w:val="left" w:pos="567"/>
        </w:tabs>
        <w:spacing w:line="260" w:lineRule="exact"/>
        <w:ind w:left="567" w:hanging="567"/>
        <w:rPr>
          <w:noProof/>
          <w:sz w:val="22"/>
          <w:szCs w:val="22"/>
          <w:lang w:val="en-GB" w:eastAsia="en-US"/>
        </w:rPr>
      </w:pPr>
      <w:r>
        <w:rPr>
          <w:rFonts w:eastAsiaTheme="minorHAnsi"/>
          <w:color w:val="000000"/>
          <w:sz w:val="22"/>
          <w:szCs w:val="22"/>
          <w:lang w:eastAsia="en-US"/>
        </w:rPr>
        <w:t xml:space="preserve">Šio vaisto dozė priklauso nuo Jūsų būklės bei šiuo metu Jūsų vartojamų vaistų –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ir (arba) atskirų dapagliflozino ir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tablečių – dozių. Kokio šio vaisto stiprumo vartoti, Jums tiksliai pasakys gydytojas.</w:t>
      </w:r>
    </w:p>
    <w:p w14:paraId="620B5FC6" w14:textId="77777777" w:rsidR="00023BBF" w:rsidRDefault="00E17C37">
      <w:pPr>
        <w:widowControl w:val="0"/>
        <w:numPr>
          <w:ilvl w:val="0"/>
          <w:numId w:val="25"/>
        </w:numPr>
        <w:tabs>
          <w:tab w:val="left" w:pos="567"/>
        </w:tabs>
        <w:spacing w:line="260" w:lineRule="exact"/>
        <w:ind w:left="567" w:hanging="567"/>
        <w:rPr>
          <w:noProof/>
          <w:sz w:val="22"/>
          <w:szCs w:val="22"/>
          <w:lang w:val="it-CH" w:eastAsia="en-US"/>
        </w:rPr>
      </w:pPr>
      <w:r>
        <w:rPr>
          <w:sz w:val="22"/>
          <w:szCs w:val="22"/>
          <w:lang w:eastAsia="en-US"/>
        </w:rPr>
        <w:t>Rekomenduojama dozė yra po vieną tabletę 2 kartus per parą.</w:t>
      </w:r>
    </w:p>
    <w:p w14:paraId="69662ADC" w14:textId="77777777" w:rsidR="00023BBF" w:rsidRDefault="00023BBF">
      <w:pPr>
        <w:widowControl w:val="0"/>
        <w:numPr>
          <w:ilvl w:val="12"/>
          <w:numId w:val="0"/>
        </w:numPr>
        <w:ind w:right="-2"/>
        <w:rPr>
          <w:sz w:val="22"/>
          <w:szCs w:val="22"/>
          <w:lang w:eastAsia="en-US"/>
        </w:rPr>
      </w:pPr>
    </w:p>
    <w:p w14:paraId="0F872466" w14:textId="77777777" w:rsidR="00023BBF" w:rsidRDefault="00E17C37">
      <w:pPr>
        <w:widowControl w:val="0"/>
        <w:numPr>
          <w:ilvl w:val="12"/>
          <w:numId w:val="0"/>
        </w:numPr>
        <w:ind w:right="-2"/>
        <w:rPr>
          <w:b/>
          <w:bCs/>
          <w:sz w:val="22"/>
          <w:szCs w:val="22"/>
          <w:lang w:eastAsia="en-US"/>
        </w:rPr>
      </w:pPr>
      <w:r>
        <w:rPr>
          <w:b/>
          <w:bCs/>
          <w:sz w:val="22"/>
          <w:szCs w:val="22"/>
          <w:lang w:eastAsia="en-US"/>
        </w:rPr>
        <w:t>Šio vaisto vartojimas</w:t>
      </w:r>
    </w:p>
    <w:p w14:paraId="4E8C14CD"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sz w:val="22"/>
          <w:szCs w:val="22"/>
          <w:lang w:eastAsia="en-US"/>
        </w:rPr>
        <w:t>Tabletę nurykite visą nepažeistą, užgerdami puse stiklinės vandens.</w:t>
      </w:r>
    </w:p>
    <w:p w14:paraId="6F06DBB4"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sz w:val="22"/>
          <w:szCs w:val="22"/>
          <w:lang w:eastAsia="en-US"/>
        </w:rPr>
        <w:t>Tabletę gerkite valgio metu. Tai sumažins šalutinio poveikio skrandžiui riziką.</w:t>
      </w:r>
    </w:p>
    <w:p w14:paraId="7527836C" w14:textId="77777777" w:rsidR="00023BBF" w:rsidRDefault="00E17C37">
      <w:pPr>
        <w:widowControl w:val="0"/>
        <w:tabs>
          <w:tab w:val="left" w:pos="567"/>
        </w:tabs>
        <w:spacing w:line="260" w:lineRule="exact"/>
        <w:ind w:left="567"/>
        <w:rPr>
          <w:sz w:val="22"/>
          <w:szCs w:val="22"/>
          <w:lang w:eastAsia="en-US"/>
        </w:rPr>
      </w:pPr>
      <w:r>
        <w:rPr>
          <w:sz w:val="22"/>
          <w:szCs w:val="22"/>
          <w:lang w:eastAsia="en-US"/>
        </w:rPr>
        <w:t xml:space="preserve">Tabletę gerkite du kartus per dieną: vieną kartą ryte (pusryčių metu) ir vieną kartą vakare (vakarienės </w:t>
      </w:r>
      <w:r>
        <w:rPr>
          <w:sz w:val="22"/>
          <w:szCs w:val="22"/>
          <w:lang w:eastAsia="en-US"/>
        </w:rPr>
        <w:lastRenderedPageBreak/>
        <w:t>metu). Simboliai ant lizdinės plokštelės padės Jums prisiminti, kurią dozę jau išgėrėte. Saulė (</w:t>
      </w:r>
      <w:r w:rsidRPr="00EE5BE7">
        <w:rPr>
          <w:noProof/>
          <w:lang w:val="sl-SI"/>
        </w:rPr>
        <w:drawing>
          <wp:inline distT="0" distB="0" distL="0" distR="0" wp14:anchorId="2906AB68" wp14:editId="7FEA74C4">
            <wp:extent cx="109001" cy="87337"/>
            <wp:effectExtent l="0" t="0" r="5715" b="8255"/>
            <wp:docPr id="146561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r:link="rId11" cstate="print">
                      <a:extLst>
                        <a:ext uri="{28A0092B-C50C-407E-A947-70E740481C1C}">
                          <a14:useLocalDpi xmlns:a14="http://schemas.microsoft.com/office/drawing/2010/main" val="0"/>
                        </a:ext>
                      </a:extLst>
                    </a:blip>
                    <a:srcRect l="16640" t="19094" r="16093" b="31025"/>
                    <a:stretch/>
                  </pic:blipFill>
                  <pic:spPr bwMode="auto">
                    <a:xfrm>
                      <a:off x="0" y="0"/>
                      <a:ext cx="116350" cy="93225"/>
                    </a:xfrm>
                    <a:prstGeom prst="rect">
                      <a:avLst/>
                    </a:prstGeom>
                    <a:noFill/>
                    <a:ln>
                      <a:noFill/>
                    </a:ln>
                    <a:extLst>
                      <a:ext uri="{53640926-AAD7-44D8-BBD7-CCE9431645EC}">
                        <a14:shadowObscured xmlns:a14="http://schemas.microsoft.com/office/drawing/2010/main"/>
                      </a:ext>
                    </a:extLst>
                  </pic:spPr>
                </pic:pic>
              </a:graphicData>
            </a:graphic>
          </wp:inline>
        </w:drawing>
      </w:r>
      <w:r>
        <w:rPr>
          <w:sz w:val="22"/>
          <w:szCs w:val="22"/>
          <w:lang w:eastAsia="en-US"/>
        </w:rPr>
        <w:t>) simbolizuoja rytinę dozę, o mėnulis (</w:t>
      </w:r>
      <w:r w:rsidRPr="00EE5BE7">
        <w:rPr>
          <w:noProof/>
          <w:lang w:val="sl-SI"/>
        </w:rPr>
        <w:drawing>
          <wp:inline distT="0" distB="0" distL="0" distR="0" wp14:anchorId="608E880D" wp14:editId="57063682">
            <wp:extent cx="105973" cy="90529"/>
            <wp:effectExtent l="0" t="0" r="8890" b="5080"/>
            <wp:docPr id="16453060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r:link="rId13" cstate="print">
                      <a:extLst>
                        <a:ext uri="{28A0092B-C50C-407E-A947-70E740481C1C}">
                          <a14:useLocalDpi xmlns:a14="http://schemas.microsoft.com/office/drawing/2010/main" val="0"/>
                        </a:ext>
                      </a:extLst>
                    </a:blip>
                    <a:srcRect l="25446" t="17691" r="13739" b="15534"/>
                    <a:stretch/>
                  </pic:blipFill>
                  <pic:spPr bwMode="auto">
                    <a:xfrm flipH="1">
                      <a:off x="0" y="0"/>
                      <a:ext cx="119771" cy="102316"/>
                    </a:xfrm>
                    <a:prstGeom prst="rect">
                      <a:avLst/>
                    </a:prstGeom>
                    <a:noFill/>
                    <a:ln>
                      <a:noFill/>
                    </a:ln>
                    <a:extLst>
                      <a:ext uri="{53640926-AAD7-44D8-BBD7-CCE9431645EC}">
                        <a14:shadowObscured xmlns:a14="http://schemas.microsoft.com/office/drawing/2010/main"/>
                      </a:ext>
                    </a:extLst>
                  </pic:spPr>
                </pic:pic>
              </a:graphicData>
            </a:graphic>
          </wp:inline>
        </w:drawing>
      </w:r>
      <w:r>
        <w:rPr>
          <w:sz w:val="22"/>
          <w:szCs w:val="22"/>
          <w:lang w:eastAsia="en-US"/>
        </w:rPr>
        <w:t>) – vakarinę dozę.</w:t>
      </w:r>
    </w:p>
    <w:p w14:paraId="07E9A9F8" w14:textId="77777777" w:rsidR="00023BBF" w:rsidRDefault="00023BBF">
      <w:pPr>
        <w:widowControl w:val="0"/>
        <w:tabs>
          <w:tab w:val="left" w:pos="567"/>
        </w:tabs>
        <w:spacing w:line="260" w:lineRule="exact"/>
        <w:rPr>
          <w:noProof/>
          <w:sz w:val="22"/>
          <w:szCs w:val="22"/>
          <w:lang w:eastAsia="en-US"/>
        </w:rPr>
      </w:pPr>
    </w:p>
    <w:p w14:paraId="2A2A3994"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Jūsų gydytojas gali nurodyti vartoti šio vaisto kartu su vienu ar keliais kitais vaistais, skirtais cukraus kiekiui kraujyje mažinti. Tai gali būti vienas ar keli geriamieji arba injekciniai vaistai, pvz., insulinas ar GLP-1 receptorių </w:t>
      </w:r>
      <w:proofErr w:type="spellStart"/>
      <w:r>
        <w:rPr>
          <w:rFonts w:eastAsiaTheme="minorHAnsi"/>
          <w:color w:val="000000"/>
          <w:sz w:val="22"/>
          <w:szCs w:val="22"/>
          <w:lang w:eastAsia="en-US"/>
        </w:rPr>
        <w:t>agonistas</w:t>
      </w:r>
      <w:proofErr w:type="spellEnd"/>
      <w:r>
        <w:rPr>
          <w:rFonts w:eastAsiaTheme="minorHAnsi"/>
          <w:color w:val="000000"/>
          <w:sz w:val="22"/>
          <w:szCs w:val="22"/>
          <w:lang w:eastAsia="en-US"/>
        </w:rPr>
        <w:t>. Neužmirškite, kad ir kitą vaistą (vaistus) būtina vartoti kaip nurodė gydytojas, kad poveikis Jūsų sveikatai būtų geriausias.</w:t>
      </w:r>
    </w:p>
    <w:p w14:paraId="30EFBC3B" w14:textId="77777777" w:rsidR="00023BBF" w:rsidRDefault="00023BBF">
      <w:pPr>
        <w:autoSpaceDE w:val="0"/>
        <w:autoSpaceDN w:val="0"/>
        <w:adjustRightInd w:val="0"/>
        <w:rPr>
          <w:rFonts w:eastAsiaTheme="minorHAnsi"/>
          <w:color w:val="000000"/>
          <w:sz w:val="22"/>
          <w:szCs w:val="22"/>
          <w:lang w:eastAsia="en-US"/>
        </w:rPr>
      </w:pPr>
    </w:p>
    <w:p w14:paraId="7814F8A0" w14:textId="77777777" w:rsidR="00023BBF" w:rsidRDefault="00E17C37">
      <w:pPr>
        <w:autoSpaceDE w:val="0"/>
        <w:autoSpaceDN w:val="0"/>
        <w:adjustRightInd w:val="0"/>
        <w:rPr>
          <w:rFonts w:eastAsiaTheme="minorHAnsi"/>
          <w:b/>
          <w:bCs/>
          <w:color w:val="000000"/>
          <w:sz w:val="22"/>
          <w:szCs w:val="22"/>
          <w:lang w:eastAsia="en-US"/>
        </w:rPr>
      </w:pPr>
      <w:r>
        <w:rPr>
          <w:rFonts w:eastAsiaTheme="minorHAnsi"/>
          <w:b/>
          <w:bCs/>
          <w:color w:val="000000"/>
          <w:sz w:val="22"/>
          <w:szCs w:val="22"/>
          <w:lang w:eastAsia="en-US"/>
        </w:rPr>
        <w:t>Dieta ir fizinis krūvis</w:t>
      </w:r>
    </w:p>
    <w:p w14:paraId="5793001E"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Diabetui kontroliuoti yra būtini dieta ir fizinis krūvis, net ir vartojant šį vaistą. Dėl to svarbu toliau laikytis gydytojo, vaistininko ar slaugytojos patarimų dėl dietos ir fizinio krūvio. Ypač svarbu, kad jei laikėtės dietos diabetu sergančių pacientų svoriui mažinti, tai vartojant šio vaisto jos reikia laikytis ir toliau.</w:t>
      </w:r>
    </w:p>
    <w:p w14:paraId="3D78719D" w14:textId="77777777" w:rsidR="00023BBF" w:rsidRDefault="00023BBF">
      <w:pPr>
        <w:autoSpaceDE w:val="0"/>
        <w:autoSpaceDN w:val="0"/>
        <w:adjustRightInd w:val="0"/>
        <w:rPr>
          <w:rFonts w:eastAsiaTheme="minorHAnsi"/>
          <w:color w:val="000000"/>
          <w:sz w:val="22"/>
          <w:szCs w:val="22"/>
          <w:lang w:eastAsia="en-US"/>
        </w:rPr>
      </w:pPr>
    </w:p>
    <w:p w14:paraId="50AB7165" w14:textId="77777777" w:rsidR="00023BBF" w:rsidRDefault="00E17C37">
      <w:pPr>
        <w:autoSpaceDE w:val="0"/>
        <w:autoSpaceDN w:val="0"/>
        <w:adjustRightInd w:val="0"/>
        <w:rPr>
          <w:rFonts w:eastAsiaTheme="minorHAnsi"/>
          <w:color w:val="000000"/>
          <w:sz w:val="22"/>
          <w:szCs w:val="22"/>
          <w:lang w:eastAsia="en-US"/>
        </w:rPr>
      </w:pPr>
      <w:r>
        <w:rPr>
          <w:rFonts w:eastAsiaTheme="minorHAnsi"/>
          <w:b/>
          <w:bCs/>
          <w:color w:val="000000"/>
          <w:sz w:val="22"/>
          <w:szCs w:val="22"/>
          <w:lang w:eastAsia="en-US"/>
        </w:rPr>
        <w:t xml:space="preserve">Ką daryti pavartojus per didelę </w:t>
      </w:r>
      <w:proofErr w:type="spellStart"/>
      <w:r>
        <w:rPr>
          <w:rFonts w:eastAsiaTheme="minorHAnsi"/>
          <w:b/>
          <w:bCs/>
          <w:color w:val="000000"/>
          <w:sz w:val="22"/>
          <w:szCs w:val="22"/>
          <w:lang w:eastAsia="en-US"/>
        </w:rPr>
        <w:t>Mexdagry</w:t>
      </w:r>
      <w:proofErr w:type="spellEnd"/>
      <w:r>
        <w:rPr>
          <w:rFonts w:eastAsiaTheme="minorHAnsi"/>
          <w:b/>
          <w:bCs/>
          <w:color w:val="000000"/>
          <w:sz w:val="22"/>
          <w:szCs w:val="22"/>
          <w:lang w:eastAsia="en-US"/>
        </w:rPr>
        <w:t xml:space="preserve"> dozę</w:t>
      </w:r>
    </w:p>
    <w:p w14:paraId="5C2A15F8"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Išgėrus per daug </w:t>
      </w: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tablečių, gali pasireikšti pieno rūgšties </w:t>
      </w:r>
      <w:proofErr w:type="spellStart"/>
      <w:r>
        <w:rPr>
          <w:rFonts w:eastAsiaTheme="minorHAnsi"/>
          <w:color w:val="000000"/>
          <w:sz w:val="22"/>
          <w:szCs w:val="22"/>
          <w:lang w:eastAsia="en-US"/>
        </w:rPr>
        <w:t>acidozė</w:t>
      </w:r>
      <w:proofErr w:type="spellEnd"/>
      <w:r>
        <w:rPr>
          <w:rFonts w:eastAsiaTheme="minorHAnsi"/>
          <w:color w:val="000000"/>
          <w:sz w:val="22"/>
          <w:szCs w:val="22"/>
          <w:lang w:eastAsia="en-US"/>
        </w:rPr>
        <w:t xml:space="preserve">. Pieno rūgšties </w:t>
      </w:r>
      <w:proofErr w:type="spellStart"/>
      <w:r>
        <w:rPr>
          <w:rFonts w:eastAsiaTheme="minorHAnsi"/>
          <w:color w:val="000000"/>
          <w:sz w:val="22"/>
          <w:szCs w:val="22"/>
          <w:lang w:eastAsia="en-US"/>
        </w:rPr>
        <w:t>acidozės</w:t>
      </w:r>
      <w:proofErr w:type="spellEnd"/>
      <w:r>
        <w:rPr>
          <w:rFonts w:eastAsiaTheme="minorHAnsi"/>
          <w:color w:val="000000"/>
          <w:sz w:val="22"/>
          <w:szCs w:val="22"/>
          <w:lang w:eastAsia="en-US"/>
        </w:rPr>
        <w:t xml:space="preserve"> simptomai yra didelis pykinimas ar vėmimas, pilvo skausmas, raumenų mėšlungis, didelis nuovargis ar pasunkėjęs kvėpavimas. Jeigu pasireiškia tokie simptomai, Jums gali prireikti skubaus gydymo ligoninėje, kadangi dėl pieno rūgšties </w:t>
      </w:r>
      <w:proofErr w:type="spellStart"/>
      <w:r>
        <w:rPr>
          <w:rFonts w:eastAsiaTheme="minorHAnsi"/>
          <w:color w:val="000000"/>
          <w:sz w:val="22"/>
          <w:szCs w:val="22"/>
          <w:lang w:eastAsia="en-US"/>
        </w:rPr>
        <w:t>acidozės</w:t>
      </w:r>
      <w:proofErr w:type="spellEnd"/>
      <w:r>
        <w:rPr>
          <w:rFonts w:eastAsiaTheme="minorHAnsi"/>
          <w:color w:val="000000"/>
          <w:sz w:val="22"/>
          <w:szCs w:val="22"/>
          <w:lang w:eastAsia="en-US"/>
        </w:rPr>
        <w:t xml:space="preserve"> gali ištikti koma (ūmus sąmonės sutrikimas). Nedelsdami nutraukite šio vaisto vartojimą ir tuoj pat kreipkitės į gydytoją arba artimiausią ligoninę (žr. 2 skyrių). Pasiimkite šio vaisto pakuotę su savimi.</w:t>
      </w:r>
    </w:p>
    <w:p w14:paraId="5599A29C" w14:textId="77777777" w:rsidR="00023BBF" w:rsidRDefault="00023BBF">
      <w:pPr>
        <w:autoSpaceDE w:val="0"/>
        <w:autoSpaceDN w:val="0"/>
        <w:adjustRightInd w:val="0"/>
        <w:rPr>
          <w:rFonts w:eastAsiaTheme="minorHAnsi"/>
          <w:color w:val="000000"/>
          <w:sz w:val="22"/>
          <w:szCs w:val="22"/>
          <w:lang w:eastAsia="en-US"/>
        </w:rPr>
      </w:pPr>
    </w:p>
    <w:p w14:paraId="02001A82" w14:textId="77777777" w:rsidR="00023BBF" w:rsidRDefault="00E17C37">
      <w:pPr>
        <w:autoSpaceDE w:val="0"/>
        <w:autoSpaceDN w:val="0"/>
        <w:adjustRightInd w:val="0"/>
        <w:rPr>
          <w:rFonts w:eastAsiaTheme="minorHAnsi"/>
          <w:color w:val="000000"/>
          <w:sz w:val="22"/>
          <w:szCs w:val="22"/>
          <w:lang w:eastAsia="en-US"/>
        </w:rPr>
      </w:pPr>
      <w:r>
        <w:rPr>
          <w:rFonts w:eastAsiaTheme="minorHAnsi"/>
          <w:b/>
          <w:bCs/>
          <w:color w:val="000000"/>
          <w:sz w:val="22"/>
          <w:szCs w:val="22"/>
          <w:lang w:eastAsia="en-US"/>
        </w:rPr>
        <w:t xml:space="preserve">Pamiršus pavartoti </w:t>
      </w:r>
      <w:proofErr w:type="spellStart"/>
      <w:r>
        <w:rPr>
          <w:rFonts w:eastAsiaTheme="minorHAnsi"/>
          <w:b/>
          <w:bCs/>
          <w:color w:val="000000"/>
          <w:sz w:val="22"/>
          <w:szCs w:val="22"/>
          <w:lang w:eastAsia="en-US"/>
        </w:rPr>
        <w:t>Mexdagry</w:t>
      </w:r>
      <w:proofErr w:type="spellEnd"/>
    </w:p>
    <w:p w14:paraId="5905ACEA"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Praleistą dozę išgerkite iš karto prisiminę. Jeigu jos neprisiminsite, kol ateis laikas kitai dozei, tai praleiskite užmirštąją dozę ir toliau vartokite vaistą kaip įprasta.</w:t>
      </w:r>
    </w:p>
    <w:p w14:paraId="49C775FC"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Negalima vartoti dvigubos šio vaisto dozės norint kompensuoti praleistą dozę.</w:t>
      </w:r>
    </w:p>
    <w:p w14:paraId="04062163" w14:textId="77777777" w:rsidR="00023BBF" w:rsidRDefault="00023BBF">
      <w:pPr>
        <w:autoSpaceDE w:val="0"/>
        <w:autoSpaceDN w:val="0"/>
        <w:adjustRightInd w:val="0"/>
        <w:rPr>
          <w:rFonts w:eastAsiaTheme="minorHAnsi"/>
          <w:color w:val="000000"/>
          <w:sz w:val="22"/>
          <w:szCs w:val="22"/>
          <w:lang w:eastAsia="en-US"/>
        </w:rPr>
      </w:pPr>
    </w:p>
    <w:p w14:paraId="7A3B8876" w14:textId="77777777" w:rsidR="00023BBF" w:rsidRDefault="00E17C37">
      <w:pPr>
        <w:autoSpaceDE w:val="0"/>
        <w:autoSpaceDN w:val="0"/>
        <w:adjustRightInd w:val="0"/>
        <w:rPr>
          <w:rFonts w:eastAsiaTheme="minorHAnsi"/>
          <w:color w:val="000000"/>
          <w:sz w:val="22"/>
          <w:szCs w:val="22"/>
          <w:lang w:eastAsia="en-US"/>
        </w:rPr>
      </w:pPr>
      <w:r>
        <w:rPr>
          <w:rFonts w:eastAsiaTheme="minorHAnsi"/>
          <w:b/>
          <w:bCs/>
          <w:color w:val="000000"/>
          <w:sz w:val="22"/>
          <w:szCs w:val="22"/>
          <w:lang w:eastAsia="en-US"/>
        </w:rPr>
        <w:t xml:space="preserve">Nustojus vartoti </w:t>
      </w:r>
      <w:proofErr w:type="spellStart"/>
      <w:r>
        <w:rPr>
          <w:rFonts w:eastAsiaTheme="minorHAnsi"/>
          <w:b/>
          <w:bCs/>
          <w:color w:val="000000"/>
          <w:sz w:val="22"/>
          <w:szCs w:val="22"/>
          <w:lang w:eastAsia="en-US"/>
        </w:rPr>
        <w:t>Mexdagry</w:t>
      </w:r>
      <w:proofErr w:type="spellEnd"/>
    </w:p>
    <w:p w14:paraId="58EF0B3B"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Nenutraukite šio vaisto vartojimo, prieš tai nepasitarę su gydytoju. Nevartojant šio vaisto, gali padidėti cukraus kiekis Jūsų kraujyje.</w:t>
      </w:r>
    </w:p>
    <w:p w14:paraId="658EB3B8" w14:textId="77777777" w:rsidR="00023BBF" w:rsidRDefault="00023BBF">
      <w:pPr>
        <w:widowControl w:val="0"/>
        <w:tabs>
          <w:tab w:val="left" w:pos="567"/>
        </w:tabs>
        <w:spacing w:line="260" w:lineRule="exact"/>
        <w:rPr>
          <w:rFonts w:eastAsiaTheme="minorHAnsi"/>
          <w:color w:val="000000"/>
          <w:sz w:val="22"/>
          <w:szCs w:val="22"/>
          <w:lang w:eastAsia="en-US"/>
        </w:rPr>
      </w:pPr>
    </w:p>
    <w:p w14:paraId="2E917927" w14:textId="77777777" w:rsidR="00023BBF" w:rsidRDefault="00E17C37">
      <w:pPr>
        <w:widowControl w:val="0"/>
        <w:tabs>
          <w:tab w:val="left" w:pos="567"/>
        </w:tabs>
        <w:spacing w:line="260" w:lineRule="exact"/>
        <w:rPr>
          <w:noProof/>
          <w:sz w:val="22"/>
          <w:szCs w:val="22"/>
          <w:lang w:eastAsia="en-US"/>
        </w:rPr>
      </w:pPr>
      <w:r>
        <w:rPr>
          <w:rFonts w:eastAsiaTheme="minorHAnsi"/>
          <w:color w:val="000000"/>
          <w:sz w:val="22"/>
          <w:szCs w:val="22"/>
          <w:lang w:eastAsia="en-US"/>
        </w:rPr>
        <w:t>Jeigu kiltų daugiau klausimų dėl šio vaisto vartojimo, kreipkitės į gydytoją, vaistininką arba slaugytoją.</w:t>
      </w:r>
    </w:p>
    <w:p w14:paraId="1DE1A8CF" w14:textId="77777777" w:rsidR="00023BBF" w:rsidRDefault="00023BBF">
      <w:pPr>
        <w:widowControl w:val="0"/>
        <w:tabs>
          <w:tab w:val="left" w:pos="567"/>
        </w:tabs>
        <w:spacing w:line="260" w:lineRule="exact"/>
        <w:rPr>
          <w:noProof/>
          <w:sz w:val="22"/>
          <w:szCs w:val="22"/>
          <w:lang w:eastAsia="en-US"/>
        </w:rPr>
      </w:pPr>
    </w:p>
    <w:p w14:paraId="7515C64B" w14:textId="77777777" w:rsidR="00023BBF" w:rsidRDefault="00023BBF">
      <w:pPr>
        <w:widowControl w:val="0"/>
        <w:tabs>
          <w:tab w:val="left" w:pos="567"/>
        </w:tabs>
        <w:spacing w:line="260" w:lineRule="exact"/>
        <w:rPr>
          <w:noProof/>
          <w:sz w:val="22"/>
          <w:szCs w:val="22"/>
          <w:lang w:eastAsia="en-US"/>
        </w:rPr>
      </w:pPr>
    </w:p>
    <w:p w14:paraId="5F6514D2" w14:textId="77777777" w:rsidR="00023BBF" w:rsidRDefault="00E17C37">
      <w:pPr>
        <w:widowControl w:val="0"/>
        <w:numPr>
          <w:ilvl w:val="12"/>
          <w:numId w:val="0"/>
        </w:numPr>
        <w:ind w:left="567" w:hanging="567"/>
        <w:outlineLvl w:val="0"/>
        <w:rPr>
          <w:b/>
          <w:caps/>
          <w:sz w:val="22"/>
          <w:szCs w:val="22"/>
          <w:lang w:eastAsia="en-US"/>
        </w:rPr>
      </w:pPr>
      <w:r>
        <w:rPr>
          <w:b/>
          <w:caps/>
          <w:sz w:val="22"/>
          <w:szCs w:val="22"/>
          <w:lang w:eastAsia="en-US"/>
        </w:rPr>
        <w:t>4.</w:t>
      </w:r>
      <w:r>
        <w:rPr>
          <w:b/>
          <w:caps/>
          <w:sz w:val="22"/>
          <w:szCs w:val="22"/>
          <w:lang w:eastAsia="en-US"/>
        </w:rPr>
        <w:tab/>
      </w:r>
      <w:r>
        <w:rPr>
          <w:b/>
          <w:sz w:val="22"/>
          <w:szCs w:val="22"/>
          <w:lang w:eastAsia="en-US"/>
        </w:rPr>
        <w:t>Galimas šalutinis poveikis</w:t>
      </w:r>
    </w:p>
    <w:p w14:paraId="43DC9395" w14:textId="77777777" w:rsidR="00023BBF" w:rsidRDefault="00023BBF">
      <w:pPr>
        <w:widowControl w:val="0"/>
        <w:ind w:left="567" w:hanging="567"/>
        <w:rPr>
          <w:sz w:val="22"/>
          <w:szCs w:val="22"/>
          <w:lang w:eastAsia="en-US"/>
        </w:rPr>
      </w:pPr>
    </w:p>
    <w:p w14:paraId="00168610" w14:textId="77777777" w:rsidR="00023BBF" w:rsidRDefault="00E17C37">
      <w:pPr>
        <w:widowControl w:val="0"/>
        <w:autoSpaceDE w:val="0"/>
        <w:autoSpaceDN w:val="0"/>
        <w:adjustRightInd w:val="0"/>
        <w:rPr>
          <w:snapToGrid w:val="0"/>
          <w:sz w:val="22"/>
          <w:szCs w:val="22"/>
          <w:lang w:eastAsia="en-US"/>
        </w:rPr>
      </w:pPr>
      <w:r>
        <w:rPr>
          <w:sz w:val="22"/>
          <w:szCs w:val="22"/>
          <w:lang w:eastAsia="en-US"/>
        </w:rPr>
        <w:t>Šis vaistas, kaip ir visi kiti, gali sukelti šalutinį poveikį, nors jis pasireiškia ne visiems žmonėms.</w:t>
      </w:r>
    </w:p>
    <w:p w14:paraId="7B21B980" w14:textId="77777777" w:rsidR="00023BBF" w:rsidRDefault="00023BBF">
      <w:pPr>
        <w:widowControl w:val="0"/>
        <w:numPr>
          <w:ilvl w:val="12"/>
          <w:numId w:val="0"/>
        </w:numPr>
        <w:ind w:right="-2"/>
        <w:rPr>
          <w:snapToGrid w:val="0"/>
          <w:sz w:val="22"/>
          <w:szCs w:val="22"/>
          <w:lang w:eastAsia="en-US"/>
        </w:rPr>
      </w:pPr>
    </w:p>
    <w:p w14:paraId="57D64B5A" w14:textId="77777777" w:rsidR="00023BBF" w:rsidRDefault="00E17C37">
      <w:pPr>
        <w:widowControl w:val="0"/>
        <w:numPr>
          <w:ilvl w:val="12"/>
          <w:numId w:val="0"/>
        </w:numPr>
        <w:ind w:right="-2"/>
        <w:rPr>
          <w:b/>
          <w:bCs/>
          <w:sz w:val="22"/>
          <w:szCs w:val="22"/>
        </w:rPr>
      </w:pPr>
      <w:r>
        <w:rPr>
          <w:b/>
          <w:bCs/>
          <w:sz w:val="22"/>
          <w:szCs w:val="22"/>
        </w:rPr>
        <w:t xml:space="preserve">Nedelsdami nutraukite </w:t>
      </w:r>
      <w:proofErr w:type="spellStart"/>
      <w:r>
        <w:rPr>
          <w:b/>
          <w:bCs/>
          <w:sz w:val="22"/>
          <w:szCs w:val="22"/>
        </w:rPr>
        <w:t>Mexdagry</w:t>
      </w:r>
      <w:proofErr w:type="spellEnd"/>
      <w:r>
        <w:rPr>
          <w:b/>
          <w:bCs/>
          <w:sz w:val="22"/>
          <w:szCs w:val="22"/>
        </w:rPr>
        <w:t xml:space="preserve"> vartojimą ir kreipkitės į gydytoją, jeigu pastebėjote kurį nors toliau išvardytą pavojingą arba potencialiai pavojingą šalutinį poveikį.</w:t>
      </w:r>
    </w:p>
    <w:p w14:paraId="531599E1" w14:textId="77777777" w:rsidR="00023BBF" w:rsidRDefault="00023BBF">
      <w:pPr>
        <w:autoSpaceDE w:val="0"/>
        <w:autoSpaceDN w:val="0"/>
        <w:adjustRightInd w:val="0"/>
        <w:rPr>
          <w:rFonts w:eastAsiaTheme="minorHAnsi"/>
          <w:color w:val="000000"/>
          <w:lang w:eastAsia="en-US"/>
        </w:rPr>
      </w:pPr>
    </w:p>
    <w:p w14:paraId="7EBD32F0" w14:textId="77777777" w:rsidR="00023BBF" w:rsidRDefault="00E17C37">
      <w:pPr>
        <w:numPr>
          <w:ilvl w:val="0"/>
          <w:numId w:val="37"/>
        </w:numPr>
        <w:autoSpaceDE w:val="0"/>
        <w:autoSpaceDN w:val="0"/>
        <w:adjustRightInd w:val="0"/>
        <w:rPr>
          <w:rFonts w:eastAsiaTheme="minorHAnsi"/>
          <w:color w:val="000000"/>
          <w:sz w:val="22"/>
          <w:szCs w:val="22"/>
          <w:lang w:eastAsia="en-US"/>
        </w:rPr>
      </w:pPr>
      <w:r>
        <w:rPr>
          <w:rFonts w:eastAsiaTheme="minorHAnsi"/>
          <w:b/>
          <w:bCs/>
          <w:color w:val="000000"/>
          <w:sz w:val="22"/>
          <w:szCs w:val="22"/>
          <w:lang w:eastAsia="en-US"/>
        </w:rPr>
        <w:t xml:space="preserve">Pieno rūgšties </w:t>
      </w:r>
      <w:proofErr w:type="spellStart"/>
      <w:r>
        <w:rPr>
          <w:rFonts w:eastAsiaTheme="minorHAnsi"/>
          <w:b/>
          <w:bCs/>
          <w:color w:val="000000"/>
          <w:sz w:val="22"/>
          <w:szCs w:val="22"/>
          <w:lang w:eastAsia="en-US"/>
        </w:rPr>
        <w:t>acidozė</w:t>
      </w:r>
      <w:proofErr w:type="spellEnd"/>
      <w:r>
        <w:rPr>
          <w:rFonts w:eastAsiaTheme="minorHAnsi"/>
          <w:b/>
          <w:bCs/>
          <w:color w:val="000000"/>
          <w:sz w:val="22"/>
          <w:szCs w:val="22"/>
          <w:lang w:eastAsia="en-US"/>
        </w:rPr>
        <w:t xml:space="preserve">, </w:t>
      </w:r>
      <w:r>
        <w:rPr>
          <w:rFonts w:eastAsiaTheme="minorHAnsi"/>
          <w:color w:val="000000"/>
          <w:sz w:val="22"/>
          <w:szCs w:val="22"/>
          <w:lang w:eastAsia="en-US"/>
        </w:rPr>
        <w:t>kuri pasireiškia labai retai (gali pasireikšti rečiau kaip 1 iš 10 000 asmenų).</w:t>
      </w:r>
    </w:p>
    <w:p w14:paraId="3B581819" w14:textId="77777777" w:rsidR="00023BBF" w:rsidRDefault="00E17C37">
      <w:pPr>
        <w:widowControl w:val="0"/>
        <w:numPr>
          <w:ilvl w:val="12"/>
          <w:numId w:val="0"/>
        </w:numPr>
        <w:ind w:right="-2"/>
        <w:rPr>
          <w:b/>
          <w:bCs/>
          <w:sz w:val="22"/>
          <w:szCs w:val="22"/>
        </w:rPr>
      </w:pPr>
      <w:proofErr w:type="spellStart"/>
      <w:r>
        <w:rPr>
          <w:rFonts w:eastAsiaTheme="minorHAnsi"/>
          <w:color w:val="000000"/>
          <w:sz w:val="22"/>
          <w:szCs w:val="22"/>
          <w:lang w:eastAsia="en-US"/>
        </w:rPr>
        <w:t>Mexdagry</w:t>
      </w:r>
      <w:proofErr w:type="spellEnd"/>
      <w:r>
        <w:rPr>
          <w:rFonts w:eastAsiaTheme="minorHAnsi"/>
          <w:color w:val="000000"/>
          <w:sz w:val="22"/>
          <w:szCs w:val="22"/>
          <w:lang w:eastAsia="en-US"/>
        </w:rPr>
        <w:t xml:space="preserve"> gali sukelti labai retą, tačiau labai pavojingą šalutinį poveikį, vadinamą pieno rūgšties </w:t>
      </w:r>
      <w:proofErr w:type="spellStart"/>
      <w:r>
        <w:rPr>
          <w:rFonts w:eastAsiaTheme="minorHAnsi"/>
          <w:color w:val="000000"/>
          <w:sz w:val="22"/>
          <w:szCs w:val="22"/>
          <w:lang w:eastAsia="en-US"/>
        </w:rPr>
        <w:t>acidoze</w:t>
      </w:r>
      <w:proofErr w:type="spellEnd"/>
      <w:r>
        <w:rPr>
          <w:rFonts w:eastAsiaTheme="minorHAnsi"/>
          <w:color w:val="000000"/>
          <w:sz w:val="22"/>
          <w:szCs w:val="22"/>
          <w:lang w:eastAsia="en-US"/>
        </w:rPr>
        <w:t xml:space="preserve"> (žr. 2 skyriuje skyrelį „Įspėjimai ir atsargumo priemonės“). Tokiu atveju turite </w:t>
      </w:r>
      <w:r>
        <w:rPr>
          <w:rFonts w:eastAsiaTheme="minorHAnsi"/>
          <w:b/>
          <w:bCs/>
          <w:color w:val="000000"/>
          <w:sz w:val="22"/>
          <w:szCs w:val="22"/>
          <w:lang w:eastAsia="en-US"/>
        </w:rPr>
        <w:t xml:space="preserve">nustoti vartoti </w:t>
      </w:r>
      <w:proofErr w:type="spellStart"/>
      <w:r>
        <w:rPr>
          <w:rFonts w:eastAsiaTheme="minorHAnsi"/>
          <w:b/>
          <w:bCs/>
          <w:color w:val="000000"/>
          <w:sz w:val="22"/>
          <w:szCs w:val="22"/>
          <w:lang w:eastAsia="en-US"/>
        </w:rPr>
        <w:t>Mexdagry</w:t>
      </w:r>
      <w:proofErr w:type="spellEnd"/>
      <w:r>
        <w:rPr>
          <w:rFonts w:eastAsiaTheme="minorHAnsi"/>
          <w:b/>
          <w:bCs/>
          <w:color w:val="000000"/>
          <w:sz w:val="22"/>
          <w:szCs w:val="22"/>
          <w:lang w:eastAsia="en-US"/>
        </w:rPr>
        <w:t xml:space="preserve"> ir nedelsdami kreiptis į gydytoją arba artimiausią ligoninę</w:t>
      </w:r>
      <w:r>
        <w:rPr>
          <w:rFonts w:eastAsiaTheme="minorHAnsi"/>
          <w:color w:val="000000"/>
          <w:sz w:val="22"/>
          <w:szCs w:val="22"/>
          <w:lang w:eastAsia="en-US"/>
        </w:rPr>
        <w:t xml:space="preserve">, nes pieno rūgšties </w:t>
      </w:r>
      <w:proofErr w:type="spellStart"/>
      <w:r>
        <w:rPr>
          <w:rFonts w:eastAsiaTheme="minorHAnsi"/>
          <w:color w:val="000000"/>
          <w:sz w:val="22"/>
          <w:szCs w:val="22"/>
          <w:lang w:eastAsia="en-US"/>
        </w:rPr>
        <w:t>acidozė</w:t>
      </w:r>
      <w:proofErr w:type="spellEnd"/>
      <w:r>
        <w:rPr>
          <w:rFonts w:eastAsiaTheme="minorHAnsi"/>
          <w:color w:val="000000"/>
          <w:sz w:val="22"/>
          <w:szCs w:val="22"/>
          <w:lang w:eastAsia="en-US"/>
        </w:rPr>
        <w:t xml:space="preserve"> gali sukelti komą.</w:t>
      </w:r>
    </w:p>
    <w:p w14:paraId="3DA15B1D" w14:textId="77777777" w:rsidR="00023BBF" w:rsidRDefault="00023BBF">
      <w:pPr>
        <w:widowControl w:val="0"/>
        <w:numPr>
          <w:ilvl w:val="12"/>
          <w:numId w:val="0"/>
        </w:numPr>
        <w:ind w:right="-2"/>
        <w:rPr>
          <w:snapToGrid w:val="0"/>
          <w:sz w:val="22"/>
          <w:szCs w:val="22"/>
          <w:lang w:eastAsia="en-US"/>
        </w:rPr>
      </w:pPr>
    </w:p>
    <w:p w14:paraId="72312DD1" w14:textId="77777777" w:rsidR="00023BBF" w:rsidRDefault="00E17C37">
      <w:pPr>
        <w:widowControl w:val="0"/>
        <w:numPr>
          <w:ilvl w:val="12"/>
          <w:numId w:val="0"/>
        </w:numPr>
        <w:ind w:right="-2"/>
        <w:rPr>
          <w:b/>
          <w:bCs/>
          <w:sz w:val="22"/>
          <w:szCs w:val="22"/>
        </w:rPr>
      </w:pPr>
      <w:r>
        <w:rPr>
          <w:b/>
          <w:bCs/>
          <w:sz w:val="22"/>
          <w:szCs w:val="22"/>
        </w:rPr>
        <w:t>Nedelsdami kreipkitės į gydytoją arba artimiausią ligoninę, jeigu pasireiškia kuris nors toliau išvardytas šalutinis poveikis.</w:t>
      </w:r>
    </w:p>
    <w:p w14:paraId="63B7934D" w14:textId="77777777" w:rsidR="00023BBF" w:rsidRDefault="00023BBF">
      <w:pPr>
        <w:widowControl w:val="0"/>
        <w:numPr>
          <w:ilvl w:val="12"/>
          <w:numId w:val="0"/>
        </w:numPr>
        <w:ind w:right="-2"/>
        <w:rPr>
          <w:b/>
          <w:bCs/>
          <w:sz w:val="22"/>
          <w:szCs w:val="22"/>
        </w:rPr>
      </w:pPr>
    </w:p>
    <w:p w14:paraId="149ACBDD" w14:textId="77777777" w:rsidR="00023BBF" w:rsidRDefault="00E17C37">
      <w:pPr>
        <w:numPr>
          <w:ilvl w:val="0"/>
          <w:numId w:val="38"/>
        </w:numPr>
        <w:autoSpaceDE w:val="0"/>
        <w:autoSpaceDN w:val="0"/>
        <w:adjustRightInd w:val="0"/>
        <w:rPr>
          <w:rFonts w:eastAsiaTheme="minorHAnsi"/>
          <w:color w:val="000000"/>
          <w:sz w:val="22"/>
          <w:szCs w:val="22"/>
          <w:lang w:eastAsia="en-US"/>
        </w:rPr>
      </w:pPr>
      <w:r>
        <w:rPr>
          <w:rFonts w:eastAsiaTheme="minorHAnsi"/>
          <w:b/>
          <w:bCs/>
          <w:color w:val="000000"/>
          <w:sz w:val="22"/>
          <w:szCs w:val="22"/>
          <w:lang w:eastAsia="en-US"/>
        </w:rPr>
        <w:t xml:space="preserve">Diabetinė </w:t>
      </w:r>
      <w:proofErr w:type="spellStart"/>
      <w:r>
        <w:rPr>
          <w:rFonts w:eastAsiaTheme="minorHAnsi"/>
          <w:b/>
          <w:bCs/>
          <w:color w:val="000000"/>
          <w:sz w:val="22"/>
          <w:szCs w:val="22"/>
          <w:lang w:eastAsia="en-US"/>
        </w:rPr>
        <w:t>ketoacidozė</w:t>
      </w:r>
      <w:proofErr w:type="spellEnd"/>
      <w:r>
        <w:rPr>
          <w:rFonts w:eastAsiaTheme="minorHAnsi"/>
          <w:color w:val="000000"/>
          <w:sz w:val="22"/>
          <w:szCs w:val="22"/>
          <w:lang w:eastAsia="en-US"/>
        </w:rPr>
        <w:t>, kuri pasireiškia retai(gali pasireikšti rečiau kaip 1 iš 1 000 asmenų).</w:t>
      </w:r>
    </w:p>
    <w:p w14:paraId="118B9D6D"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Diabetinės </w:t>
      </w:r>
      <w:proofErr w:type="spellStart"/>
      <w:r>
        <w:rPr>
          <w:rFonts w:eastAsiaTheme="minorHAnsi"/>
          <w:color w:val="000000"/>
          <w:sz w:val="22"/>
          <w:szCs w:val="22"/>
          <w:lang w:eastAsia="en-US"/>
        </w:rPr>
        <w:t>ketoacidozės</w:t>
      </w:r>
      <w:proofErr w:type="spellEnd"/>
      <w:r>
        <w:rPr>
          <w:rFonts w:eastAsiaTheme="minorHAnsi"/>
          <w:color w:val="000000"/>
          <w:sz w:val="22"/>
          <w:szCs w:val="22"/>
          <w:lang w:eastAsia="en-US"/>
        </w:rPr>
        <w:t xml:space="preserve"> požymiai yra šie (taip pat žr. 2 skyriuje skyrelį „Įspėjimai ir atsargumo priemonės“):</w:t>
      </w:r>
    </w:p>
    <w:p w14:paraId="342324A8" w14:textId="77777777" w:rsidR="00023BBF" w:rsidRDefault="00E17C37">
      <w:pPr>
        <w:widowControl w:val="0"/>
        <w:numPr>
          <w:ilvl w:val="1"/>
          <w:numId w:val="39"/>
        </w:numPr>
        <w:spacing w:line="260" w:lineRule="exact"/>
        <w:ind w:left="1134" w:hanging="567"/>
        <w:rPr>
          <w:noProof/>
          <w:sz w:val="22"/>
          <w:szCs w:val="22"/>
          <w:lang w:eastAsia="en-US"/>
        </w:rPr>
      </w:pPr>
      <w:r>
        <w:rPr>
          <w:snapToGrid w:val="0"/>
          <w:sz w:val="22"/>
          <w:szCs w:val="22"/>
          <w:lang w:eastAsia="en-US"/>
        </w:rPr>
        <w:t xml:space="preserve">padidėjęs </w:t>
      </w:r>
      <w:proofErr w:type="spellStart"/>
      <w:r>
        <w:rPr>
          <w:snapToGrid w:val="0"/>
          <w:sz w:val="22"/>
          <w:szCs w:val="22"/>
          <w:lang w:eastAsia="en-US"/>
        </w:rPr>
        <w:t>ketoninių</w:t>
      </w:r>
      <w:proofErr w:type="spellEnd"/>
      <w:r>
        <w:rPr>
          <w:snapToGrid w:val="0"/>
          <w:sz w:val="22"/>
          <w:szCs w:val="22"/>
          <w:lang w:eastAsia="en-US"/>
        </w:rPr>
        <w:t xml:space="preserve"> kūnų kiekis šlapime ar kraujyje;</w:t>
      </w:r>
    </w:p>
    <w:p w14:paraId="43421480" w14:textId="77777777" w:rsidR="00023BBF" w:rsidRDefault="00E17C37">
      <w:pPr>
        <w:widowControl w:val="0"/>
        <w:numPr>
          <w:ilvl w:val="1"/>
          <w:numId w:val="39"/>
        </w:numPr>
        <w:spacing w:line="260" w:lineRule="exact"/>
        <w:ind w:left="1134" w:hanging="567"/>
        <w:rPr>
          <w:noProof/>
          <w:sz w:val="22"/>
          <w:szCs w:val="22"/>
          <w:lang w:val="en-GB" w:eastAsia="en-US"/>
        </w:rPr>
      </w:pPr>
      <w:r>
        <w:rPr>
          <w:snapToGrid w:val="0"/>
          <w:sz w:val="22"/>
          <w:szCs w:val="22"/>
          <w:lang w:eastAsia="en-US"/>
        </w:rPr>
        <w:t>greitas kūno svorio mažėjimas;</w:t>
      </w:r>
    </w:p>
    <w:p w14:paraId="591959AD" w14:textId="77777777" w:rsidR="00023BBF" w:rsidRDefault="00E17C37">
      <w:pPr>
        <w:widowControl w:val="0"/>
        <w:numPr>
          <w:ilvl w:val="1"/>
          <w:numId w:val="39"/>
        </w:numPr>
        <w:spacing w:line="260" w:lineRule="exact"/>
        <w:ind w:left="1134" w:hanging="567"/>
        <w:rPr>
          <w:noProof/>
          <w:sz w:val="22"/>
          <w:szCs w:val="22"/>
          <w:lang w:val="en-GB" w:eastAsia="en-US"/>
        </w:rPr>
      </w:pPr>
      <w:r>
        <w:rPr>
          <w:snapToGrid w:val="0"/>
          <w:sz w:val="22"/>
          <w:szCs w:val="22"/>
          <w:lang w:eastAsia="en-US"/>
        </w:rPr>
        <w:t>pykinimas ar vėmimas;</w:t>
      </w:r>
    </w:p>
    <w:p w14:paraId="3C922042" w14:textId="77777777" w:rsidR="00023BBF" w:rsidRDefault="00E17C37">
      <w:pPr>
        <w:widowControl w:val="0"/>
        <w:numPr>
          <w:ilvl w:val="1"/>
          <w:numId w:val="39"/>
        </w:numPr>
        <w:spacing w:line="260" w:lineRule="exact"/>
        <w:ind w:left="1134" w:hanging="567"/>
        <w:rPr>
          <w:noProof/>
          <w:sz w:val="22"/>
          <w:szCs w:val="22"/>
          <w:lang w:val="en-GB" w:eastAsia="en-US"/>
        </w:rPr>
      </w:pPr>
      <w:r>
        <w:rPr>
          <w:snapToGrid w:val="0"/>
          <w:sz w:val="22"/>
          <w:szCs w:val="22"/>
          <w:lang w:eastAsia="en-US"/>
        </w:rPr>
        <w:t>pilvo skausmas;</w:t>
      </w:r>
    </w:p>
    <w:p w14:paraId="4CEC58B8" w14:textId="77777777" w:rsidR="00023BBF" w:rsidRDefault="00E17C37">
      <w:pPr>
        <w:widowControl w:val="0"/>
        <w:numPr>
          <w:ilvl w:val="1"/>
          <w:numId w:val="39"/>
        </w:numPr>
        <w:spacing w:line="260" w:lineRule="exact"/>
        <w:ind w:left="1134" w:hanging="567"/>
        <w:rPr>
          <w:noProof/>
          <w:sz w:val="22"/>
          <w:szCs w:val="22"/>
          <w:lang w:val="en-GB" w:eastAsia="en-US"/>
        </w:rPr>
      </w:pPr>
      <w:r>
        <w:rPr>
          <w:snapToGrid w:val="0"/>
          <w:sz w:val="22"/>
          <w:szCs w:val="22"/>
          <w:lang w:eastAsia="en-US"/>
        </w:rPr>
        <w:t>didelis troškulys;</w:t>
      </w:r>
    </w:p>
    <w:p w14:paraId="22147565" w14:textId="77777777" w:rsidR="00023BBF" w:rsidRDefault="00E17C37">
      <w:pPr>
        <w:widowControl w:val="0"/>
        <w:numPr>
          <w:ilvl w:val="1"/>
          <w:numId w:val="39"/>
        </w:numPr>
        <w:spacing w:line="260" w:lineRule="exact"/>
        <w:ind w:left="1134" w:hanging="567"/>
        <w:rPr>
          <w:noProof/>
          <w:sz w:val="22"/>
          <w:szCs w:val="22"/>
          <w:lang w:val="en-GB" w:eastAsia="en-US"/>
        </w:rPr>
      </w:pPr>
      <w:r>
        <w:rPr>
          <w:snapToGrid w:val="0"/>
          <w:sz w:val="22"/>
          <w:szCs w:val="22"/>
          <w:lang w:eastAsia="en-US"/>
        </w:rPr>
        <w:t>dažnas ir gilus kvėpavimas;</w:t>
      </w:r>
    </w:p>
    <w:p w14:paraId="05E86269" w14:textId="77777777" w:rsidR="00023BBF" w:rsidRDefault="00E17C37">
      <w:pPr>
        <w:widowControl w:val="0"/>
        <w:numPr>
          <w:ilvl w:val="1"/>
          <w:numId w:val="39"/>
        </w:numPr>
        <w:spacing w:line="260" w:lineRule="exact"/>
        <w:ind w:left="1134" w:hanging="567"/>
        <w:rPr>
          <w:noProof/>
          <w:sz w:val="22"/>
          <w:szCs w:val="22"/>
          <w:lang w:val="en-GB" w:eastAsia="en-US"/>
        </w:rPr>
      </w:pPr>
      <w:r>
        <w:rPr>
          <w:snapToGrid w:val="0"/>
          <w:sz w:val="22"/>
          <w:szCs w:val="22"/>
          <w:lang w:eastAsia="en-US"/>
        </w:rPr>
        <w:t>sumišimas;</w:t>
      </w:r>
    </w:p>
    <w:p w14:paraId="3F140AE5" w14:textId="77777777" w:rsidR="00023BBF" w:rsidRDefault="00E17C37">
      <w:pPr>
        <w:widowControl w:val="0"/>
        <w:numPr>
          <w:ilvl w:val="1"/>
          <w:numId w:val="39"/>
        </w:numPr>
        <w:spacing w:line="260" w:lineRule="exact"/>
        <w:ind w:left="1134" w:hanging="567"/>
        <w:rPr>
          <w:noProof/>
          <w:sz w:val="22"/>
          <w:szCs w:val="22"/>
          <w:lang w:val="en-GB" w:eastAsia="en-US"/>
        </w:rPr>
      </w:pPr>
      <w:r>
        <w:rPr>
          <w:snapToGrid w:val="0"/>
          <w:sz w:val="22"/>
          <w:szCs w:val="22"/>
          <w:lang w:eastAsia="en-US"/>
        </w:rPr>
        <w:lastRenderedPageBreak/>
        <w:t>neįprastas mieguistumas ar nuovargis;</w:t>
      </w:r>
    </w:p>
    <w:p w14:paraId="7EF2C83B" w14:textId="77777777" w:rsidR="00023BBF" w:rsidRDefault="00E17C37">
      <w:pPr>
        <w:widowControl w:val="0"/>
        <w:numPr>
          <w:ilvl w:val="1"/>
          <w:numId w:val="39"/>
        </w:numPr>
        <w:spacing w:line="260" w:lineRule="exact"/>
        <w:ind w:left="1134" w:hanging="567"/>
        <w:rPr>
          <w:noProof/>
          <w:sz w:val="22"/>
          <w:szCs w:val="22"/>
          <w:lang w:val="pt-PT" w:eastAsia="en-US"/>
        </w:rPr>
      </w:pPr>
      <w:r>
        <w:rPr>
          <w:snapToGrid w:val="0"/>
          <w:sz w:val="22"/>
          <w:szCs w:val="22"/>
          <w:lang w:eastAsia="en-US"/>
        </w:rPr>
        <w:t>saldus kvapas iš burnos, saldus ar metalo skonis joje, arba pakitęs šlapimo ar prakaito kvapas.</w:t>
      </w:r>
    </w:p>
    <w:p w14:paraId="42F885DB" w14:textId="77777777" w:rsidR="00023BBF" w:rsidRDefault="00E17C37">
      <w:pPr>
        <w:widowControl w:val="0"/>
        <w:numPr>
          <w:ilvl w:val="12"/>
          <w:numId w:val="0"/>
        </w:numPr>
        <w:ind w:right="-2"/>
        <w:rPr>
          <w:snapToGrid w:val="0"/>
          <w:sz w:val="22"/>
          <w:szCs w:val="22"/>
          <w:lang w:eastAsia="en-US"/>
        </w:rPr>
      </w:pPr>
      <w:r>
        <w:rPr>
          <w:snapToGrid w:val="0"/>
          <w:sz w:val="22"/>
          <w:szCs w:val="22"/>
          <w:lang w:eastAsia="en-US"/>
        </w:rPr>
        <w:t xml:space="preserve">Toks poveikis gali pasireikšti nepriklausomai nuo gliukozės kiekio kraujyje. Jūsų gydytojas gali nuspręsti laikinai arba visam laikui nutraukti </w:t>
      </w:r>
      <w:proofErr w:type="spellStart"/>
      <w:r>
        <w:rPr>
          <w:snapToGrid w:val="0"/>
          <w:sz w:val="22"/>
          <w:szCs w:val="22"/>
          <w:lang w:eastAsia="en-US"/>
        </w:rPr>
        <w:t>Mexdagry</w:t>
      </w:r>
      <w:proofErr w:type="spellEnd"/>
      <w:r>
        <w:rPr>
          <w:snapToGrid w:val="0"/>
          <w:sz w:val="22"/>
          <w:szCs w:val="22"/>
          <w:lang w:eastAsia="en-US"/>
        </w:rPr>
        <w:t xml:space="preserve"> vartojimą.</w:t>
      </w:r>
    </w:p>
    <w:p w14:paraId="5333F74D" w14:textId="77777777" w:rsidR="00023BBF" w:rsidRDefault="00023BBF">
      <w:pPr>
        <w:autoSpaceDE w:val="0"/>
        <w:autoSpaceDN w:val="0"/>
        <w:adjustRightInd w:val="0"/>
        <w:rPr>
          <w:rFonts w:ascii="Symbol" w:eastAsiaTheme="minorHAnsi" w:hAnsi="Symbol" w:cs="Symbol"/>
          <w:color w:val="000000"/>
          <w:lang w:eastAsia="en-US"/>
        </w:rPr>
      </w:pPr>
    </w:p>
    <w:p w14:paraId="0BA32F86" w14:textId="77777777" w:rsidR="00023BBF" w:rsidRDefault="00E17C37">
      <w:pPr>
        <w:numPr>
          <w:ilvl w:val="0"/>
          <w:numId w:val="40"/>
        </w:numPr>
        <w:autoSpaceDE w:val="0"/>
        <w:autoSpaceDN w:val="0"/>
        <w:adjustRightInd w:val="0"/>
        <w:rPr>
          <w:rFonts w:eastAsiaTheme="minorHAnsi"/>
          <w:color w:val="000000"/>
          <w:sz w:val="22"/>
          <w:szCs w:val="22"/>
          <w:lang w:eastAsia="en-US"/>
        </w:rPr>
      </w:pPr>
      <w:r>
        <w:rPr>
          <w:rFonts w:ascii="Symbol" w:eastAsiaTheme="minorHAnsi" w:hAnsi="Symbol" w:cs="Symbol"/>
          <w:b/>
          <w:bCs/>
          <w:color w:val="000000"/>
          <w:sz w:val="22"/>
          <w:szCs w:val="22"/>
          <w:lang w:eastAsia="en-US"/>
        </w:rPr>
        <w:t></w:t>
      </w:r>
      <w:proofErr w:type="spellStart"/>
      <w:r>
        <w:rPr>
          <w:rFonts w:eastAsiaTheme="minorHAnsi"/>
          <w:b/>
          <w:bCs/>
          <w:color w:val="000000"/>
          <w:sz w:val="22"/>
          <w:szCs w:val="22"/>
          <w:lang w:eastAsia="en-US"/>
        </w:rPr>
        <w:t>arpvietės</w:t>
      </w:r>
      <w:proofErr w:type="spellEnd"/>
      <w:r>
        <w:rPr>
          <w:rFonts w:eastAsiaTheme="minorHAnsi"/>
          <w:b/>
          <w:bCs/>
          <w:color w:val="000000"/>
          <w:sz w:val="22"/>
          <w:szCs w:val="22"/>
          <w:lang w:eastAsia="en-US"/>
        </w:rPr>
        <w:t xml:space="preserve"> </w:t>
      </w:r>
      <w:proofErr w:type="spellStart"/>
      <w:r>
        <w:rPr>
          <w:rFonts w:eastAsiaTheme="minorHAnsi"/>
          <w:b/>
          <w:bCs/>
          <w:color w:val="000000"/>
          <w:sz w:val="22"/>
          <w:szCs w:val="22"/>
          <w:lang w:eastAsia="en-US"/>
        </w:rPr>
        <w:t>nekrozuojantis</w:t>
      </w:r>
      <w:proofErr w:type="spellEnd"/>
      <w:r>
        <w:rPr>
          <w:rFonts w:eastAsiaTheme="minorHAnsi"/>
          <w:b/>
          <w:bCs/>
          <w:color w:val="000000"/>
          <w:sz w:val="22"/>
          <w:szCs w:val="22"/>
          <w:lang w:eastAsia="en-US"/>
        </w:rPr>
        <w:t xml:space="preserve"> </w:t>
      </w:r>
      <w:proofErr w:type="spellStart"/>
      <w:r>
        <w:rPr>
          <w:rFonts w:eastAsiaTheme="minorHAnsi"/>
          <w:b/>
          <w:bCs/>
          <w:color w:val="000000"/>
          <w:sz w:val="22"/>
          <w:szCs w:val="22"/>
          <w:lang w:eastAsia="en-US"/>
        </w:rPr>
        <w:t>fascitas</w:t>
      </w:r>
      <w:proofErr w:type="spellEnd"/>
      <w:r>
        <w:rPr>
          <w:rFonts w:eastAsiaTheme="minorHAnsi"/>
          <w:b/>
          <w:bCs/>
          <w:color w:val="000000"/>
          <w:sz w:val="22"/>
          <w:szCs w:val="22"/>
          <w:lang w:eastAsia="en-US"/>
        </w:rPr>
        <w:t xml:space="preserve"> </w:t>
      </w:r>
      <w:r>
        <w:rPr>
          <w:rFonts w:eastAsiaTheme="minorHAnsi"/>
          <w:color w:val="000000"/>
          <w:sz w:val="22"/>
          <w:szCs w:val="22"/>
          <w:lang w:eastAsia="en-US"/>
        </w:rPr>
        <w:t>(</w:t>
      </w:r>
      <w:proofErr w:type="spellStart"/>
      <w:r>
        <w:rPr>
          <w:rFonts w:eastAsiaTheme="minorHAnsi"/>
          <w:i/>
          <w:iCs/>
          <w:color w:val="000000"/>
          <w:sz w:val="22"/>
          <w:szCs w:val="22"/>
          <w:lang w:eastAsia="en-US"/>
        </w:rPr>
        <w:t>Fournier</w:t>
      </w:r>
      <w:proofErr w:type="spellEnd"/>
      <w:r>
        <w:rPr>
          <w:rFonts w:eastAsiaTheme="minorHAnsi"/>
          <w:i/>
          <w:iCs/>
          <w:color w:val="000000"/>
          <w:sz w:val="22"/>
          <w:szCs w:val="22"/>
          <w:lang w:eastAsia="en-US"/>
        </w:rPr>
        <w:t xml:space="preserve"> </w:t>
      </w:r>
      <w:r>
        <w:rPr>
          <w:rFonts w:eastAsiaTheme="minorHAnsi"/>
          <w:color w:val="000000"/>
          <w:sz w:val="22"/>
          <w:szCs w:val="22"/>
          <w:lang w:eastAsia="en-US"/>
        </w:rPr>
        <w:t>gangrena) – sunki lytinių organų arba srities tarp jų ir išeinamosios angos minkštųjų audinių infekcija (pasireiškia labai retai).</w:t>
      </w:r>
    </w:p>
    <w:p w14:paraId="0E62E666" w14:textId="77777777" w:rsidR="00023BBF" w:rsidRDefault="00023BBF">
      <w:pPr>
        <w:autoSpaceDE w:val="0"/>
        <w:autoSpaceDN w:val="0"/>
        <w:adjustRightInd w:val="0"/>
        <w:rPr>
          <w:rFonts w:eastAsiaTheme="minorHAnsi"/>
          <w:color w:val="000000"/>
          <w:sz w:val="22"/>
          <w:szCs w:val="22"/>
          <w:lang w:eastAsia="en-US"/>
        </w:rPr>
      </w:pPr>
    </w:p>
    <w:p w14:paraId="032D8BCF" w14:textId="77777777" w:rsidR="00023BBF" w:rsidRDefault="00E17C37">
      <w:pPr>
        <w:autoSpaceDE w:val="0"/>
        <w:autoSpaceDN w:val="0"/>
        <w:adjustRightInd w:val="0"/>
        <w:rPr>
          <w:rFonts w:eastAsiaTheme="minorHAnsi"/>
          <w:b/>
          <w:bCs/>
          <w:color w:val="000000"/>
          <w:sz w:val="22"/>
          <w:szCs w:val="22"/>
          <w:lang w:eastAsia="en-US"/>
        </w:rPr>
      </w:pPr>
      <w:r>
        <w:rPr>
          <w:rFonts w:eastAsiaTheme="minorHAnsi"/>
          <w:b/>
          <w:bCs/>
          <w:color w:val="000000"/>
          <w:sz w:val="22"/>
          <w:szCs w:val="22"/>
          <w:lang w:eastAsia="en-US"/>
        </w:rPr>
        <w:t xml:space="preserve">Kiek įmanoma greičiau nutraukite </w:t>
      </w:r>
      <w:proofErr w:type="spellStart"/>
      <w:r>
        <w:rPr>
          <w:rFonts w:eastAsiaTheme="minorHAnsi"/>
          <w:b/>
          <w:bCs/>
          <w:color w:val="000000"/>
          <w:sz w:val="22"/>
          <w:szCs w:val="22"/>
          <w:lang w:eastAsia="en-US"/>
        </w:rPr>
        <w:t>Mexdagry</w:t>
      </w:r>
      <w:proofErr w:type="spellEnd"/>
      <w:r>
        <w:rPr>
          <w:rFonts w:eastAsiaTheme="minorHAnsi"/>
          <w:b/>
          <w:bCs/>
          <w:color w:val="000000"/>
          <w:sz w:val="22"/>
          <w:szCs w:val="22"/>
          <w:lang w:eastAsia="en-US"/>
        </w:rPr>
        <w:t xml:space="preserve"> vartojimą ir kreipkitės į gydytoją, jeigu pastebite kurį nors toliau išvardytą pavojingą arba potencialiai pavojingą šalutinį poveikį.</w:t>
      </w:r>
    </w:p>
    <w:p w14:paraId="055932E2" w14:textId="77777777" w:rsidR="00023BBF" w:rsidRDefault="00023BBF">
      <w:pPr>
        <w:autoSpaceDE w:val="0"/>
        <w:autoSpaceDN w:val="0"/>
        <w:adjustRightInd w:val="0"/>
        <w:rPr>
          <w:rFonts w:eastAsiaTheme="minorHAnsi"/>
          <w:color w:val="000000"/>
          <w:sz w:val="22"/>
          <w:szCs w:val="22"/>
          <w:lang w:eastAsia="en-US"/>
        </w:rPr>
      </w:pPr>
    </w:p>
    <w:p w14:paraId="4A01C1CC" w14:textId="77777777" w:rsidR="00023BBF" w:rsidRDefault="00E17C37">
      <w:pPr>
        <w:numPr>
          <w:ilvl w:val="0"/>
          <w:numId w:val="41"/>
        </w:numPr>
        <w:autoSpaceDE w:val="0"/>
        <w:autoSpaceDN w:val="0"/>
        <w:adjustRightInd w:val="0"/>
        <w:rPr>
          <w:rFonts w:eastAsiaTheme="minorHAnsi"/>
          <w:color w:val="000000"/>
          <w:sz w:val="22"/>
          <w:szCs w:val="22"/>
          <w:lang w:eastAsia="en-US"/>
        </w:rPr>
      </w:pPr>
      <w:r>
        <w:rPr>
          <w:rFonts w:eastAsiaTheme="minorHAnsi"/>
          <w:b/>
          <w:bCs/>
          <w:color w:val="000000"/>
          <w:sz w:val="22"/>
          <w:szCs w:val="22"/>
          <w:lang w:eastAsia="en-US"/>
        </w:rPr>
        <w:t xml:space="preserve">Šlapimo takų infekcija </w:t>
      </w:r>
      <w:r>
        <w:rPr>
          <w:rFonts w:eastAsiaTheme="minorHAnsi"/>
          <w:color w:val="000000"/>
          <w:sz w:val="22"/>
          <w:szCs w:val="22"/>
          <w:lang w:eastAsia="en-US"/>
        </w:rPr>
        <w:t>(ji gali pasireikšti dažnai, t. y. rečiau kaip 1 iš 10 asmenų).</w:t>
      </w:r>
    </w:p>
    <w:p w14:paraId="40749AB3"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Sunkios šlapimo takų infekcijos požymiai yra šie:</w:t>
      </w:r>
    </w:p>
    <w:p w14:paraId="545F8949" w14:textId="77777777" w:rsidR="00023BBF" w:rsidRDefault="00E17C37">
      <w:pPr>
        <w:widowControl w:val="0"/>
        <w:numPr>
          <w:ilvl w:val="1"/>
          <w:numId w:val="39"/>
        </w:numPr>
        <w:spacing w:line="260" w:lineRule="exact"/>
        <w:ind w:left="1134" w:hanging="567"/>
        <w:rPr>
          <w:noProof/>
          <w:sz w:val="22"/>
          <w:szCs w:val="22"/>
          <w:lang w:val="en-GB" w:eastAsia="en-US"/>
        </w:rPr>
      </w:pPr>
      <w:r>
        <w:rPr>
          <w:rFonts w:eastAsiaTheme="minorHAnsi"/>
          <w:color w:val="000000"/>
          <w:sz w:val="22"/>
          <w:szCs w:val="22"/>
          <w:lang w:eastAsia="en-US"/>
        </w:rPr>
        <w:t xml:space="preserve">karščiavimas ir (arba) </w:t>
      </w:r>
      <w:proofErr w:type="spellStart"/>
      <w:r>
        <w:rPr>
          <w:rFonts w:eastAsiaTheme="minorHAnsi"/>
          <w:color w:val="000000"/>
          <w:sz w:val="22"/>
          <w:szCs w:val="22"/>
          <w:lang w:eastAsia="en-US"/>
        </w:rPr>
        <w:t>šaltkrėtis</w:t>
      </w:r>
      <w:proofErr w:type="spellEnd"/>
      <w:r>
        <w:rPr>
          <w:rFonts w:eastAsiaTheme="minorHAnsi"/>
          <w:color w:val="000000"/>
          <w:sz w:val="22"/>
          <w:szCs w:val="22"/>
          <w:lang w:eastAsia="en-US"/>
        </w:rPr>
        <w:t>;</w:t>
      </w:r>
    </w:p>
    <w:p w14:paraId="7022A190" w14:textId="77777777" w:rsidR="00023BBF" w:rsidRDefault="00E17C37">
      <w:pPr>
        <w:widowControl w:val="0"/>
        <w:numPr>
          <w:ilvl w:val="1"/>
          <w:numId w:val="39"/>
        </w:numPr>
        <w:spacing w:line="260" w:lineRule="exact"/>
        <w:ind w:left="1134" w:hanging="567"/>
        <w:rPr>
          <w:noProof/>
          <w:sz w:val="22"/>
          <w:szCs w:val="22"/>
          <w:lang w:val="en-GB" w:eastAsia="en-US"/>
        </w:rPr>
      </w:pPr>
      <w:r>
        <w:rPr>
          <w:rFonts w:eastAsiaTheme="minorHAnsi"/>
          <w:color w:val="000000"/>
          <w:sz w:val="22"/>
          <w:szCs w:val="22"/>
          <w:lang w:eastAsia="en-US"/>
        </w:rPr>
        <w:t>deginimo pojūtis šlapinantis;</w:t>
      </w:r>
    </w:p>
    <w:p w14:paraId="7B9D0EAA" w14:textId="77777777" w:rsidR="00023BBF" w:rsidRDefault="00E17C37">
      <w:pPr>
        <w:widowControl w:val="0"/>
        <w:numPr>
          <w:ilvl w:val="1"/>
          <w:numId w:val="39"/>
        </w:numPr>
        <w:spacing w:line="260" w:lineRule="exact"/>
        <w:ind w:left="1134" w:hanging="567"/>
        <w:rPr>
          <w:noProof/>
          <w:sz w:val="22"/>
          <w:szCs w:val="22"/>
          <w:lang w:val="en-GB" w:eastAsia="en-US"/>
        </w:rPr>
      </w:pPr>
      <w:r>
        <w:rPr>
          <w:rFonts w:eastAsiaTheme="minorHAnsi"/>
          <w:color w:val="000000"/>
          <w:sz w:val="22"/>
          <w:szCs w:val="22"/>
          <w:lang w:eastAsia="en-US"/>
        </w:rPr>
        <w:t>nugaros ar šono skausmas.</w:t>
      </w:r>
    </w:p>
    <w:p w14:paraId="53488B9D"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Nedažnais atvejais šlapime gali atsirasti kraujo. Jei jį pastebite, nedelsdami pasakykite gydytojui.</w:t>
      </w:r>
    </w:p>
    <w:p w14:paraId="2120E99E" w14:textId="77777777" w:rsidR="00023BBF" w:rsidRDefault="00023BBF">
      <w:pPr>
        <w:autoSpaceDE w:val="0"/>
        <w:autoSpaceDN w:val="0"/>
        <w:adjustRightInd w:val="0"/>
        <w:rPr>
          <w:rFonts w:eastAsiaTheme="minorHAnsi"/>
          <w:color w:val="000000"/>
          <w:sz w:val="22"/>
          <w:szCs w:val="22"/>
          <w:lang w:eastAsia="en-US"/>
        </w:rPr>
      </w:pPr>
    </w:p>
    <w:p w14:paraId="06AF153D" w14:textId="77777777" w:rsidR="00023BBF" w:rsidRDefault="00E17C37">
      <w:pPr>
        <w:widowControl w:val="0"/>
        <w:numPr>
          <w:ilvl w:val="12"/>
          <w:numId w:val="0"/>
        </w:numPr>
        <w:ind w:right="-2"/>
        <w:rPr>
          <w:snapToGrid w:val="0"/>
          <w:sz w:val="22"/>
          <w:szCs w:val="22"/>
          <w:lang w:eastAsia="en-US"/>
        </w:rPr>
      </w:pPr>
      <w:r>
        <w:rPr>
          <w:rFonts w:eastAsiaTheme="minorHAnsi"/>
          <w:b/>
          <w:bCs/>
          <w:color w:val="000000"/>
          <w:sz w:val="22"/>
          <w:szCs w:val="22"/>
          <w:lang w:eastAsia="en-US"/>
        </w:rPr>
        <w:t>Nedelsdami kreipkitės į gydytoją, jeigu pastebite kurį nors toliau išvardytą šalutinį poveikį.</w:t>
      </w:r>
    </w:p>
    <w:p w14:paraId="05CE798A" w14:textId="77777777" w:rsidR="00023BBF" w:rsidRDefault="00023BBF">
      <w:pPr>
        <w:autoSpaceDE w:val="0"/>
        <w:autoSpaceDN w:val="0"/>
        <w:adjustRightInd w:val="0"/>
        <w:rPr>
          <w:rFonts w:ascii="Symbol" w:eastAsiaTheme="minorHAnsi" w:hAnsi="Symbol" w:cs="Symbol"/>
          <w:color w:val="000000"/>
          <w:lang w:eastAsia="en-US"/>
        </w:rPr>
      </w:pPr>
    </w:p>
    <w:p w14:paraId="5D195555" w14:textId="77777777" w:rsidR="00023BBF" w:rsidRDefault="00E17C37">
      <w:pPr>
        <w:numPr>
          <w:ilvl w:val="0"/>
          <w:numId w:val="42"/>
        </w:numPr>
        <w:autoSpaceDE w:val="0"/>
        <w:autoSpaceDN w:val="0"/>
        <w:adjustRightInd w:val="0"/>
        <w:rPr>
          <w:rFonts w:eastAsiaTheme="minorHAnsi"/>
          <w:color w:val="000000"/>
          <w:sz w:val="22"/>
          <w:szCs w:val="22"/>
          <w:lang w:eastAsia="en-US"/>
        </w:rPr>
      </w:pPr>
      <w:r>
        <w:rPr>
          <w:rFonts w:eastAsiaTheme="minorHAnsi"/>
          <w:b/>
          <w:bCs/>
          <w:color w:val="000000"/>
          <w:sz w:val="22"/>
          <w:szCs w:val="22"/>
          <w:lang w:eastAsia="en-US"/>
        </w:rPr>
        <w:t xml:space="preserve">Mažas cukraus kiekis kraujyje – hipoglikemija </w:t>
      </w:r>
      <w:r>
        <w:rPr>
          <w:rFonts w:eastAsiaTheme="minorHAnsi"/>
          <w:color w:val="000000"/>
          <w:sz w:val="22"/>
          <w:szCs w:val="22"/>
          <w:lang w:eastAsia="en-US"/>
        </w:rPr>
        <w:t xml:space="preserve">(ji gali pasireikšti labai dažnai, t. y. ne rečiau kaip 1 iš 10 asmenų, vartojančių šio vaisto kartu su </w:t>
      </w:r>
      <w:proofErr w:type="spellStart"/>
      <w:r>
        <w:rPr>
          <w:rFonts w:eastAsiaTheme="minorHAnsi"/>
          <w:color w:val="000000"/>
          <w:sz w:val="22"/>
          <w:szCs w:val="22"/>
          <w:lang w:eastAsia="en-US"/>
        </w:rPr>
        <w:t>sulfonilkarbamidų</w:t>
      </w:r>
      <w:proofErr w:type="spellEnd"/>
      <w:r>
        <w:rPr>
          <w:rFonts w:eastAsiaTheme="minorHAnsi"/>
          <w:color w:val="000000"/>
          <w:sz w:val="22"/>
          <w:szCs w:val="22"/>
          <w:lang w:eastAsia="en-US"/>
        </w:rPr>
        <w:t xml:space="preserve"> dariniais arba kitais vaistais, mažinančiais cukraus kiekį kraujyje, pvz., insulinu).</w:t>
      </w:r>
    </w:p>
    <w:p w14:paraId="2FEB928B"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Sumažėjusio cukraus kiekio kraujyje požymiai yra šie:</w:t>
      </w:r>
    </w:p>
    <w:p w14:paraId="7B61B137" w14:textId="77777777" w:rsidR="00023BBF" w:rsidRDefault="00E17C37">
      <w:pPr>
        <w:widowControl w:val="0"/>
        <w:numPr>
          <w:ilvl w:val="1"/>
          <w:numId w:val="39"/>
        </w:numPr>
        <w:spacing w:line="260" w:lineRule="exact"/>
        <w:ind w:left="1134" w:hanging="567"/>
        <w:rPr>
          <w:noProof/>
          <w:sz w:val="22"/>
          <w:szCs w:val="22"/>
          <w:lang w:val="pt-PT" w:eastAsia="en-US"/>
        </w:rPr>
      </w:pPr>
      <w:r>
        <w:rPr>
          <w:rFonts w:eastAsiaTheme="minorHAnsi"/>
          <w:color w:val="000000"/>
          <w:sz w:val="22"/>
          <w:szCs w:val="22"/>
          <w:lang w:eastAsia="en-US"/>
        </w:rPr>
        <w:t>drebulys, prakaitavimas, didelis nerimas, dažni širdies susitraukimai;</w:t>
      </w:r>
    </w:p>
    <w:p w14:paraId="6DD87933" w14:textId="77777777" w:rsidR="00023BBF" w:rsidRDefault="00E17C37">
      <w:pPr>
        <w:widowControl w:val="0"/>
        <w:numPr>
          <w:ilvl w:val="1"/>
          <w:numId w:val="39"/>
        </w:numPr>
        <w:spacing w:line="260" w:lineRule="exact"/>
        <w:ind w:left="1134" w:hanging="567"/>
        <w:rPr>
          <w:noProof/>
          <w:sz w:val="22"/>
          <w:szCs w:val="22"/>
          <w:lang w:val="pt-PT" w:eastAsia="en-US"/>
        </w:rPr>
      </w:pPr>
      <w:r>
        <w:rPr>
          <w:rFonts w:eastAsiaTheme="minorHAnsi"/>
          <w:color w:val="000000"/>
          <w:sz w:val="22"/>
          <w:szCs w:val="22"/>
          <w:lang w:eastAsia="en-US"/>
        </w:rPr>
        <w:t>alkis, galvos skausmas, pakitęs matymas;</w:t>
      </w:r>
    </w:p>
    <w:p w14:paraId="24AE7ADC" w14:textId="77777777" w:rsidR="00023BBF" w:rsidRDefault="00E17C37">
      <w:pPr>
        <w:widowControl w:val="0"/>
        <w:numPr>
          <w:ilvl w:val="1"/>
          <w:numId w:val="39"/>
        </w:numPr>
        <w:spacing w:line="260" w:lineRule="exact"/>
        <w:ind w:left="1134" w:hanging="567"/>
        <w:rPr>
          <w:noProof/>
          <w:sz w:val="22"/>
          <w:szCs w:val="22"/>
          <w:lang w:val="en-GB" w:eastAsia="en-US"/>
        </w:rPr>
      </w:pPr>
      <w:r>
        <w:rPr>
          <w:rFonts w:eastAsiaTheme="minorHAnsi"/>
          <w:color w:val="000000"/>
          <w:sz w:val="22"/>
          <w:szCs w:val="22"/>
          <w:lang w:eastAsia="en-US"/>
        </w:rPr>
        <w:t>pakitusi nuotaika ar sumišimas.</w:t>
      </w:r>
    </w:p>
    <w:p w14:paraId="54AC21F6" w14:textId="77777777" w:rsidR="00023BBF" w:rsidRDefault="00E17C37">
      <w:pPr>
        <w:widowControl w:val="0"/>
        <w:numPr>
          <w:ilvl w:val="12"/>
          <w:numId w:val="0"/>
        </w:numPr>
        <w:ind w:right="-2"/>
        <w:rPr>
          <w:snapToGrid w:val="0"/>
          <w:sz w:val="22"/>
          <w:szCs w:val="22"/>
          <w:lang w:eastAsia="en-US"/>
        </w:rPr>
      </w:pPr>
      <w:r>
        <w:rPr>
          <w:rFonts w:eastAsiaTheme="minorHAnsi"/>
          <w:color w:val="000000"/>
          <w:sz w:val="22"/>
          <w:szCs w:val="22"/>
          <w:lang w:eastAsia="en-US"/>
        </w:rPr>
        <w:t>Ką daryti, sumažėjus cukraus kiekiui kraujyje arba pastebėjus kurį nors iš pirmiau išvardytų požymių, pasakys gydytojas. Jeigu jaučiate sumažėjusio cukraus kiekio kraujyje simptomų, tai suvalgykite gliukozės tablečių, užkandį su daug cukraus arba išgerkite vaisių sulčių. Pamatuokite cukraus koncentraciją savo kraujyje, jei tik galite ir pailsėkite.</w:t>
      </w:r>
    </w:p>
    <w:p w14:paraId="6A9FC49D" w14:textId="77777777" w:rsidR="00023BBF" w:rsidRDefault="00023BBF">
      <w:pPr>
        <w:widowControl w:val="0"/>
        <w:numPr>
          <w:ilvl w:val="12"/>
          <w:numId w:val="0"/>
        </w:numPr>
        <w:ind w:right="-2"/>
        <w:rPr>
          <w:snapToGrid w:val="0"/>
          <w:sz w:val="22"/>
          <w:szCs w:val="22"/>
          <w:lang w:eastAsia="en-US"/>
        </w:rPr>
      </w:pPr>
    </w:p>
    <w:p w14:paraId="0E46AA9B" w14:textId="77777777" w:rsidR="00023BBF" w:rsidRDefault="00E17C37">
      <w:pPr>
        <w:autoSpaceDE w:val="0"/>
        <w:autoSpaceDN w:val="0"/>
        <w:adjustRightInd w:val="0"/>
        <w:rPr>
          <w:rFonts w:eastAsiaTheme="minorHAnsi"/>
          <w:color w:val="000000"/>
          <w:sz w:val="22"/>
          <w:szCs w:val="22"/>
          <w:lang w:eastAsia="en-US"/>
        </w:rPr>
      </w:pPr>
      <w:r>
        <w:rPr>
          <w:rFonts w:eastAsiaTheme="minorHAnsi"/>
          <w:b/>
          <w:bCs/>
          <w:color w:val="000000"/>
          <w:sz w:val="22"/>
          <w:szCs w:val="22"/>
          <w:lang w:eastAsia="en-US"/>
        </w:rPr>
        <w:t>Kiti šalutinio poveikio reiškiniai:</w:t>
      </w:r>
    </w:p>
    <w:p w14:paraId="480BC18B" w14:textId="77777777" w:rsidR="00023BBF" w:rsidRDefault="00E17C37">
      <w:pPr>
        <w:autoSpaceDE w:val="0"/>
        <w:autoSpaceDN w:val="0"/>
        <w:adjustRightInd w:val="0"/>
        <w:rPr>
          <w:rFonts w:eastAsiaTheme="minorHAnsi"/>
          <w:b/>
          <w:bCs/>
          <w:color w:val="000000"/>
          <w:sz w:val="22"/>
          <w:szCs w:val="22"/>
          <w:lang w:eastAsia="en-US"/>
        </w:rPr>
      </w:pPr>
      <w:r>
        <w:rPr>
          <w:rFonts w:eastAsiaTheme="minorHAnsi"/>
          <w:b/>
          <w:bCs/>
          <w:color w:val="000000"/>
          <w:sz w:val="22"/>
          <w:szCs w:val="22"/>
          <w:lang w:eastAsia="en-US"/>
        </w:rPr>
        <w:t>Labai dažni šalutinio poveikio reiškiniai</w:t>
      </w:r>
      <w:r>
        <w:rPr>
          <w:rFonts w:eastAsiaTheme="minorHAnsi"/>
          <w:color w:val="000000"/>
          <w:sz w:val="22"/>
          <w:szCs w:val="22"/>
          <w:lang w:eastAsia="en-US"/>
        </w:rPr>
        <w:t xml:space="preserve"> </w:t>
      </w:r>
      <w:r>
        <w:rPr>
          <w:sz w:val="22"/>
          <w:szCs w:val="22"/>
          <w:lang w:eastAsia="lt-LT"/>
        </w:rPr>
        <w:t>(gali pasireikšti ne rečiau kaip 1 iš 10 asmenų)</w:t>
      </w:r>
      <w:r>
        <w:rPr>
          <w:rFonts w:eastAsiaTheme="minorHAnsi"/>
          <w:color w:val="000000"/>
          <w:sz w:val="22"/>
          <w:szCs w:val="22"/>
          <w:lang w:eastAsia="en-US"/>
        </w:rPr>
        <w:t>:</w:t>
      </w:r>
    </w:p>
    <w:p w14:paraId="060CC50C" w14:textId="77777777" w:rsidR="00023BBF" w:rsidRDefault="00E17C37">
      <w:pPr>
        <w:widowControl w:val="0"/>
        <w:numPr>
          <w:ilvl w:val="0"/>
          <w:numId w:val="25"/>
        </w:numPr>
        <w:tabs>
          <w:tab w:val="left" w:pos="567"/>
        </w:tabs>
        <w:spacing w:line="260" w:lineRule="exact"/>
        <w:ind w:left="567" w:hanging="567"/>
        <w:rPr>
          <w:noProof/>
          <w:sz w:val="22"/>
          <w:szCs w:val="22"/>
          <w:lang w:val="en-GB" w:eastAsia="en-US"/>
        </w:rPr>
      </w:pPr>
      <w:r>
        <w:rPr>
          <w:rFonts w:eastAsiaTheme="minorHAnsi"/>
          <w:color w:val="000000"/>
          <w:sz w:val="22"/>
          <w:szCs w:val="22"/>
          <w:lang w:eastAsia="en-US"/>
        </w:rPr>
        <w:t>pykinimas, vėmimas;</w:t>
      </w:r>
    </w:p>
    <w:p w14:paraId="32EFFEC7" w14:textId="77777777" w:rsidR="00023BBF" w:rsidRDefault="00E17C37">
      <w:pPr>
        <w:widowControl w:val="0"/>
        <w:numPr>
          <w:ilvl w:val="0"/>
          <w:numId w:val="25"/>
        </w:numPr>
        <w:tabs>
          <w:tab w:val="left" w:pos="567"/>
        </w:tabs>
        <w:spacing w:line="260" w:lineRule="exact"/>
        <w:ind w:left="567" w:hanging="567"/>
        <w:rPr>
          <w:noProof/>
          <w:sz w:val="22"/>
          <w:szCs w:val="22"/>
          <w:lang w:val="en-GB" w:eastAsia="en-US"/>
        </w:rPr>
      </w:pPr>
      <w:r>
        <w:rPr>
          <w:rFonts w:eastAsiaTheme="minorHAnsi"/>
          <w:color w:val="000000"/>
          <w:sz w:val="22"/>
          <w:szCs w:val="22"/>
          <w:lang w:eastAsia="en-US"/>
        </w:rPr>
        <w:t>viduriavimas, pilvo skausmas;</w:t>
      </w:r>
    </w:p>
    <w:p w14:paraId="3C0DF295" w14:textId="77777777" w:rsidR="00023BBF" w:rsidRDefault="00E17C37">
      <w:pPr>
        <w:widowControl w:val="0"/>
        <w:numPr>
          <w:ilvl w:val="0"/>
          <w:numId w:val="25"/>
        </w:numPr>
        <w:tabs>
          <w:tab w:val="left" w:pos="567"/>
        </w:tabs>
        <w:spacing w:line="260" w:lineRule="exact"/>
        <w:ind w:left="567" w:hanging="567"/>
        <w:rPr>
          <w:noProof/>
          <w:sz w:val="22"/>
          <w:szCs w:val="22"/>
          <w:lang w:val="en-GB" w:eastAsia="en-US"/>
        </w:rPr>
      </w:pPr>
      <w:r>
        <w:rPr>
          <w:rFonts w:eastAsiaTheme="minorHAnsi"/>
          <w:color w:val="000000"/>
          <w:sz w:val="22"/>
          <w:szCs w:val="22"/>
          <w:lang w:eastAsia="en-US"/>
        </w:rPr>
        <w:t>apetito stoka.</w:t>
      </w:r>
    </w:p>
    <w:p w14:paraId="7E20133E" w14:textId="77777777" w:rsidR="00023BBF" w:rsidRDefault="00023BBF">
      <w:pPr>
        <w:autoSpaceDE w:val="0"/>
        <w:autoSpaceDN w:val="0"/>
        <w:adjustRightInd w:val="0"/>
        <w:rPr>
          <w:rFonts w:eastAsiaTheme="minorHAnsi"/>
          <w:color w:val="000000"/>
          <w:sz w:val="22"/>
          <w:szCs w:val="22"/>
          <w:lang w:eastAsia="en-US"/>
        </w:rPr>
      </w:pPr>
    </w:p>
    <w:p w14:paraId="2F8F3EEA" w14:textId="77777777" w:rsidR="00023BBF" w:rsidRDefault="00E17C37">
      <w:pPr>
        <w:autoSpaceDE w:val="0"/>
        <w:autoSpaceDN w:val="0"/>
        <w:adjustRightInd w:val="0"/>
        <w:rPr>
          <w:rFonts w:eastAsiaTheme="minorHAnsi"/>
          <w:b/>
          <w:bCs/>
          <w:color w:val="000000"/>
          <w:sz w:val="22"/>
          <w:szCs w:val="22"/>
          <w:lang w:eastAsia="en-US"/>
        </w:rPr>
      </w:pPr>
      <w:r>
        <w:rPr>
          <w:rFonts w:eastAsiaTheme="minorHAnsi"/>
          <w:b/>
          <w:bCs/>
          <w:color w:val="000000"/>
          <w:sz w:val="22"/>
          <w:szCs w:val="22"/>
          <w:lang w:eastAsia="en-US"/>
        </w:rPr>
        <w:t xml:space="preserve">Dažni šalutinio poveikio reiškiniai </w:t>
      </w:r>
      <w:r>
        <w:rPr>
          <w:sz w:val="22"/>
          <w:szCs w:val="22"/>
          <w:lang w:eastAsia="sl-SI"/>
        </w:rPr>
        <w:t>(gali pasireikšti rečiau kaip 1 iš 10 asmenų):</w:t>
      </w:r>
    </w:p>
    <w:p w14:paraId="256D678F"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lytinių organų (varpos ar makšties) infekcija (pienligė) (galimi jos požymiai yra dirginimas, niežėjimas, neįprastos išskyros ar kvapas);</w:t>
      </w:r>
    </w:p>
    <w:p w14:paraId="712A968A" w14:textId="77777777" w:rsidR="00023BBF" w:rsidRDefault="00E17C37">
      <w:pPr>
        <w:widowControl w:val="0"/>
        <w:numPr>
          <w:ilvl w:val="0"/>
          <w:numId w:val="25"/>
        </w:numPr>
        <w:tabs>
          <w:tab w:val="left" w:pos="567"/>
        </w:tabs>
        <w:spacing w:line="260" w:lineRule="exact"/>
        <w:ind w:left="567" w:hanging="567"/>
        <w:rPr>
          <w:noProof/>
          <w:sz w:val="22"/>
          <w:szCs w:val="22"/>
          <w:lang w:val="en-GB" w:eastAsia="en-US"/>
        </w:rPr>
      </w:pPr>
      <w:r>
        <w:rPr>
          <w:rFonts w:eastAsiaTheme="minorHAnsi"/>
          <w:color w:val="000000"/>
          <w:sz w:val="22"/>
          <w:szCs w:val="22"/>
          <w:lang w:eastAsia="en-US"/>
        </w:rPr>
        <w:t>nugaros skausmas;</w:t>
      </w:r>
    </w:p>
    <w:p w14:paraId="09DE11D0" w14:textId="77777777" w:rsidR="00023BBF" w:rsidRDefault="00E17C37">
      <w:pPr>
        <w:widowControl w:val="0"/>
        <w:numPr>
          <w:ilvl w:val="0"/>
          <w:numId w:val="25"/>
        </w:numPr>
        <w:tabs>
          <w:tab w:val="left" w:pos="567"/>
        </w:tabs>
        <w:spacing w:line="260" w:lineRule="exact"/>
        <w:ind w:left="567" w:hanging="567"/>
        <w:rPr>
          <w:noProof/>
          <w:sz w:val="22"/>
          <w:szCs w:val="22"/>
          <w:lang w:val="en-GB" w:eastAsia="en-US"/>
        </w:rPr>
      </w:pPr>
      <w:r>
        <w:rPr>
          <w:rFonts w:eastAsiaTheme="minorHAnsi"/>
          <w:color w:val="000000"/>
          <w:sz w:val="22"/>
          <w:szCs w:val="22"/>
          <w:lang w:eastAsia="en-US"/>
        </w:rPr>
        <w:t>nemalonūs pojūčiai šlapinantis, padidėjęs šlapimo kiekis ar padažnėjęs šlapinimasis;</w:t>
      </w:r>
    </w:p>
    <w:p w14:paraId="275E1EC6" w14:textId="77777777" w:rsidR="00023BBF" w:rsidRDefault="00E17C37">
      <w:pPr>
        <w:widowControl w:val="0"/>
        <w:numPr>
          <w:ilvl w:val="0"/>
          <w:numId w:val="25"/>
        </w:numPr>
        <w:tabs>
          <w:tab w:val="left" w:pos="567"/>
        </w:tabs>
        <w:spacing w:line="260" w:lineRule="exact"/>
        <w:ind w:left="567" w:hanging="567"/>
        <w:rPr>
          <w:noProof/>
          <w:sz w:val="22"/>
          <w:szCs w:val="22"/>
          <w:lang w:val="pt-PT" w:eastAsia="en-US"/>
        </w:rPr>
      </w:pPr>
      <w:r>
        <w:rPr>
          <w:rFonts w:eastAsiaTheme="minorHAnsi"/>
          <w:color w:val="000000"/>
          <w:sz w:val="22"/>
          <w:szCs w:val="22"/>
          <w:lang w:eastAsia="en-US"/>
        </w:rPr>
        <w:t>pakitęs cholesterolio ar kraujo riebalų kiekis (nustatomas tyrimais);</w:t>
      </w:r>
    </w:p>
    <w:p w14:paraId="60CF4CF9" w14:textId="77777777" w:rsidR="00023BBF" w:rsidRDefault="00E17C37">
      <w:pPr>
        <w:widowControl w:val="0"/>
        <w:numPr>
          <w:ilvl w:val="0"/>
          <w:numId w:val="25"/>
        </w:numPr>
        <w:tabs>
          <w:tab w:val="left" w:pos="567"/>
        </w:tabs>
        <w:spacing w:line="260" w:lineRule="exact"/>
        <w:ind w:left="567" w:hanging="567"/>
        <w:rPr>
          <w:noProof/>
          <w:sz w:val="22"/>
          <w:szCs w:val="22"/>
          <w:lang w:val="pt-PT" w:eastAsia="en-US"/>
        </w:rPr>
      </w:pPr>
      <w:r>
        <w:rPr>
          <w:rFonts w:eastAsiaTheme="minorHAnsi"/>
          <w:color w:val="000000"/>
          <w:sz w:val="22"/>
          <w:szCs w:val="22"/>
          <w:lang w:eastAsia="en-US"/>
        </w:rPr>
        <w:t>padidėjęs raudonųjų kraujo kūnelių kiekis (nustatomas tyrimais);</w:t>
      </w:r>
    </w:p>
    <w:p w14:paraId="0BC8CB65" w14:textId="77777777" w:rsidR="00023BBF" w:rsidRDefault="00E17C37">
      <w:pPr>
        <w:widowControl w:val="0"/>
        <w:numPr>
          <w:ilvl w:val="0"/>
          <w:numId w:val="25"/>
        </w:numPr>
        <w:tabs>
          <w:tab w:val="left" w:pos="567"/>
        </w:tabs>
        <w:spacing w:line="260" w:lineRule="exact"/>
        <w:ind w:left="567" w:hanging="567"/>
        <w:rPr>
          <w:noProof/>
          <w:sz w:val="22"/>
          <w:szCs w:val="22"/>
          <w:lang w:val="pt-PT" w:eastAsia="en-US"/>
        </w:rPr>
      </w:pPr>
      <w:r>
        <w:rPr>
          <w:rFonts w:eastAsiaTheme="minorHAnsi"/>
          <w:color w:val="000000"/>
          <w:sz w:val="22"/>
          <w:szCs w:val="22"/>
          <w:lang w:eastAsia="en-US"/>
        </w:rPr>
        <w:t>sumažėjęs inkstų kreatinino klirensas (nustatomas tyrimais) – gydymo pradžioje;</w:t>
      </w:r>
    </w:p>
    <w:p w14:paraId="312F9A7D" w14:textId="77777777" w:rsidR="00023BBF" w:rsidRDefault="00E17C37">
      <w:pPr>
        <w:widowControl w:val="0"/>
        <w:numPr>
          <w:ilvl w:val="0"/>
          <w:numId w:val="25"/>
        </w:numPr>
        <w:tabs>
          <w:tab w:val="left" w:pos="567"/>
        </w:tabs>
        <w:spacing w:line="260" w:lineRule="exact"/>
        <w:ind w:left="567" w:hanging="567"/>
        <w:rPr>
          <w:noProof/>
          <w:sz w:val="22"/>
          <w:szCs w:val="22"/>
          <w:lang w:val="en-GB" w:eastAsia="en-US"/>
        </w:rPr>
      </w:pPr>
      <w:r>
        <w:rPr>
          <w:rFonts w:eastAsiaTheme="minorHAnsi"/>
          <w:color w:val="000000"/>
          <w:sz w:val="22"/>
          <w:szCs w:val="22"/>
          <w:lang w:eastAsia="en-US"/>
        </w:rPr>
        <w:t>pakitęs skonis;</w:t>
      </w:r>
    </w:p>
    <w:p w14:paraId="0A467B1D" w14:textId="77777777" w:rsidR="00023BBF" w:rsidRDefault="00E17C37">
      <w:pPr>
        <w:widowControl w:val="0"/>
        <w:numPr>
          <w:ilvl w:val="0"/>
          <w:numId w:val="25"/>
        </w:numPr>
        <w:tabs>
          <w:tab w:val="left" w:pos="567"/>
        </w:tabs>
        <w:spacing w:line="260" w:lineRule="exact"/>
        <w:ind w:left="567" w:hanging="567"/>
        <w:rPr>
          <w:noProof/>
          <w:sz w:val="22"/>
          <w:szCs w:val="22"/>
          <w:lang w:val="en-GB" w:eastAsia="en-US"/>
        </w:rPr>
      </w:pPr>
      <w:r>
        <w:rPr>
          <w:snapToGrid w:val="0"/>
          <w:sz w:val="22"/>
          <w:szCs w:val="22"/>
          <w:lang w:eastAsia="en-US"/>
        </w:rPr>
        <w:t>svaigulys;</w:t>
      </w:r>
    </w:p>
    <w:p w14:paraId="4CEDC8DF" w14:textId="77777777" w:rsidR="00023BBF" w:rsidRDefault="00E17C37">
      <w:pPr>
        <w:widowControl w:val="0"/>
        <w:numPr>
          <w:ilvl w:val="0"/>
          <w:numId w:val="25"/>
        </w:numPr>
        <w:tabs>
          <w:tab w:val="left" w:pos="567"/>
        </w:tabs>
        <w:spacing w:line="260" w:lineRule="exact"/>
        <w:ind w:left="567" w:hanging="567"/>
        <w:rPr>
          <w:noProof/>
          <w:sz w:val="22"/>
          <w:szCs w:val="22"/>
          <w:lang w:val="en-GB" w:eastAsia="en-US"/>
        </w:rPr>
      </w:pPr>
      <w:bookmarkStart w:id="13" w:name="_Hlk199931522"/>
      <w:r>
        <w:rPr>
          <w:snapToGrid w:val="0"/>
          <w:sz w:val="22"/>
          <w:szCs w:val="22"/>
          <w:lang w:eastAsia="en-US"/>
        </w:rPr>
        <w:t>bėrimas</w:t>
      </w:r>
      <w:bookmarkEnd w:id="13"/>
      <w:r>
        <w:rPr>
          <w:snapToGrid w:val="0"/>
          <w:sz w:val="22"/>
          <w:szCs w:val="22"/>
          <w:lang w:eastAsia="en-US"/>
        </w:rPr>
        <w:t>;</w:t>
      </w:r>
    </w:p>
    <w:p w14:paraId="593FFBD6"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snapToGrid w:val="0"/>
          <w:sz w:val="22"/>
          <w:szCs w:val="22"/>
          <w:lang w:eastAsia="en-US"/>
        </w:rPr>
        <w:t>sumažėjęs arba mažas vitamino B12 kiekis kraujyje (simptomai gali būti labai didelis nuovargis, skaudantis ir raudonas liežuvis (glositas), dilgčiojimas ar „badymo adatomis“ jutimas (</w:t>
      </w:r>
      <w:proofErr w:type="spellStart"/>
      <w:r>
        <w:rPr>
          <w:snapToGrid w:val="0"/>
          <w:sz w:val="22"/>
          <w:szCs w:val="22"/>
          <w:lang w:eastAsia="en-US"/>
        </w:rPr>
        <w:t>parestezija</w:t>
      </w:r>
      <w:proofErr w:type="spellEnd"/>
      <w:r>
        <w:rPr>
          <w:snapToGrid w:val="0"/>
          <w:sz w:val="22"/>
          <w:szCs w:val="22"/>
          <w:lang w:eastAsia="en-US"/>
        </w:rPr>
        <w:t>) arba blyški, ar geltona oda). Gydytojas gali paskirti tam tikrus tyrimus, kad išsiaiškintų Jūsų simptomų priežastį, nes kai kuriuos iš jų gali sukelti ir diabetas arba kitos nesusijusios sveikatos problemos.</w:t>
      </w:r>
    </w:p>
    <w:p w14:paraId="06AD1F01" w14:textId="77777777" w:rsidR="00023BBF" w:rsidRDefault="00023BBF">
      <w:pPr>
        <w:widowControl w:val="0"/>
        <w:numPr>
          <w:ilvl w:val="12"/>
          <w:numId w:val="0"/>
        </w:numPr>
        <w:ind w:right="-2"/>
        <w:rPr>
          <w:snapToGrid w:val="0"/>
          <w:sz w:val="22"/>
          <w:szCs w:val="22"/>
          <w:lang w:eastAsia="en-US"/>
        </w:rPr>
      </w:pPr>
    </w:p>
    <w:p w14:paraId="3A8B302C" w14:textId="77777777" w:rsidR="00023BBF" w:rsidRDefault="00E17C37">
      <w:pPr>
        <w:autoSpaceDE w:val="0"/>
        <w:autoSpaceDN w:val="0"/>
        <w:adjustRightInd w:val="0"/>
        <w:rPr>
          <w:rFonts w:eastAsiaTheme="minorHAnsi"/>
          <w:b/>
          <w:bCs/>
          <w:color w:val="000000"/>
          <w:sz w:val="22"/>
          <w:szCs w:val="22"/>
          <w:lang w:eastAsia="en-US"/>
        </w:rPr>
      </w:pPr>
      <w:r>
        <w:rPr>
          <w:rFonts w:eastAsiaTheme="minorHAnsi"/>
          <w:b/>
          <w:bCs/>
          <w:color w:val="000000"/>
          <w:sz w:val="22"/>
          <w:szCs w:val="22"/>
          <w:lang w:eastAsia="en-US"/>
        </w:rPr>
        <w:t xml:space="preserve">Nedažni šalutinio poveikio reiškiniai </w:t>
      </w:r>
      <w:r>
        <w:rPr>
          <w:rFonts w:eastAsiaTheme="minorHAnsi"/>
          <w:color w:val="000000"/>
          <w:sz w:val="22"/>
          <w:szCs w:val="22"/>
          <w:lang w:eastAsia="en-US"/>
        </w:rPr>
        <w:t>(gali pasireikšti rečiau kaip 1 iš 100 asmenų)</w:t>
      </w:r>
      <w:r>
        <w:rPr>
          <w:rFonts w:eastAsiaTheme="minorHAnsi"/>
          <w:b/>
          <w:bCs/>
          <w:color w:val="000000"/>
          <w:sz w:val="22"/>
          <w:szCs w:val="22"/>
          <w:lang w:eastAsia="en-US"/>
        </w:rPr>
        <w:t>:</w:t>
      </w:r>
    </w:p>
    <w:p w14:paraId="08C3D46A"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 xml:space="preserve">per didelio skysčio kiekio netekimas (jis vadinamas dehidratacija ir gali pasireikšti labai sausa ar lipnia </w:t>
      </w:r>
      <w:r>
        <w:rPr>
          <w:rFonts w:eastAsiaTheme="minorHAnsi"/>
          <w:color w:val="000000"/>
          <w:sz w:val="22"/>
          <w:szCs w:val="22"/>
          <w:lang w:eastAsia="en-US"/>
        </w:rPr>
        <w:lastRenderedPageBreak/>
        <w:t>burna, mažu šlapimo kiekiu ar nesišlapinimu, arba dažnu širdies plakimu);</w:t>
      </w:r>
    </w:p>
    <w:p w14:paraId="5BB8A479" w14:textId="77777777" w:rsidR="00023BBF" w:rsidRDefault="00E17C37">
      <w:pPr>
        <w:widowControl w:val="0"/>
        <w:numPr>
          <w:ilvl w:val="0"/>
          <w:numId w:val="25"/>
        </w:numPr>
        <w:tabs>
          <w:tab w:val="left" w:pos="567"/>
        </w:tabs>
        <w:spacing w:line="260" w:lineRule="exact"/>
        <w:ind w:left="567" w:hanging="567"/>
        <w:rPr>
          <w:noProof/>
          <w:sz w:val="22"/>
          <w:szCs w:val="22"/>
          <w:lang w:val="en-GB" w:eastAsia="en-US"/>
        </w:rPr>
      </w:pPr>
      <w:r>
        <w:rPr>
          <w:rFonts w:eastAsiaTheme="minorHAnsi"/>
          <w:color w:val="000000"/>
          <w:sz w:val="22"/>
          <w:szCs w:val="22"/>
          <w:lang w:eastAsia="en-US"/>
        </w:rPr>
        <w:t>troškulys;</w:t>
      </w:r>
    </w:p>
    <w:p w14:paraId="558A981D" w14:textId="77777777" w:rsidR="00023BBF" w:rsidRDefault="00E17C37">
      <w:pPr>
        <w:widowControl w:val="0"/>
        <w:numPr>
          <w:ilvl w:val="0"/>
          <w:numId w:val="25"/>
        </w:numPr>
        <w:tabs>
          <w:tab w:val="left" w:pos="567"/>
        </w:tabs>
        <w:spacing w:line="260" w:lineRule="exact"/>
        <w:ind w:left="567" w:hanging="567"/>
        <w:rPr>
          <w:noProof/>
          <w:sz w:val="22"/>
          <w:szCs w:val="22"/>
          <w:lang w:val="en-GB" w:eastAsia="en-US"/>
        </w:rPr>
      </w:pPr>
      <w:r>
        <w:rPr>
          <w:rFonts w:eastAsiaTheme="minorHAnsi"/>
          <w:color w:val="000000"/>
          <w:sz w:val="22"/>
          <w:szCs w:val="22"/>
          <w:lang w:eastAsia="en-US"/>
        </w:rPr>
        <w:t>vidurių užkietėjimas;</w:t>
      </w:r>
    </w:p>
    <w:p w14:paraId="40FA686D" w14:textId="77777777" w:rsidR="00023BBF" w:rsidRDefault="00E17C37">
      <w:pPr>
        <w:widowControl w:val="0"/>
        <w:numPr>
          <w:ilvl w:val="0"/>
          <w:numId w:val="25"/>
        </w:numPr>
        <w:tabs>
          <w:tab w:val="left" w:pos="567"/>
        </w:tabs>
        <w:spacing w:line="260" w:lineRule="exact"/>
        <w:ind w:left="567" w:hanging="567"/>
        <w:rPr>
          <w:noProof/>
          <w:sz w:val="22"/>
          <w:szCs w:val="22"/>
          <w:lang w:val="en-GB" w:eastAsia="en-US"/>
        </w:rPr>
      </w:pPr>
      <w:r>
        <w:rPr>
          <w:rFonts w:eastAsiaTheme="minorHAnsi"/>
          <w:color w:val="000000"/>
          <w:sz w:val="22"/>
          <w:szCs w:val="22"/>
          <w:lang w:eastAsia="en-US"/>
        </w:rPr>
        <w:t>naktiniai prabudimai šlapintis;</w:t>
      </w:r>
    </w:p>
    <w:p w14:paraId="6184F9E8" w14:textId="77777777" w:rsidR="00023BBF" w:rsidRDefault="00E17C37">
      <w:pPr>
        <w:widowControl w:val="0"/>
        <w:numPr>
          <w:ilvl w:val="0"/>
          <w:numId w:val="25"/>
        </w:numPr>
        <w:tabs>
          <w:tab w:val="left" w:pos="567"/>
        </w:tabs>
        <w:spacing w:line="260" w:lineRule="exact"/>
        <w:ind w:left="567" w:hanging="567"/>
        <w:rPr>
          <w:noProof/>
          <w:sz w:val="22"/>
          <w:szCs w:val="22"/>
          <w:lang w:val="en-GB" w:eastAsia="en-US"/>
        </w:rPr>
      </w:pPr>
      <w:r>
        <w:rPr>
          <w:rFonts w:eastAsiaTheme="minorHAnsi"/>
          <w:color w:val="000000"/>
          <w:sz w:val="22"/>
          <w:szCs w:val="22"/>
          <w:lang w:eastAsia="en-US"/>
        </w:rPr>
        <w:t>sausa burna;</w:t>
      </w:r>
    </w:p>
    <w:p w14:paraId="45743117" w14:textId="77777777" w:rsidR="00023BBF" w:rsidRDefault="00E17C37">
      <w:pPr>
        <w:widowControl w:val="0"/>
        <w:numPr>
          <w:ilvl w:val="0"/>
          <w:numId w:val="25"/>
        </w:numPr>
        <w:tabs>
          <w:tab w:val="left" w:pos="567"/>
        </w:tabs>
        <w:spacing w:line="260" w:lineRule="exact"/>
        <w:ind w:left="567" w:hanging="567"/>
        <w:rPr>
          <w:noProof/>
          <w:sz w:val="22"/>
          <w:szCs w:val="22"/>
          <w:lang w:val="en-GB" w:eastAsia="en-US"/>
        </w:rPr>
      </w:pPr>
      <w:r>
        <w:rPr>
          <w:rFonts w:eastAsiaTheme="minorHAnsi"/>
          <w:color w:val="000000"/>
          <w:sz w:val="22"/>
          <w:szCs w:val="22"/>
          <w:lang w:eastAsia="en-US"/>
        </w:rPr>
        <w:t>sumažėjęs kūno svoris;</w:t>
      </w:r>
    </w:p>
    <w:p w14:paraId="158C2A35" w14:textId="77777777" w:rsidR="00023BBF" w:rsidRDefault="00E17C37">
      <w:pPr>
        <w:widowControl w:val="0"/>
        <w:numPr>
          <w:ilvl w:val="0"/>
          <w:numId w:val="25"/>
        </w:numPr>
        <w:tabs>
          <w:tab w:val="left" w:pos="567"/>
        </w:tabs>
        <w:spacing w:line="260" w:lineRule="exact"/>
        <w:ind w:left="567" w:hanging="567"/>
        <w:rPr>
          <w:noProof/>
          <w:sz w:val="22"/>
          <w:szCs w:val="22"/>
          <w:lang w:val="pt-PT" w:eastAsia="en-US"/>
        </w:rPr>
      </w:pPr>
      <w:r>
        <w:rPr>
          <w:rFonts w:eastAsiaTheme="minorHAnsi"/>
          <w:color w:val="000000"/>
          <w:sz w:val="22"/>
          <w:szCs w:val="22"/>
          <w:lang w:eastAsia="en-US"/>
        </w:rPr>
        <w:t>padidėjęs kreatinino kiekis (nustatomas laboratoriniais tyrimais) – gydymo pradžioje;</w:t>
      </w:r>
    </w:p>
    <w:p w14:paraId="3D3BE77B" w14:textId="77777777" w:rsidR="00023BBF" w:rsidRDefault="00E17C37">
      <w:pPr>
        <w:widowControl w:val="0"/>
        <w:numPr>
          <w:ilvl w:val="0"/>
          <w:numId w:val="25"/>
        </w:numPr>
        <w:tabs>
          <w:tab w:val="left" w:pos="567"/>
        </w:tabs>
        <w:spacing w:line="260" w:lineRule="exact"/>
        <w:ind w:left="567" w:hanging="567"/>
        <w:rPr>
          <w:noProof/>
          <w:sz w:val="22"/>
          <w:szCs w:val="22"/>
          <w:lang w:val="pt-PT" w:eastAsia="en-US"/>
        </w:rPr>
      </w:pPr>
      <w:r>
        <w:rPr>
          <w:rFonts w:eastAsiaTheme="minorHAnsi"/>
          <w:color w:val="000000"/>
          <w:sz w:val="22"/>
          <w:szCs w:val="22"/>
          <w:lang w:eastAsia="en-US"/>
        </w:rPr>
        <w:t>padidėjęs šlapalo kiekis (nustatomas laboratoriniais tyrimais).</w:t>
      </w:r>
    </w:p>
    <w:p w14:paraId="3E2C2450" w14:textId="77777777" w:rsidR="00023BBF" w:rsidRDefault="00023BBF">
      <w:pPr>
        <w:widowControl w:val="0"/>
        <w:ind w:right="-2"/>
        <w:contextualSpacing/>
        <w:rPr>
          <w:sz w:val="22"/>
          <w:szCs w:val="22"/>
          <w:lang w:val="pt-PT" w:eastAsia="en-US"/>
        </w:rPr>
      </w:pPr>
    </w:p>
    <w:p w14:paraId="3E79E79B" w14:textId="77777777" w:rsidR="00023BBF" w:rsidRDefault="00E17C37">
      <w:pPr>
        <w:autoSpaceDE w:val="0"/>
        <w:autoSpaceDN w:val="0"/>
        <w:adjustRightInd w:val="0"/>
        <w:rPr>
          <w:rFonts w:eastAsiaTheme="minorHAnsi"/>
          <w:b/>
          <w:bCs/>
          <w:color w:val="000000"/>
          <w:sz w:val="22"/>
          <w:szCs w:val="22"/>
          <w:lang w:eastAsia="en-US"/>
        </w:rPr>
      </w:pPr>
      <w:r>
        <w:rPr>
          <w:rFonts w:eastAsiaTheme="minorHAnsi"/>
          <w:b/>
          <w:bCs/>
          <w:color w:val="000000"/>
          <w:sz w:val="22"/>
          <w:szCs w:val="22"/>
          <w:lang w:eastAsia="en-US"/>
        </w:rPr>
        <w:t xml:space="preserve">Labai reti šalutinio poveikio reiškiniai </w:t>
      </w:r>
      <w:r>
        <w:rPr>
          <w:sz w:val="22"/>
          <w:szCs w:val="22"/>
          <w:lang w:eastAsia="sl-SI"/>
        </w:rPr>
        <w:t>(gali pasireikšti rečiau kaip 1 iš 10 000 asmenų):</w:t>
      </w:r>
    </w:p>
    <w:p w14:paraId="65B6F747"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nenormalūs kepenų funkcijos rodikliai, kepenų uždegimas (hepatitas);</w:t>
      </w:r>
    </w:p>
    <w:p w14:paraId="3739540E" w14:textId="77777777" w:rsidR="00023BBF" w:rsidRDefault="00E17C37">
      <w:pPr>
        <w:widowControl w:val="0"/>
        <w:numPr>
          <w:ilvl w:val="0"/>
          <w:numId w:val="25"/>
        </w:numPr>
        <w:tabs>
          <w:tab w:val="left" w:pos="567"/>
        </w:tabs>
        <w:spacing w:line="260" w:lineRule="exact"/>
        <w:ind w:left="567" w:hanging="567"/>
        <w:rPr>
          <w:noProof/>
          <w:sz w:val="22"/>
          <w:szCs w:val="22"/>
          <w:lang w:eastAsia="en-US"/>
        </w:rPr>
      </w:pPr>
      <w:r>
        <w:rPr>
          <w:rFonts w:eastAsiaTheme="minorHAnsi"/>
          <w:color w:val="000000"/>
          <w:sz w:val="22"/>
          <w:szCs w:val="22"/>
          <w:lang w:eastAsia="en-US"/>
        </w:rPr>
        <w:t>odos paraudimas (</w:t>
      </w:r>
      <w:proofErr w:type="spellStart"/>
      <w:r>
        <w:rPr>
          <w:rFonts w:eastAsiaTheme="minorHAnsi"/>
          <w:color w:val="000000"/>
          <w:sz w:val="22"/>
          <w:szCs w:val="22"/>
          <w:lang w:eastAsia="en-US"/>
        </w:rPr>
        <w:t>eritema</w:t>
      </w:r>
      <w:proofErr w:type="spellEnd"/>
      <w:r>
        <w:rPr>
          <w:rFonts w:eastAsiaTheme="minorHAnsi"/>
          <w:color w:val="000000"/>
          <w:sz w:val="22"/>
          <w:szCs w:val="22"/>
          <w:lang w:eastAsia="en-US"/>
        </w:rPr>
        <w:t>), niežėjimas arba niežtintis bėrimas (dilgėlinė);</w:t>
      </w:r>
    </w:p>
    <w:p w14:paraId="2D5A8131" w14:textId="77777777" w:rsidR="00023BBF" w:rsidRDefault="00E17C37">
      <w:pPr>
        <w:widowControl w:val="0"/>
        <w:numPr>
          <w:ilvl w:val="0"/>
          <w:numId w:val="25"/>
        </w:numPr>
        <w:tabs>
          <w:tab w:val="left" w:pos="567"/>
        </w:tabs>
        <w:spacing w:line="260" w:lineRule="exact"/>
        <w:ind w:left="567" w:hanging="567"/>
        <w:rPr>
          <w:noProof/>
          <w:sz w:val="22"/>
          <w:szCs w:val="22"/>
          <w:lang w:val="pt-PT" w:eastAsia="en-US"/>
        </w:rPr>
      </w:pPr>
      <w:r>
        <w:rPr>
          <w:rFonts w:eastAsiaTheme="minorHAnsi"/>
          <w:color w:val="000000"/>
          <w:sz w:val="22"/>
          <w:szCs w:val="22"/>
          <w:lang w:eastAsia="en-US"/>
        </w:rPr>
        <w:t xml:space="preserve">inkstų uždegimas (kanalėlių ir </w:t>
      </w:r>
      <w:proofErr w:type="spellStart"/>
      <w:r>
        <w:rPr>
          <w:rFonts w:eastAsiaTheme="minorHAnsi"/>
          <w:color w:val="000000"/>
          <w:sz w:val="22"/>
          <w:szCs w:val="22"/>
          <w:lang w:eastAsia="en-US"/>
        </w:rPr>
        <w:t>intersticinio</w:t>
      </w:r>
      <w:proofErr w:type="spellEnd"/>
      <w:r>
        <w:rPr>
          <w:rFonts w:eastAsiaTheme="minorHAnsi"/>
          <w:color w:val="000000"/>
          <w:sz w:val="22"/>
          <w:szCs w:val="22"/>
          <w:lang w:eastAsia="en-US"/>
        </w:rPr>
        <w:t xml:space="preserve"> audinio nefritas).</w:t>
      </w:r>
    </w:p>
    <w:p w14:paraId="041B020E" w14:textId="77777777" w:rsidR="00023BBF" w:rsidRDefault="00023BBF">
      <w:pPr>
        <w:widowControl w:val="0"/>
        <w:ind w:right="-2"/>
        <w:contextualSpacing/>
        <w:rPr>
          <w:sz w:val="22"/>
          <w:szCs w:val="22"/>
          <w:lang w:val="pt-PT" w:eastAsia="en-US"/>
        </w:rPr>
      </w:pPr>
    </w:p>
    <w:p w14:paraId="1B2A90FB" w14:textId="77777777" w:rsidR="00023BBF" w:rsidRDefault="00E17C37">
      <w:pPr>
        <w:jc w:val="both"/>
        <w:rPr>
          <w:sz w:val="22"/>
          <w:szCs w:val="22"/>
          <w:lang w:eastAsia="lt-LT"/>
        </w:rPr>
      </w:pPr>
      <w:r>
        <w:rPr>
          <w:b/>
          <w:bCs/>
          <w:sz w:val="22"/>
          <w:szCs w:val="22"/>
          <w:lang w:eastAsia="lt-LT"/>
        </w:rPr>
        <w:t>Pranešimas apie šalutinį poveikį</w:t>
      </w:r>
    </w:p>
    <w:p w14:paraId="4B08A202" w14:textId="77777777" w:rsidR="00023BBF" w:rsidRDefault="00E17C37">
      <w:pPr>
        <w:tabs>
          <w:tab w:val="left" w:pos="567"/>
        </w:tabs>
        <w:spacing w:line="260" w:lineRule="exact"/>
        <w:ind w:right="-1"/>
        <w:rPr>
          <w:sz w:val="22"/>
          <w:szCs w:val="22"/>
          <w:lang w:eastAsia="en-US"/>
        </w:rPr>
      </w:pPr>
      <w:r>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w:t>
      </w:r>
      <w:r>
        <w:rPr>
          <w:sz w:val="22"/>
          <w:szCs w:val="22"/>
          <w:lang w:eastAsia="en-US"/>
        </w:rPr>
        <w:t>.</w:t>
      </w:r>
    </w:p>
    <w:p w14:paraId="253C02BE" w14:textId="77777777" w:rsidR="00023BBF" w:rsidRDefault="00023BBF">
      <w:pPr>
        <w:widowControl w:val="0"/>
        <w:numPr>
          <w:ilvl w:val="12"/>
          <w:numId w:val="0"/>
        </w:numPr>
        <w:ind w:right="-2"/>
        <w:rPr>
          <w:sz w:val="22"/>
          <w:szCs w:val="22"/>
          <w:lang w:eastAsia="sl-SI"/>
        </w:rPr>
      </w:pPr>
    </w:p>
    <w:p w14:paraId="0A41E89A" w14:textId="77777777" w:rsidR="00023BBF" w:rsidRDefault="00023BBF">
      <w:pPr>
        <w:widowControl w:val="0"/>
        <w:numPr>
          <w:ilvl w:val="12"/>
          <w:numId w:val="0"/>
        </w:numPr>
        <w:ind w:right="-2"/>
        <w:rPr>
          <w:sz w:val="22"/>
          <w:szCs w:val="22"/>
          <w:lang w:eastAsia="sl-SI"/>
        </w:rPr>
      </w:pPr>
    </w:p>
    <w:p w14:paraId="1D850A8E" w14:textId="77777777" w:rsidR="00023BBF" w:rsidRDefault="00E17C37">
      <w:pPr>
        <w:keepNext/>
        <w:keepLines/>
        <w:tabs>
          <w:tab w:val="left" w:pos="567"/>
        </w:tabs>
        <w:outlineLvl w:val="2"/>
        <w:rPr>
          <w:b/>
          <w:bCs/>
          <w:snapToGrid w:val="0"/>
          <w:sz w:val="22"/>
          <w:szCs w:val="22"/>
          <w:lang w:eastAsia="x-none"/>
        </w:rPr>
      </w:pPr>
      <w:r>
        <w:rPr>
          <w:b/>
          <w:bCs/>
          <w:snapToGrid w:val="0"/>
          <w:sz w:val="22"/>
          <w:szCs w:val="22"/>
          <w:lang w:eastAsia="x-none"/>
        </w:rPr>
        <w:t>5.</w:t>
      </w:r>
      <w:r>
        <w:rPr>
          <w:bCs/>
          <w:snapToGrid w:val="0"/>
          <w:sz w:val="22"/>
          <w:szCs w:val="22"/>
          <w:lang w:eastAsia="x-none"/>
        </w:rPr>
        <w:tab/>
      </w:r>
      <w:r>
        <w:rPr>
          <w:b/>
          <w:bCs/>
          <w:snapToGrid w:val="0"/>
          <w:sz w:val="22"/>
          <w:szCs w:val="22"/>
          <w:lang w:eastAsia="x-none"/>
        </w:rPr>
        <w:t xml:space="preserve">Kaip laikyti </w:t>
      </w:r>
      <w:proofErr w:type="spellStart"/>
      <w:r>
        <w:rPr>
          <w:b/>
          <w:bCs/>
          <w:snapToGrid w:val="0"/>
          <w:sz w:val="22"/>
          <w:szCs w:val="22"/>
          <w:lang w:eastAsia="x-none"/>
        </w:rPr>
        <w:t>Mexdagry</w:t>
      </w:r>
      <w:proofErr w:type="spellEnd"/>
    </w:p>
    <w:p w14:paraId="13F29C51" w14:textId="77777777" w:rsidR="00023BBF" w:rsidRDefault="00023BBF">
      <w:pPr>
        <w:widowControl w:val="0"/>
        <w:numPr>
          <w:ilvl w:val="12"/>
          <w:numId w:val="0"/>
        </w:numPr>
        <w:ind w:right="-2"/>
        <w:rPr>
          <w:sz w:val="22"/>
          <w:szCs w:val="22"/>
          <w:lang w:eastAsia="sl-SI"/>
        </w:rPr>
      </w:pPr>
    </w:p>
    <w:p w14:paraId="5D6381C7" w14:textId="77777777" w:rsidR="00023BBF" w:rsidRDefault="00E17C37">
      <w:pPr>
        <w:rPr>
          <w:rFonts w:eastAsia="Cambria"/>
          <w:sz w:val="22"/>
          <w:szCs w:val="22"/>
          <w:lang w:eastAsia="en-US"/>
        </w:rPr>
      </w:pPr>
      <w:r>
        <w:rPr>
          <w:rFonts w:eastAsia="Cambria"/>
          <w:sz w:val="22"/>
          <w:szCs w:val="22"/>
          <w:lang w:eastAsia="en-US"/>
        </w:rPr>
        <w:t>Šį vaistą laikykite vaikams nepastebimoje ir nepasiekiamoje vietoje.</w:t>
      </w:r>
    </w:p>
    <w:p w14:paraId="4D768B87" w14:textId="77777777" w:rsidR="00023BBF" w:rsidRDefault="00023BBF">
      <w:pPr>
        <w:rPr>
          <w:rFonts w:eastAsia="Cambria"/>
          <w:sz w:val="22"/>
          <w:szCs w:val="22"/>
          <w:lang w:eastAsia="en-US"/>
        </w:rPr>
      </w:pPr>
    </w:p>
    <w:p w14:paraId="57D3AAE2" w14:textId="77777777" w:rsidR="00023BBF" w:rsidRDefault="00E17C37">
      <w:pPr>
        <w:rPr>
          <w:rFonts w:eastAsia="Cambria"/>
          <w:sz w:val="22"/>
          <w:szCs w:val="22"/>
          <w:lang w:eastAsia="en-US"/>
        </w:rPr>
      </w:pPr>
      <w:r>
        <w:rPr>
          <w:rFonts w:eastAsia="Cambria"/>
          <w:sz w:val="22"/>
          <w:szCs w:val="22"/>
          <w:lang w:eastAsia="en-US"/>
        </w:rPr>
        <w:t>Ant dėžutės ir lizdinės plokštelės po „EXP“ nurodytam tinkamumo laikui pasibaigus, šio vaisto vartoti negalima. Vaistas tinkamas vartoti iki paskutinės nurodyto mėnesio dienos.</w:t>
      </w:r>
    </w:p>
    <w:p w14:paraId="6E4F8F11" w14:textId="77777777" w:rsidR="00023BBF" w:rsidRDefault="00023BBF">
      <w:pPr>
        <w:rPr>
          <w:sz w:val="22"/>
          <w:szCs w:val="22"/>
          <w:lang w:eastAsia="en-US"/>
        </w:rPr>
      </w:pPr>
    </w:p>
    <w:p w14:paraId="7D307FC0" w14:textId="77777777" w:rsidR="00023BBF" w:rsidRDefault="00E17C37">
      <w:pPr>
        <w:spacing w:line="259" w:lineRule="auto"/>
        <w:rPr>
          <w:rFonts w:eastAsia="Calibri"/>
          <w:sz w:val="22"/>
          <w:szCs w:val="22"/>
          <w:lang w:eastAsia="en-US"/>
        </w:rPr>
      </w:pPr>
      <w:r>
        <w:rPr>
          <w:rFonts w:eastAsia="Calibri"/>
          <w:sz w:val="22"/>
          <w:szCs w:val="22"/>
          <w:lang w:eastAsia="en-US"/>
        </w:rPr>
        <w:t>Laikyti gamintojo pakuotėje, kad vaistinis preparatas būtų apsaugotas nuo drėgmės.</w:t>
      </w:r>
    </w:p>
    <w:p w14:paraId="48A1DD43" w14:textId="77777777" w:rsidR="00023BBF" w:rsidRDefault="00E17C37">
      <w:pPr>
        <w:spacing w:line="259" w:lineRule="auto"/>
        <w:rPr>
          <w:rFonts w:eastAsia="Calibri"/>
          <w:sz w:val="22"/>
          <w:szCs w:val="22"/>
          <w:lang w:eastAsia="en-US"/>
        </w:rPr>
      </w:pPr>
      <w:r>
        <w:rPr>
          <w:snapToGrid w:val="0"/>
          <w:sz w:val="22"/>
          <w:szCs w:val="20"/>
          <w:lang w:eastAsia="en-US"/>
        </w:rPr>
        <w:t>Šio vaisto laikymui specialių temperatūros sąlygų nereikalaujama.</w:t>
      </w:r>
    </w:p>
    <w:p w14:paraId="04B23E91" w14:textId="77777777" w:rsidR="00023BBF" w:rsidRDefault="00023BBF">
      <w:pPr>
        <w:rPr>
          <w:rFonts w:eastAsia="Cambria"/>
          <w:sz w:val="22"/>
          <w:szCs w:val="22"/>
          <w:lang w:eastAsia="en-US"/>
        </w:rPr>
      </w:pPr>
    </w:p>
    <w:p w14:paraId="4516F161" w14:textId="77777777" w:rsidR="00023BBF" w:rsidRDefault="00E17C37">
      <w:pPr>
        <w:rPr>
          <w:rFonts w:eastAsia="Cambria"/>
          <w:sz w:val="22"/>
          <w:szCs w:val="22"/>
          <w:lang w:eastAsia="en-US"/>
        </w:rPr>
      </w:pPr>
      <w:r>
        <w:rPr>
          <w:rFonts w:eastAsia="Cambria"/>
          <w:sz w:val="22"/>
          <w:szCs w:val="22"/>
          <w:lang w:eastAsia="en-US"/>
        </w:rPr>
        <w:t>Vaistų negalima išmesti į kanalizaciją arba su buitinėmis atliekomis. Kaip išmesti nereikalingus vaistus, klauskite vaistininko. Šios priemonės padės apsaugoti aplinką.</w:t>
      </w:r>
    </w:p>
    <w:p w14:paraId="1C36F2A1" w14:textId="77777777" w:rsidR="00023BBF" w:rsidRDefault="00023BBF">
      <w:pPr>
        <w:numPr>
          <w:ilvl w:val="12"/>
          <w:numId w:val="0"/>
        </w:numPr>
        <w:rPr>
          <w:rFonts w:eastAsia="Calibri"/>
          <w:noProof/>
          <w:sz w:val="22"/>
          <w:szCs w:val="22"/>
          <w:lang w:eastAsia="en-US"/>
        </w:rPr>
      </w:pPr>
    </w:p>
    <w:p w14:paraId="0306BC8B" w14:textId="77777777" w:rsidR="00023BBF" w:rsidRDefault="00023BBF">
      <w:pPr>
        <w:numPr>
          <w:ilvl w:val="12"/>
          <w:numId w:val="0"/>
        </w:numPr>
        <w:rPr>
          <w:rFonts w:eastAsia="Calibri"/>
          <w:noProof/>
          <w:sz w:val="22"/>
          <w:szCs w:val="22"/>
          <w:lang w:eastAsia="en-US"/>
        </w:rPr>
      </w:pPr>
    </w:p>
    <w:p w14:paraId="347BE0DC" w14:textId="77777777" w:rsidR="00023BBF" w:rsidRDefault="00E17C37">
      <w:pPr>
        <w:keepNext/>
        <w:keepLines/>
        <w:tabs>
          <w:tab w:val="left" w:pos="567"/>
        </w:tabs>
        <w:outlineLvl w:val="2"/>
        <w:rPr>
          <w:b/>
          <w:bCs/>
          <w:snapToGrid w:val="0"/>
          <w:sz w:val="22"/>
          <w:szCs w:val="22"/>
          <w:lang w:eastAsia="x-none"/>
        </w:rPr>
      </w:pPr>
      <w:r>
        <w:rPr>
          <w:b/>
          <w:bCs/>
          <w:snapToGrid w:val="0"/>
          <w:sz w:val="22"/>
          <w:szCs w:val="22"/>
          <w:lang w:eastAsia="x-none"/>
        </w:rPr>
        <w:t>6.</w:t>
      </w:r>
      <w:r>
        <w:rPr>
          <w:bCs/>
          <w:snapToGrid w:val="0"/>
          <w:sz w:val="22"/>
          <w:szCs w:val="22"/>
          <w:lang w:eastAsia="x-none"/>
        </w:rPr>
        <w:tab/>
      </w:r>
      <w:r>
        <w:rPr>
          <w:b/>
          <w:bCs/>
          <w:snapToGrid w:val="0"/>
          <w:sz w:val="22"/>
          <w:szCs w:val="22"/>
          <w:lang w:eastAsia="x-none"/>
        </w:rPr>
        <w:t>Pakuotės turinys ir kita informacija</w:t>
      </w:r>
    </w:p>
    <w:p w14:paraId="0F6E32E4" w14:textId="77777777" w:rsidR="00023BBF" w:rsidRDefault="00023BBF">
      <w:pPr>
        <w:numPr>
          <w:ilvl w:val="12"/>
          <w:numId w:val="0"/>
        </w:numPr>
        <w:rPr>
          <w:rFonts w:eastAsia="Calibri"/>
          <w:sz w:val="22"/>
          <w:szCs w:val="22"/>
          <w:lang w:eastAsia="en-US"/>
        </w:rPr>
      </w:pPr>
    </w:p>
    <w:p w14:paraId="11A30C94" w14:textId="77777777" w:rsidR="00023BBF" w:rsidRDefault="00E17C37">
      <w:pPr>
        <w:keepNext/>
        <w:tabs>
          <w:tab w:val="left" w:pos="567"/>
        </w:tabs>
        <w:spacing w:line="260" w:lineRule="exact"/>
        <w:jc w:val="both"/>
        <w:outlineLvl w:val="3"/>
        <w:rPr>
          <w:b/>
          <w:bCs/>
          <w:snapToGrid w:val="0"/>
          <w:sz w:val="22"/>
          <w:szCs w:val="22"/>
          <w:lang w:eastAsia="x-none"/>
        </w:rPr>
      </w:pPr>
      <w:proofErr w:type="spellStart"/>
      <w:r>
        <w:rPr>
          <w:b/>
          <w:bCs/>
          <w:snapToGrid w:val="0"/>
          <w:sz w:val="22"/>
          <w:szCs w:val="22"/>
          <w:lang w:eastAsia="x-none"/>
        </w:rPr>
        <w:t>Mexdagry</w:t>
      </w:r>
      <w:proofErr w:type="spellEnd"/>
      <w:r>
        <w:rPr>
          <w:b/>
          <w:bCs/>
          <w:snapToGrid w:val="0"/>
          <w:sz w:val="22"/>
          <w:szCs w:val="22"/>
          <w:lang w:eastAsia="x-none"/>
        </w:rPr>
        <w:t xml:space="preserve"> sudėtis</w:t>
      </w:r>
    </w:p>
    <w:p w14:paraId="372642A3" w14:textId="77777777" w:rsidR="00023BBF" w:rsidRDefault="00E17C37">
      <w:pPr>
        <w:widowControl w:val="0"/>
        <w:numPr>
          <w:ilvl w:val="0"/>
          <w:numId w:val="6"/>
        </w:numPr>
        <w:tabs>
          <w:tab w:val="left" w:pos="567"/>
        </w:tabs>
        <w:autoSpaceDE w:val="0"/>
        <w:autoSpaceDN w:val="0"/>
        <w:adjustRightInd w:val="0"/>
        <w:ind w:left="567" w:hanging="567"/>
        <w:rPr>
          <w:noProof/>
          <w:sz w:val="22"/>
          <w:szCs w:val="22"/>
          <w:lang w:val="sl-SI" w:eastAsia="sl-SI"/>
        </w:rPr>
      </w:pPr>
      <w:r>
        <w:rPr>
          <w:sz w:val="22"/>
          <w:szCs w:val="22"/>
        </w:rPr>
        <w:t xml:space="preserve">Veiklioji medžiaga yra dapagliflozinas ir </w:t>
      </w:r>
      <w:proofErr w:type="spellStart"/>
      <w:r>
        <w:rPr>
          <w:sz w:val="22"/>
          <w:szCs w:val="22"/>
        </w:rPr>
        <w:t>metformino</w:t>
      </w:r>
      <w:proofErr w:type="spellEnd"/>
      <w:r>
        <w:rPr>
          <w:sz w:val="22"/>
          <w:szCs w:val="22"/>
        </w:rPr>
        <w:t xml:space="preserve"> hidrochloridas.</w:t>
      </w:r>
    </w:p>
    <w:p w14:paraId="51D73BE2" w14:textId="77777777" w:rsidR="00023BBF" w:rsidRDefault="00E17C37">
      <w:pPr>
        <w:widowControl w:val="0"/>
        <w:tabs>
          <w:tab w:val="left" w:pos="567"/>
        </w:tabs>
        <w:autoSpaceDE w:val="0"/>
        <w:autoSpaceDN w:val="0"/>
        <w:adjustRightInd w:val="0"/>
        <w:ind w:left="567"/>
        <w:rPr>
          <w:noProof/>
          <w:sz w:val="22"/>
          <w:szCs w:val="22"/>
          <w:lang w:val="sl-SI" w:eastAsia="sl-SI"/>
        </w:rPr>
      </w:pPr>
      <w:proofErr w:type="spellStart"/>
      <w:r>
        <w:rPr>
          <w:rFonts w:eastAsiaTheme="minorHAnsi"/>
          <w:color w:val="000000"/>
          <w:sz w:val="22"/>
          <w:szCs w:val="22"/>
          <w:u w:val="single"/>
          <w:lang w:eastAsia="en-US"/>
        </w:rPr>
        <w:t>Mexdagry</w:t>
      </w:r>
      <w:proofErr w:type="spellEnd"/>
      <w:r>
        <w:rPr>
          <w:rFonts w:eastAsiaTheme="minorHAnsi"/>
          <w:color w:val="000000"/>
          <w:sz w:val="22"/>
          <w:szCs w:val="22"/>
          <w:u w:val="single"/>
          <w:lang w:eastAsia="en-US"/>
        </w:rPr>
        <w:t xml:space="preserve"> 5 mg/850 mg plėvele dengtos tabletės</w:t>
      </w:r>
    </w:p>
    <w:p w14:paraId="492130AE" w14:textId="77777777" w:rsidR="00023BBF" w:rsidRDefault="00E17C37">
      <w:pPr>
        <w:widowControl w:val="0"/>
        <w:tabs>
          <w:tab w:val="left" w:pos="567"/>
        </w:tabs>
        <w:autoSpaceDE w:val="0"/>
        <w:autoSpaceDN w:val="0"/>
        <w:adjustRightInd w:val="0"/>
        <w:ind w:left="567"/>
        <w:rPr>
          <w:rFonts w:eastAsiaTheme="minorHAnsi"/>
          <w:color w:val="000000"/>
          <w:sz w:val="22"/>
          <w:szCs w:val="22"/>
          <w:lang w:eastAsia="en-US"/>
        </w:rPr>
      </w:pPr>
      <w:r>
        <w:rPr>
          <w:rFonts w:eastAsiaTheme="minorHAnsi"/>
          <w:color w:val="000000"/>
          <w:sz w:val="22"/>
          <w:szCs w:val="22"/>
          <w:lang w:eastAsia="en-US"/>
        </w:rPr>
        <w:t xml:space="preserve">Kiekvienoje plėvele dengtoje tabletėje yra 5 mg dapagliflozino (dapagliflozino </w:t>
      </w:r>
      <w:proofErr w:type="spellStart"/>
      <w:r>
        <w:rPr>
          <w:rFonts w:eastAsiaTheme="minorHAnsi"/>
          <w:color w:val="000000"/>
          <w:sz w:val="22"/>
          <w:szCs w:val="22"/>
          <w:lang w:eastAsia="en-US"/>
        </w:rPr>
        <w:t>propanediolo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monohidrato</w:t>
      </w:r>
      <w:proofErr w:type="spellEnd"/>
      <w:r>
        <w:rPr>
          <w:rFonts w:eastAsiaTheme="minorHAnsi"/>
          <w:color w:val="000000"/>
          <w:sz w:val="22"/>
          <w:szCs w:val="22"/>
          <w:lang w:eastAsia="en-US"/>
        </w:rPr>
        <w:t xml:space="preserve"> forma) ir 850 mg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hidrochlorido.</w:t>
      </w:r>
    </w:p>
    <w:p w14:paraId="19556C6A" w14:textId="77777777" w:rsidR="00023BBF" w:rsidRDefault="00E17C37">
      <w:pPr>
        <w:widowControl w:val="0"/>
        <w:tabs>
          <w:tab w:val="left" w:pos="567"/>
        </w:tabs>
        <w:autoSpaceDE w:val="0"/>
        <w:autoSpaceDN w:val="0"/>
        <w:adjustRightInd w:val="0"/>
        <w:ind w:left="567"/>
        <w:rPr>
          <w:rFonts w:eastAsiaTheme="minorHAnsi"/>
          <w:color w:val="000000"/>
          <w:sz w:val="22"/>
          <w:szCs w:val="22"/>
          <w:lang w:eastAsia="en-US"/>
        </w:rPr>
      </w:pPr>
      <w:proofErr w:type="spellStart"/>
      <w:r>
        <w:rPr>
          <w:rFonts w:eastAsiaTheme="minorHAnsi"/>
          <w:color w:val="000000"/>
          <w:sz w:val="22"/>
          <w:szCs w:val="22"/>
          <w:u w:val="single"/>
          <w:lang w:eastAsia="en-US"/>
        </w:rPr>
        <w:t>Mexdagry</w:t>
      </w:r>
      <w:proofErr w:type="spellEnd"/>
      <w:r>
        <w:rPr>
          <w:rFonts w:eastAsiaTheme="minorHAnsi"/>
          <w:color w:val="000000"/>
          <w:sz w:val="22"/>
          <w:szCs w:val="22"/>
          <w:u w:val="single"/>
          <w:lang w:eastAsia="en-US"/>
        </w:rPr>
        <w:t xml:space="preserve"> 5 mg/1 000 mg plėvele dengtos tabletės</w:t>
      </w:r>
    </w:p>
    <w:p w14:paraId="7D2CD2E1" w14:textId="77777777" w:rsidR="00023BBF" w:rsidRDefault="00E17C37">
      <w:pPr>
        <w:widowControl w:val="0"/>
        <w:tabs>
          <w:tab w:val="left" w:pos="567"/>
        </w:tabs>
        <w:autoSpaceDE w:val="0"/>
        <w:autoSpaceDN w:val="0"/>
        <w:adjustRightInd w:val="0"/>
        <w:ind w:left="567"/>
        <w:rPr>
          <w:rFonts w:eastAsiaTheme="minorHAnsi"/>
          <w:color w:val="000000"/>
          <w:sz w:val="22"/>
          <w:szCs w:val="22"/>
          <w:lang w:eastAsia="en-US"/>
        </w:rPr>
      </w:pPr>
      <w:r>
        <w:rPr>
          <w:rFonts w:eastAsiaTheme="minorHAnsi"/>
          <w:color w:val="000000"/>
          <w:sz w:val="22"/>
          <w:szCs w:val="22"/>
          <w:lang w:eastAsia="en-US"/>
        </w:rPr>
        <w:t xml:space="preserve">Kiekvienoje plėvele dengtoje tabletėje yra 5 mg dapagliflozino (dapagliflozino </w:t>
      </w:r>
      <w:proofErr w:type="spellStart"/>
      <w:r>
        <w:rPr>
          <w:rFonts w:eastAsiaTheme="minorHAnsi"/>
          <w:color w:val="000000"/>
          <w:sz w:val="22"/>
          <w:szCs w:val="22"/>
          <w:lang w:eastAsia="en-US"/>
        </w:rPr>
        <w:t>propanediolo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monohidrato</w:t>
      </w:r>
      <w:proofErr w:type="spellEnd"/>
      <w:r>
        <w:rPr>
          <w:rFonts w:eastAsiaTheme="minorHAnsi"/>
          <w:color w:val="000000"/>
          <w:sz w:val="22"/>
          <w:szCs w:val="22"/>
          <w:lang w:eastAsia="en-US"/>
        </w:rPr>
        <w:t xml:space="preserve"> forma) ir 1 000 mg </w:t>
      </w:r>
      <w:proofErr w:type="spellStart"/>
      <w:r>
        <w:rPr>
          <w:rFonts w:eastAsiaTheme="minorHAnsi"/>
          <w:color w:val="000000"/>
          <w:sz w:val="22"/>
          <w:szCs w:val="22"/>
          <w:lang w:eastAsia="en-US"/>
        </w:rPr>
        <w:t>metformino</w:t>
      </w:r>
      <w:proofErr w:type="spellEnd"/>
      <w:r>
        <w:rPr>
          <w:rFonts w:eastAsiaTheme="minorHAnsi"/>
          <w:color w:val="000000"/>
          <w:sz w:val="22"/>
          <w:szCs w:val="22"/>
          <w:lang w:eastAsia="en-US"/>
        </w:rPr>
        <w:t xml:space="preserve"> hidrochlorido.</w:t>
      </w:r>
    </w:p>
    <w:p w14:paraId="3BA300AB" w14:textId="77777777" w:rsidR="00023BBF" w:rsidRDefault="00E17C37">
      <w:pPr>
        <w:widowControl w:val="0"/>
        <w:numPr>
          <w:ilvl w:val="0"/>
          <w:numId w:val="6"/>
        </w:numPr>
        <w:tabs>
          <w:tab w:val="left" w:pos="567"/>
        </w:tabs>
        <w:autoSpaceDE w:val="0"/>
        <w:autoSpaceDN w:val="0"/>
        <w:adjustRightInd w:val="0"/>
        <w:spacing w:line="259" w:lineRule="auto"/>
        <w:ind w:left="567" w:hanging="567"/>
        <w:rPr>
          <w:noProof/>
          <w:sz w:val="22"/>
          <w:szCs w:val="22"/>
          <w:lang w:val="en-GB" w:eastAsia="sl-SI"/>
        </w:rPr>
      </w:pPr>
      <w:r>
        <w:rPr>
          <w:rFonts w:eastAsia="Calibri"/>
          <w:noProof/>
          <w:sz w:val="22"/>
          <w:szCs w:val="22"/>
          <w:lang w:eastAsia="en-US"/>
        </w:rPr>
        <w:t>Pagalbinės medžiagos:</w:t>
      </w:r>
    </w:p>
    <w:p w14:paraId="775D6E91" w14:textId="77777777" w:rsidR="00023BBF" w:rsidRDefault="00E17C37">
      <w:pPr>
        <w:widowControl w:val="0"/>
        <w:numPr>
          <w:ilvl w:val="0"/>
          <w:numId w:val="6"/>
        </w:numPr>
        <w:tabs>
          <w:tab w:val="left" w:pos="567"/>
        </w:tabs>
        <w:autoSpaceDE w:val="0"/>
        <w:autoSpaceDN w:val="0"/>
        <w:adjustRightInd w:val="0"/>
        <w:spacing w:line="259" w:lineRule="auto"/>
        <w:ind w:left="567" w:hanging="567"/>
        <w:rPr>
          <w:noProof/>
          <w:sz w:val="22"/>
          <w:szCs w:val="22"/>
          <w:lang w:val="en-GB" w:eastAsia="sl-SI"/>
        </w:rPr>
      </w:pPr>
      <w:r>
        <w:rPr>
          <w:sz w:val="22"/>
          <w:szCs w:val="22"/>
          <w:u w:val="single"/>
          <w:lang w:eastAsia="en-US"/>
        </w:rPr>
        <w:t>tabletės branduolys:</w:t>
      </w:r>
      <w:r>
        <w:rPr>
          <w:sz w:val="22"/>
          <w:szCs w:val="22"/>
          <w:lang w:eastAsia="en-US"/>
        </w:rPr>
        <w:t xml:space="preserve"> </w:t>
      </w:r>
      <w:proofErr w:type="spellStart"/>
      <w:r>
        <w:rPr>
          <w:sz w:val="22"/>
          <w:szCs w:val="22"/>
          <w:lang w:eastAsia="en-US"/>
        </w:rPr>
        <w:t>krospovidonas</w:t>
      </w:r>
      <w:proofErr w:type="spellEnd"/>
      <w:r>
        <w:rPr>
          <w:sz w:val="22"/>
          <w:szCs w:val="22"/>
          <w:lang w:eastAsia="en-US"/>
        </w:rPr>
        <w:t xml:space="preserve">, </w:t>
      </w:r>
      <w:proofErr w:type="spellStart"/>
      <w:r>
        <w:rPr>
          <w:sz w:val="22"/>
          <w:szCs w:val="22"/>
          <w:lang w:eastAsia="en-US"/>
        </w:rPr>
        <w:t>kroskarmeliozės</w:t>
      </w:r>
      <w:proofErr w:type="spellEnd"/>
      <w:r>
        <w:rPr>
          <w:sz w:val="22"/>
          <w:szCs w:val="22"/>
          <w:lang w:eastAsia="en-US"/>
        </w:rPr>
        <w:t xml:space="preserve"> natrio druska, </w:t>
      </w:r>
      <w:proofErr w:type="spellStart"/>
      <w:r>
        <w:rPr>
          <w:sz w:val="22"/>
          <w:szCs w:val="22"/>
          <w:lang w:eastAsia="en-US"/>
        </w:rPr>
        <w:t>mikrokristalinė</w:t>
      </w:r>
      <w:proofErr w:type="spellEnd"/>
      <w:r>
        <w:rPr>
          <w:sz w:val="22"/>
          <w:szCs w:val="22"/>
          <w:lang w:eastAsia="en-US"/>
        </w:rPr>
        <w:t xml:space="preserve"> celiuliozė, magnio </w:t>
      </w:r>
      <w:proofErr w:type="spellStart"/>
      <w:r>
        <w:rPr>
          <w:sz w:val="22"/>
          <w:szCs w:val="22"/>
          <w:lang w:eastAsia="en-US"/>
        </w:rPr>
        <w:t>stearatas</w:t>
      </w:r>
      <w:proofErr w:type="spellEnd"/>
      <w:r>
        <w:rPr>
          <w:sz w:val="22"/>
          <w:szCs w:val="22"/>
          <w:lang w:eastAsia="en-US"/>
        </w:rPr>
        <w:t>;</w:t>
      </w:r>
    </w:p>
    <w:p w14:paraId="5667B7B2" w14:textId="77777777" w:rsidR="00023BBF" w:rsidRDefault="00E17C37">
      <w:pPr>
        <w:widowControl w:val="0"/>
        <w:tabs>
          <w:tab w:val="left" w:pos="567"/>
        </w:tabs>
        <w:autoSpaceDE w:val="0"/>
        <w:autoSpaceDN w:val="0"/>
        <w:adjustRightInd w:val="0"/>
        <w:spacing w:line="259" w:lineRule="auto"/>
        <w:ind w:left="567"/>
        <w:rPr>
          <w:i/>
          <w:sz w:val="22"/>
          <w:szCs w:val="20"/>
          <w:lang w:val="en-GB" w:eastAsia="sl-SI"/>
        </w:rPr>
      </w:pPr>
      <w:r>
        <w:rPr>
          <w:sz w:val="22"/>
          <w:szCs w:val="22"/>
          <w:u w:val="single"/>
          <w:lang w:eastAsia="en-US"/>
        </w:rPr>
        <w:t>tabletės plėvelė:</w:t>
      </w:r>
      <w:r>
        <w:rPr>
          <w:sz w:val="22"/>
          <w:szCs w:val="22"/>
          <w:lang w:eastAsia="en-US"/>
        </w:rPr>
        <w:t xml:space="preserve"> polivinilo alkoholis, kalcio karbonatas, </w:t>
      </w:r>
      <w:proofErr w:type="spellStart"/>
      <w:r>
        <w:rPr>
          <w:sz w:val="22"/>
          <w:szCs w:val="22"/>
          <w:lang w:eastAsia="en-US"/>
        </w:rPr>
        <w:t>makrogolis</w:t>
      </w:r>
      <w:proofErr w:type="spellEnd"/>
      <w:r>
        <w:rPr>
          <w:sz w:val="22"/>
          <w:szCs w:val="22"/>
          <w:lang w:eastAsia="en-US"/>
        </w:rPr>
        <w:t xml:space="preserve">, talkas, geltonasis geležies oksidas (E172), raudonasis geležies oksidas (E172) </w:t>
      </w:r>
      <w:r>
        <w:rPr>
          <w:sz w:val="22"/>
          <w:szCs w:val="22"/>
          <w:lang w:val="en-GB" w:eastAsia="sl-SI"/>
        </w:rPr>
        <w:t xml:space="preserve">– </w:t>
      </w:r>
      <w:r>
        <w:rPr>
          <w:i/>
          <w:iCs/>
          <w:sz w:val="22"/>
          <w:szCs w:val="22"/>
          <w:lang w:val="en-GB" w:eastAsia="sl-SI"/>
        </w:rPr>
        <w:t xml:space="preserve">tik </w:t>
      </w:r>
      <w:r>
        <w:rPr>
          <w:i/>
          <w:sz w:val="22"/>
          <w:szCs w:val="20"/>
          <w:lang w:val="en-GB" w:eastAsia="sl-SI"/>
        </w:rPr>
        <w:t>5 mg/850 mg.</w:t>
      </w:r>
    </w:p>
    <w:p w14:paraId="63FF0DCA" w14:textId="77777777" w:rsidR="00023BBF" w:rsidRDefault="00E17C37">
      <w:pPr>
        <w:widowControl w:val="0"/>
        <w:tabs>
          <w:tab w:val="left" w:pos="567"/>
        </w:tabs>
        <w:autoSpaceDE w:val="0"/>
        <w:autoSpaceDN w:val="0"/>
        <w:adjustRightInd w:val="0"/>
        <w:spacing w:line="259" w:lineRule="auto"/>
        <w:ind w:left="567"/>
        <w:rPr>
          <w:noProof/>
          <w:sz w:val="22"/>
          <w:szCs w:val="22"/>
          <w:lang w:val="en-GB" w:eastAsia="sl-SI"/>
        </w:rPr>
      </w:pPr>
      <w:r>
        <w:rPr>
          <w:sz w:val="22"/>
          <w:szCs w:val="22"/>
          <w:lang w:eastAsia="en-US"/>
        </w:rPr>
        <w:t>Žr.</w:t>
      </w:r>
      <w:r>
        <w:rPr>
          <w:noProof/>
          <w:sz w:val="22"/>
          <w:szCs w:val="22"/>
          <w:lang w:val="en-GB" w:eastAsia="sl-SI"/>
        </w:rPr>
        <w:t xml:space="preserve"> 2 skyrių “Mexdagry sudėtyje yra natrio”.</w:t>
      </w:r>
    </w:p>
    <w:p w14:paraId="4AC0EE53" w14:textId="77777777" w:rsidR="00023BBF" w:rsidRDefault="00023BBF">
      <w:pPr>
        <w:widowControl w:val="0"/>
        <w:tabs>
          <w:tab w:val="left" w:pos="567"/>
        </w:tabs>
        <w:autoSpaceDE w:val="0"/>
        <w:autoSpaceDN w:val="0"/>
        <w:adjustRightInd w:val="0"/>
        <w:spacing w:after="160" w:line="259" w:lineRule="auto"/>
        <w:rPr>
          <w:noProof/>
          <w:sz w:val="22"/>
          <w:szCs w:val="22"/>
          <w:lang w:val="en-GB" w:eastAsia="sl-SI"/>
        </w:rPr>
      </w:pPr>
    </w:p>
    <w:p w14:paraId="6683CE3A" w14:textId="77777777" w:rsidR="00023BBF" w:rsidRDefault="00E17C37">
      <w:pPr>
        <w:keepNext/>
        <w:tabs>
          <w:tab w:val="left" w:pos="567"/>
        </w:tabs>
        <w:spacing w:line="260" w:lineRule="exact"/>
        <w:jc w:val="both"/>
        <w:outlineLvl w:val="3"/>
        <w:rPr>
          <w:b/>
          <w:bCs/>
          <w:snapToGrid w:val="0"/>
          <w:sz w:val="22"/>
          <w:szCs w:val="22"/>
          <w:lang w:eastAsia="x-none"/>
        </w:rPr>
      </w:pPr>
      <w:bookmarkStart w:id="14" w:name="_Hlk161231430"/>
      <w:proofErr w:type="spellStart"/>
      <w:r>
        <w:rPr>
          <w:b/>
          <w:bCs/>
          <w:snapToGrid w:val="0"/>
          <w:sz w:val="22"/>
          <w:szCs w:val="22"/>
          <w:lang w:eastAsia="x-none"/>
        </w:rPr>
        <w:t>Mexdagry</w:t>
      </w:r>
      <w:proofErr w:type="spellEnd"/>
      <w:r>
        <w:rPr>
          <w:b/>
          <w:bCs/>
          <w:snapToGrid w:val="0"/>
          <w:sz w:val="22"/>
          <w:szCs w:val="22"/>
          <w:lang w:eastAsia="x-none"/>
        </w:rPr>
        <w:t xml:space="preserve"> </w:t>
      </w:r>
      <w:bookmarkEnd w:id="14"/>
      <w:r>
        <w:rPr>
          <w:b/>
          <w:bCs/>
          <w:snapToGrid w:val="0"/>
          <w:sz w:val="22"/>
          <w:szCs w:val="22"/>
          <w:lang w:eastAsia="x-none"/>
        </w:rPr>
        <w:t>išvaizda ir kiekis pakuotėje</w:t>
      </w:r>
    </w:p>
    <w:p w14:paraId="698B6C5F" w14:textId="77777777" w:rsidR="00023BBF" w:rsidRDefault="00023BBF">
      <w:pPr>
        <w:widowControl w:val="0"/>
        <w:rPr>
          <w:rFonts w:ascii="Calibri" w:eastAsia="Calibri" w:hAnsi="Calibri"/>
          <w:sz w:val="22"/>
          <w:szCs w:val="22"/>
          <w:lang w:eastAsia="x-none"/>
        </w:rPr>
      </w:pPr>
    </w:p>
    <w:p w14:paraId="24C96888" w14:textId="77777777" w:rsidR="00023BBF" w:rsidRDefault="00E17C37">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lastRenderedPageBreak/>
        <w:t>5 mg/850 mg: Oranžinė, ovali, abipus išgaubta, plėvele dengta tabletė, kurios vienoje pusėje yra žyma „K1“. Tabletės matmenys: 20 x 10 mm.</w:t>
      </w:r>
    </w:p>
    <w:p w14:paraId="5DBBF216" w14:textId="77777777" w:rsidR="00023BBF" w:rsidRDefault="00E17C37">
      <w:pPr>
        <w:rPr>
          <w:sz w:val="22"/>
          <w:szCs w:val="22"/>
        </w:rPr>
      </w:pPr>
      <w:r>
        <w:rPr>
          <w:rFonts w:eastAsiaTheme="minorHAnsi"/>
          <w:color w:val="000000"/>
          <w:sz w:val="22"/>
          <w:szCs w:val="22"/>
          <w:lang w:eastAsia="en-US"/>
        </w:rPr>
        <w:t xml:space="preserve">5 mg/1 000 mg: </w:t>
      </w:r>
      <w:r>
        <w:rPr>
          <w:sz w:val="22"/>
          <w:szCs w:val="22"/>
        </w:rPr>
        <w:t>Geltona, ovali, abipus išgaubta, plėvele dengta tabletė, kurios vienoje pusėje yra žyma „K2“. Tabletės matmenys: 22 x 11 mm.</w:t>
      </w:r>
    </w:p>
    <w:p w14:paraId="0E43172D" w14:textId="77777777" w:rsidR="00023BBF" w:rsidRDefault="00023BBF">
      <w:pPr>
        <w:rPr>
          <w:rFonts w:eastAsiaTheme="minorHAnsi"/>
          <w:color w:val="000000"/>
          <w:sz w:val="22"/>
          <w:szCs w:val="22"/>
          <w:u w:val="single"/>
          <w:lang w:eastAsia="en-US"/>
        </w:rPr>
      </w:pPr>
    </w:p>
    <w:p w14:paraId="3EDCE361" w14:textId="77777777" w:rsidR="00023BBF" w:rsidRDefault="00E17C37">
      <w:pPr>
        <w:widowControl w:val="0"/>
        <w:rPr>
          <w:sz w:val="22"/>
          <w:szCs w:val="22"/>
          <w:lang w:eastAsia="sl-SI"/>
        </w:rPr>
      </w:pPr>
      <w:r>
        <w:rPr>
          <w:snapToGrid w:val="0"/>
          <w:sz w:val="22"/>
          <w:szCs w:val="22"/>
          <w:lang w:eastAsia="en-US"/>
        </w:rPr>
        <w:t>Lizdinė plokštelė (PVC/PVDC/PVC</w:t>
      </w:r>
      <w:r>
        <w:rPr>
          <w:sz w:val="22"/>
          <w:szCs w:val="22"/>
          <w:lang w:eastAsia="en-US"/>
        </w:rPr>
        <w:t>//</w:t>
      </w:r>
      <w:r>
        <w:rPr>
          <w:snapToGrid w:val="0"/>
          <w:sz w:val="22"/>
          <w:szCs w:val="22"/>
          <w:lang w:eastAsia="en-US"/>
        </w:rPr>
        <w:t>aliuminio):</w:t>
      </w:r>
      <w:r>
        <w:rPr>
          <w:sz w:val="22"/>
          <w:szCs w:val="22"/>
          <w:lang w:eastAsia="sl-SI"/>
        </w:rPr>
        <w:t xml:space="preserve"> 14, 28, 30, 56, 60, 90 arba 196</w:t>
      </w:r>
      <w:r>
        <w:rPr>
          <w:noProof/>
          <w:sz w:val="22"/>
          <w:szCs w:val="22"/>
          <w:lang w:eastAsia="sl-SI"/>
        </w:rPr>
        <w:t xml:space="preserve"> plėvele dengtų tablečių dėžutėje.</w:t>
      </w:r>
    </w:p>
    <w:p w14:paraId="3B0BC566" w14:textId="77777777" w:rsidR="00023BBF" w:rsidRDefault="00023BBF">
      <w:pPr>
        <w:tabs>
          <w:tab w:val="left" w:pos="-142"/>
          <w:tab w:val="center" w:pos="4320"/>
          <w:tab w:val="right" w:pos="8640"/>
        </w:tabs>
        <w:spacing w:line="260" w:lineRule="exact"/>
        <w:rPr>
          <w:rFonts w:eastAsia="SimSun"/>
          <w:bCs/>
          <w:iCs/>
          <w:sz w:val="22"/>
          <w:szCs w:val="22"/>
          <w:lang w:eastAsia="zh-CN"/>
        </w:rPr>
      </w:pPr>
    </w:p>
    <w:p w14:paraId="4DA0A6A2" w14:textId="77777777" w:rsidR="00023BBF" w:rsidRDefault="00E17C37">
      <w:pPr>
        <w:tabs>
          <w:tab w:val="left" w:pos="-142"/>
          <w:tab w:val="center" w:pos="4320"/>
          <w:tab w:val="right" w:pos="8640"/>
        </w:tabs>
        <w:spacing w:line="260" w:lineRule="exact"/>
        <w:rPr>
          <w:rFonts w:eastAsia="SimSun"/>
          <w:bCs/>
          <w:iCs/>
          <w:sz w:val="22"/>
          <w:szCs w:val="22"/>
          <w:lang w:eastAsia="zh-CN"/>
        </w:rPr>
      </w:pPr>
      <w:r>
        <w:rPr>
          <w:rFonts w:eastAsia="SimSun"/>
          <w:bCs/>
          <w:iCs/>
          <w:sz w:val="22"/>
          <w:szCs w:val="22"/>
          <w:lang w:eastAsia="zh-CN"/>
        </w:rPr>
        <w:t>Gali būti tiekiamos ne visų dydžių pakuotės.</w:t>
      </w:r>
    </w:p>
    <w:p w14:paraId="272560C1" w14:textId="77777777" w:rsidR="00023BBF" w:rsidRDefault="00023BBF">
      <w:pPr>
        <w:numPr>
          <w:ilvl w:val="12"/>
          <w:numId w:val="0"/>
        </w:numPr>
        <w:rPr>
          <w:rFonts w:eastAsia="Calibri"/>
          <w:sz w:val="22"/>
          <w:szCs w:val="22"/>
          <w:lang w:eastAsia="en-US"/>
        </w:rPr>
      </w:pPr>
    </w:p>
    <w:p w14:paraId="5FFDA607" w14:textId="77777777" w:rsidR="00023BBF" w:rsidRDefault="00E17C37">
      <w:pPr>
        <w:keepNext/>
        <w:tabs>
          <w:tab w:val="left" w:pos="567"/>
        </w:tabs>
        <w:spacing w:line="260" w:lineRule="exact"/>
        <w:jc w:val="both"/>
        <w:outlineLvl w:val="3"/>
        <w:rPr>
          <w:b/>
          <w:bCs/>
          <w:snapToGrid w:val="0"/>
          <w:sz w:val="22"/>
          <w:szCs w:val="22"/>
          <w:lang w:eastAsia="x-none"/>
        </w:rPr>
      </w:pPr>
      <w:r>
        <w:rPr>
          <w:b/>
          <w:bCs/>
          <w:snapToGrid w:val="0"/>
          <w:sz w:val="22"/>
          <w:szCs w:val="22"/>
          <w:lang w:eastAsia="x-none"/>
        </w:rPr>
        <w:t>Registruotojas ir gamintojas</w:t>
      </w:r>
    </w:p>
    <w:p w14:paraId="20D7332F" w14:textId="77777777" w:rsidR="00023BBF" w:rsidRDefault="00023BBF">
      <w:pPr>
        <w:numPr>
          <w:ilvl w:val="12"/>
          <w:numId w:val="0"/>
        </w:numPr>
        <w:rPr>
          <w:rFonts w:eastAsia="Calibri"/>
          <w:sz w:val="22"/>
          <w:szCs w:val="22"/>
          <w:lang w:eastAsia="en-US"/>
        </w:rPr>
      </w:pPr>
    </w:p>
    <w:p w14:paraId="7AD36757" w14:textId="77777777" w:rsidR="00023BBF" w:rsidRDefault="00E17C37">
      <w:pPr>
        <w:numPr>
          <w:ilvl w:val="12"/>
          <w:numId w:val="0"/>
        </w:numPr>
        <w:rPr>
          <w:rFonts w:eastAsia="Calibri"/>
          <w:i/>
          <w:iCs/>
          <w:sz w:val="22"/>
          <w:szCs w:val="22"/>
          <w:lang w:eastAsia="en-US"/>
        </w:rPr>
      </w:pPr>
      <w:r>
        <w:rPr>
          <w:rFonts w:eastAsia="Calibri"/>
          <w:i/>
          <w:iCs/>
          <w:sz w:val="22"/>
          <w:szCs w:val="22"/>
          <w:lang w:eastAsia="en-US"/>
        </w:rPr>
        <w:t>Registruotojas</w:t>
      </w:r>
    </w:p>
    <w:p w14:paraId="1B306992" w14:textId="77777777" w:rsidR="00023BBF" w:rsidRDefault="00E17C37">
      <w:pPr>
        <w:widowControl w:val="0"/>
        <w:rPr>
          <w:sz w:val="22"/>
          <w:szCs w:val="22"/>
          <w:lang w:eastAsia="en-US"/>
        </w:rPr>
      </w:pPr>
      <w:r>
        <w:rPr>
          <w:sz w:val="22"/>
          <w:szCs w:val="22"/>
          <w:lang w:eastAsia="en-US"/>
        </w:rPr>
        <w:t xml:space="preserve">KRKA, </w:t>
      </w:r>
      <w:proofErr w:type="spellStart"/>
      <w:r>
        <w:rPr>
          <w:sz w:val="22"/>
          <w:szCs w:val="22"/>
          <w:lang w:eastAsia="en-US"/>
        </w:rPr>
        <w:t>d.d</w:t>
      </w:r>
      <w:proofErr w:type="spellEnd"/>
      <w:r>
        <w:rPr>
          <w:sz w:val="22"/>
          <w:szCs w:val="22"/>
          <w:lang w:eastAsia="en-US"/>
        </w:rPr>
        <w:t>., Novo mesto</w:t>
      </w:r>
    </w:p>
    <w:p w14:paraId="2B4ECE59" w14:textId="77777777" w:rsidR="00023BBF" w:rsidRDefault="00E17C37">
      <w:pPr>
        <w:widowControl w:val="0"/>
        <w:rPr>
          <w:sz w:val="22"/>
          <w:szCs w:val="22"/>
          <w:lang w:eastAsia="en-US"/>
        </w:rPr>
      </w:pPr>
      <w:proofErr w:type="spellStart"/>
      <w:r>
        <w:rPr>
          <w:sz w:val="22"/>
          <w:szCs w:val="22"/>
          <w:lang w:eastAsia="en-US"/>
        </w:rPr>
        <w:t>Šmarješka</w:t>
      </w:r>
      <w:proofErr w:type="spellEnd"/>
      <w:r>
        <w:rPr>
          <w:sz w:val="22"/>
          <w:szCs w:val="22"/>
          <w:lang w:eastAsia="en-US"/>
        </w:rPr>
        <w:t xml:space="preserve"> </w:t>
      </w:r>
      <w:proofErr w:type="spellStart"/>
      <w:r>
        <w:rPr>
          <w:sz w:val="22"/>
          <w:szCs w:val="22"/>
          <w:lang w:eastAsia="en-US"/>
        </w:rPr>
        <w:t>cesta</w:t>
      </w:r>
      <w:proofErr w:type="spellEnd"/>
      <w:r>
        <w:rPr>
          <w:sz w:val="22"/>
          <w:szCs w:val="22"/>
          <w:lang w:eastAsia="en-US"/>
        </w:rPr>
        <w:t xml:space="preserve"> 6</w:t>
      </w:r>
    </w:p>
    <w:p w14:paraId="094EEAAD" w14:textId="77777777" w:rsidR="00023BBF" w:rsidRDefault="00E17C37">
      <w:pPr>
        <w:widowControl w:val="0"/>
        <w:rPr>
          <w:sz w:val="22"/>
          <w:szCs w:val="22"/>
          <w:lang w:eastAsia="en-US"/>
        </w:rPr>
      </w:pPr>
      <w:r>
        <w:rPr>
          <w:sz w:val="22"/>
          <w:szCs w:val="22"/>
          <w:lang w:eastAsia="en-US"/>
        </w:rPr>
        <w:t>8501 Novo mesto</w:t>
      </w:r>
    </w:p>
    <w:p w14:paraId="338DA71F" w14:textId="77777777" w:rsidR="00023BBF" w:rsidRDefault="00E17C37">
      <w:pPr>
        <w:widowControl w:val="0"/>
        <w:rPr>
          <w:sz w:val="22"/>
          <w:szCs w:val="22"/>
          <w:lang w:eastAsia="en-US"/>
        </w:rPr>
      </w:pPr>
      <w:r>
        <w:rPr>
          <w:sz w:val="22"/>
          <w:szCs w:val="22"/>
          <w:lang w:eastAsia="en-US"/>
        </w:rPr>
        <w:t>Slovėnija</w:t>
      </w:r>
    </w:p>
    <w:p w14:paraId="5C51138C" w14:textId="77777777" w:rsidR="00023BBF" w:rsidRDefault="00023BBF">
      <w:pPr>
        <w:jc w:val="both"/>
        <w:rPr>
          <w:rFonts w:eastAsia="Calibri"/>
          <w:noProof/>
          <w:sz w:val="22"/>
          <w:szCs w:val="22"/>
          <w:lang w:eastAsia="en-US"/>
        </w:rPr>
      </w:pPr>
    </w:p>
    <w:p w14:paraId="2D67C00C" w14:textId="77777777" w:rsidR="00023BBF" w:rsidRDefault="00E17C37">
      <w:pPr>
        <w:jc w:val="both"/>
        <w:rPr>
          <w:rFonts w:eastAsia="Calibri"/>
          <w:i/>
          <w:iCs/>
          <w:noProof/>
          <w:sz w:val="22"/>
          <w:szCs w:val="22"/>
          <w:lang w:eastAsia="en-US"/>
        </w:rPr>
      </w:pPr>
      <w:r>
        <w:rPr>
          <w:rFonts w:eastAsia="Calibri"/>
          <w:i/>
          <w:iCs/>
          <w:noProof/>
          <w:sz w:val="22"/>
          <w:szCs w:val="22"/>
          <w:lang w:eastAsia="en-US"/>
        </w:rPr>
        <w:t>Gamintojas</w:t>
      </w:r>
    </w:p>
    <w:p w14:paraId="003F4C34" w14:textId="77777777" w:rsidR="00023BBF" w:rsidRDefault="00E17C37">
      <w:pPr>
        <w:widowControl w:val="0"/>
        <w:rPr>
          <w:b/>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175B1114" w14:textId="77777777" w:rsidR="00023BBF" w:rsidRDefault="00E17C37">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1BAAE9DC" w14:textId="77777777" w:rsidR="00023BBF" w:rsidRDefault="00E17C37">
      <w:pPr>
        <w:widowControl w:val="0"/>
        <w:rPr>
          <w:b/>
          <w:sz w:val="22"/>
          <w:szCs w:val="22"/>
          <w:lang w:eastAsia="sl-SI"/>
        </w:rPr>
      </w:pPr>
      <w:r>
        <w:rPr>
          <w:sz w:val="22"/>
          <w:szCs w:val="22"/>
          <w:lang w:eastAsia="sl-SI"/>
        </w:rPr>
        <w:t>8501 Novo mesto</w:t>
      </w:r>
    </w:p>
    <w:p w14:paraId="06DA6A9C" w14:textId="77777777" w:rsidR="00023BBF" w:rsidRDefault="00E17C37">
      <w:pPr>
        <w:widowControl w:val="0"/>
        <w:rPr>
          <w:b/>
          <w:sz w:val="22"/>
          <w:szCs w:val="22"/>
          <w:lang w:eastAsia="sl-SI"/>
        </w:rPr>
      </w:pPr>
      <w:r>
        <w:rPr>
          <w:sz w:val="22"/>
          <w:szCs w:val="22"/>
          <w:lang w:eastAsia="sl-SI"/>
        </w:rPr>
        <w:t>Slovėnija</w:t>
      </w:r>
    </w:p>
    <w:p w14:paraId="04388584" w14:textId="77777777" w:rsidR="00023BBF" w:rsidRDefault="00023BBF">
      <w:pPr>
        <w:numPr>
          <w:ilvl w:val="12"/>
          <w:numId w:val="0"/>
        </w:numPr>
        <w:jc w:val="both"/>
        <w:rPr>
          <w:rFonts w:eastAsia="Calibri"/>
          <w:noProof/>
          <w:sz w:val="22"/>
          <w:szCs w:val="22"/>
          <w:lang w:eastAsia="en-US"/>
        </w:rPr>
      </w:pPr>
    </w:p>
    <w:p w14:paraId="0766DE31" w14:textId="77777777" w:rsidR="00023BBF" w:rsidRDefault="00E17C37">
      <w:pPr>
        <w:numPr>
          <w:ilvl w:val="12"/>
          <w:numId w:val="0"/>
        </w:numPr>
        <w:jc w:val="both"/>
        <w:rPr>
          <w:rFonts w:eastAsia="Calibri"/>
          <w:noProof/>
          <w:sz w:val="22"/>
          <w:szCs w:val="22"/>
          <w:lang w:eastAsia="en-US"/>
        </w:rPr>
      </w:pPr>
      <w:r>
        <w:rPr>
          <w:rFonts w:eastAsia="Calibri"/>
          <w:noProof/>
          <w:sz w:val="22"/>
          <w:szCs w:val="22"/>
          <w:lang w:eastAsia="en-US"/>
        </w:rPr>
        <w:t>arba</w:t>
      </w:r>
    </w:p>
    <w:p w14:paraId="1066AAFC" w14:textId="77777777" w:rsidR="00023BBF" w:rsidRDefault="00023BBF">
      <w:pPr>
        <w:numPr>
          <w:ilvl w:val="12"/>
          <w:numId w:val="0"/>
        </w:numPr>
        <w:jc w:val="both"/>
        <w:rPr>
          <w:rFonts w:eastAsia="Calibri"/>
          <w:noProof/>
          <w:sz w:val="22"/>
          <w:szCs w:val="22"/>
          <w:lang w:eastAsia="en-US"/>
        </w:rPr>
      </w:pPr>
    </w:p>
    <w:p w14:paraId="4DBA4D54" w14:textId="77777777" w:rsidR="00023BBF" w:rsidRDefault="00E17C37">
      <w:pPr>
        <w:numPr>
          <w:ilvl w:val="12"/>
          <w:numId w:val="0"/>
        </w:numPr>
        <w:jc w:val="both"/>
        <w:rPr>
          <w:rFonts w:eastAsia="Calibri"/>
          <w:sz w:val="22"/>
          <w:szCs w:val="22"/>
          <w:lang w:val="de-AT" w:eastAsia="en-US"/>
        </w:rPr>
      </w:pPr>
      <w:r>
        <w:rPr>
          <w:rFonts w:eastAsia="Calibri"/>
          <w:sz w:val="22"/>
          <w:szCs w:val="22"/>
          <w:lang w:val="de-AT" w:eastAsia="en-US"/>
        </w:rPr>
        <w:t xml:space="preserve">TAD </w:t>
      </w:r>
      <w:proofErr w:type="spellStart"/>
      <w:r>
        <w:rPr>
          <w:rFonts w:eastAsia="Calibri"/>
          <w:sz w:val="22"/>
          <w:szCs w:val="22"/>
          <w:lang w:val="de-AT" w:eastAsia="en-US"/>
        </w:rPr>
        <w:t>Pharma</w:t>
      </w:r>
      <w:proofErr w:type="spellEnd"/>
      <w:r>
        <w:rPr>
          <w:rFonts w:eastAsia="Calibri"/>
          <w:sz w:val="22"/>
          <w:szCs w:val="22"/>
          <w:lang w:val="de-AT" w:eastAsia="en-US"/>
        </w:rPr>
        <w:t xml:space="preserve"> GmbH</w:t>
      </w:r>
    </w:p>
    <w:p w14:paraId="7F3569CD" w14:textId="77777777" w:rsidR="00023BBF" w:rsidRDefault="00E17C37">
      <w:pPr>
        <w:numPr>
          <w:ilvl w:val="12"/>
          <w:numId w:val="0"/>
        </w:numPr>
        <w:jc w:val="both"/>
        <w:rPr>
          <w:rFonts w:eastAsia="Calibri"/>
          <w:sz w:val="22"/>
          <w:szCs w:val="22"/>
          <w:lang w:val="de-AT" w:eastAsia="en-US"/>
        </w:rPr>
      </w:pPr>
      <w:r>
        <w:rPr>
          <w:rFonts w:eastAsia="Calibri"/>
          <w:sz w:val="22"/>
          <w:szCs w:val="22"/>
          <w:lang w:val="de-AT" w:eastAsia="en-US"/>
        </w:rPr>
        <w:t>Heinz-Lohmann - Stra</w:t>
      </w:r>
      <w:r>
        <w:rPr>
          <w:rFonts w:eastAsia="Calibri"/>
          <w:sz w:val="22"/>
          <w:szCs w:val="22"/>
          <w:lang w:val="en-US" w:eastAsia="en-US"/>
        </w:rPr>
        <w:t>β</w:t>
      </w:r>
      <w:r>
        <w:rPr>
          <w:rFonts w:eastAsia="Calibri"/>
          <w:sz w:val="22"/>
          <w:szCs w:val="22"/>
          <w:lang w:val="de-AT" w:eastAsia="en-US"/>
        </w:rPr>
        <w:t>e 5</w:t>
      </w:r>
    </w:p>
    <w:p w14:paraId="3F28D8F4" w14:textId="77777777" w:rsidR="00023BBF" w:rsidRDefault="00E17C37">
      <w:pPr>
        <w:numPr>
          <w:ilvl w:val="12"/>
          <w:numId w:val="0"/>
        </w:numPr>
        <w:jc w:val="both"/>
        <w:rPr>
          <w:rFonts w:eastAsia="Calibri"/>
          <w:sz w:val="22"/>
          <w:szCs w:val="22"/>
          <w:lang w:val="de-AT" w:eastAsia="en-US"/>
        </w:rPr>
      </w:pPr>
      <w:r>
        <w:rPr>
          <w:rFonts w:eastAsia="Calibri"/>
          <w:sz w:val="22"/>
          <w:szCs w:val="22"/>
          <w:lang w:val="de-AT" w:eastAsia="en-US"/>
        </w:rPr>
        <w:t>27472 Cuxhaven</w:t>
      </w:r>
    </w:p>
    <w:p w14:paraId="1D17EFAB" w14:textId="77777777" w:rsidR="00023BBF" w:rsidRDefault="00E17C37">
      <w:pPr>
        <w:numPr>
          <w:ilvl w:val="12"/>
          <w:numId w:val="0"/>
        </w:numPr>
        <w:jc w:val="both"/>
        <w:rPr>
          <w:rFonts w:eastAsia="Calibri"/>
          <w:bCs/>
          <w:noProof/>
          <w:sz w:val="22"/>
          <w:szCs w:val="22"/>
          <w:lang w:eastAsia="en-US"/>
        </w:rPr>
      </w:pPr>
      <w:proofErr w:type="spellStart"/>
      <w:r>
        <w:rPr>
          <w:rFonts w:eastAsia="Calibri"/>
          <w:sz w:val="22"/>
          <w:szCs w:val="22"/>
          <w:lang w:val="de-AT" w:eastAsia="en-US"/>
        </w:rPr>
        <w:t>Vokietija</w:t>
      </w:r>
      <w:proofErr w:type="spellEnd"/>
    </w:p>
    <w:p w14:paraId="3A524398" w14:textId="77777777" w:rsidR="00023BBF" w:rsidRDefault="00023BBF">
      <w:pPr>
        <w:numPr>
          <w:ilvl w:val="12"/>
          <w:numId w:val="0"/>
        </w:numPr>
        <w:rPr>
          <w:rFonts w:eastAsia="Calibri"/>
          <w:noProof/>
          <w:sz w:val="22"/>
          <w:szCs w:val="22"/>
          <w:lang w:eastAsia="en-US"/>
        </w:rPr>
      </w:pPr>
    </w:p>
    <w:p w14:paraId="00F7FB35" w14:textId="77777777" w:rsidR="00023BBF" w:rsidRDefault="00E17C37">
      <w:pPr>
        <w:numPr>
          <w:ilvl w:val="12"/>
          <w:numId w:val="0"/>
        </w:numPr>
        <w:rPr>
          <w:rFonts w:eastAsia="Calibri"/>
          <w:noProof/>
          <w:sz w:val="22"/>
          <w:szCs w:val="22"/>
          <w:lang w:eastAsia="en-US"/>
        </w:rPr>
      </w:pPr>
      <w:r>
        <w:rPr>
          <w:rFonts w:eastAsia="Calibri"/>
          <w:noProof/>
          <w:sz w:val="22"/>
          <w:szCs w:val="22"/>
          <w:lang w:eastAsia="en-US"/>
        </w:rPr>
        <w:t>Jeigu apie šį vaistą norite sužinoti daugiau, kreipkitės į vietinį registruotojo atstovą:</w:t>
      </w:r>
    </w:p>
    <w:p w14:paraId="446CE3B0" w14:textId="77777777" w:rsidR="00023BBF" w:rsidRDefault="00023BBF">
      <w:pPr>
        <w:numPr>
          <w:ilvl w:val="12"/>
          <w:numId w:val="0"/>
        </w:numPr>
        <w:rPr>
          <w:rFonts w:eastAsia="Calibri"/>
          <w:noProof/>
          <w:sz w:val="22"/>
          <w:szCs w:val="22"/>
          <w:lang w:eastAsia="en-US"/>
        </w:rPr>
      </w:pPr>
    </w:p>
    <w:p w14:paraId="2067C310" w14:textId="77777777" w:rsidR="00023BBF" w:rsidRDefault="00E17C37">
      <w:pPr>
        <w:rPr>
          <w:rFonts w:eastAsia="Calibri"/>
          <w:noProof/>
          <w:sz w:val="22"/>
          <w:szCs w:val="22"/>
          <w:lang w:eastAsia="en-US"/>
        </w:rPr>
      </w:pPr>
      <w:r>
        <w:rPr>
          <w:rFonts w:eastAsia="Calibri"/>
          <w:noProof/>
          <w:sz w:val="22"/>
          <w:szCs w:val="22"/>
          <w:lang w:eastAsia="en-US"/>
        </w:rPr>
        <w:t>UAB KRKA Lietuva</w:t>
      </w:r>
    </w:p>
    <w:p w14:paraId="47B2FFE0" w14:textId="77777777" w:rsidR="00023BBF" w:rsidRDefault="00E17C37">
      <w:pPr>
        <w:rPr>
          <w:rFonts w:eastAsia="Calibri"/>
          <w:noProof/>
          <w:sz w:val="22"/>
          <w:szCs w:val="22"/>
          <w:lang w:eastAsia="en-US"/>
        </w:rPr>
      </w:pPr>
      <w:r>
        <w:rPr>
          <w:rFonts w:eastAsia="Calibri"/>
          <w:noProof/>
          <w:sz w:val="22"/>
          <w:szCs w:val="22"/>
          <w:lang w:eastAsia="en-US"/>
        </w:rPr>
        <w:t>Senasis Ukmergės kelias 4,</w:t>
      </w:r>
    </w:p>
    <w:p w14:paraId="390EFDA8" w14:textId="77777777" w:rsidR="00023BBF" w:rsidRDefault="00E17C37">
      <w:pPr>
        <w:rPr>
          <w:rFonts w:eastAsia="Calibri"/>
          <w:noProof/>
          <w:sz w:val="22"/>
          <w:szCs w:val="22"/>
          <w:lang w:eastAsia="en-US"/>
        </w:rPr>
      </w:pPr>
      <w:r>
        <w:rPr>
          <w:rFonts w:eastAsia="Calibri"/>
          <w:noProof/>
          <w:sz w:val="22"/>
          <w:szCs w:val="22"/>
          <w:lang w:eastAsia="en-US"/>
        </w:rPr>
        <w:t>Užubalių km.,Vilniaus r.</w:t>
      </w:r>
    </w:p>
    <w:p w14:paraId="0F25E23D" w14:textId="77777777" w:rsidR="00023BBF" w:rsidRDefault="00E17C37">
      <w:pPr>
        <w:rPr>
          <w:rFonts w:eastAsia="Calibri"/>
          <w:noProof/>
          <w:sz w:val="22"/>
          <w:szCs w:val="22"/>
          <w:lang w:eastAsia="en-US"/>
        </w:rPr>
      </w:pPr>
      <w:r>
        <w:rPr>
          <w:rFonts w:eastAsia="Calibri"/>
          <w:noProof/>
          <w:sz w:val="22"/>
          <w:szCs w:val="22"/>
          <w:lang w:eastAsia="en-US"/>
        </w:rPr>
        <w:t>LT - 14013</w:t>
      </w:r>
    </w:p>
    <w:p w14:paraId="3B64E739" w14:textId="77777777" w:rsidR="00023BBF" w:rsidRDefault="00E17C37">
      <w:pPr>
        <w:rPr>
          <w:snapToGrid w:val="0"/>
          <w:sz w:val="22"/>
          <w:szCs w:val="20"/>
          <w:lang w:eastAsia="en-US"/>
        </w:rPr>
      </w:pPr>
      <w:r>
        <w:rPr>
          <w:snapToGrid w:val="0"/>
          <w:sz w:val="22"/>
          <w:lang w:eastAsia="en-US"/>
        </w:rPr>
        <w:t xml:space="preserve">Tel. </w:t>
      </w:r>
      <w:r>
        <w:rPr>
          <w:rFonts w:eastAsia="Calibri"/>
          <w:sz w:val="22"/>
          <w:szCs w:val="22"/>
          <w:lang w:eastAsia="en-US"/>
        </w:rPr>
        <w:t>+ 370 5 236 27 40</w:t>
      </w:r>
    </w:p>
    <w:p w14:paraId="29073DDD" w14:textId="77777777" w:rsidR="00023BBF" w:rsidRDefault="00023BBF">
      <w:pPr>
        <w:rPr>
          <w:rFonts w:eastAsia="Calibri"/>
          <w:noProof/>
          <w:sz w:val="22"/>
          <w:szCs w:val="22"/>
          <w:lang w:eastAsia="en-US"/>
        </w:rPr>
      </w:pPr>
    </w:p>
    <w:p w14:paraId="15DD1E0E" w14:textId="77777777" w:rsidR="00023BBF" w:rsidRDefault="00E17C37">
      <w:pPr>
        <w:widowControl w:val="0"/>
        <w:rPr>
          <w:b/>
          <w:sz w:val="22"/>
          <w:szCs w:val="22"/>
          <w:lang w:eastAsia="sl-SI"/>
        </w:rPr>
      </w:pPr>
      <w:r>
        <w:rPr>
          <w:b/>
          <w:sz w:val="22"/>
          <w:szCs w:val="22"/>
          <w:lang w:eastAsia="sl-SI"/>
        </w:rPr>
        <w:t>Šis vaistas Europos ekonominės erdvės valstybėse narėse registruotas tokiais pavadinimais.</w:t>
      </w:r>
    </w:p>
    <w:tbl>
      <w:tblPr>
        <w:tblW w:w="8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4819"/>
      </w:tblGrid>
      <w:tr w:rsidR="00023BBF" w14:paraId="4B8708E9" w14:textId="77777777">
        <w:tc>
          <w:tcPr>
            <w:tcW w:w="3715" w:type="dxa"/>
            <w:tcBorders>
              <w:top w:val="single" w:sz="4" w:space="0" w:color="auto"/>
              <w:left w:val="single" w:sz="4" w:space="0" w:color="auto"/>
              <w:bottom w:val="single" w:sz="4" w:space="0" w:color="auto"/>
              <w:right w:val="single" w:sz="4" w:space="0" w:color="auto"/>
            </w:tcBorders>
          </w:tcPr>
          <w:p w14:paraId="5ED6BF99" w14:textId="77777777" w:rsidR="00023BBF" w:rsidRDefault="00E17C37">
            <w:pPr>
              <w:widowControl w:val="0"/>
              <w:numPr>
                <w:ilvl w:val="12"/>
                <w:numId w:val="0"/>
              </w:numPr>
              <w:tabs>
                <w:tab w:val="left" w:pos="708"/>
              </w:tabs>
              <w:ind w:right="-2"/>
              <w:rPr>
                <w:sz w:val="22"/>
                <w:szCs w:val="22"/>
                <w:lang w:eastAsia="sl-SI"/>
              </w:rPr>
            </w:pPr>
            <w:r>
              <w:rPr>
                <w:sz w:val="22"/>
                <w:szCs w:val="22"/>
                <w:lang w:eastAsia="sl-SI"/>
              </w:rPr>
              <w:t>Valstybė narė</w:t>
            </w:r>
          </w:p>
        </w:tc>
        <w:tc>
          <w:tcPr>
            <w:tcW w:w="4819" w:type="dxa"/>
            <w:tcBorders>
              <w:top w:val="single" w:sz="4" w:space="0" w:color="auto"/>
              <w:left w:val="single" w:sz="4" w:space="0" w:color="auto"/>
              <w:bottom w:val="single" w:sz="4" w:space="0" w:color="auto"/>
              <w:right w:val="single" w:sz="4" w:space="0" w:color="auto"/>
            </w:tcBorders>
          </w:tcPr>
          <w:p w14:paraId="6F81397B" w14:textId="77777777" w:rsidR="00023BBF" w:rsidRDefault="00E17C37">
            <w:pPr>
              <w:widowControl w:val="0"/>
              <w:numPr>
                <w:ilvl w:val="12"/>
                <w:numId w:val="0"/>
              </w:numPr>
              <w:tabs>
                <w:tab w:val="left" w:pos="708"/>
              </w:tabs>
              <w:ind w:right="-2"/>
              <w:rPr>
                <w:sz w:val="22"/>
                <w:szCs w:val="22"/>
                <w:lang w:eastAsia="sl-SI"/>
              </w:rPr>
            </w:pPr>
            <w:r>
              <w:rPr>
                <w:sz w:val="22"/>
                <w:szCs w:val="22"/>
                <w:lang w:eastAsia="sl-SI"/>
              </w:rPr>
              <w:t>Vaisto pavadinimas</w:t>
            </w:r>
          </w:p>
        </w:tc>
      </w:tr>
      <w:tr w:rsidR="00023BBF" w14:paraId="66E8E7ED" w14:textId="77777777">
        <w:tc>
          <w:tcPr>
            <w:tcW w:w="3715" w:type="dxa"/>
            <w:tcBorders>
              <w:top w:val="single" w:sz="4" w:space="0" w:color="auto"/>
              <w:left w:val="single" w:sz="4" w:space="0" w:color="auto"/>
              <w:bottom w:val="single" w:sz="4" w:space="0" w:color="auto"/>
              <w:right w:val="single" w:sz="4" w:space="0" w:color="auto"/>
            </w:tcBorders>
          </w:tcPr>
          <w:p w14:paraId="166DBBC6" w14:textId="77777777" w:rsidR="00023BBF" w:rsidRDefault="00E17C37">
            <w:pPr>
              <w:widowControl w:val="0"/>
              <w:numPr>
                <w:ilvl w:val="12"/>
                <w:numId w:val="0"/>
              </w:numPr>
              <w:tabs>
                <w:tab w:val="left" w:pos="708"/>
              </w:tabs>
              <w:ind w:right="-2"/>
              <w:rPr>
                <w:sz w:val="22"/>
                <w:szCs w:val="22"/>
                <w:lang w:eastAsia="sl-SI"/>
              </w:rPr>
            </w:pPr>
            <w:r>
              <w:rPr>
                <w:sz w:val="22"/>
                <w:szCs w:val="22"/>
                <w:lang w:eastAsia="sl-SI"/>
              </w:rPr>
              <w:t>Kroatija, Slovakija, Estija, Latvija, Lietuva, Lenkija, Vengrija, Bulgarija, Slovėnija, Rumunija, Graikija, Čekija, Kipras</w:t>
            </w:r>
          </w:p>
        </w:tc>
        <w:tc>
          <w:tcPr>
            <w:tcW w:w="4819" w:type="dxa"/>
            <w:tcBorders>
              <w:top w:val="single" w:sz="4" w:space="0" w:color="auto"/>
              <w:left w:val="single" w:sz="4" w:space="0" w:color="auto"/>
              <w:bottom w:val="single" w:sz="4" w:space="0" w:color="auto"/>
              <w:right w:val="single" w:sz="4" w:space="0" w:color="auto"/>
            </w:tcBorders>
          </w:tcPr>
          <w:p w14:paraId="0AC94857" w14:textId="77777777" w:rsidR="00023BBF" w:rsidRDefault="00E17C37">
            <w:pPr>
              <w:widowControl w:val="0"/>
              <w:numPr>
                <w:ilvl w:val="12"/>
                <w:numId w:val="0"/>
              </w:numPr>
              <w:tabs>
                <w:tab w:val="left" w:pos="708"/>
              </w:tabs>
              <w:ind w:right="-2"/>
              <w:rPr>
                <w:sz w:val="22"/>
                <w:szCs w:val="22"/>
                <w:lang w:eastAsia="sl-SI"/>
              </w:rPr>
            </w:pPr>
            <w:proofErr w:type="spellStart"/>
            <w:r>
              <w:rPr>
                <w:rFonts w:eastAsiaTheme="minorHAnsi"/>
                <w:color w:val="000000"/>
                <w:sz w:val="22"/>
                <w:szCs w:val="22"/>
                <w:lang w:eastAsia="en-US"/>
              </w:rPr>
              <w:t>Mexdagry</w:t>
            </w:r>
            <w:proofErr w:type="spellEnd"/>
          </w:p>
        </w:tc>
      </w:tr>
    </w:tbl>
    <w:p w14:paraId="10166364" w14:textId="77777777" w:rsidR="00023BBF" w:rsidRDefault="00023BBF">
      <w:pPr>
        <w:numPr>
          <w:ilvl w:val="12"/>
          <w:numId w:val="0"/>
        </w:numPr>
        <w:spacing w:line="259" w:lineRule="auto"/>
        <w:rPr>
          <w:rFonts w:eastAsia="Calibri"/>
          <w:bCs/>
          <w:sz w:val="22"/>
          <w:szCs w:val="22"/>
          <w:lang w:eastAsia="en-US"/>
        </w:rPr>
      </w:pPr>
    </w:p>
    <w:p w14:paraId="45EFA335" w14:textId="77777777" w:rsidR="00023BBF" w:rsidRDefault="00023BBF">
      <w:pPr>
        <w:numPr>
          <w:ilvl w:val="12"/>
          <w:numId w:val="0"/>
        </w:numPr>
        <w:spacing w:line="259" w:lineRule="auto"/>
        <w:rPr>
          <w:rFonts w:eastAsia="Calibri"/>
          <w:bCs/>
          <w:sz w:val="22"/>
          <w:szCs w:val="22"/>
          <w:lang w:eastAsia="en-US"/>
        </w:rPr>
      </w:pPr>
    </w:p>
    <w:p w14:paraId="155504B8" w14:textId="77777777" w:rsidR="00023BBF" w:rsidRDefault="00E17C37">
      <w:pPr>
        <w:numPr>
          <w:ilvl w:val="12"/>
          <w:numId w:val="0"/>
        </w:numPr>
        <w:rPr>
          <w:rFonts w:eastAsia="Calibri"/>
          <w:sz w:val="22"/>
          <w:szCs w:val="22"/>
          <w:lang w:eastAsia="en-US"/>
        </w:rPr>
      </w:pPr>
      <w:r>
        <w:rPr>
          <w:rFonts w:eastAsia="Calibri"/>
          <w:b/>
          <w:sz w:val="22"/>
          <w:szCs w:val="22"/>
          <w:lang w:eastAsia="en-US"/>
        </w:rPr>
        <w:t>Šis pakuotės lapelis paskutinį kartą peržiūrėtas 2025-08-07</w:t>
      </w:r>
      <w:r>
        <w:rPr>
          <w:b/>
          <w:sz w:val="22"/>
          <w:szCs w:val="20"/>
          <w:lang w:eastAsia="en-US"/>
        </w:rPr>
        <w:t>.</w:t>
      </w:r>
    </w:p>
    <w:p w14:paraId="79A2BFDC" w14:textId="77777777" w:rsidR="00023BBF" w:rsidRDefault="00023BBF">
      <w:pPr>
        <w:numPr>
          <w:ilvl w:val="12"/>
          <w:numId w:val="0"/>
        </w:numPr>
        <w:rPr>
          <w:rFonts w:eastAsia="Calibri"/>
          <w:sz w:val="22"/>
          <w:szCs w:val="22"/>
          <w:lang w:eastAsia="en-US"/>
        </w:rPr>
      </w:pPr>
    </w:p>
    <w:p w14:paraId="73A763E3" w14:textId="77777777" w:rsidR="00023BBF" w:rsidRDefault="00E17C37">
      <w:pPr>
        <w:numPr>
          <w:ilvl w:val="12"/>
          <w:numId w:val="0"/>
        </w:numPr>
        <w:rPr>
          <w:rFonts w:eastAsia="Calibri"/>
          <w:sz w:val="22"/>
          <w:szCs w:val="22"/>
          <w:lang w:eastAsia="en-US"/>
        </w:rPr>
      </w:pPr>
      <w:r>
        <w:rPr>
          <w:rFonts w:eastAsia="Calibri"/>
          <w:sz w:val="22"/>
          <w:szCs w:val="22"/>
          <w:lang w:eastAsia="en-US"/>
        </w:rPr>
        <w:t>Išsami informacija apie šį vaistą pateikiama Valstybinės vaistų kontrolės tarnybos prie Lietuvos Respublikos sveikatos apsaugos ministerijos tinklalapyje</w:t>
      </w:r>
      <w:r>
        <w:rPr>
          <w:rFonts w:eastAsia="Calibri"/>
          <w:i/>
          <w:sz w:val="22"/>
          <w:szCs w:val="22"/>
          <w:lang w:eastAsia="en-US"/>
        </w:rPr>
        <w:t xml:space="preserve"> </w:t>
      </w:r>
      <w:bookmarkStart w:id="15" w:name="_Hlk173407610"/>
      <w:r>
        <w:rPr>
          <w:rFonts w:eastAsia="Calibri"/>
          <w:color w:val="0000EE"/>
          <w:sz w:val="22"/>
          <w:szCs w:val="22"/>
          <w:u w:val="single"/>
          <w:lang w:eastAsia="lt-LT"/>
        </w:rPr>
        <w:t>https://vvkt.lrv.lt/lt/</w:t>
      </w:r>
      <w:bookmarkEnd w:id="15"/>
      <w:r>
        <w:rPr>
          <w:rFonts w:eastAsia="Calibri"/>
          <w:sz w:val="22"/>
          <w:szCs w:val="22"/>
          <w:lang w:eastAsia="lt-LT"/>
        </w:rPr>
        <w:t>.</w:t>
      </w:r>
    </w:p>
    <w:p w14:paraId="77AFFD2A" w14:textId="77777777" w:rsidR="00023BBF" w:rsidRDefault="00023BBF">
      <w:pPr>
        <w:widowControl w:val="0"/>
        <w:rPr>
          <w:rFonts w:eastAsia="Calibri"/>
          <w:sz w:val="22"/>
          <w:szCs w:val="22"/>
          <w:lang w:eastAsia="en-US"/>
        </w:rPr>
      </w:pPr>
    </w:p>
    <w:p w14:paraId="35901E48" w14:textId="77777777" w:rsidR="00023BBF" w:rsidRDefault="00023BBF">
      <w:pPr>
        <w:pStyle w:val="Antrat3"/>
        <w:spacing w:before="0" w:after="0" w:line="240" w:lineRule="auto"/>
        <w:rPr>
          <w:lang w:val="lt-LT"/>
        </w:rPr>
      </w:pPr>
    </w:p>
    <w:sectPr w:rsidR="00023BBF">
      <w:headerReference w:type="even" r:id="rId16"/>
      <w:headerReference w:type="default" r:id="rId17"/>
      <w:footerReference w:type="even" r:id="rId18"/>
      <w:footerReference w:type="default" r:id="rId19"/>
      <w:headerReference w:type="first" r:id="rId20"/>
      <w:footerReference w:type="first" r:id="rId21"/>
      <w:pgSz w:w="11910" w:h="16840"/>
      <w:pgMar w:top="1040" w:right="1080" w:bottom="900" w:left="1180" w:header="0" w:footer="716"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8D12A" w14:textId="77777777" w:rsidR="00A81653" w:rsidRDefault="00A81653">
      <w:r>
        <w:separator/>
      </w:r>
    </w:p>
  </w:endnote>
  <w:endnote w:type="continuationSeparator" w:id="0">
    <w:p w14:paraId="5558D976" w14:textId="77777777" w:rsidR="00A81653" w:rsidRDefault="00A81653">
      <w:r>
        <w:continuationSeparator/>
      </w:r>
    </w:p>
  </w:endnote>
  <w:endnote w:type="continuationNotice" w:id="1">
    <w:p w14:paraId="7EE8401D" w14:textId="77777777" w:rsidR="00A81653" w:rsidRDefault="00A816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Bold">
    <w:altName w:val="Times New Roman"/>
    <w:panose1 w:val="00000000000000000000"/>
    <w:charset w:val="00"/>
    <w:family w:val="roman"/>
    <w:notTrueType/>
    <w:pitch w:val="default"/>
    <w:sig w:usb0="00000007" w:usb1="00000000" w:usb2="00000000" w:usb3="00000000" w:csb0="00000003"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327956337"/>
      <w:docPartObj>
        <w:docPartGallery w:val="Page Numbers (Bottom of Page)"/>
        <w:docPartUnique/>
      </w:docPartObj>
    </w:sdtPr>
    <w:sdtEndPr>
      <w:rPr>
        <w:rStyle w:val="Puslapionumeris"/>
      </w:rPr>
    </w:sdtEndPr>
    <w:sdtContent>
      <w:p w14:paraId="7A314D35" w14:textId="77777777" w:rsidR="00023BBF" w:rsidRDefault="00E17C37">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506BE3B6" w14:textId="77777777" w:rsidR="00023BBF" w:rsidRDefault="00023BB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725639007"/>
      <w:docPartObj>
        <w:docPartGallery w:val="Page Numbers (Bottom of Page)"/>
        <w:docPartUnique/>
      </w:docPartObj>
    </w:sdtPr>
    <w:sdtEndPr>
      <w:rPr>
        <w:rStyle w:val="Puslapionumeris"/>
      </w:rPr>
    </w:sdtEndPr>
    <w:sdtContent>
      <w:p w14:paraId="1834A973" w14:textId="77777777" w:rsidR="00023BBF" w:rsidRDefault="00E17C37">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7</w:t>
        </w:r>
        <w:r>
          <w:rPr>
            <w:rStyle w:val="Puslapionumeris"/>
          </w:rPr>
          <w:fldChar w:fldCharType="end"/>
        </w:r>
      </w:p>
    </w:sdtContent>
  </w:sdt>
  <w:p w14:paraId="37556F87" w14:textId="77777777" w:rsidR="00023BBF" w:rsidRDefault="00023BBF">
    <w:pPr>
      <w:pStyle w:val="Porat"/>
      <w:jc w:val="right"/>
    </w:pPr>
  </w:p>
  <w:p w14:paraId="63A46435" w14:textId="77777777" w:rsidR="00023BBF" w:rsidRDefault="00023BB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FD31F" w14:textId="77777777" w:rsidR="00023BBF" w:rsidRDefault="00023BB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09827" w14:textId="77777777" w:rsidR="00A81653" w:rsidRDefault="00A81653">
      <w:r>
        <w:separator/>
      </w:r>
    </w:p>
  </w:footnote>
  <w:footnote w:type="continuationSeparator" w:id="0">
    <w:p w14:paraId="4338D5BD" w14:textId="77777777" w:rsidR="00A81653" w:rsidRDefault="00A81653">
      <w:r>
        <w:continuationSeparator/>
      </w:r>
    </w:p>
  </w:footnote>
  <w:footnote w:type="continuationNotice" w:id="1">
    <w:p w14:paraId="3BD6AC2F" w14:textId="77777777" w:rsidR="00A81653" w:rsidRDefault="00A816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C48CF" w14:textId="77777777" w:rsidR="00023BBF" w:rsidRDefault="00023BB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91BAB" w14:textId="77777777" w:rsidR="00023BBF" w:rsidRDefault="00023BB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FB2AD" w14:textId="77777777" w:rsidR="00023BBF" w:rsidRDefault="00023BB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359B8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AB57D6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23EC0A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24E8B7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7F5648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AFCBF7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407A6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CBE116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FFFFF7D"/>
    <w:multiLevelType w:val="singleLevel"/>
    <w:tmpl w:val="EC2048F4"/>
    <w:lvl w:ilvl="0">
      <w:start w:val="1"/>
      <w:numFmt w:val="decimal"/>
      <w:pStyle w:val="Sraassunumeriais4"/>
      <w:lvlText w:val="%1."/>
      <w:lvlJc w:val="left"/>
      <w:pPr>
        <w:tabs>
          <w:tab w:val="num" w:pos="1209"/>
        </w:tabs>
        <w:ind w:left="1209" w:hanging="360"/>
      </w:pPr>
    </w:lvl>
  </w:abstractNum>
  <w:abstractNum w:abstractNumId="9" w15:restartNumberingAfterBreak="0">
    <w:nsid w:val="FFFFFFFE"/>
    <w:multiLevelType w:val="singleLevel"/>
    <w:tmpl w:val="FFFFFFFF"/>
    <w:lvl w:ilvl="0">
      <w:numFmt w:val="decimal"/>
      <w:lvlText w:val="*"/>
      <w:lvlJc w:val="left"/>
      <w:rPr>
        <w:rFonts w:cs="Times New Roman"/>
      </w:rPr>
    </w:lvl>
  </w:abstractNum>
  <w:abstractNum w:abstractNumId="10" w15:restartNumberingAfterBreak="0">
    <w:nsid w:val="03D7018C"/>
    <w:multiLevelType w:val="hybridMultilevel"/>
    <w:tmpl w:val="392248A6"/>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0CCB6E9D"/>
    <w:multiLevelType w:val="hybridMultilevel"/>
    <w:tmpl w:val="B42212FE"/>
    <w:lvl w:ilvl="0" w:tplc="D450914A">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35FA43D8">
      <w:numFmt w:val="bullet"/>
      <w:lvlText w:val="•"/>
      <w:lvlJc w:val="left"/>
      <w:pPr>
        <w:ind w:left="2160" w:hanging="360"/>
      </w:pPr>
      <w:rPr>
        <w:rFonts w:hint="default"/>
        <w:lang w:val="en-US" w:eastAsia="en-US" w:bidi="ar-SA"/>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07B795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0A94631"/>
    <w:multiLevelType w:val="hybridMultilevel"/>
    <w:tmpl w:val="1522FFBC"/>
    <w:lvl w:ilvl="0" w:tplc="7F9274D8">
      <w:numFmt w:val="bullet"/>
      <w:lvlText w:val="-"/>
      <w:lvlJc w:val="left"/>
      <w:pPr>
        <w:ind w:left="784" w:hanging="562"/>
      </w:pPr>
      <w:rPr>
        <w:rFonts w:ascii="Times New Roman" w:eastAsia="Times New Roman" w:hAnsi="Times New Roman" w:cs="Times New Roman" w:hint="default"/>
        <w:w w:val="100"/>
        <w:sz w:val="22"/>
        <w:szCs w:val="22"/>
      </w:rPr>
    </w:lvl>
    <w:lvl w:ilvl="1" w:tplc="12EC66D4">
      <w:numFmt w:val="bullet"/>
      <w:lvlText w:val="•"/>
      <w:lvlJc w:val="left"/>
      <w:pPr>
        <w:ind w:left="1672" w:hanging="562"/>
      </w:pPr>
      <w:rPr>
        <w:rFonts w:hint="default"/>
      </w:rPr>
    </w:lvl>
    <w:lvl w:ilvl="2" w:tplc="52C27116">
      <w:numFmt w:val="bullet"/>
      <w:lvlText w:val="•"/>
      <w:lvlJc w:val="left"/>
      <w:pPr>
        <w:ind w:left="2565" w:hanging="562"/>
      </w:pPr>
      <w:rPr>
        <w:rFonts w:hint="default"/>
      </w:rPr>
    </w:lvl>
    <w:lvl w:ilvl="3" w:tplc="E5C67692">
      <w:numFmt w:val="bullet"/>
      <w:lvlText w:val="•"/>
      <w:lvlJc w:val="left"/>
      <w:pPr>
        <w:ind w:left="3457" w:hanging="562"/>
      </w:pPr>
      <w:rPr>
        <w:rFonts w:hint="default"/>
      </w:rPr>
    </w:lvl>
    <w:lvl w:ilvl="4" w:tplc="480A0B26">
      <w:numFmt w:val="bullet"/>
      <w:lvlText w:val="•"/>
      <w:lvlJc w:val="left"/>
      <w:pPr>
        <w:ind w:left="4350" w:hanging="562"/>
      </w:pPr>
      <w:rPr>
        <w:rFonts w:hint="default"/>
      </w:rPr>
    </w:lvl>
    <w:lvl w:ilvl="5" w:tplc="FE4A1950">
      <w:numFmt w:val="bullet"/>
      <w:lvlText w:val="•"/>
      <w:lvlJc w:val="left"/>
      <w:pPr>
        <w:ind w:left="5242" w:hanging="562"/>
      </w:pPr>
      <w:rPr>
        <w:rFonts w:hint="default"/>
      </w:rPr>
    </w:lvl>
    <w:lvl w:ilvl="6" w:tplc="7CDEE9A8">
      <w:numFmt w:val="bullet"/>
      <w:lvlText w:val="•"/>
      <w:lvlJc w:val="left"/>
      <w:pPr>
        <w:ind w:left="6135" w:hanging="562"/>
      </w:pPr>
      <w:rPr>
        <w:rFonts w:hint="default"/>
      </w:rPr>
    </w:lvl>
    <w:lvl w:ilvl="7" w:tplc="6DA863F2">
      <w:numFmt w:val="bullet"/>
      <w:lvlText w:val="•"/>
      <w:lvlJc w:val="left"/>
      <w:pPr>
        <w:ind w:left="7027" w:hanging="562"/>
      </w:pPr>
      <w:rPr>
        <w:rFonts w:hint="default"/>
      </w:rPr>
    </w:lvl>
    <w:lvl w:ilvl="8" w:tplc="CE809944">
      <w:numFmt w:val="bullet"/>
      <w:lvlText w:val="•"/>
      <w:lvlJc w:val="left"/>
      <w:pPr>
        <w:ind w:left="7920" w:hanging="562"/>
      </w:pPr>
      <w:rPr>
        <w:rFonts w:hint="default"/>
      </w:rPr>
    </w:lvl>
  </w:abstractNum>
  <w:abstractNum w:abstractNumId="14" w15:restartNumberingAfterBreak="0">
    <w:nsid w:val="1A2C2F7D"/>
    <w:multiLevelType w:val="hybridMultilevel"/>
    <w:tmpl w:val="2654ABBA"/>
    <w:lvl w:ilvl="0" w:tplc="FFFFFFFF">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F7C0CAE"/>
    <w:multiLevelType w:val="hybridMultilevel"/>
    <w:tmpl w:val="52D64512"/>
    <w:lvl w:ilvl="0" w:tplc="D450914A">
      <w:start w:val="1"/>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44C3185"/>
    <w:multiLevelType w:val="hybridMultilevel"/>
    <w:tmpl w:val="F0E66154"/>
    <w:lvl w:ilvl="0" w:tplc="53C64418">
      <w:numFmt w:val="bullet"/>
      <w:lvlText w:val="-"/>
      <w:lvlJc w:val="left"/>
      <w:pPr>
        <w:ind w:left="842"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A07A01DA">
      <w:numFmt w:val="bullet"/>
      <w:lvlText w:val="•"/>
      <w:lvlJc w:val="left"/>
      <w:pPr>
        <w:ind w:left="1712" w:hanging="567"/>
      </w:pPr>
      <w:rPr>
        <w:rFonts w:hint="default"/>
        <w:lang w:val="en-US" w:eastAsia="en-US" w:bidi="ar-SA"/>
      </w:rPr>
    </w:lvl>
    <w:lvl w:ilvl="2" w:tplc="647E9CAE">
      <w:numFmt w:val="bullet"/>
      <w:lvlText w:val="•"/>
      <w:lvlJc w:val="left"/>
      <w:pPr>
        <w:ind w:left="2585" w:hanging="567"/>
      </w:pPr>
      <w:rPr>
        <w:rFonts w:hint="default"/>
        <w:lang w:val="en-US" w:eastAsia="en-US" w:bidi="ar-SA"/>
      </w:rPr>
    </w:lvl>
    <w:lvl w:ilvl="3" w:tplc="385A1C98">
      <w:numFmt w:val="bullet"/>
      <w:lvlText w:val="•"/>
      <w:lvlJc w:val="left"/>
      <w:pPr>
        <w:ind w:left="3457" w:hanging="567"/>
      </w:pPr>
      <w:rPr>
        <w:rFonts w:hint="default"/>
        <w:lang w:val="en-US" w:eastAsia="en-US" w:bidi="ar-SA"/>
      </w:rPr>
    </w:lvl>
    <w:lvl w:ilvl="4" w:tplc="3D36C15C">
      <w:numFmt w:val="bullet"/>
      <w:lvlText w:val="•"/>
      <w:lvlJc w:val="left"/>
      <w:pPr>
        <w:ind w:left="4330" w:hanging="567"/>
      </w:pPr>
      <w:rPr>
        <w:rFonts w:hint="default"/>
        <w:lang w:val="en-US" w:eastAsia="en-US" w:bidi="ar-SA"/>
      </w:rPr>
    </w:lvl>
    <w:lvl w:ilvl="5" w:tplc="803A941A">
      <w:numFmt w:val="bullet"/>
      <w:lvlText w:val="•"/>
      <w:lvlJc w:val="left"/>
      <w:pPr>
        <w:ind w:left="5202" w:hanging="567"/>
      </w:pPr>
      <w:rPr>
        <w:rFonts w:hint="default"/>
        <w:lang w:val="en-US" w:eastAsia="en-US" w:bidi="ar-SA"/>
      </w:rPr>
    </w:lvl>
    <w:lvl w:ilvl="6" w:tplc="286AE59E">
      <w:numFmt w:val="bullet"/>
      <w:lvlText w:val="•"/>
      <w:lvlJc w:val="left"/>
      <w:pPr>
        <w:ind w:left="6075" w:hanging="567"/>
      </w:pPr>
      <w:rPr>
        <w:rFonts w:hint="default"/>
        <w:lang w:val="en-US" w:eastAsia="en-US" w:bidi="ar-SA"/>
      </w:rPr>
    </w:lvl>
    <w:lvl w:ilvl="7" w:tplc="5D8A03C8">
      <w:numFmt w:val="bullet"/>
      <w:lvlText w:val="•"/>
      <w:lvlJc w:val="left"/>
      <w:pPr>
        <w:ind w:left="6947" w:hanging="567"/>
      </w:pPr>
      <w:rPr>
        <w:rFonts w:hint="default"/>
        <w:lang w:val="en-US" w:eastAsia="en-US" w:bidi="ar-SA"/>
      </w:rPr>
    </w:lvl>
    <w:lvl w:ilvl="8" w:tplc="5F8863EA">
      <w:numFmt w:val="bullet"/>
      <w:lvlText w:val="•"/>
      <w:lvlJc w:val="left"/>
      <w:pPr>
        <w:ind w:left="7820" w:hanging="567"/>
      </w:pPr>
      <w:rPr>
        <w:rFonts w:hint="default"/>
        <w:lang w:val="en-US" w:eastAsia="en-US" w:bidi="ar-SA"/>
      </w:rPr>
    </w:lvl>
  </w:abstractNum>
  <w:abstractNum w:abstractNumId="17" w15:restartNumberingAfterBreak="0">
    <w:nsid w:val="259A798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826702A"/>
    <w:multiLevelType w:val="hybridMultilevel"/>
    <w:tmpl w:val="B8FAF018"/>
    <w:lvl w:ilvl="0" w:tplc="D450914A">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9" w15:restartNumberingAfterBreak="0">
    <w:nsid w:val="2E7F6CFB"/>
    <w:multiLevelType w:val="hybridMultilevel"/>
    <w:tmpl w:val="4FA6E9E4"/>
    <w:lvl w:ilvl="0" w:tplc="7F9274D8">
      <w:numFmt w:val="bullet"/>
      <w:lvlText w:val="-"/>
      <w:lvlJc w:val="left"/>
      <w:pPr>
        <w:ind w:left="720" w:hanging="360"/>
      </w:pPr>
      <w:rPr>
        <w:rFonts w:ascii="Times New Roman" w:eastAsia="Times New Roman" w:hAnsi="Times New Roman" w:cs="Times New Roman" w:hint="default"/>
        <w:w w:val="100"/>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EE967BA"/>
    <w:multiLevelType w:val="hybridMultilevel"/>
    <w:tmpl w:val="C1F0B06C"/>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00A3779"/>
    <w:multiLevelType w:val="hybridMultilevel"/>
    <w:tmpl w:val="BAFE31AA"/>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55C4387"/>
    <w:multiLevelType w:val="hybridMultilevel"/>
    <w:tmpl w:val="84D6A30E"/>
    <w:lvl w:ilvl="0" w:tplc="D450914A">
      <w:start w:val="1"/>
      <w:numFmt w:val="bullet"/>
      <w:lvlText w:val="-"/>
      <w:lvlJc w:val="left"/>
      <w:pPr>
        <w:tabs>
          <w:tab w:val="num" w:pos="567"/>
        </w:tabs>
        <w:ind w:left="567" w:hanging="567"/>
      </w:pPr>
      <w:rPr>
        <w:rFonts w:ascii="Times New Roman" w:eastAsia="Times New Roman" w:hAnsi="Times New Roman" w:cs="Times New Roman" w:hint="default"/>
      </w:rPr>
    </w:lvl>
    <w:lvl w:ilvl="1" w:tplc="D450914A">
      <w:start w:val="1"/>
      <w:numFmt w:val="bullet"/>
      <w:lvlText w:val="-"/>
      <w:lvlJc w:val="left"/>
      <w:pPr>
        <w:tabs>
          <w:tab w:val="num" w:pos="1440"/>
        </w:tabs>
        <w:ind w:left="1440" w:hanging="360"/>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938D00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969B8F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AAC52B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C011F8E"/>
    <w:multiLevelType w:val="hybridMultilevel"/>
    <w:tmpl w:val="3F7E28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DFA5E6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AAC5B4F"/>
    <w:multiLevelType w:val="hybridMultilevel"/>
    <w:tmpl w:val="11FAFBAC"/>
    <w:lvl w:ilvl="0" w:tplc="D450914A">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B355ED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24F5E54"/>
    <w:multiLevelType w:val="hybridMultilevel"/>
    <w:tmpl w:val="6142A544"/>
    <w:lvl w:ilvl="0" w:tplc="D450914A">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3EE0D5D"/>
    <w:multiLevelType w:val="hybridMultilevel"/>
    <w:tmpl w:val="A92808BA"/>
    <w:lvl w:ilvl="0" w:tplc="D450914A">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35FA43D8">
      <w:numFmt w:val="bullet"/>
      <w:lvlText w:val="•"/>
      <w:lvlJc w:val="left"/>
      <w:pPr>
        <w:ind w:left="2160" w:hanging="360"/>
      </w:pPr>
      <w:rPr>
        <w:rFonts w:hint="default"/>
        <w:lang w:val="en-US" w:eastAsia="en-US" w:bidi="ar-SA"/>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42A15E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6B515E3"/>
    <w:multiLevelType w:val="hybridMultilevel"/>
    <w:tmpl w:val="C494FE62"/>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7AA4BB1"/>
    <w:multiLevelType w:val="hybridMultilevel"/>
    <w:tmpl w:val="C65A1EA8"/>
    <w:lvl w:ilvl="0" w:tplc="7F9274D8">
      <w:numFmt w:val="bullet"/>
      <w:lvlText w:val="-"/>
      <w:lvlJc w:val="left"/>
      <w:pPr>
        <w:ind w:left="720" w:hanging="360"/>
      </w:pPr>
      <w:rPr>
        <w:rFonts w:ascii="Times New Roman" w:eastAsia="Times New Roman" w:hAnsi="Times New Roman" w:cs="Times New Roman" w:hint="default"/>
        <w:w w:val="100"/>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8573C24"/>
    <w:multiLevelType w:val="hybridMultilevel"/>
    <w:tmpl w:val="F8162E86"/>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6" w15:restartNumberingAfterBreak="0">
    <w:nsid w:val="651E8CA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8314D3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9EF727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AB60803"/>
    <w:multiLevelType w:val="hybridMultilevel"/>
    <w:tmpl w:val="45BCA5DA"/>
    <w:lvl w:ilvl="0" w:tplc="D450914A">
      <w:start w:val="1"/>
      <w:numFmt w:val="bullet"/>
      <w:lvlText w:val="-"/>
      <w:lvlJc w:val="left"/>
      <w:pPr>
        <w:tabs>
          <w:tab w:val="num" w:pos="567"/>
        </w:tabs>
        <w:ind w:left="567" w:hanging="567"/>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161BD1"/>
    <w:multiLevelType w:val="hybridMultilevel"/>
    <w:tmpl w:val="FD6829BA"/>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1" w15:restartNumberingAfterBreak="0">
    <w:nsid w:val="72142E8F"/>
    <w:multiLevelType w:val="hybridMultilevel"/>
    <w:tmpl w:val="ABE2832A"/>
    <w:lvl w:ilvl="0" w:tplc="7F9274D8">
      <w:numFmt w:val="bullet"/>
      <w:lvlText w:val="-"/>
      <w:lvlJc w:val="left"/>
      <w:pPr>
        <w:ind w:left="720" w:hanging="360"/>
      </w:pPr>
      <w:rPr>
        <w:rFonts w:ascii="Times New Roman" w:eastAsia="Times New Roman" w:hAnsi="Times New Roman" w:cs="Times New Roman" w:hint="default"/>
        <w:w w:val="100"/>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9797041"/>
    <w:multiLevelType w:val="hybridMultilevel"/>
    <w:tmpl w:val="613C96DE"/>
    <w:lvl w:ilvl="0" w:tplc="19009AC0">
      <w:start w:val="2"/>
      <w:numFmt w:val="bullet"/>
      <w:lvlText w:val="-"/>
      <w:lvlJc w:val="left"/>
      <w:pPr>
        <w:ind w:left="720" w:hanging="360"/>
      </w:pPr>
      <w:rPr>
        <w:rFonts w:ascii="Times New Roman" w:eastAsiaTheme="minorHAnsi" w:hAnsi="Times New Roman"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C273EEB"/>
    <w:multiLevelType w:val="hybridMultilevel"/>
    <w:tmpl w:val="0F50C754"/>
    <w:lvl w:ilvl="0" w:tplc="FFFFFFFF">
      <w:start w:val="1"/>
      <w:numFmt w:val="bullet"/>
      <w:lvlText w:val="-"/>
      <w:lvlJc w:val="left"/>
      <w:pPr>
        <w:ind w:left="720" w:hanging="360"/>
      </w:pPr>
    </w:lvl>
    <w:lvl w:ilvl="1" w:tplc="D450914A">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D17538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374240831">
    <w:abstractNumId w:val="9"/>
    <w:lvlOverride w:ilvl="0">
      <w:lvl w:ilvl="0">
        <w:start w:val="1"/>
        <w:numFmt w:val="bullet"/>
        <w:lvlText w:val="-"/>
        <w:lvlJc w:val="left"/>
        <w:pPr>
          <w:ind w:left="360" w:hanging="360"/>
        </w:pPr>
      </w:lvl>
    </w:lvlOverride>
  </w:num>
  <w:num w:numId="2" w16cid:durableId="892808393">
    <w:abstractNumId w:val="26"/>
  </w:num>
  <w:num w:numId="3" w16cid:durableId="578098433">
    <w:abstractNumId w:val="13"/>
  </w:num>
  <w:num w:numId="4" w16cid:durableId="2069037660">
    <w:abstractNumId w:val="8"/>
    <w:lvlOverride w:ilvl="0">
      <w:startOverride w:val="1"/>
    </w:lvlOverride>
  </w:num>
  <w:num w:numId="5" w16cid:durableId="591086553">
    <w:abstractNumId w:val="45"/>
  </w:num>
  <w:num w:numId="6" w16cid:durableId="848981472">
    <w:abstractNumId w:val="33"/>
  </w:num>
  <w:num w:numId="7" w16cid:durableId="456072003">
    <w:abstractNumId w:val="10"/>
  </w:num>
  <w:num w:numId="8" w16cid:durableId="2083217896">
    <w:abstractNumId w:val="40"/>
  </w:num>
  <w:num w:numId="9" w16cid:durableId="1961454970">
    <w:abstractNumId w:val="35"/>
  </w:num>
  <w:num w:numId="10" w16cid:durableId="168300153">
    <w:abstractNumId w:val="20"/>
  </w:num>
  <w:num w:numId="11" w16cid:durableId="95945170">
    <w:abstractNumId w:val="18"/>
  </w:num>
  <w:num w:numId="12" w16cid:durableId="1999771133">
    <w:abstractNumId w:val="30"/>
  </w:num>
  <w:num w:numId="13" w16cid:durableId="20322514">
    <w:abstractNumId w:val="28"/>
  </w:num>
  <w:num w:numId="14" w16cid:durableId="606083209">
    <w:abstractNumId w:val="11"/>
  </w:num>
  <w:num w:numId="15" w16cid:durableId="1007370296">
    <w:abstractNumId w:val="31"/>
  </w:num>
  <w:num w:numId="16" w16cid:durableId="1851987593">
    <w:abstractNumId w:val="14"/>
  </w:num>
  <w:num w:numId="17" w16cid:durableId="404571360">
    <w:abstractNumId w:val="41"/>
  </w:num>
  <w:num w:numId="18" w16cid:durableId="1543400710">
    <w:abstractNumId w:val="19"/>
  </w:num>
  <w:num w:numId="19" w16cid:durableId="1933005165">
    <w:abstractNumId w:val="34"/>
  </w:num>
  <w:num w:numId="20" w16cid:durableId="1352877228">
    <w:abstractNumId w:val="32"/>
  </w:num>
  <w:num w:numId="21" w16cid:durableId="97796820">
    <w:abstractNumId w:val="39"/>
  </w:num>
  <w:num w:numId="22" w16cid:durableId="1499229426">
    <w:abstractNumId w:val="22"/>
  </w:num>
  <w:num w:numId="23" w16cid:durableId="1635526067">
    <w:abstractNumId w:val="15"/>
  </w:num>
  <w:num w:numId="24" w16cid:durableId="599722543">
    <w:abstractNumId w:val="16"/>
  </w:num>
  <w:num w:numId="25" w16cid:durableId="1733313240">
    <w:abstractNumId w:val="21"/>
  </w:num>
  <w:num w:numId="26" w16cid:durableId="283998919">
    <w:abstractNumId w:val="24"/>
  </w:num>
  <w:num w:numId="27" w16cid:durableId="1851331571">
    <w:abstractNumId w:val="7"/>
  </w:num>
  <w:num w:numId="28" w16cid:durableId="42875453">
    <w:abstractNumId w:val="2"/>
  </w:num>
  <w:num w:numId="29" w16cid:durableId="311062914">
    <w:abstractNumId w:val="0"/>
  </w:num>
  <w:num w:numId="30" w16cid:durableId="282806145">
    <w:abstractNumId w:val="42"/>
  </w:num>
  <w:num w:numId="31" w16cid:durableId="564415851">
    <w:abstractNumId w:val="38"/>
  </w:num>
  <w:num w:numId="32" w16cid:durableId="1961372016">
    <w:abstractNumId w:val="37"/>
  </w:num>
  <w:num w:numId="33" w16cid:durableId="2140688345">
    <w:abstractNumId w:val="27"/>
  </w:num>
  <w:num w:numId="34" w16cid:durableId="532959939">
    <w:abstractNumId w:val="5"/>
  </w:num>
  <w:num w:numId="35" w16cid:durableId="2045933736">
    <w:abstractNumId w:val="36"/>
  </w:num>
  <w:num w:numId="36" w16cid:durableId="1340540236">
    <w:abstractNumId w:val="29"/>
  </w:num>
  <w:num w:numId="37" w16cid:durableId="1967276885">
    <w:abstractNumId w:val="17"/>
  </w:num>
  <w:num w:numId="38" w16cid:durableId="2042238767">
    <w:abstractNumId w:val="1"/>
  </w:num>
  <w:num w:numId="39" w16cid:durableId="907038914">
    <w:abstractNumId w:val="43"/>
  </w:num>
  <w:num w:numId="40" w16cid:durableId="938870355">
    <w:abstractNumId w:val="3"/>
  </w:num>
  <w:num w:numId="41" w16cid:durableId="1711369747">
    <w:abstractNumId w:val="25"/>
  </w:num>
  <w:num w:numId="42" w16cid:durableId="890849537">
    <w:abstractNumId w:val="23"/>
  </w:num>
  <w:num w:numId="43" w16cid:durableId="195890132">
    <w:abstractNumId w:val="44"/>
  </w:num>
  <w:num w:numId="44" w16cid:durableId="305091657">
    <w:abstractNumId w:val="6"/>
  </w:num>
  <w:num w:numId="45" w16cid:durableId="1917352880">
    <w:abstractNumId w:val="12"/>
  </w:num>
  <w:num w:numId="46" w16cid:durableId="183977573">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BBF"/>
    <w:rsid w:val="00021FB8"/>
    <w:rsid w:val="00023B3D"/>
    <w:rsid w:val="00023BBF"/>
    <w:rsid w:val="00026A4E"/>
    <w:rsid w:val="0002704F"/>
    <w:rsid w:val="00037F10"/>
    <w:rsid w:val="0004779D"/>
    <w:rsid w:val="00055C58"/>
    <w:rsid w:val="00057B78"/>
    <w:rsid w:val="00061D33"/>
    <w:rsid w:val="000761FB"/>
    <w:rsid w:val="000818BF"/>
    <w:rsid w:val="000A24FC"/>
    <w:rsid w:val="000A49ED"/>
    <w:rsid w:val="000B00F1"/>
    <w:rsid w:val="000C0D17"/>
    <w:rsid w:val="000C3373"/>
    <w:rsid w:val="000D3154"/>
    <w:rsid w:val="000D49CA"/>
    <w:rsid w:val="000E01A2"/>
    <w:rsid w:val="000F00BB"/>
    <w:rsid w:val="000F2202"/>
    <w:rsid w:val="0010650C"/>
    <w:rsid w:val="00114BD6"/>
    <w:rsid w:val="001330A3"/>
    <w:rsid w:val="00133A0B"/>
    <w:rsid w:val="00136099"/>
    <w:rsid w:val="00147616"/>
    <w:rsid w:val="001501ED"/>
    <w:rsid w:val="00163CD6"/>
    <w:rsid w:val="00166BFC"/>
    <w:rsid w:val="00172D54"/>
    <w:rsid w:val="001766AB"/>
    <w:rsid w:val="00177A82"/>
    <w:rsid w:val="00183F89"/>
    <w:rsid w:val="001C2764"/>
    <w:rsid w:val="001C64B9"/>
    <w:rsid w:val="001D3001"/>
    <w:rsid w:val="001D33B4"/>
    <w:rsid w:val="001D740E"/>
    <w:rsid w:val="001E5B1D"/>
    <w:rsid w:val="001F6E7A"/>
    <w:rsid w:val="00203B8A"/>
    <w:rsid w:val="00203DED"/>
    <w:rsid w:val="00207DF1"/>
    <w:rsid w:val="00214178"/>
    <w:rsid w:val="00214E96"/>
    <w:rsid w:val="0021626F"/>
    <w:rsid w:val="00217F6C"/>
    <w:rsid w:val="002257C1"/>
    <w:rsid w:val="00235DE4"/>
    <w:rsid w:val="0023664E"/>
    <w:rsid w:val="002424CF"/>
    <w:rsid w:val="00246E02"/>
    <w:rsid w:val="002A3DC9"/>
    <w:rsid w:val="002A49CC"/>
    <w:rsid w:val="002B0484"/>
    <w:rsid w:val="002B7E07"/>
    <w:rsid w:val="002C33AD"/>
    <w:rsid w:val="002D65D3"/>
    <w:rsid w:val="002E67CD"/>
    <w:rsid w:val="002F0896"/>
    <w:rsid w:val="002F57E5"/>
    <w:rsid w:val="00315800"/>
    <w:rsid w:val="003170DB"/>
    <w:rsid w:val="003171F5"/>
    <w:rsid w:val="00317DCD"/>
    <w:rsid w:val="003214C5"/>
    <w:rsid w:val="00325573"/>
    <w:rsid w:val="003324A5"/>
    <w:rsid w:val="00344D4D"/>
    <w:rsid w:val="00345E63"/>
    <w:rsid w:val="0035524A"/>
    <w:rsid w:val="003561FB"/>
    <w:rsid w:val="00374561"/>
    <w:rsid w:val="00396F47"/>
    <w:rsid w:val="003A0C49"/>
    <w:rsid w:val="003B25BD"/>
    <w:rsid w:val="003D188D"/>
    <w:rsid w:val="003D1CE0"/>
    <w:rsid w:val="003D51CB"/>
    <w:rsid w:val="003E288C"/>
    <w:rsid w:val="003F16A0"/>
    <w:rsid w:val="003F53AD"/>
    <w:rsid w:val="00401C52"/>
    <w:rsid w:val="0041151E"/>
    <w:rsid w:val="0041741D"/>
    <w:rsid w:val="00417819"/>
    <w:rsid w:val="004276A1"/>
    <w:rsid w:val="00431CA3"/>
    <w:rsid w:val="004334C7"/>
    <w:rsid w:val="004339FE"/>
    <w:rsid w:val="00435CE0"/>
    <w:rsid w:val="00440B1A"/>
    <w:rsid w:val="004558DA"/>
    <w:rsid w:val="00460417"/>
    <w:rsid w:val="004617A0"/>
    <w:rsid w:val="00466109"/>
    <w:rsid w:val="00472E3E"/>
    <w:rsid w:val="00474007"/>
    <w:rsid w:val="00476406"/>
    <w:rsid w:val="00477642"/>
    <w:rsid w:val="00487B9E"/>
    <w:rsid w:val="00492296"/>
    <w:rsid w:val="004937CA"/>
    <w:rsid w:val="0049497B"/>
    <w:rsid w:val="0049571C"/>
    <w:rsid w:val="00497CDD"/>
    <w:rsid w:val="004B1CA5"/>
    <w:rsid w:val="004B45BA"/>
    <w:rsid w:val="004B6728"/>
    <w:rsid w:val="004B78D5"/>
    <w:rsid w:val="004C121E"/>
    <w:rsid w:val="004D2AE7"/>
    <w:rsid w:val="004D6590"/>
    <w:rsid w:val="004E39C2"/>
    <w:rsid w:val="004E6256"/>
    <w:rsid w:val="004F3CF7"/>
    <w:rsid w:val="00502654"/>
    <w:rsid w:val="00505DEE"/>
    <w:rsid w:val="0051579F"/>
    <w:rsid w:val="0052404D"/>
    <w:rsid w:val="00524783"/>
    <w:rsid w:val="00531404"/>
    <w:rsid w:val="005341BF"/>
    <w:rsid w:val="00540CDB"/>
    <w:rsid w:val="005424B3"/>
    <w:rsid w:val="0055146C"/>
    <w:rsid w:val="00565133"/>
    <w:rsid w:val="00565C35"/>
    <w:rsid w:val="005773D1"/>
    <w:rsid w:val="00583FB9"/>
    <w:rsid w:val="005903EF"/>
    <w:rsid w:val="00596A24"/>
    <w:rsid w:val="005A28B9"/>
    <w:rsid w:val="005A4674"/>
    <w:rsid w:val="005B0853"/>
    <w:rsid w:val="005C28E6"/>
    <w:rsid w:val="005C6902"/>
    <w:rsid w:val="005C730A"/>
    <w:rsid w:val="005D6309"/>
    <w:rsid w:val="005F16CE"/>
    <w:rsid w:val="005F3FAF"/>
    <w:rsid w:val="005F4E23"/>
    <w:rsid w:val="00603BC0"/>
    <w:rsid w:val="0062090D"/>
    <w:rsid w:val="00636BB1"/>
    <w:rsid w:val="006453D9"/>
    <w:rsid w:val="00653B77"/>
    <w:rsid w:val="00662C9E"/>
    <w:rsid w:val="00663DFA"/>
    <w:rsid w:val="006671EC"/>
    <w:rsid w:val="00672310"/>
    <w:rsid w:val="00674B62"/>
    <w:rsid w:val="00675707"/>
    <w:rsid w:val="0068267C"/>
    <w:rsid w:val="006847BE"/>
    <w:rsid w:val="00697531"/>
    <w:rsid w:val="006A0B38"/>
    <w:rsid w:val="006A13B5"/>
    <w:rsid w:val="006A3CF0"/>
    <w:rsid w:val="006B5BC1"/>
    <w:rsid w:val="006B6AB2"/>
    <w:rsid w:val="006C0BB8"/>
    <w:rsid w:val="006C608A"/>
    <w:rsid w:val="006C6CC1"/>
    <w:rsid w:val="006E0AFB"/>
    <w:rsid w:val="006E114E"/>
    <w:rsid w:val="006E192C"/>
    <w:rsid w:val="006E2ED1"/>
    <w:rsid w:val="006E2F0D"/>
    <w:rsid w:val="006F5396"/>
    <w:rsid w:val="006F6CAB"/>
    <w:rsid w:val="006F737A"/>
    <w:rsid w:val="00701DFE"/>
    <w:rsid w:val="00707988"/>
    <w:rsid w:val="00715511"/>
    <w:rsid w:val="00734087"/>
    <w:rsid w:val="0073443F"/>
    <w:rsid w:val="00740D4F"/>
    <w:rsid w:val="00753DD2"/>
    <w:rsid w:val="00762452"/>
    <w:rsid w:val="00776C60"/>
    <w:rsid w:val="00777200"/>
    <w:rsid w:val="00794E67"/>
    <w:rsid w:val="00796F86"/>
    <w:rsid w:val="007A7D2C"/>
    <w:rsid w:val="007B151C"/>
    <w:rsid w:val="007B6CEF"/>
    <w:rsid w:val="007B7DF4"/>
    <w:rsid w:val="007C3C1C"/>
    <w:rsid w:val="007C4AD3"/>
    <w:rsid w:val="007E175B"/>
    <w:rsid w:val="007F2FD1"/>
    <w:rsid w:val="007F47E6"/>
    <w:rsid w:val="007F7252"/>
    <w:rsid w:val="00800BE0"/>
    <w:rsid w:val="00802C12"/>
    <w:rsid w:val="00806737"/>
    <w:rsid w:val="00835DCA"/>
    <w:rsid w:val="00841510"/>
    <w:rsid w:val="00844E0D"/>
    <w:rsid w:val="00850591"/>
    <w:rsid w:val="00855C2D"/>
    <w:rsid w:val="00871C11"/>
    <w:rsid w:val="008722DD"/>
    <w:rsid w:val="00885EC2"/>
    <w:rsid w:val="008947C0"/>
    <w:rsid w:val="008A12F6"/>
    <w:rsid w:val="008A16B6"/>
    <w:rsid w:val="008C0E43"/>
    <w:rsid w:val="008C2F93"/>
    <w:rsid w:val="008C6513"/>
    <w:rsid w:val="008D1A0C"/>
    <w:rsid w:val="008D3626"/>
    <w:rsid w:val="008D6C14"/>
    <w:rsid w:val="0090185A"/>
    <w:rsid w:val="00902BD2"/>
    <w:rsid w:val="00902CA2"/>
    <w:rsid w:val="00905110"/>
    <w:rsid w:val="0091617B"/>
    <w:rsid w:val="009320E4"/>
    <w:rsid w:val="00943162"/>
    <w:rsid w:val="00953731"/>
    <w:rsid w:val="0095445E"/>
    <w:rsid w:val="009556A6"/>
    <w:rsid w:val="00973B7E"/>
    <w:rsid w:val="00984735"/>
    <w:rsid w:val="009A1986"/>
    <w:rsid w:val="009A6A6A"/>
    <w:rsid w:val="009B1545"/>
    <w:rsid w:val="009D4E49"/>
    <w:rsid w:val="009E1476"/>
    <w:rsid w:val="009E1EC4"/>
    <w:rsid w:val="009F519D"/>
    <w:rsid w:val="009F5535"/>
    <w:rsid w:val="00A043D3"/>
    <w:rsid w:val="00A16789"/>
    <w:rsid w:val="00A20D35"/>
    <w:rsid w:val="00A221B8"/>
    <w:rsid w:val="00A273E7"/>
    <w:rsid w:val="00A37935"/>
    <w:rsid w:val="00A47250"/>
    <w:rsid w:val="00A571C7"/>
    <w:rsid w:val="00A7077C"/>
    <w:rsid w:val="00A708DE"/>
    <w:rsid w:val="00A71512"/>
    <w:rsid w:val="00A76EF0"/>
    <w:rsid w:val="00A81653"/>
    <w:rsid w:val="00A87274"/>
    <w:rsid w:val="00A917BC"/>
    <w:rsid w:val="00A9255A"/>
    <w:rsid w:val="00A95E27"/>
    <w:rsid w:val="00AB70F6"/>
    <w:rsid w:val="00AC1C1C"/>
    <w:rsid w:val="00AD1C9D"/>
    <w:rsid w:val="00AD533E"/>
    <w:rsid w:val="00AD7EB1"/>
    <w:rsid w:val="00AF12C1"/>
    <w:rsid w:val="00AF25F7"/>
    <w:rsid w:val="00AF2A11"/>
    <w:rsid w:val="00B03C3D"/>
    <w:rsid w:val="00B0424E"/>
    <w:rsid w:val="00B04A21"/>
    <w:rsid w:val="00B162AA"/>
    <w:rsid w:val="00B27460"/>
    <w:rsid w:val="00B32DBA"/>
    <w:rsid w:val="00B35F67"/>
    <w:rsid w:val="00B40509"/>
    <w:rsid w:val="00B42D77"/>
    <w:rsid w:val="00B43B03"/>
    <w:rsid w:val="00B46CAF"/>
    <w:rsid w:val="00B50310"/>
    <w:rsid w:val="00B609E2"/>
    <w:rsid w:val="00B66746"/>
    <w:rsid w:val="00B72B04"/>
    <w:rsid w:val="00B809B3"/>
    <w:rsid w:val="00B87189"/>
    <w:rsid w:val="00B9287E"/>
    <w:rsid w:val="00BA2342"/>
    <w:rsid w:val="00BA555F"/>
    <w:rsid w:val="00BA568B"/>
    <w:rsid w:val="00BC1EAA"/>
    <w:rsid w:val="00BC313E"/>
    <w:rsid w:val="00BD68F0"/>
    <w:rsid w:val="00BE3DFB"/>
    <w:rsid w:val="00BE6159"/>
    <w:rsid w:val="00BE6747"/>
    <w:rsid w:val="00BF0262"/>
    <w:rsid w:val="00BF5429"/>
    <w:rsid w:val="00C04967"/>
    <w:rsid w:val="00C34830"/>
    <w:rsid w:val="00C34D37"/>
    <w:rsid w:val="00C52383"/>
    <w:rsid w:val="00C54652"/>
    <w:rsid w:val="00C55DB7"/>
    <w:rsid w:val="00C563EF"/>
    <w:rsid w:val="00C638C1"/>
    <w:rsid w:val="00C738FA"/>
    <w:rsid w:val="00C755C1"/>
    <w:rsid w:val="00C86182"/>
    <w:rsid w:val="00C870D4"/>
    <w:rsid w:val="00CB47B2"/>
    <w:rsid w:val="00CB595B"/>
    <w:rsid w:val="00CB75C0"/>
    <w:rsid w:val="00CE41A0"/>
    <w:rsid w:val="00CF0BA2"/>
    <w:rsid w:val="00CF5972"/>
    <w:rsid w:val="00D016E8"/>
    <w:rsid w:val="00D01FBB"/>
    <w:rsid w:val="00D0623D"/>
    <w:rsid w:val="00D2624C"/>
    <w:rsid w:val="00D33089"/>
    <w:rsid w:val="00D3599C"/>
    <w:rsid w:val="00D42503"/>
    <w:rsid w:val="00D47129"/>
    <w:rsid w:val="00D50019"/>
    <w:rsid w:val="00D55D15"/>
    <w:rsid w:val="00D768BB"/>
    <w:rsid w:val="00D926D7"/>
    <w:rsid w:val="00DB1BB3"/>
    <w:rsid w:val="00DB744A"/>
    <w:rsid w:val="00DC0486"/>
    <w:rsid w:val="00DC127F"/>
    <w:rsid w:val="00DD1D54"/>
    <w:rsid w:val="00DD29B6"/>
    <w:rsid w:val="00DD67D2"/>
    <w:rsid w:val="00DE5982"/>
    <w:rsid w:val="00E0355F"/>
    <w:rsid w:val="00E0482B"/>
    <w:rsid w:val="00E05CC2"/>
    <w:rsid w:val="00E13FB9"/>
    <w:rsid w:val="00E1565A"/>
    <w:rsid w:val="00E17C37"/>
    <w:rsid w:val="00E20F94"/>
    <w:rsid w:val="00E3002E"/>
    <w:rsid w:val="00E3500D"/>
    <w:rsid w:val="00E35B2C"/>
    <w:rsid w:val="00E36E15"/>
    <w:rsid w:val="00E46473"/>
    <w:rsid w:val="00E505BF"/>
    <w:rsid w:val="00E52456"/>
    <w:rsid w:val="00E52B34"/>
    <w:rsid w:val="00E5315A"/>
    <w:rsid w:val="00E732B7"/>
    <w:rsid w:val="00E754BC"/>
    <w:rsid w:val="00E8110A"/>
    <w:rsid w:val="00E86446"/>
    <w:rsid w:val="00E92459"/>
    <w:rsid w:val="00E94861"/>
    <w:rsid w:val="00E95F42"/>
    <w:rsid w:val="00EA5AFC"/>
    <w:rsid w:val="00EA74FE"/>
    <w:rsid w:val="00EB19B5"/>
    <w:rsid w:val="00EB329D"/>
    <w:rsid w:val="00EB53CC"/>
    <w:rsid w:val="00EC24F3"/>
    <w:rsid w:val="00EC377F"/>
    <w:rsid w:val="00ED6394"/>
    <w:rsid w:val="00EE23B6"/>
    <w:rsid w:val="00EE5BE7"/>
    <w:rsid w:val="00EF2AD7"/>
    <w:rsid w:val="00EF3D4C"/>
    <w:rsid w:val="00F15745"/>
    <w:rsid w:val="00F2211A"/>
    <w:rsid w:val="00F24892"/>
    <w:rsid w:val="00F31199"/>
    <w:rsid w:val="00F31837"/>
    <w:rsid w:val="00F32145"/>
    <w:rsid w:val="00F339A9"/>
    <w:rsid w:val="00F372FC"/>
    <w:rsid w:val="00F4301D"/>
    <w:rsid w:val="00F50723"/>
    <w:rsid w:val="00F54CF8"/>
    <w:rsid w:val="00F54F44"/>
    <w:rsid w:val="00F64EF2"/>
    <w:rsid w:val="00F70ECD"/>
    <w:rsid w:val="00FA1CCE"/>
    <w:rsid w:val="00FA3C6F"/>
    <w:rsid w:val="00FA562A"/>
    <w:rsid w:val="00FA7DE9"/>
    <w:rsid w:val="00FC1B16"/>
    <w:rsid w:val="00FC453C"/>
    <w:rsid w:val="00FD5E27"/>
    <w:rsid w:val="00FE6B02"/>
    <w:rsid w:val="00FF16FE"/>
    <w:rsid w:val="00FF38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CB4B2"/>
  <w15:docId w15:val="{ED4E3C21-2189-4332-8EF3-965AF225B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eastAsia="en-GB"/>
    </w:rPr>
  </w:style>
  <w:style w:type="paragraph" w:styleId="Antrat1">
    <w:name w:val="heading 1"/>
    <w:aliases w:val="Info rubrik 1"/>
    <w:basedOn w:val="prastasis"/>
    <w:next w:val="prastasis"/>
    <w:link w:val="Antrat1Diagrama"/>
    <w:qFormat/>
    <w:pPr>
      <w:tabs>
        <w:tab w:val="left" w:pos="567"/>
      </w:tabs>
      <w:spacing w:before="240" w:after="120" w:line="260" w:lineRule="exact"/>
      <w:ind w:left="357" w:hanging="357"/>
      <w:outlineLvl w:val="0"/>
    </w:pPr>
    <w:rPr>
      <w:rFonts w:eastAsia="SimSun"/>
      <w:b/>
      <w:caps/>
      <w:sz w:val="26"/>
      <w:szCs w:val="20"/>
      <w:lang w:val="en-US" w:eastAsia="en-US"/>
    </w:rPr>
  </w:style>
  <w:style w:type="paragraph" w:styleId="Antrat2">
    <w:name w:val="heading 2"/>
    <w:basedOn w:val="prastasis"/>
    <w:next w:val="prastasis"/>
    <w:link w:val="Antrat2Diagrama"/>
    <w:qFormat/>
    <w:pPr>
      <w:keepNext/>
      <w:tabs>
        <w:tab w:val="left" w:pos="567"/>
      </w:tabs>
      <w:spacing w:before="240" w:after="60" w:line="260" w:lineRule="exact"/>
      <w:outlineLvl w:val="1"/>
    </w:pPr>
    <w:rPr>
      <w:rFonts w:ascii="Cambria" w:hAnsi="Cambria"/>
      <w:b/>
      <w:bCs/>
      <w:i/>
      <w:iCs/>
      <w:snapToGrid w:val="0"/>
      <w:sz w:val="28"/>
      <w:szCs w:val="28"/>
      <w:lang w:val="en-GB"/>
    </w:rPr>
  </w:style>
  <w:style w:type="paragraph" w:styleId="Antrat3">
    <w:name w:val="heading 3"/>
    <w:basedOn w:val="prastasis"/>
    <w:next w:val="prastasis"/>
    <w:link w:val="Antrat3Diagrama"/>
    <w:qFormat/>
    <w:pPr>
      <w:keepNext/>
      <w:keepLines/>
      <w:tabs>
        <w:tab w:val="left" w:pos="567"/>
      </w:tabs>
      <w:spacing w:before="120" w:after="80" w:line="260" w:lineRule="exact"/>
      <w:outlineLvl w:val="2"/>
    </w:pPr>
    <w:rPr>
      <w:rFonts w:ascii="Cambria" w:hAnsi="Cambria"/>
      <w:b/>
      <w:bCs/>
      <w:snapToGrid w:val="0"/>
      <w:sz w:val="26"/>
      <w:szCs w:val="26"/>
      <w:lang w:val="en-GB"/>
    </w:rPr>
  </w:style>
  <w:style w:type="paragraph" w:styleId="Antrat4">
    <w:name w:val="heading 4"/>
    <w:basedOn w:val="prastasis"/>
    <w:next w:val="prastasis"/>
    <w:link w:val="Antrat4Diagrama"/>
    <w:qFormat/>
    <w:pPr>
      <w:keepNext/>
      <w:tabs>
        <w:tab w:val="left" w:pos="567"/>
      </w:tabs>
      <w:spacing w:line="260" w:lineRule="exact"/>
      <w:jc w:val="both"/>
      <w:outlineLvl w:val="3"/>
    </w:pPr>
    <w:rPr>
      <w:rFonts w:ascii="Calibri" w:hAnsi="Calibri"/>
      <w:b/>
      <w:bCs/>
      <w:snapToGrid w:val="0"/>
      <w:sz w:val="28"/>
      <w:szCs w:val="28"/>
      <w:lang w:val="en-GB"/>
    </w:rPr>
  </w:style>
  <w:style w:type="paragraph" w:styleId="Antrat5">
    <w:name w:val="heading 5"/>
    <w:basedOn w:val="prastasis"/>
    <w:next w:val="prastasis"/>
    <w:link w:val="Antrat5Diagrama"/>
    <w:qFormat/>
    <w:pPr>
      <w:keepNext/>
      <w:tabs>
        <w:tab w:val="left" w:pos="567"/>
      </w:tabs>
      <w:spacing w:line="260" w:lineRule="exact"/>
      <w:jc w:val="both"/>
      <w:outlineLvl w:val="4"/>
    </w:pPr>
    <w:rPr>
      <w:rFonts w:eastAsia="SimSun"/>
      <w:noProof/>
      <w:sz w:val="22"/>
      <w:szCs w:val="20"/>
      <w:lang w:val="en-GB" w:eastAsia="en-US"/>
    </w:rPr>
  </w:style>
  <w:style w:type="paragraph" w:styleId="Antrat6">
    <w:name w:val="heading 6"/>
    <w:basedOn w:val="prastasis"/>
    <w:next w:val="prastasis"/>
    <w:link w:val="Antrat6Diagrama"/>
    <w:qFormat/>
    <w:pPr>
      <w:keepNext/>
      <w:tabs>
        <w:tab w:val="left" w:pos="-720"/>
        <w:tab w:val="left" w:pos="567"/>
        <w:tab w:val="left" w:pos="4536"/>
      </w:tabs>
      <w:suppressAutoHyphens/>
      <w:spacing w:line="260" w:lineRule="exact"/>
      <w:outlineLvl w:val="5"/>
    </w:pPr>
    <w:rPr>
      <w:rFonts w:eastAsia="SimSun"/>
      <w:i/>
      <w:sz w:val="22"/>
      <w:szCs w:val="20"/>
      <w:lang w:val="en-GB" w:eastAsia="en-US"/>
    </w:rPr>
  </w:style>
  <w:style w:type="paragraph" w:styleId="Antrat7">
    <w:name w:val="heading 7"/>
    <w:basedOn w:val="prastasis"/>
    <w:next w:val="prastasis"/>
    <w:link w:val="Antrat7Diagrama"/>
    <w:qFormat/>
    <w:pPr>
      <w:keepNext/>
      <w:tabs>
        <w:tab w:val="left" w:pos="-720"/>
        <w:tab w:val="left" w:pos="567"/>
        <w:tab w:val="left" w:pos="4536"/>
      </w:tabs>
      <w:suppressAutoHyphens/>
      <w:spacing w:line="260" w:lineRule="exact"/>
      <w:jc w:val="both"/>
      <w:outlineLvl w:val="6"/>
    </w:pPr>
    <w:rPr>
      <w:rFonts w:eastAsia="SimSun"/>
      <w:i/>
      <w:sz w:val="22"/>
      <w:szCs w:val="20"/>
      <w:lang w:val="en-GB" w:eastAsia="en-US"/>
    </w:rPr>
  </w:style>
  <w:style w:type="paragraph" w:styleId="Antrat8">
    <w:name w:val="heading 8"/>
    <w:basedOn w:val="prastasis"/>
    <w:next w:val="prastasis"/>
    <w:link w:val="Antrat8Diagrama"/>
    <w:qFormat/>
    <w:pPr>
      <w:keepNext/>
      <w:tabs>
        <w:tab w:val="left" w:pos="567"/>
      </w:tabs>
      <w:spacing w:line="260" w:lineRule="exact"/>
      <w:ind w:left="567" w:hanging="567"/>
      <w:jc w:val="both"/>
      <w:outlineLvl w:val="7"/>
    </w:pPr>
    <w:rPr>
      <w:rFonts w:eastAsia="SimSun"/>
      <w:b/>
      <w:i/>
      <w:sz w:val="22"/>
      <w:szCs w:val="20"/>
      <w:lang w:val="en-GB" w:eastAsia="en-US"/>
    </w:rPr>
  </w:style>
  <w:style w:type="paragraph" w:styleId="Antrat9">
    <w:name w:val="heading 9"/>
    <w:basedOn w:val="prastasis"/>
    <w:next w:val="prastasis"/>
    <w:link w:val="Antrat9Diagrama"/>
    <w:qFormat/>
    <w:pPr>
      <w:keepNext/>
      <w:tabs>
        <w:tab w:val="left" w:pos="567"/>
      </w:tabs>
      <w:spacing w:line="260" w:lineRule="exact"/>
      <w:jc w:val="both"/>
      <w:outlineLvl w:val="8"/>
    </w:pPr>
    <w:rPr>
      <w:rFonts w:eastAsia="SimSun"/>
      <w:b/>
      <w:i/>
      <w:sz w:val="22"/>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Info rubrik 1 Diagrama"/>
    <w:basedOn w:val="Numatytasispastraiposriftas"/>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basedOn w:val="Numatytasispastraiposriftas"/>
    <w:link w:val="Antrat2"/>
    <w:uiPriority w:val="99"/>
    <w:rPr>
      <w:rFonts w:ascii="Cambria" w:eastAsia="Times New Roman" w:hAnsi="Cambria" w:cs="Times New Roman"/>
      <w:b/>
      <w:bCs/>
      <w:i/>
      <w:iCs/>
      <w:snapToGrid w:val="0"/>
      <w:sz w:val="28"/>
      <w:szCs w:val="28"/>
      <w:lang w:val="en-GB"/>
    </w:rPr>
  </w:style>
  <w:style w:type="character" w:customStyle="1" w:styleId="Antrat3Diagrama">
    <w:name w:val="Antraštė 3 Diagrama"/>
    <w:basedOn w:val="Numatytasispastraiposriftas"/>
    <w:link w:val="Antrat3"/>
    <w:uiPriority w:val="99"/>
    <w:rPr>
      <w:rFonts w:ascii="Cambria" w:eastAsia="Times New Roman" w:hAnsi="Cambria" w:cs="Times New Roman"/>
      <w:b/>
      <w:bCs/>
      <w:snapToGrid w:val="0"/>
      <w:sz w:val="26"/>
      <w:szCs w:val="26"/>
      <w:lang w:val="en-GB"/>
    </w:rPr>
  </w:style>
  <w:style w:type="character" w:customStyle="1" w:styleId="Antrat4Diagrama">
    <w:name w:val="Antraštė 4 Diagrama"/>
    <w:basedOn w:val="Numatytasispastraiposriftas"/>
    <w:link w:val="Antrat4"/>
    <w:uiPriority w:val="99"/>
    <w:rPr>
      <w:rFonts w:ascii="Calibri" w:eastAsia="Times New Roman" w:hAnsi="Calibri" w:cs="Times New Roman"/>
      <w:b/>
      <w:bCs/>
      <w:snapToGrid w:val="0"/>
      <w:sz w:val="28"/>
      <w:szCs w:val="28"/>
      <w:lang w:val="en-GB"/>
    </w:rPr>
  </w:style>
  <w:style w:type="character" w:customStyle="1" w:styleId="Antrat5Diagrama">
    <w:name w:val="Antraštė 5 Diagrama"/>
    <w:basedOn w:val="Numatytasispastraiposriftas"/>
    <w:link w:val="Antrat5"/>
    <w:uiPriority w:val="99"/>
    <w:rPr>
      <w:rFonts w:ascii="Times New Roman" w:eastAsia="SimSun" w:hAnsi="Times New Roman" w:cs="Times New Roman"/>
      <w:noProof/>
      <w:sz w:val="22"/>
      <w:szCs w:val="20"/>
      <w:lang w:val="en-GB"/>
    </w:rPr>
  </w:style>
  <w:style w:type="character" w:customStyle="1" w:styleId="Antrat6Diagrama">
    <w:name w:val="Antraštė 6 Diagrama"/>
    <w:basedOn w:val="Numatytasispastraiposriftas"/>
    <w:link w:val="Antrat6"/>
    <w:uiPriority w:val="99"/>
    <w:rPr>
      <w:rFonts w:ascii="Times New Roman" w:eastAsia="SimSun" w:hAnsi="Times New Roman" w:cs="Times New Roman"/>
      <w:i/>
      <w:sz w:val="22"/>
      <w:szCs w:val="20"/>
      <w:lang w:val="en-GB"/>
    </w:rPr>
  </w:style>
  <w:style w:type="character" w:customStyle="1" w:styleId="Antrat7Diagrama">
    <w:name w:val="Antraštė 7 Diagrama"/>
    <w:basedOn w:val="Numatytasispastraiposriftas"/>
    <w:link w:val="Antrat7"/>
    <w:uiPriority w:val="99"/>
    <w:rPr>
      <w:rFonts w:ascii="Times New Roman" w:eastAsia="SimSun" w:hAnsi="Times New Roman" w:cs="Times New Roman"/>
      <w:i/>
      <w:sz w:val="22"/>
      <w:szCs w:val="20"/>
      <w:lang w:val="en-GB"/>
    </w:rPr>
  </w:style>
  <w:style w:type="character" w:customStyle="1" w:styleId="Antrat8Diagrama">
    <w:name w:val="Antraštė 8 Diagrama"/>
    <w:basedOn w:val="Numatytasispastraiposriftas"/>
    <w:link w:val="Antrat8"/>
    <w:uiPriority w:val="99"/>
    <w:rPr>
      <w:rFonts w:ascii="Times New Roman" w:eastAsia="SimSun" w:hAnsi="Times New Roman" w:cs="Times New Roman"/>
      <w:b/>
      <w:i/>
      <w:sz w:val="22"/>
      <w:szCs w:val="20"/>
      <w:lang w:val="en-GB"/>
    </w:rPr>
  </w:style>
  <w:style w:type="character" w:customStyle="1" w:styleId="Antrat9Diagrama">
    <w:name w:val="Antraštė 9 Diagrama"/>
    <w:basedOn w:val="Numatytasispastraiposriftas"/>
    <w:link w:val="Antrat9"/>
    <w:uiPriority w:val="99"/>
    <w:rPr>
      <w:rFonts w:ascii="Times New Roman" w:eastAsia="SimSun" w:hAnsi="Times New Roman" w:cs="Times New Roman"/>
      <w:b/>
      <w:i/>
      <w:sz w:val="22"/>
      <w:szCs w:val="20"/>
      <w:lang w:val="en-GB"/>
    </w:rPr>
  </w:style>
  <w:style w:type="paragraph" w:styleId="Porat">
    <w:name w:val="footer"/>
    <w:basedOn w:val="prastasis"/>
    <w:link w:val="PoratDiagrama"/>
    <w:pPr>
      <w:tabs>
        <w:tab w:val="left" w:pos="567"/>
        <w:tab w:val="center" w:pos="4536"/>
        <w:tab w:val="right" w:pos="8306"/>
      </w:tabs>
      <w:spacing w:line="260" w:lineRule="exact"/>
    </w:pPr>
    <w:rPr>
      <w:snapToGrid w:val="0"/>
      <w:sz w:val="22"/>
      <w:szCs w:val="20"/>
      <w:lang w:val="en-GB"/>
    </w:rPr>
  </w:style>
  <w:style w:type="character" w:customStyle="1" w:styleId="PoratDiagrama">
    <w:name w:val="Poraštė Diagrama"/>
    <w:basedOn w:val="Numatytasispastraiposriftas"/>
    <w:link w:val="Porat"/>
    <w:uiPriority w:val="99"/>
    <w:rPr>
      <w:rFonts w:ascii="Times New Roman" w:eastAsia="Times New Roman" w:hAnsi="Times New Roman" w:cs="Times New Roman"/>
      <w:snapToGrid w:val="0"/>
      <w:sz w:val="22"/>
      <w:szCs w:val="20"/>
      <w:lang w:val="en-GB"/>
    </w:rPr>
  </w:style>
  <w:style w:type="character" w:customStyle="1" w:styleId="HeaderChar">
    <w:name w:val="Header Char"/>
    <w:rPr>
      <w:snapToGrid w:val="0"/>
      <w:sz w:val="22"/>
      <w:lang w:val="en-GB" w:eastAsia="en-US"/>
    </w:rPr>
  </w:style>
  <w:style w:type="character" w:styleId="Puslapionumeris">
    <w:name w:val="page number"/>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qFormat/>
    <w:pPr>
      <w:spacing w:after="140" w:line="280" w:lineRule="atLeast"/>
    </w:pPr>
    <w:rPr>
      <w:rFonts w:ascii="Verdana" w:hAnsi="Verdana"/>
      <w:snapToGrid w:val="0"/>
      <w:sz w:val="18"/>
      <w:szCs w:val="20"/>
      <w:lang w:val="en-GB"/>
    </w:rPr>
  </w:style>
  <w:style w:type="paragraph" w:customStyle="1" w:styleId="NormalAgency">
    <w:name w:val="Normal (Agency)"/>
    <w:link w:val="NormalAgencyChar"/>
    <w:uiPriority w:val="99"/>
    <w:rPr>
      <w:rFonts w:ascii="Verdana" w:eastAsia="Times New Roman" w:hAnsi="Verdana" w:cs="Times New Roman"/>
      <w:snapToGrid w:val="0"/>
      <w:sz w:val="18"/>
      <w:szCs w:val="22"/>
      <w:lang w:val="en-GB" w:eastAsia="lt-LT"/>
    </w:rPr>
  </w:style>
  <w:style w:type="paragraph" w:customStyle="1" w:styleId="TabletextrowsAgency">
    <w:name w:val="Table text rows (Agency)"/>
    <w:basedOn w:val="prastasis"/>
    <w:uiPriority w:val="99"/>
    <w:pPr>
      <w:spacing w:line="280" w:lineRule="exact"/>
    </w:pPr>
    <w:rPr>
      <w:rFonts w:ascii="Verdana" w:hAnsi="Verdana"/>
      <w:snapToGrid w:val="0"/>
      <w:sz w:val="18"/>
      <w:szCs w:val="20"/>
      <w:lang w:val="en-GB" w:eastAsia="en-US"/>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pPr>
      <w:tabs>
        <w:tab w:val="left" w:pos="567"/>
      </w:tabs>
    </w:pPr>
    <w:rPr>
      <w:rFonts w:ascii="Tahoma" w:hAnsi="Tahoma"/>
      <w:snapToGrid w:val="0"/>
      <w:sz w:val="16"/>
      <w:szCs w:val="16"/>
      <w:lang w:val="en-GB"/>
    </w:rPr>
  </w:style>
  <w:style w:type="character" w:customStyle="1" w:styleId="DebesliotekstasDiagrama">
    <w:name w:val="Debesėlio tekstas Diagrama"/>
    <w:basedOn w:val="Numatytasispastraiposriftas"/>
    <w:link w:val="Debesliotekstas"/>
    <w:uiPriority w:val="99"/>
    <w:rPr>
      <w:rFonts w:ascii="Tahoma" w:eastAsia="Times New Roman" w:hAnsi="Tahoma" w:cs="Times New Roman"/>
      <w:snapToGrid w:val="0"/>
      <w:sz w:val="16"/>
      <w:szCs w:val="16"/>
      <w:lang w:val="en-GB"/>
    </w:rPr>
  </w:style>
  <w:style w:type="character" w:styleId="Komentaronuoroda">
    <w:name w:val="annotation reference"/>
    <w:rPr>
      <w:sz w:val="16"/>
      <w:szCs w:val="16"/>
    </w:rPr>
  </w:style>
  <w:style w:type="paragraph" w:styleId="Komentarotekstas">
    <w:name w:val="annotation text"/>
    <w:basedOn w:val="prastasis"/>
    <w:link w:val="KomentarotekstasDiagrama"/>
    <w:pPr>
      <w:tabs>
        <w:tab w:val="left" w:pos="567"/>
      </w:tabs>
      <w:spacing w:line="260" w:lineRule="exact"/>
    </w:pPr>
    <w:rPr>
      <w:snapToGrid w:val="0"/>
      <w:sz w:val="20"/>
      <w:szCs w:val="20"/>
      <w:lang w:val="en-GB" w:eastAsia="en-US"/>
    </w:rPr>
  </w:style>
  <w:style w:type="character" w:customStyle="1" w:styleId="KomentarotekstasDiagrama">
    <w:name w:val="Komentaro tekstas Diagrama"/>
    <w:basedOn w:val="Numatytasispastraiposriftas"/>
    <w:link w:val="Komentarotekstas"/>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basedOn w:val="KomentarotekstasDiagrama"/>
    <w:link w:val="Komentarotema"/>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cs="Times New Roman"/>
      <w:snapToGrid w:val="0"/>
      <w:sz w:val="22"/>
      <w:szCs w:val="20"/>
      <w:lang w:val="en-GB"/>
    </w:rPr>
  </w:style>
  <w:style w:type="paragraph" w:customStyle="1" w:styleId="EMEAEnBodyText">
    <w:name w:val="EMEA En Body Text"/>
    <w:basedOn w:val="prastasis"/>
    <w:pPr>
      <w:spacing w:before="120" w:after="120"/>
      <w:jc w:val="both"/>
    </w:pPr>
    <w:rPr>
      <w:rFonts w:eastAsia="SimSun"/>
      <w:sz w:val="22"/>
      <w:szCs w:val="20"/>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pPr>
      <w:tabs>
        <w:tab w:val="center" w:pos="4320"/>
        <w:tab w:val="right" w:pos="8640"/>
      </w:tabs>
      <w:spacing w:line="260" w:lineRule="exact"/>
    </w:pPr>
    <w:rPr>
      <w:rFonts w:eastAsia="SimSun"/>
      <w:sz w:val="22"/>
      <w:szCs w:val="20"/>
      <w:lang w:val="en-GB" w:eastAsia="zh-CN"/>
    </w:rPr>
  </w:style>
  <w:style w:type="character" w:customStyle="1" w:styleId="AntratsDiagrama">
    <w:name w:val="Antraštės Diagrama"/>
    <w:basedOn w:val="Numatytasispastraiposriftas"/>
    <w:link w:val="Antrats"/>
    <w:rPr>
      <w:rFonts w:ascii="Times New Roman" w:eastAsia="SimSun" w:hAnsi="Times New Roman" w:cs="Times New Roman"/>
      <w:sz w:val="22"/>
      <w:szCs w:val="20"/>
      <w:lang w:val="en-GB" w:eastAsia="zh-CN"/>
    </w:rPr>
  </w:style>
  <w:style w:type="paragraph" w:styleId="Dokumentostruktra">
    <w:name w:val="Document Map"/>
    <w:basedOn w:val="prastasis"/>
    <w:link w:val="DokumentostruktraDiagrama"/>
    <w:uiPriority w:val="99"/>
    <w:pPr>
      <w:shd w:val="clear" w:color="auto" w:fill="000080"/>
      <w:tabs>
        <w:tab w:val="left" w:pos="567"/>
      </w:tabs>
      <w:spacing w:line="260" w:lineRule="exact"/>
    </w:pPr>
    <w:rPr>
      <w:rFonts w:ascii="Tahoma" w:eastAsia="SimSun" w:hAnsi="Tahoma"/>
      <w:sz w:val="20"/>
      <w:szCs w:val="20"/>
      <w:lang w:val="en-GB" w:eastAsia="zh-CN"/>
    </w:rPr>
  </w:style>
  <w:style w:type="character" w:customStyle="1" w:styleId="DokumentostruktraDiagrama">
    <w:name w:val="Dokumento struktūra Diagrama"/>
    <w:basedOn w:val="Numatytasispastraiposriftas"/>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autoSpaceDE w:val="0"/>
      <w:autoSpaceDN w:val="0"/>
      <w:adjustRightInd w:val="0"/>
      <w:ind w:left="720"/>
      <w:jc w:val="both"/>
    </w:pPr>
    <w:rPr>
      <w:rFonts w:eastAsia="SimSun"/>
      <w:sz w:val="22"/>
      <w:szCs w:val="22"/>
      <w:lang w:val="en-GB"/>
    </w:rPr>
  </w:style>
  <w:style w:type="character" w:customStyle="1" w:styleId="PagrindiniotekstotraukaDiagrama">
    <w:name w:val="Pagrindinio teksto įtrauka Diagrama"/>
    <w:basedOn w:val="Numatytasispastraiposriftas"/>
    <w:link w:val="Pagrindiniotekstotrauka"/>
    <w:uiPriority w:val="99"/>
    <w:rPr>
      <w:rFonts w:ascii="Times New Roman" w:eastAsia="SimSun" w:hAnsi="Times New Roman" w:cs="Times New Roman"/>
      <w:sz w:val="22"/>
      <w:szCs w:val="22"/>
      <w:lang w:val="en-GB" w:eastAsia="en-GB"/>
    </w:rPr>
  </w:style>
  <w:style w:type="paragraph" w:styleId="Pagrindinistekstas3">
    <w:name w:val="Body Text 3"/>
    <w:basedOn w:val="prastasis"/>
    <w:link w:val="Pagrindinistekstas3Diagrama"/>
    <w:uiPriority w:val="99"/>
    <w:pPr>
      <w:autoSpaceDE w:val="0"/>
      <w:autoSpaceDN w:val="0"/>
      <w:adjustRightInd w:val="0"/>
      <w:jc w:val="both"/>
    </w:pPr>
    <w:rPr>
      <w:rFonts w:eastAsia="SimSun"/>
      <w:color w:val="0000FF"/>
      <w:sz w:val="22"/>
      <w:szCs w:val="22"/>
      <w:lang w:val="en-GB"/>
    </w:rPr>
  </w:style>
  <w:style w:type="character" w:customStyle="1" w:styleId="Pagrindinistekstas3Diagrama">
    <w:name w:val="Pagrindinis tekstas 3 Diagrama"/>
    <w:basedOn w:val="Numatytasispastraiposriftas"/>
    <w:link w:val="Pagrindinistekstas3"/>
    <w:uiPriority w:val="99"/>
    <w:rPr>
      <w:rFonts w:ascii="Times New Roman" w:eastAsia="SimSun" w:hAnsi="Times New Roman" w:cs="Times New Roman"/>
      <w:color w:val="0000FF"/>
      <w:sz w:val="22"/>
      <w:szCs w:val="22"/>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eastAsia="en-US"/>
    </w:rPr>
  </w:style>
  <w:style w:type="character" w:customStyle="1" w:styleId="Pagrindiniotekstotrauka2Diagrama">
    <w:name w:val="Pagrindinio teksto įtrauka 2 Diagrama"/>
    <w:basedOn w:val="Numatytasispastraiposriftas"/>
    <w:link w:val="Pagrindiniotekstotrauka2"/>
    <w:uiPriority w:val="99"/>
    <w:rPr>
      <w:rFonts w:ascii="Times New Roman" w:eastAsia="SimSun" w:hAnsi="Times New Roman" w:cs="Times New Roman"/>
      <w:b/>
      <w:bCs/>
      <w:color w:val="0000FF"/>
      <w:sz w:val="22"/>
      <w:szCs w:val="22"/>
      <w:lang w:val="en-GB"/>
    </w:rPr>
  </w:style>
  <w:style w:type="paragraph" w:styleId="Pagrindinistekstas">
    <w:name w:val="Body Text"/>
    <w:basedOn w:val="prastasis"/>
    <w:link w:val="PagrindinistekstasDiagrama"/>
    <w:qFormat/>
    <w:rPr>
      <w:rFonts w:eastAsia="SimSun"/>
      <w:i/>
      <w:color w:val="008000"/>
      <w:sz w:val="22"/>
      <w:szCs w:val="20"/>
      <w:lang w:val="en-GB" w:eastAsia="en-US"/>
    </w:rPr>
  </w:style>
  <w:style w:type="character" w:customStyle="1" w:styleId="PagrindinistekstasDiagrama">
    <w:name w:val="Pagrindinis tekstas Diagrama"/>
    <w:basedOn w:val="Numatytasispastraiposriftas"/>
    <w:link w:val="Pagrindinistekstas"/>
    <w:rPr>
      <w:rFonts w:ascii="Times New Roman" w:eastAsia="SimSun" w:hAnsi="Times New Roman" w:cs="Times New Roman"/>
      <w:i/>
      <w:color w:val="008000"/>
      <w:sz w:val="22"/>
      <w:szCs w:val="20"/>
      <w:lang w:val="en-GB"/>
    </w:rPr>
  </w:style>
  <w:style w:type="paragraph" w:styleId="Pagrindinistekstas2">
    <w:name w:val="Body Text 2"/>
    <w:basedOn w:val="prastasis"/>
    <w:link w:val="Pagrindinistekstas2Diagrama"/>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eastAsia="en-US"/>
    </w:rPr>
  </w:style>
  <w:style w:type="character" w:customStyle="1" w:styleId="Pagrindinistekstas2Diagrama">
    <w:name w:val="Pagrindinis tekstas 2 Diagrama"/>
    <w:basedOn w:val="Numatytasispastraiposriftas"/>
    <w:link w:val="Pagrindinistekstas2"/>
    <w:rPr>
      <w:rFonts w:ascii="Times New Roman" w:eastAsia="SimSun" w:hAnsi="Times New Roman" w:cs="Times New Roman"/>
      <w:b/>
      <w:bCs/>
      <w:color w:val="0000FF"/>
      <w:sz w:val="22"/>
      <w:szCs w:val="22"/>
      <w:u w:val="single"/>
      <w:lang w:val="en-GB"/>
    </w:rPr>
  </w:style>
  <w:style w:type="paragraph" w:customStyle="1" w:styleId="AHeader1">
    <w:name w:val="AHeader 1"/>
    <w:basedOn w:val="prastasis"/>
    <w:pPr>
      <w:tabs>
        <w:tab w:val="num" w:pos="720"/>
      </w:tabs>
      <w:spacing w:after="120"/>
      <w:ind w:left="284" w:hanging="284"/>
    </w:pPr>
    <w:rPr>
      <w:rFonts w:ascii="Arial" w:eastAsia="SimSun" w:hAnsi="Arial" w:cs="Arial"/>
      <w:b/>
      <w:bCs/>
      <w:szCs w:val="20"/>
      <w:lang w:val="en-GB" w:eastAsia="en-US"/>
    </w:rPr>
  </w:style>
  <w:style w:type="paragraph" w:customStyle="1" w:styleId="AHeader2">
    <w:name w:val="AHeader 2"/>
    <w:basedOn w:val="AHeader1"/>
    <w:pPr>
      <w:tabs>
        <w:tab w:val="clear" w:pos="720"/>
        <w:tab w:val="num" w:pos="360"/>
      </w:tabs>
      <w:ind w:left="709" w:hanging="425"/>
    </w:pPr>
    <w:rPr>
      <w:sz w:val="22"/>
    </w:rPr>
  </w:style>
  <w:style w:type="paragraph" w:customStyle="1" w:styleId="AHeader3">
    <w:name w:val="AHeader 3"/>
    <w:basedOn w:val="AHeader2"/>
    <w:pPr>
      <w:ind w:left="1276" w:hanging="567"/>
    </w:pPr>
  </w:style>
  <w:style w:type="paragraph" w:customStyle="1" w:styleId="AHeader2abc">
    <w:name w:val="AHeader 2 abc"/>
    <w:basedOn w:val="AHeader3"/>
    <w:pPr>
      <w:jc w:val="both"/>
    </w:pPr>
    <w:rPr>
      <w:b w:val="0"/>
      <w:bCs w:val="0"/>
    </w:rPr>
  </w:style>
  <w:style w:type="paragraph" w:customStyle="1" w:styleId="AHeader3abc">
    <w:name w:val="AHeader 3 abc"/>
    <w:basedOn w:val="AHeader2abc"/>
    <w:pPr>
      <w:ind w:left="1701" w:hanging="425"/>
    </w:pPr>
  </w:style>
  <w:style w:type="paragraph" w:styleId="Pagrindiniotekstotrauka3">
    <w:name w:val="Body Text Indent 3"/>
    <w:basedOn w:val="prastasis"/>
    <w:link w:val="Pagrindiniotekstotrauka3Diagrama"/>
    <w:uiPriority w:val="99"/>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basedOn w:val="Numatytasispastraiposriftas"/>
    <w:link w:val="Pagrindiniotekstotrauka3"/>
    <w:uiPriority w:val="99"/>
    <w:rPr>
      <w:rFonts w:ascii="Times New Roman" w:eastAsia="SimSun" w:hAnsi="Times New Roman" w:cs="Times New Roman"/>
      <w:sz w:val="22"/>
      <w:szCs w:val="21"/>
      <w:lang w:val="en-GB"/>
    </w:rPr>
  </w:style>
  <w:style w:type="character" w:styleId="Perirtashipersaitas">
    <w:name w:val="FollowedHyperlink"/>
    <w:rPr>
      <w:rFonts w:cs="Times New Roman"/>
      <w:color w:val="800080"/>
      <w:u w:val="single"/>
    </w:rPr>
  </w:style>
  <w:style w:type="character" w:styleId="Grietas">
    <w:name w:val="Strong"/>
    <w:aliases w:val="Fließtext (2) + 9 pt"/>
    <w:uiPriority w:val="22"/>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eastAsia="lt-LT"/>
    </w:rPr>
  </w:style>
  <w:style w:type="paragraph" w:styleId="Paprastasistekstas">
    <w:name w:val="Plain Text"/>
    <w:basedOn w:val="prastasis"/>
    <w:link w:val="PaprastasistekstasDiagrama"/>
    <w:uiPriority w:val="99"/>
    <w:rPr>
      <w:rFonts w:ascii="Courier New" w:eastAsia="SimSun" w:hAnsi="Courier New"/>
      <w:sz w:val="20"/>
      <w:szCs w:val="20"/>
      <w:lang w:val="en-US" w:eastAsia="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s="Times New Roman"/>
      <w:color w:val="000000"/>
      <w:lang w:val="en-US" w:eastAsia="zh-CN"/>
    </w:rPr>
  </w:style>
  <w:style w:type="paragraph" w:styleId="Pavadinimas">
    <w:name w:val="Title"/>
    <w:basedOn w:val="prastasis"/>
    <w:link w:val="PavadinimasDiagrama"/>
    <w:uiPriority w:val="99"/>
    <w:qFormat/>
    <w:pPr>
      <w:jc w:val="center"/>
    </w:pPr>
    <w:rPr>
      <w:rFonts w:eastAsia="SimSun"/>
      <w:b/>
      <w:sz w:val="22"/>
      <w:szCs w:val="20"/>
      <w:lang w:val="en-GB" w:eastAsia="en-US"/>
    </w:rPr>
  </w:style>
  <w:style w:type="character" w:customStyle="1" w:styleId="PavadinimasDiagrama">
    <w:name w:val="Pavadinimas Diagrama"/>
    <w:basedOn w:val="Numatytasispastraiposriftas"/>
    <w:link w:val="Pavadinimas"/>
    <w:uiPriority w:val="99"/>
    <w:rPr>
      <w:rFonts w:ascii="Times New Roman" w:eastAsia="SimSun" w:hAnsi="Times New Roman" w:cs="Times New Roman"/>
      <w:b/>
      <w:sz w:val="22"/>
      <w:szCs w:val="20"/>
      <w:lang w:val="en-GB"/>
    </w:rPr>
  </w:style>
  <w:style w:type="paragraph" w:styleId="Dokumentoinaostekstas">
    <w:name w:val="endnote text"/>
    <w:basedOn w:val="prastasis"/>
    <w:link w:val="DokumentoinaostekstasDiagrama"/>
    <w:uiPriority w:val="99"/>
    <w:pPr>
      <w:tabs>
        <w:tab w:val="left" w:pos="567"/>
      </w:tabs>
    </w:pPr>
    <w:rPr>
      <w:rFonts w:eastAsia="SimSun"/>
      <w:sz w:val="22"/>
      <w:szCs w:val="20"/>
      <w:lang w:val="en-GB" w:eastAsia="en-US"/>
    </w:rPr>
  </w:style>
  <w:style w:type="character" w:customStyle="1" w:styleId="DokumentoinaostekstasDiagrama">
    <w:name w:val="Dokumento išnašos tekstas Diagrama"/>
    <w:basedOn w:val="Numatytasispastraiposriftas"/>
    <w:link w:val="Dokumentoinaostekstas"/>
    <w:uiPriority w:val="99"/>
    <w:rPr>
      <w:rFonts w:ascii="Times New Roman" w:eastAsia="SimSun" w:hAnsi="Times New Roman" w:cs="Times New Roman"/>
      <w:sz w:val="22"/>
      <w:szCs w:val="20"/>
      <w:lang w:val="en-GB"/>
    </w:rPr>
  </w:style>
  <w:style w:type="paragraph" w:customStyle="1" w:styleId="BTEMEASMCA">
    <w:name w:val="BT EMEA_SMCA"/>
    <w:basedOn w:val="prastasis"/>
    <w:link w:val="BTEMEASMCAChar"/>
    <w:autoRedefine/>
    <w:uiPriority w:val="99"/>
    <w:rPr>
      <w:rFonts w:eastAsia="SimSun"/>
      <w:noProof/>
      <w:sz w:val="20"/>
      <w:szCs w:val="20"/>
    </w:rPr>
  </w:style>
  <w:style w:type="character" w:customStyle="1" w:styleId="BTEMEASMCAChar">
    <w:name w:val="BT EMEA_SMCA Char"/>
    <w:link w:val="BTEMEASMCA"/>
    <w:uiPriority w:val="99"/>
    <w:locked/>
    <w:rPr>
      <w:rFonts w:ascii="Times New Roman" w:eastAsia="SimSun" w:hAnsi="Times New Roman" w:cs="Times New Roman"/>
      <w:noProof/>
      <w:sz w:val="20"/>
      <w:szCs w:val="20"/>
    </w:rPr>
  </w:style>
  <w:style w:type="character" w:customStyle="1" w:styleId="CharChar12">
    <w:name w:val="Char Char12"/>
    <w:locked/>
    <w:rPr>
      <w:snapToGrid w:val="0"/>
      <w:lang w:val="en-GB" w:eastAsia="en-US" w:bidi="ar-SA"/>
    </w:rPr>
  </w:style>
  <w:style w:type="table" w:styleId="Lentelstinklelis">
    <w:name w:val="Table Grid"/>
    <w:basedOn w:val="prastojilentel"/>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Bold">
    <w:name w:val="Body text (2) + Bol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
    <w:name w:val="Body text (2)_"/>
    <w:link w:val="Bodytext20"/>
    <w:rPr>
      <w:shd w:val="clear" w:color="auto" w:fill="FFFFFF"/>
    </w:rPr>
  </w:style>
  <w:style w:type="character" w:customStyle="1" w:styleId="Bodytext2Exact">
    <w:name w:val="Body text (2) Exact"/>
    <w:rPr>
      <w:rFonts w:ascii="Times New Roman" w:eastAsia="Times New Roman" w:hAnsi="Times New Roman" w:cs="Times New Roman"/>
      <w:b w:val="0"/>
      <w:bCs w:val="0"/>
      <w:i w:val="0"/>
      <w:iCs w:val="0"/>
      <w:smallCaps w:val="0"/>
      <w:strike w:val="0"/>
      <w:sz w:val="22"/>
      <w:szCs w:val="22"/>
      <w:u w:val="none"/>
    </w:rPr>
  </w:style>
  <w:style w:type="paragraph" w:customStyle="1" w:styleId="Bodytext20">
    <w:name w:val="Body text (2)"/>
    <w:basedOn w:val="prastasis"/>
    <w:link w:val="Bodytext2"/>
    <w:pPr>
      <w:widowControl w:val="0"/>
      <w:shd w:val="clear" w:color="auto" w:fill="FFFFFF"/>
      <w:spacing w:after="480" w:line="259" w:lineRule="exact"/>
      <w:ind w:hanging="600"/>
      <w:jc w:val="both"/>
    </w:pPr>
    <w:rPr>
      <w:rFonts w:asciiTheme="minorHAnsi" w:eastAsiaTheme="minorHAnsi" w:hAnsiTheme="minorHAnsi" w:cstheme="minorBidi"/>
      <w:lang w:eastAsia="en-US"/>
    </w:rPr>
  </w:style>
  <w:style w:type="paragraph" w:styleId="Sraopastraipa">
    <w:name w:val="List Paragraph"/>
    <w:basedOn w:val="prastasis"/>
    <w:uiPriority w:val="34"/>
    <w:qFormat/>
    <w:pPr>
      <w:spacing w:after="200" w:line="276" w:lineRule="auto"/>
      <w:ind w:left="720"/>
      <w:contextualSpacing/>
    </w:pPr>
    <w:rPr>
      <w:rFonts w:ascii="Calibri" w:eastAsia="Calibri" w:hAnsi="Calibri"/>
      <w:sz w:val="22"/>
      <w:szCs w:val="22"/>
      <w:lang w:eastAsia="en-US"/>
    </w:rPr>
  </w:style>
  <w:style w:type="character" w:customStyle="1" w:styleId="tlid-translation">
    <w:name w:val="tlid-translation"/>
    <w:basedOn w:val="Numatytasispastraiposriftas"/>
  </w:style>
  <w:style w:type="paragraph" w:customStyle="1" w:styleId="Betarp1">
    <w:name w:val="Be tarpų1"/>
    <w:qFormat/>
    <w:rPr>
      <w:rFonts w:ascii="Calibri" w:eastAsia="Calibri" w:hAnsi="Calibri" w:cs="Times New Roman"/>
      <w:sz w:val="22"/>
      <w:szCs w:val="22"/>
      <w:lang w:val="en-US"/>
    </w:rPr>
  </w:style>
  <w:style w:type="paragraph" w:styleId="Betarp">
    <w:name w:val="No Spacing"/>
    <w:uiPriority w:val="1"/>
    <w:qFormat/>
    <w:pPr>
      <w:widowControl w:val="0"/>
      <w:autoSpaceDE w:val="0"/>
      <w:autoSpaceDN w:val="0"/>
      <w:adjustRightInd w:val="0"/>
    </w:pPr>
    <w:rPr>
      <w:rFonts w:ascii="Times New Roman" w:eastAsia="Times New Roman" w:hAnsi="Times New Roman" w:cs="Times New Roman"/>
      <w:sz w:val="22"/>
      <w:szCs w:val="22"/>
      <w:lang w:eastAsia="lt-LT"/>
    </w:rPr>
  </w:style>
  <w:style w:type="numbering" w:customStyle="1" w:styleId="Sraonra1">
    <w:name w:val="Sąrašo nėra1"/>
    <w:next w:val="Sraonra"/>
    <w:uiPriority w:val="99"/>
    <w:semiHidden/>
    <w:unhideWhenUsed/>
  </w:style>
  <w:style w:type="paragraph" w:styleId="prastasiniatinklio">
    <w:name w:val="Normal (Web)"/>
    <w:basedOn w:val="prastasis"/>
    <w:unhideWhenUsed/>
    <w:pPr>
      <w:spacing w:before="100" w:beforeAutospacing="1" w:after="100" w:afterAutospacing="1"/>
    </w:pPr>
    <w:rPr>
      <w:lang w:eastAsia="lt-LT"/>
    </w:rPr>
  </w:style>
  <w:style w:type="paragraph" w:customStyle="1" w:styleId="BT-EMEASMCA">
    <w:name w:val="BT- EMEA_SMCA"/>
    <w:basedOn w:val="prastasis"/>
    <w:autoRedefine/>
    <w:pPr>
      <w:ind w:left="567"/>
    </w:pPr>
    <w:rPr>
      <w:noProof/>
      <w:sz w:val="22"/>
      <w:szCs w:val="22"/>
      <w:lang w:eastAsia="en-US"/>
    </w:rPr>
  </w:style>
  <w:style w:type="character" w:customStyle="1" w:styleId="DebesliotekstasDiagrama1">
    <w:name w:val="Debesėlio tekstas Diagrama1"/>
    <w:rPr>
      <w:rFonts w:ascii="Segoe UI" w:hAnsi="Segoe UI" w:cs="Segoe UI"/>
      <w:sz w:val="18"/>
      <w:szCs w:val="18"/>
      <w:lang w:eastAsia="en-US"/>
    </w:rPr>
  </w:style>
  <w:style w:type="character" w:customStyle="1" w:styleId="Antrat1Diagrama1">
    <w:name w:val="Antraštė 1 Diagrama1"/>
    <w:aliases w:val="Info rubrik 1 Diagrama1"/>
    <w:rPr>
      <w:rFonts w:ascii="Times New Roman" w:eastAsia="SimSun" w:hAnsi="Times New Roman"/>
      <w:b/>
      <w:caps/>
      <w:sz w:val="26"/>
      <w:lang w:val="en-US" w:eastAsia="x-none"/>
    </w:rPr>
  </w:style>
  <w:style w:type="character" w:customStyle="1" w:styleId="Antrat2Diagrama1">
    <w:name w:val="Antraštė 2 Diagrama1"/>
    <w:rPr>
      <w:rFonts w:ascii="Cambria" w:eastAsia="Times New Roman" w:hAnsi="Cambria"/>
      <w:b/>
      <w:bCs/>
      <w:i/>
      <w:iCs/>
      <w:snapToGrid w:val="0"/>
      <w:sz w:val="28"/>
      <w:szCs w:val="28"/>
      <w:lang w:val="en-GB" w:eastAsia="x-none"/>
    </w:rPr>
  </w:style>
  <w:style w:type="character" w:customStyle="1" w:styleId="Antrat3Diagrama1">
    <w:name w:val="Antraštė 3 Diagrama1"/>
    <w:rPr>
      <w:rFonts w:ascii="Cambria" w:eastAsia="Times New Roman" w:hAnsi="Cambria"/>
      <w:b/>
      <w:bCs/>
      <w:snapToGrid w:val="0"/>
      <w:sz w:val="26"/>
      <w:szCs w:val="26"/>
      <w:lang w:val="en-GB" w:eastAsia="x-none"/>
    </w:rPr>
  </w:style>
  <w:style w:type="character" w:customStyle="1" w:styleId="Antrat4Diagrama1">
    <w:name w:val="Antraštė 4 Diagrama1"/>
    <w:rPr>
      <w:rFonts w:eastAsia="Times New Roman"/>
      <w:b/>
      <w:bCs/>
      <w:snapToGrid w:val="0"/>
      <w:sz w:val="28"/>
      <w:szCs w:val="28"/>
      <w:lang w:val="en-GB" w:eastAsia="x-none"/>
    </w:rPr>
  </w:style>
  <w:style w:type="character" w:customStyle="1" w:styleId="Antrat5Diagrama1">
    <w:name w:val="Antraštė 5 Diagrama1"/>
    <w:rPr>
      <w:rFonts w:ascii="Times New Roman" w:eastAsia="SimSun" w:hAnsi="Times New Roman"/>
      <w:noProof/>
      <w:lang w:val="en-GB" w:eastAsia="x-none"/>
    </w:rPr>
  </w:style>
  <w:style w:type="character" w:customStyle="1" w:styleId="Antrat6Diagrama1">
    <w:name w:val="Antraštė 6 Diagrama1"/>
    <w:rPr>
      <w:rFonts w:ascii="Times New Roman" w:eastAsia="SimSun" w:hAnsi="Times New Roman"/>
      <w:i/>
      <w:lang w:val="en-GB" w:eastAsia="x-none"/>
    </w:rPr>
  </w:style>
  <w:style w:type="character" w:customStyle="1" w:styleId="Antrat7Diagrama1">
    <w:name w:val="Antraštė 7 Diagrama1"/>
    <w:rPr>
      <w:rFonts w:ascii="Times New Roman" w:eastAsia="SimSun" w:hAnsi="Times New Roman"/>
      <w:i/>
      <w:lang w:val="en-GB" w:eastAsia="x-none"/>
    </w:rPr>
  </w:style>
  <w:style w:type="character" w:customStyle="1" w:styleId="Antrat8Diagrama1">
    <w:name w:val="Antraštė 8 Diagrama1"/>
    <w:rPr>
      <w:rFonts w:ascii="Times New Roman" w:eastAsia="SimSun" w:hAnsi="Times New Roman"/>
      <w:b/>
      <w:i/>
      <w:lang w:val="en-GB" w:eastAsia="x-none"/>
    </w:rPr>
  </w:style>
  <w:style w:type="character" w:customStyle="1" w:styleId="Antrat9Diagrama1">
    <w:name w:val="Antraštė 9 Diagrama1"/>
    <w:rPr>
      <w:rFonts w:ascii="Times New Roman" w:eastAsia="SimSun" w:hAnsi="Times New Roman"/>
      <w:b/>
      <w:i/>
      <w:lang w:val="en-GB" w:eastAsia="x-none"/>
    </w:rPr>
  </w:style>
  <w:style w:type="numbering" w:customStyle="1" w:styleId="Sraonra11">
    <w:name w:val="Sąrašo nėra11"/>
    <w:next w:val="Sraonra"/>
    <w:uiPriority w:val="99"/>
    <w:semiHidden/>
    <w:unhideWhenUsed/>
  </w:style>
  <w:style w:type="character" w:customStyle="1" w:styleId="PoratDiagrama1">
    <w:name w:val="Poraštė Diagrama1"/>
    <w:rPr>
      <w:rFonts w:ascii="Times New Roman" w:eastAsia="Times New Roman" w:hAnsi="Times New Roman"/>
      <w:snapToGrid w:val="0"/>
      <w:lang w:val="en-GB" w:eastAsia="x-none"/>
    </w:rPr>
  </w:style>
  <w:style w:type="character" w:customStyle="1" w:styleId="KomentarotemaDiagrama1">
    <w:name w:val="Komentaro tema Diagrama1"/>
    <w:rPr>
      <w:rFonts w:ascii="Times New Roman" w:eastAsia="Times New Roman" w:hAnsi="Times New Roman"/>
      <w:b/>
      <w:bCs/>
      <w:snapToGrid w:val="0"/>
      <w:lang w:val="en-GB" w:eastAsia="x-none"/>
    </w:rPr>
  </w:style>
  <w:style w:type="character" w:customStyle="1" w:styleId="PavadinimasDiagrama1">
    <w:name w:val="Pavadinimas Diagrama1"/>
    <w:uiPriority w:val="99"/>
    <w:rPr>
      <w:rFonts w:ascii="Times New Roman" w:eastAsia="SimSun" w:hAnsi="Times New Roman"/>
      <w:b/>
      <w:lang w:val="en-GB" w:eastAsia="x-none"/>
    </w:rPr>
  </w:style>
  <w:style w:type="character" w:customStyle="1" w:styleId="hps">
    <w:name w:val="hps"/>
  </w:style>
  <w:style w:type="character" w:customStyle="1" w:styleId="shorttext">
    <w:name w:val="short_text"/>
  </w:style>
  <w:style w:type="character" w:customStyle="1" w:styleId="st">
    <w:name w:val="st"/>
  </w:style>
  <w:style w:type="character" w:customStyle="1" w:styleId="PaantratDiagrama2">
    <w:name w:val="Paantraštė Diagrama2"/>
    <w:link w:val="Paantrat"/>
    <w:uiPriority w:val="99"/>
    <w:rPr>
      <w:rFonts w:ascii="TimesNewRoman,Bold" w:eastAsia="Times New Roman" w:hAnsi="TimesNewRoman,Bold"/>
      <w:b/>
      <w:color w:val="000000"/>
    </w:rPr>
  </w:style>
  <w:style w:type="paragraph" w:styleId="Paantrat">
    <w:name w:val="Subtitle"/>
    <w:basedOn w:val="prastasis"/>
    <w:link w:val="PaantratDiagrama2"/>
    <w:uiPriority w:val="99"/>
    <w:qFormat/>
    <w:pPr>
      <w:autoSpaceDE w:val="0"/>
      <w:autoSpaceDN w:val="0"/>
      <w:adjustRightInd w:val="0"/>
      <w:jc w:val="center"/>
    </w:pPr>
    <w:rPr>
      <w:rFonts w:ascii="TimesNewRoman,Bold" w:hAnsi="TimesNewRoman,Bold" w:cstheme="minorBidi"/>
      <w:b/>
      <w:color w:val="000000"/>
      <w:lang w:eastAsia="en-US"/>
    </w:rPr>
  </w:style>
  <w:style w:type="character" w:customStyle="1" w:styleId="PaantratDiagrama">
    <w:name w:val="Paantraštė Diagrama"/>
    <w:basedOn w:val="Numatytasispastraiposriftas"/>
    <w:link w:val="Paantrat1"/>
    <w:uiPriority w:val="99"/>
    <w:rPr>
      <w:rFonts w:eastAsiaTheme="minorEastAsia"/>
      <w:color w:val="5A5A5A" w:themeColor="text1" w:themeTint="A5"/>
      <w:spacing w:val="15"/>
      <w:sz w:val="22"/>
      <w:szCs w:val="22"/>
      <w:lang w:eastAsia="en-GB"/>
    </w:rPr>
  </w:style>
  <w:style w:type="character" w:customStyle="1" w:styleId="SubtitleChar1">
    <w:name w:val="Subtitle Char1"/>
    <w:uiPriority w:val="11"/>
    <w:rPr>
      <w:rFonts w:ascii="Calibri Light" w:eastAsia="Times New Roman" w:hAnsi="Calibri Light" w:cs="Times New Roman"/>
      <w:sz w:val="24"/>
      <w:szCs w:val="24"/>
      <w:lang w:eastAsia="en-US"/>
    </w:rPr>
  </w:style>
  <w:style w:type="character" w:customStyle="1" w:styleId="PaantratDiagrama1">
    <w:name w:val="Paantraštė Diagrama1"/>
    <w:uiPriority w:val="11"/>
    <w:rPr>
      <w:rFonts w:eastAsia="Times New Roman"/>
      <w:color w:val="5A5A5A"/>
      <w:spacing w:val="15"/>
    </w:rPr>
  </w:style>
  <w:style w:type="character" w:styleId="Emfaz">
    <w:name w:val="Emphasis"/>
    <w:uiPriority w:val="20"/>
    <w:qFormat/>
    <w:rPr>
      <w:i/>
      <w:iCs/>
    </w:rPr>
  </w:style>
  <w:style w:type="character" w:customStyle="1" w:styleId="AntrinispavadinimasDiagrama">
    <w:name w:val="Antrinis pavadinimas Diagrama"/>
    <w:uiPriority w:val="99"/>
    <w:rPr>
      <w:rFonts w:ascii="TimesNewRoman,Bold" w:eastAsia="Times New Roman" w:hAnsi="TimesNewRoman,Bold"/>
      <w:b/>
      <w:color w:val="000000"/>
      <w:sz w:val="22"/>
    </w:rPr>
  </w:style>
  <w:style w:type="character" w:customStyle="1" w:styleId="CommentTextChar1">
    <w:name w:val="Comment Text Char1"/>
    <w:uiPriority w:val="99"/>
    <w:rPr>
      <w:lang w:eastAsia="en-US"/>
    </w:rPr>
  </w:style>
  <w:style w:type="character" w:customStyle="1" w:styleId="CommentSubjectChar1">
    <w:name w:val="Comment Subject Char1"/>
    <w:uiPriority w:val="99"/>
    <w:rPr>
      <w:b/>
      <w:bCs/>
      <w:lang w:eastAsia="en-US"/>
    </w:rPr>
  </w:style>
  <w:style w:type="paragraph" w:customStyle="1" w:styleId="BTeEMEASMCA">
    <w:name w:val="BT(e) EMEA_SMCA"/>
    <w:basedOn w:val="prastasis"/>
    <w:autoRedefine/>
    <w:uiPriority w:val="99"/>
    <w:pPr>
      <w:jc w:val="center"/>
    </w:pPr>
    <w:rPr>
      <w:noProof/>
      <w:sz w:val="22"/>
      <w:szCs w:val="22"/>
      <w:lang w:eastAsia="en-US"/>
    </w:rPr>
  </w:style>
  <w:style w:type="paragraph" w:customStyle="1" w:styleId="PI-1EMEASMCA">
    <w:name w:val="PI-1 EMEA_SMCA"/>
    <w:basedOn w:val="Antrat2"/>
    <w:autoRedefine/>
    <w:uiPriority w:val="99"/>
    <w:pPr>
      <w:spacing w:before="0" w:after="0" w:line="240" w:lineRule="auto"/>
      <w:ind w:left="567" w:hanging="567"/>
    </w:pPr>
    <w:rPr>
      <w:rFonts w:ascii="Times New Roman" w:hAnsi="Times New Roman"/>
      <w:i w:val="0"/>
      <w:noProof/>
      <w:snapToGrid/>
      <w:sz w:val="22"/>
      <w:szCs w:val="22"/>
      <w:lang w:val="x-none" w:eastAsia="en-US"/>
    </w:rPr>
  </w:style>
  <w:style w:type="paragraph" w:customStyle="1" w:styleId="PI-2EMEASMCA">
    <w:name w:val="PI-2 EMEA_SMCA"/>
    <w:basedOn w:val="Antrat3"/>
    <w:autoRedefine/>
    <w:pPr>
      <w:spacing w:before="0" w:after="0" w:line="240" w:lineRule="auto"/>
      <w:ind w:left="567" w:hanging="567"/>
    </w:pPr>
    <w:rPr>
      <w:rFonts w:ascii="Times New Roman" w:hAnsi="Times New Roman"/>
      <w:bCs w:val="0"/>
      <w:snapToGrid/>
      <w:kern w:val="28"/>
      <w:sz w:val="22"/>
      <w:szCs w:val="22"/>
      <w:lang w:val="lt-LT" w:eastAsia="en-US"/>
    </w:rPr>
  </w:style>
  <w:style w:type="character" w:customStyle="1" w:styleId="TTEMEASMCAChar">
    <w:name w:val="TT EMEA_SMCA Char"/>
    <w:link w:val="TTEMEASMCA"/>
    <w:locked/>
    <w:rPr>
      <w:b/>
      <w:caps/>
      <w:sz w:val="22"/>
      <w:lang w:val="en-US"/>
    </w:rPr>
  </w:style>
  <w:style w:type="paragraph" w:customStyle="1" w:styleId="TTEMEASMCA">
    <w:name w:val="TT EMEA_SMCA"/>
    <w:basedOn w:val="Antrat1"/>
    <w:link w:val="TTEMEASMCAChar"/>
    <w:autoRedefine/>
    <w:pPr>
      <w:spacing w:before="0" w:after="0" w:line="240" w:lineRule="auto"/>
      <w:ind w:left="567" w:hanging="567"/>
      <w:jc w:val="center"/>
    </w:pPr>
    <w:rPr>
      <w:rFonts w:asciiTheme="minorHAnsi" w:eastAsiaTheme="minorHAnsi" w:hAnsiTheme="minorHAnsi" w:cstheme="minorBidi"/>
      <w:sz w:val="22"/>
      <w:szCs w:val="24"/>
    </w:rPr>
  </w:style>
  <w:style w:type="paragraph" w:customStyle="1" w:styleId="PI-3EMEASMCA">
    <w:name w:val="PI-3 EMEA_SMCA"/>
    <w:basedOn w:val="prastasis"/>
    <w:autoRedefine/>
    <w:uiPriority w:val="99"/>
    <w:pPr>
      <w:spacing w:line="220" w:lineRule="exact"/>
    </w:pPr>
    <w:rPr>
      <w:b/>
      <w:bCs/>
      <w:sz w:val="22"/>
      <w:szCs w:val="22"/>
      <w:lang w:eastAsia="en-US"/>
    </w:rPr>
  </w:style>
  <w:style w:type="paragraph" w:customStyle="1" w:styleId="BTbEMEASMCA">
    <w:name w:val="BT(b) EMEA_SMCA"/>
    <w:basedOn w:val="BTEMEASMCA"/>
    <w:autoRedefine/>
    <w:pPr>
      <w:tabs>
        <w:tab w:val="left" w:pos="0"/>
      </w:tabs>
    </w:pPr>
    <w:rPr>
      <w:rFonts w:eastAsia="Times New Roman"/>
      <w:b/>
      <w:bCs/>
      <w:noProof w:val="0"/>
      <w:sz w:val="22"/>
      <w:szCs w:val="22"/>
      <w:lang w:eastAsia="en-US"/>
    </w:rPr>
  </w:style>
  <w:style w:type="paragraph" w:customStyle="1" w:styleId="BTbeEMEASMCA">
    <w:name w:val="BT(be) EMEA_SMCA"/>
    <w:basedOn w:val="BTEMEASMCA"/>
    <w:autoRedefine/>
    <w:uiPriority w:val="99"/>
    <w:pPr>
      <w:tabs>
        <w:tab w:val="left" w:pos="0"/>
      </w:tabs>
      <w:jc w:val="center"/>
    </w:pPr>
    <w:rPr>
      <w:rFonts w:eastAsia="Times New Roman"/>
      <w:b/>
      <w:noProof w:val="0"/>
      <w:sz w:val="22"/>
      <w:szCs w:val="22"/>
      <w:lang w:eastAsia="en-US"/>
    </w:rPr>
  </w:style>
  <w:style w:type="paragraph" w:customStyle="1" w:styleId="a">
    <w:name w:val="("/>
    <w:pPr>
      <w:tabs>
        <w:tab w:val="center" w:pos="4819"/>
        <w:tab w:val="right" w:pos="9071"/>
      </w:tabs>
    </w:pPr>
    <w:rPr>
      <w:rFonts w:ascii="Times New Roman" w:eastAsia="Times New Roman" w:hAnsi="Times New Roman" w:cs="Times New Roman"/>
      <w:sz w:val="20"/>
      <w:szCs w:val="20"/>
      <w:lang w:val="fr-FR" w:eastAsia="fr-FR"/>
    </w:rPr>
  </w:style>
  <w:style w:type="paragraph" w:customStyle="1" w:styleId="PI-1labEMEASMCA">
    <w:name w:val="PI-1_lab EMEA_SMCA"/>
    <w:basedOn w:val="prastasis"/>
    <w:link w:val="PI-1labEMEASMCAChar"/>
    <w:autoRedefine/>
    <w:uiPriority w:val="99"/>
    <w:pPr>
      <w:pBdr>
        <w:top w:val="single" w:sz="4" w:space="1" w:color="auto"/>
        <w:left w:val="single" w:sz="4" w:space="4" w:color="auto"/>
        <w:bottom w:val="single" w:sz="4" w:space="1" w:color="auto"/>
        <w:right w:val="single" w:sz="4" w:space="4" w:color="auto"/>
      </w:pBdr>
      <w:tabs>
        <w:tab w:val="left" w:pos="540"/>
      </w:tabs>
    </w:pPr>
    <w:rPr>
      <w:b/>
      <w:noProof/>
      <w:sz w:val="22"/>
      <w:szCs w:val="20"/>
      <w:lang w:eastAsia="en-US"/>
    </w:rPr>
  </w:style>
  <w:style w:type="character" w:customStyle="1" w:styleId="PI-1labEMEASMCAChar">
    <w:name w:val="PI-1_lab EMEA_SMCA Char"/>
    <w:link w:val="PI-1labEMEASMCA"/>
    <w:uiPriority w:val="99"/>
    <w:locked/>
    <w:rPr>
      <w:rFonts w:ascii="Times New Roman" w:eastAsia="Times New Roman" w:hAnsi="Times New Roman" w:cs="Times New Roman"/>
      <w:b/>
      <w:noProof/>
      <w:sz w:val="22"/>
      <w:szCs w:val="20"/>
    </w:rPr>
  </w:style>
  <w:style w:type="paragraph" w:customStyle="1" w:styleId="Paantrat1">
    <w:name w:val="Paantraštė1"/>
    <w:basedOn w:val="prastasis"/>
    <w:link w:val="PaantratDiagrama"/>
    <w:uiPriority w:val="99"/>
    <w:qFormat/>
    <w:rPr>
      <w:rFonts w:asciiTheme="minorHAnsi" w:eastAsiaTheme="minorEastAsia" w:hAnsiTheme="minorHAnsi" w:cstheme="minorBidi"/>
      <w:color w:val="5A5A5A" w:themeColor="text1" w:themeTint="A5"/>
      <w:spacing w:val="15"/>
      <w:sz w:val="22"/>
      <w:szCs w:val="22"/>
    </w:rPr>
  </w:style>
  <w:style w:type="paragraph" w:customStyle="1" w:styleId="BTAnIIEMEASMCA">
    <w:name w:val="BT(AnII) EMEA_SMCA"/>
    <w:basedOn w:val="Debesliotekstas"/>
    <w:autoRedefine/>
    <w:pPr>
      <w:tabs>
        <w:tab w:val="clear" w:pos="567"/>
        <w:tab w:val="left" w:pos="1701"/>
      </w:tabs>
      <w:ind w:left="1701" w:hanging="567"/>
    </w:pPr>
    <w:rPr>
      <w:rFonts w:ascii="Times New Roman" w:hAnsi="Times New Roman"/>
      <w:b/>
      <w:snapToGrid/>
      <w:sz w:val="22"/>
      <w:szCs w:val="22"/>
      <w:lang w:val="lt-LT" w:eastAsia="en-US"/>
    </w:rPr>
  </w:style>
  <w:style w:type="paragraph" w:styleId="Sraassunumeriais4">
    <w:name w:val="List Number 4"/>
    <w:basedOn w:val="prastasis"/>
    <w:pPr>
      <w:numPr>
        <w:numId w:val="4"/>
      </w:numPr>
    </w:pPr>
    <w:rPr>
      <w:sz w:val="22"/>
      <w:szCs w:val="20"/>
      <w:lang w:eastAsia="en-US"/>
    </w:rPr>
  </w:style>
  <w:style w:type="character" w:customStyle="1" w:styleId="CharChar1">
    <w:name w:val="Char Char1"/>
    <w:uiPriority w:val="99"/>
    <w:locked/>
    <w:rPr>
      <w:lang w:val="en-GB" w:eastAsia="en-US"/>
    </w:rPr>
  </w:style>
  <w:style w:type="paragraph" w:styleId="Tekstoblokas">
    <w:name w:val="Block Text"/>
    <w:basedOn w:val="prastasis"/>
    <w:pPr>
      <w:ind w:left="960" w:right="-2" w:hanging="393"/>
      <w:jc w:val="both"/>
    </w:pPr>
    <w:rPr>
      <w:sz w:val="22"/>
      <w:szCs w:val="20"/>
      <w:lang w:val="en-GB" w:eastAsia="en-US"/>
    </w:rPr>
  </w:style>
  <w:style w:type="paragraph" w:customStyle="1" w:styleId="nr2g">
    <w:name w:val="nr2g'"/>
    <w:basedOn w:val="prastasis"/>
    <w:pPr>
      <w:tabs>
        <w:tab w:val="center" w:pos="5387"/>
      </w:tabs>
      <w:ind w:left="993"/>
      <w:jc w:val="both"/>
    </w:pPr>
    <w:rPr>
      <w:szCs w:val="20"/>
      <w:lang w:val="en-US" w:eastAsia="fr-FR"/>
    </w:rPr>
  </w:style>
  <w:style w:type="paragraph" w:customStyle="1" w:styleId="BTuEMEASMCA">
    <w:name w:val="BT(u) EMEA_SMCA"/>
    <w:basedOn w:val="BTEMEASMCA"/>
    <w:autoRedefine/>
    <w:rPr>
      <w:rFonts w:eastAsia="MS Mincho"/>
      <w:sz w:val="22"/>
      <w:szCs w:val="22"/>
      <w:u w:val="single"/>
      <w:lang w:eastAsia="en-US"/>
    </w:rPr>
  </w:style>
  <w:style w:type="paragraph" w:customStyle="1" w:styleId="Textedebulles">
    <w:name w:val="Texte de bulles"/>
    <w:basedOn w:val="prastasis"/>
    <w:semiHidden/>
    <w:pPr>
      <w:tabs>
        <w:tab w:val="left" w:pos="567"/>
      </w:tabs>
      <w:spacing w:line="260" w:lineRule="exact"/>
    </w:pPr>
    <w:rPr>
      <w:rFonts w:ascii="Tahoma" w:hAnsi="Tahoma" w:cs="Tahoma"/>
      <w:sz w:val="16"/>
      <w:szCs w:val="16"/>
      <w:lang w:val="en-GB" w:eastAsia="en-US"/>
    </w:rPr>
  </w:style>
  <w:style w:type="table" w:customStyle="1" w:styleId="Lentelstinklelis1">
    <w:name w:val="Lentelės tinklelis1"/>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lvotasspalvinimas1parykinimas1">
    <w:name w:val="Spalvotas spalvinimas – 1 paryškinimas1"/>
    <w:hidden/>
    <w:semiHidden/>
    <w:rPr>
      <w:rFonts w:ascii="Times New Roman" w:eastAsia="Times New Roman" w:hAnsi="Times New Roman" w:cs="Times New Roman"/>
      <w:snapToGrid w:val="0"/>
      <w:sz w:val="22"/>
      <w:szCs w:val="20"/>
      <w:lang w:val="en-GB"/>
    </w:rPr>
  </w:style>
  <w:style w:type="numbering" w:customStyle="1" w:styleId="Sraonra2">
    <w:name w:val="Sąrašo nėra2"/>
    <w:next w:val="Sraonra"/>
    <w:uiPriority w:val="99"/>
    <w:semiHidden/>
    <w:unhideWhenUsed/>
  </w:style>
  <w:style w:type="paragraph" w:styleId="Antrat">
    <w:name w:val="caption"/>
    <w:basedOn w:val="prastasis"/>
    <w:next w:val="prastasis"/>
    <w:qFormat/>
    <w:pPr>
      <w:jc w:val="both"/>
    </w:pPr>
    <w:rPr>
      <w:szCs w:val="20"/>
      <w:lang w:val="en-GB" w:eastAsia="sl-SI"/>
    </w:rPr>
  </w:style>
  <w:style w:type="paragraph" w:customStyle="1" w:styleId="Naslov1">
    <w:name w:val="Naslov1"/>
    <w:basedOn w:val="Antrat1"/>
    <w:pPr>
      <w:keepNext/>
      <w:tabs>
        <w:tab w:val="clear" w:pos="567"/>
      </w:tabs>
      <w:spacing w:before="0" w:after="0" w:line="240" w:lineRule="auto"/>
      <w:ind w:left="0" w:firstLine="0"/>
    </w:pPr>
    <w:rPr>
      <w:rFonts w:eastAsia="Times New Roman"/>
      <w:caps w:val="0"/>
      <w:sz w:val="22"/>
      <w:u w:val="single"/>
      <w:lang w:val="sl-SI" w:eastAsia="sl-SI"/>
    </w:rPr>
  </w:style>
  <w:style w:type="paragraph" w:styleId="Turinys1">
    <w:name w:val="toc 1"/>
    <w:basedOn w:val="prastasis"/>
    <w:next w:val="prastasis"/>
    <w:autoRedefine/>
    <w:semiHidden/>
    <w:pPr>
      <w:spacing w:before="120"/>
    </w:pPr>
    <w:rPr>
      <w:b/>
      <w:bCs/>
      <w:i/>
      <w:iCs/>
      <w:szCs w:val="28"/>
      <w:lang w:val="sl-SI" w:eastAsia="sl-SI"/>
    </w:rPr>
  </w:style>
  <w:style w:type="paragraph" w:customStyle="1" w:styleId="TableParagraph">
    <w:name w:val="Table Paragraph"/>
    <w:basedOn w:val="prastasis"/>
    <w:uiPriority w:val="1"/>
    <w:qFormat/>
    <w:pPr>
      <w:widowControl w:val="0"/>
      <w:autoSpaceDE w:val="0"/>
      <w:autoSpaceDN w:val="0"/>
      <w:spacing w:line="246" w:lineRule="exact"/>
      <w:ind w:left="107"/>
    </w:pPr>
    <w:rPr>
      <w:rFonts w:ascii="Segoe UI" w:eastAsia="Segoe UI" w:hAnsi="Segoe UI" w:cs="Segoe UI"/>
      <w:sz w:val="22"/>
      <w:szCs w:val="22"/>
      <w:lang w:val="en-US" w:eastAsia="en-US"/>
    </w:rPr>
  </w:style>
  <w:style w:type="character" w:customStyle="1" w:styleId="Nerazreenaomemba1">
    <w:name w:val="Nerazrešena omemba1"/>
    <w:basedOn w:val="Numatytasispastraiposriftas"/>
    <w:uiPriority w:val="99"/>
    <w:semiHidden/>
    <w:unhideWhenUsed/>
    <w:rPr>
      <w:color w:val="605E5C"/>
      <w:shd w:val="clear" w:color="auto" w:fill="E1DFDD"/>
    </w:rPr>
  </w:style>
  <w:style w:type="numbering" w:customStyle="1" w:styleId="Sraonra3">
    <w:name w:val="Sąrašo nėra3"/>
    <w:next w:val="Sraonra"/>
    <w:uiPriority w:val="99"/>
    <w:semiHidden/>
    <w:unhideWhenUsed/>
  </w:style>
  <w:style w:type="numbering" w:customStyle="1" w:styleId="NoList1">
    <w:name w:val="No List1"/>
    <w:next w:val="Sraonra"/>
    <w:uiPriority w:val="99"/>
    <w:semiHidden/>
    <w:unhideWhenUsed/>
  </w:style>
  <w:style w:type="character" w:customStyle="1" w:styleId="Neapdorotaspaminjimas1">
    <w:name w:val="Neapdorotas paminėjimas1"/>
    <w:uiPriority w:val="99"/>
    <w:semiHidden/>
    <w:unhideWhenUsed/>
    <w:rPr>
      <w:color w:val="605E5C"/>
      <w:shd w:val="clear" w:color="auto" w:fill="E1DFDD"/>
    </w:rPr>
  </w:style>
  <w:style w:type="table" w:customStyle="1" w:styleId="TableGrid">
    <w:name w:val="TableGrid"/>
    <w:rPr>
      <w:rFonts w:ascii="Calibri" w:eastAsia="Times New Roman" w:hAnsi="Calibri" w:cs="Times New Roman"/>
      <w:sz w:val="22"/>
      <w:szCs w:val="22"/>
      <w:lang w:val="sl-SI" w:eastAsia="sl-SI"/>
    </w:rPr>
    <w:tblPr>
      <w:tblCellMar>
        <w:top w:w="0" w:type="dxa"/>
        <w:left w:w="0" w:type="dxa"/>
        <w:bottom w:w="0" w:type="dxa"/>
        <w:right w:w="0" w:type="dxa"/>
      </w:tblCellMar>
    </w:tblPr>
  </w:style>
  <w:style w:type="table" w:customStyle="1" w:styleId="Lentelstinklelis2">
    <w:name w:val="Lentelės tinklelis2"/>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Lentelstinklelis3">
    <w:name w:val="Lentelės tinklelis3"/>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383025">
      <w:bodyDiv w:val="1"/>
      <w:marLeft w:val="0"/>
      <w:marRight w:val="0"/>
      <w:marTop w:val="0"/>
      <w:marBottom w:val="0"/>
      <w:divBdr>
        <w:top w:val="none" w:sz="0" w:space="0" w:color="auto"/>
        <w:left w:val="none" w:sz="0" w:space="0" w:color="auto"/>
        <w:bottom w:val="none" w:sz="0" w:space="0" w:color="auto"/>
        <w:right w:val="none" w:sz="0" w:space="0" w:color="auto"/>
      </w:divBdr>
    </w:div>
    <w:div w:id="791171077">
      <w:bodyDiv w:val="1"/>
      <w:marLeft w:val="0"/>
      <w:marRight w:val="0"/>
      <w:marTop w:val="0"/>
      <w:marBottom w:val="0"/>
      <w:divBdr>
        <w:top w:val="none" w:sz="0" w:space="0" w:color="auto"/>
        <w:left w:val="none" w:sz="0" w:space="0" w:color="auto"/>
        <w:bottom w:val="none" w:sz="0" w:space="0" w:color="auto"/>
        <w:right w:val="none" w:sz="0" w:space="0" w:color="auto"/>
      </w:divBdr>
    </w:div>
    <w:div w:id="138648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cid:image007.png@01DBB50A.63E3B75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6.png@01DBB50A.63E3B750"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92F7C-9059-4A28-AB81-5817B0886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75668</Words>
  <Characters>43132</Characters>
  <Application>Microsoft Office Word</Application>
  <DocSecurity>4</DocSecurity>
  <Lines>359</Lines>
  <Paragraphs>237</Paragraphs>
  <ScaleCrop>false</ScaleCrop>
  <HeadingPairs>
    <vt:vector size="8" baseType="variant">
      <vt:variant>
        <vt:lpstr>Pavadinimas</vt:lpstr>
      </vt:variant>
      <vt:variant>
        <vt:i4>1</vt:i4>
      </vt:variant>
      <vt:variant>
        <vt:lpstr>Title</vt:lpstr>
      </vt:variant>
      <vt:variant>
        <vt:i4>1</vt:i4>
      </vt:variant>
      <vt:variant>
        <vt:lpstr>Headings</vt:lpstr>
      </vt:variant>
      <vt:variant>
        <vt:i4>25</vt:i4>
      </vt:variant>
      <vt:variant>
        <vt:lpstr>Naslov</vt:lpstr>
      </vt:variant>
      <vt:variant>
        <vt:i4>1</vt:i4>
      </vt:variant>
    </vt:vector>
  </HeadingPairs>
  <TitlesOfParts>
    <vt:vector size="28" baseType="lpstr">
      <vt:lpstr/>
      <vt:lpstr/>
      <vt:lpstr/>
      <vt:lpstr/>
      <vt:lpstr/>
      <vt:lpstr/>
      <vt:lpstr>    I PRIEDAS</vt:lpstr>
      <vt:lpstr>        1.	VAISTINIO PREPARATO PAVADINIMAS</vt:lpstr>
      <vt:lpstr>        2.	KOKYBINĖ IR KIEKYBINĖ SUDĖTIS</vt:lpstr>
      <vt:lpstr>        3.	FARMACINĖ FORMA</vt:lpstr>
      <vt:lpstr>        4.	KLINIKINĖ INFORMACIJA</vt:lpstr>
      <vt:lpstr/>
      <vt:lpstr>Pacientams, kurių inkstų funkcija sutrikusi</vt:lpstr>
      <vt:lpstr>Pagrindinių išsėtine skleroze (IS) sergančių pacientų tyrimų metu fingolimodo po</vt:lpstr>
      <vt:lpstr/>
      <vt:lpstr>Pacientams, kurių kepenų funkcija sutrikusi</vt:lpstr>
      <vt:lpstr>4.8	Nepageidaujamas poveikis</vt:lpstr>
      <vt:lpstr>        5.	FARMAKOLOGINĖS SAVYBĖS</vt:lpstr>
      <vt:lpstr>Ypatingų populiacijų pacientų charakteristikos</vt:lpstr>
      <vt:lpstr/>
      <vt:lpstr>Lytis, etninė grupė ir sutrikusi inkstų funkcija</vt:lpstr>
      <vt:lpstr>        6.	FARMACINĖ INFORMACIJA</vt:lpstr>
      <vt:lpstr>        7.	REGISTRUOTOJAS</vt:lpstr>
      <vt:lpstr>        8.	REGISTRACIJOS PAŽYMĖJIMO NUMERIS (-IAI) </vt:lpstr>
      <vt:lpstr>        9.	REGISTRAVIMO / PERREGISTRAVIMO DATA</vt:lpstr>
      <vt:lpstr>        10.	TEKSTO PERŽIŪROS DATA</vt:lpstr>
      <vt:lpstr>GYDYTOJO ŽYMIMAS KONTROLINIS SĄRAŠAS SUAUGUSIEMS PACIENTAMS IR VAIKAMS</vt:lpstr>
      <vt:lpstr/>
    </vt:vector>
  </TitlesOfParts>
  <Company/>
  <LinksUpToDate>false</LinksUpToDate>
  <CharactersWithSpaces>118563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Albina Burkauskaitė</cp:lastModifiedBy>
  <cp:revision>2</cp:revision>
  <dcterms:created xsi:type="dcterms:W3CDTF">2026-07-31T11:07:00Z</dcterms:created>
  <dcterms:modified xsi:type="dcterms:W3CDTF">2026-07-31T11:07:00Z</dcterms:modified>
</cp:coreProperties>
</file>