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32D1" w14:textId="77777777" w:rsidR="00E86446" w:rsidRDefault="00E86446">
      <w:pPr>
        <w:pStyle w:val="Paprastasistekstas"/>
        <w:tabs>
          <w:tab w:val="left" w:pos="4962"/>
        </w:tabs>
        <w:rPr>
          <w:rFonts w:ascii="Times New Roman" w:hAnsi="Times New Roman"/>
          <w:snapToGrid w:val="0"/>
          <w:sz w:val="22"/>
          <w:szCs w:val="22"/>
          <w:lang w:val="lt-LT"/>
        </w:rPr>
      </w:pPr>
    </w:p>
    <w:p w14:paraId="4D805829" w14:textId="77777777" w:rsidR="00E86446" w:rsidRDefault="00E86446">
      <w:pPr>
        <w:pStyle w:val="Paprastasistekstas"/>
        <w:tabs>
          <w:tab w:val="left" w:pos="4962"/>
        </w:tabs>
        <w:rPr>
          <w:rFonts w:ascii="Times New Roman" w:hAnsi="Times New Roman"/>
          <w:sz w:val="22"/>
          <w:szCs w:val="22"/>
          <w:lang w:val="lt-LT"/>
        </w:rPr>
      </w:pPr>
    </w:p>
    <w:p w14:paraId="4FC30DBC" w14:textId="77777777" w:rsidR="00E86446" w:rsidRDefault="00E86446">
      <w:pPr>
        <w:pStyle w:val="Paprastasistekstas"/>
        <w:rPr>
          <w:rFonts w:ascii="Times New Roman" w:hAnsi="Times New Roman"/>
          <w:sz w:val="22"/>
          <w:szCs w:val="22"/>
          <w:lang w:val="lt-LT"/>
        </w:rPr>
      </w:pPr>
    </w:p>
    <w:p w14:paraId="08F2D445" w14:textId="77777777" w:rsidR="00E86446" w:rsidRDefault="00E86446">
      <w:pPr>
        <w:widowControl w:val="0"/>
        <w:rPr>
          <w:sz w:val="22"/>
          <w:szCs w:val="22"/>
        </w:rPr>
      </w:pPr>
    </w:p>
    <w:p w14:paraId="66C60EEA" w14:textId="77777777" w:rsidR="00E86446" w:rsidRDefault="00E86446">
      <w:pPr>
        <w:outlineLvl w:val="0"/>
        <w:rPr>
          <w:b/>
          <w:sz w:val="22"/>
          <w:szCs w:val="22"/>
        </w:rPr>
      </w:pPr>
    </w:p>
    <w:p w14:paraId="57371B85" w14:textId="77777777" w:rsidR="00E86446" w:rsidRDefault="00E86446">
      <w:pPr>
        <w:outlineLvl w:val="0"/>
        <w:rPr>
          <w:b/>
          <w:sz w:val="22"/>
          <w:szCs w:val="22"/>
        </w:rPr>
      </w:pPr>
    </w:p>
    <w:p w14:paraId="7827A876" w14:textId="77777777" w:rsidR="00E86446" w:rsidRDefault="00E86446">
      <w:pPr>
        <w:outlineLvl w:val="0"/>
        <w:rPr>
          <w:b/>
          <w:sz w:val="22"/>
          <w:szCs w:val="22"/>
        </w:rPr>
      </w:pPr>
    </w:p>
    <w:p w14:paraId="2476AD55" w14:textId="77777777" w:rsidR="00E86446" w:rsidRDefault="00E86446">
      <w:pPr>
        <w:outlineLvl w:val="0"/>
        <w:rPr>
          <w:b/>
          <w:sz w:val="22"/>
          <w:szCs w:val="22"/>
        </w:rPr>
      </w:pPr>
    </w:p>
    <w:p w14:paraId="77E45018" w14:textId="77777777" w:rsidR="00E86446" w:rsidRDefault="00E86446">
      <w:pPr>
        <w:tabs>
          <w:tab w:val="left" w:pos="-1440"/>
          <w:tab w:val="left" w:pos="-720"/>
        </w:tabs>
        <w:rPr>
          <w:b/>
          <w:sz w:val="22"/>
          <w:szCs w:val="22"/>
        </w:rPr>
      </w:pPr>
    </w:p>
    <w:p w14:paraId="0CE1AE18" w14:textId="77777777" w:rsidR="00E86446" w:rsidRDefault="00E86446">
      <w:pPr>
        <w:tabs>
          <w:tab w:val="left" w:pos="-1440"/>
          <w:tab w:val="left" w:pos="-720"/>
        </w:tabs>
        <w:rPr>
          <w:b/>
          <w:sz w:val="22"/>
          <w:szCs w:val="22"/>
        </w:rPr>
      </w:pPr>
    </w:p>
    <w:p w14:paraId="48E08E7C" w14:textId="77777777" w:rsidR="00E86446" w:rsidRDefault="00E86446">
      <w:pPr>
        <w:tabs>
          <w:tab w:val="left" w:pos="-1440"/>
          <w:tab w:val="left" w:pos="-720"/>
        </w:tabs>
        <w:rPr>
          <w:b/>
          <w:sz w:val="22"/>
          <w:szCs w:val="22"/>
        </w:rPr>
      </w:pPr>
    </w:p>
    <w:p w14:paraId="69C6F4A0" w14:textId="77777777" w:rsidR="00E86446" w:rsidRDefault="00E86446">
      <w:pPr>
        <w:tabs>
          <w:tab w:val="left" w:pos="-1440"/>
          <w:tab w:val="left" w:pos="-720"/>
        </w:tabs>
        <w:rPr>
          <w:b/>
          <w:sz w:val="22"/>
          <w:szCs w:val="22"/>
        </w:rPr>
      </w:pPr>
    </w:p>
    <w:p w14:paraId="10A38634" w14:textId="77777777" w:rsidR="00E86446" w:rsidRDefault="00E86446">
      <w:pPr>
        <w:tabs>
          <w:tab w:val="left" w:pos="-1440"/>
          <w:tab w:val="left" w:pos="-720"/>
        </w:tabs>
        <w:rPr>
          <w:b/>
          <w:sz w:val="22"/>
          <w:szCs w:val="22"/>
        </w:rPr>
      </w:pPr>
    </w:p>
    <w:p w14:paraId="6C6037D4" w14:textId="77777777" w:rsidR="00E86446" w:rsidRDefault="00E86446">
      <w:pPr>
        <w:tabs>
          <w:tab w:val="left" w:pos="-1440"/>
          <w:tab w:val="left" w:pos="-720"/>
        </w:tabs>
        <w:rPr>
          <w:b/>
          <w:sz w:val="22"/>
          <w:szCs w:val="22"/>
        </w:rPr>
      </w:pPr>
    </w:p>
    <w:p w14:paraId="424AB009" w14:textId="77777777" w:rsidR="00E86446" w:rsidRDefault="00E86446">
      <w:pPr>
        <w:tabs>
          <w:tab w:val="left" w:pos="-1440"/>
          <w:tab w:val="left" w:pos="-720"/>
        </w:tabs>
        <w:rPr>
          <w:b/>
          <w:sz w:val="22"/>
          <w:szCs w:val="22"/>
        </w:rPr>
      </w:pPr>
    </w:p>
    <w:p w14:paraId="46501206" w14:textId="77777777" w:rsidR="00E86446" w:rsidRDefault="00E86446">
      <w:pPr>
        <w:tabs>
          <w:tab w:val="left" w:pos="-1440"/>
          <w:tab w:val="left" w:pos="-720"/>
        </w:tabs>
        <w:rPr>
          <w:b/>
          <w:sz w:val="22"/>
          <w:szCs w:val="22"/>
        </w:rPr>
      </w:pPr>
    </w:p>
    <w:p w14:paraId="08D05855" w14:textId="77777777" w:rsidR="00E86446" w:rsidRDefault="00E86446">
      <w:pPr>
        <w:tabs>
          <w:tab w:val="left" w:pos="-1440"/>
          <w:tab w:val="left" w:pos="-720"/>
        </w:tabs>
        <w:rPr>
          <w:b/>
          <w:sz w:val="22"/>
          <w:szCs w:val="22"/>
        </w:rPr>
      </w:pPr>
    </w:p>
    <w:p w14:paraId="3BD97ACA" w14:textId="77777777" w:rsidR="00E86446" w:rsidRDefault="00E86446">
      <w:pPr>
        <w:tabs>
          <w:tab w:val="left" w:pos="-1440"/>
          <w:tab w:val="left" w:pos="-720"/>
        </w:tabs>
        <w:rPr>
          <w:b/>
          <w:sz w:val="22"/>
          <w:szCs w:val="22"/>
        </w:rPr>
      </w:pPr>
    </w:p>
    <w:p w14:paraId="21485CEB" w14:textId="77777777" w:rsidR="00E86446" w:rsidRDefault="00E86446">
      <w:pPr>
        <w:tabs>
          <w:tab w:val="left" w:pos="-1440"/>
          <w:tab w:val="left" w:pos="-720"/>
        </w:tabs>
        <w:rPr>
          <w:b/>
          <w:sz w:val="22"/>
          <w:szCs w:val="22"/>
        </w:rPr>
      </w:pPr>
    </w:p>
    <w:p w14:paraId="70216C6C" w14:textId="77777777" w:rsidR="00E86446" w:rsidRDefault="00E86446">
      <w:pPr>
        <w:tabs>
          <w:tab w:val="left" w:pos="-1440"/>
          <w:tab w:val="left" w:pos="-720"/>
        </w:tabs>
        <w:rPr>
          <w:b/>
          <w:sz w:val="22"/>
          <w:szCs w:val="22"/>
        </w:rPr>
      </w:pPr>
    </w:p>
    <w:p w14:paraId="4D496F42" w14:textId="77777777" w:rsidR="00E86446" w:rsidRDefault="00E86446">
      <w:pPr>
        <w:tabs>
          <w:tab w:val="left" w:pos="-1440"/>
          <w:tab w:val="left" w:pos="-720"/>
        </w:tabs>
        <w:rPr>
          <w:b/>
          <w:sz w:val="22"/>
          <w:szCs w:val="22"/>
        </w:rPr>
      </w:pPr>
    </w:p>
    <w:p w14:paraId="153E12EB" w14:textId="77777777" w:rsidR="00E86446" w:rsidRDefault="00E86446">
      <w:pPr>
        <w:tabs>
          <w:tab w:val="left" w:pos="-1440"/>
          <w:tab w:val="left" w:pos="-720"/>
        </w:tabs>
        <w:rPr>
          <w:b/>
          <w:sz w:val="22"/>
          <w:szCs w:val="22"/>
        </w:rPr>
      </w:pPr>
    </w:p>
    <w:p w14:paraId="09686FFB" w14:textId="77777777" w:rsidR="00E86446" w:rsidRDefault="00E86446">
      <w:pPr>
        <w:tabs>
          <w:tab w:val="left" w:pos="-1440"/>
          <w:tab w:val="left" w:pos="-720"/>
        </w:tabs>
        <w:rPr>
          <w:b/>
          <w:sz w:val="22"/>
          <w:szCs w:val="22"/>
        </w:rPr>
      </w:pPr>
    </w:p>
    <w:p w14:paraId="069CA2EA" w14:textId="77777777" w:rsidR="00E86446" w:rsidRDefault="00345E63">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42229D5C" w14:textId="77777777" w:rsidR="00E86446" w:rsidRDefault="00E86446">
      <w:pPr>
        <w:jc w:val="center"/>
        <w:rPr>
          <w:sz w:val="22"/>
          <w:szCs w:val="22"/>
        </w:rPr>
      </w:pPr>
    </w:p>
    <w:p w14:paraId="44FBAEA9" w14:textId="77777777" w:rsidR="00E86446" w:rsidRDefault="00345E63">
      <w:pPr>
        <w:tabs>
          <w:tab w:val="left" w:pos="-1440"/>
          <w:tab w:val="left" w:pos="-720"/>
        </w:tabs>
        <w:jc w:val="center"/>
        <w:rPr>
          <w:b/>
          <w:sz w:val="22"/>
          <w:szCs w:val="22"/>
        </w:rPr>
      </w:pPr>
      <w:r>
        <w:rPr>
          <w:b/>
          <w:sz w:val="22"/>
          <w:szCs w:val="22"/>
        </w:rPr>
        <w:t>PREPARATO CHARAKTERISTIKŲ SANTRAUKA</w:t>
      </w:r>
    </w:p>
    <w:p w14:paraId="066853E1" w14:textId="77777777" w:rsidR="00E86446" w:rsidRDefault="00345E63">
      <w:pPr>
        <w:tabs>
          <w:tab w:val="left" w:pos="-1440"/>
          <w:tab w:val="left" w:pos="-720"/>
        </w:tabs>
        <w:rPr>
          <w:sz w:val="22"/>
          <w:szCs w:val="22"/>
        </w:rPr>
      </w:pPr>
      <w:r>
        <w:rPr>
          <w:sz w:val="22"/>
          <w:szCs w:val="22"/>
          <w:lang w:eastAsia="zh-CN"/>
        </w:rPr>
        <w:br w:type="page"/>
      </w:r>
    </w:p>
    <w:p w14:paraId="6B6680FA" w14:textId="77777777" w:rsidR="00E86446" w:rsidRDefault="00345E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566EF765" w14:textId="77777777" w:rsidR="00E86446" w:rsidRDefault="00E86446">
      <w:pPr>
        <w:rPr>
          <w:sz w:val="22"/>
          <w:szCs w:val="22"/>
        </w:rPr>
      </w:pPr>
    </w:p>
    <w:p w14:paraId="7A15D234"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mg/850 mg plėvele dengtos tabletės</w:t>
      </w:r>
    </w:p>
    <w:p w14:paraId="322E000A" w14:textId="77777777" w:rsidR="00E86446" w:rsidRDefault="00345E63">
      <w:pPr>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mg/1 000 mg plėvele dengtos tabletės</w:t>
      </w:r>
    </w:p>
    <w:p w14:paraId="29C44FE2" w14:textId="77777777" w:rsidR="00E86446" w:rsidRDefault="00E86446">
      <w:pPr>
        <w:rPr>
          <w:sz w:val="22"/>
          <w:szCs w:val="22"/>
        </w:rPr>
      </w:pPr>
    </w:p>
    <w:p w14:paraId="6B39592E" w14:textId="77777777" w:rsidR="00E86446" w:rsidRDefault="00E86446">
      <w:pPr>
        <w:rPr>
          <w:sz w:val="22"/>
          <w:szCs w:val="22"/>
        </w:rPr>
      </w:pPr>
    </w:p>
    <w:p w14:paraId="121F2FE0" w14:textId="77777777" w:rsidR="00E86446" w:rsidRDefault="00345E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517C6915" w14:textId="77777777" w:rsidR="00E86446" w:rsidRDefault="00E86446">
      <w:pPr>
        <w:rPr>
          <w:sz w:val="22"/>
          <w:szCs w:val="22"/>
        </w:rPr>
      </w:pPr>
    </w:p>
    <w:p w14:paraId="2CD83A20" w14:textId="77777777" w:rsidR="00E86446" w:rsidRDefault="00345E63">
      <w:pPr>
        <w:autoSpaceDE w:val="0"/>
        <w:autoSpaceDN w:val="0"/>
        <w:adjustRightInd w:val="0"/>
        <w:rPr>
          <w:rFonts w:eastAsiaTheme="minorHAnsi"/>
          <w:color w:val="000000"/>
          <w:sz w:val="22"/>
          <w:szCs w:val="22"/>
          <w:u w:val="single"/>
          <w:lang w:eastAsia="en-US"/>
        </w:rPr>
      </w:pPr>
      <w:bookmarkStart w:id="0" w:name="_Hlk199932170"/>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mg/850 mg plėvele dengtos tabletės</w:t>
      </w:r>
    </w:p>
    <w:p w14:paraId="7E3A9BE3"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297B517F" w14:textId="77777777" w:rsidR="00E86446" w:rsidRDefault="00E86446">
      <w:pPr>
        <w:autoSpaceDE w:val="0"/>
        <w:autoSpaceDN w:val="0"/>
        <w:adjustRightInd w:val="0"/>
        <w:rPr>
          <w:rFonts w:eastAsiaTheme="minorHAnsi"/>
          <w:color w:val="000000"/>
          <w:sz w:val="22"/>
          <w:szCs w:val="22"/>
          <w:lang w:eastAsia="en-US"/>
        </w:rPr>
      </w:pPr>
    </w:p>
    <w:p w14:paraId="7AF23CB1" w14:textId="77777777"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mg/1 000 mg plėvele dengtos tabletės</w:t>
      </w:r>
    </w:p>
    <w:p w14:paraId="3A0F3E0C" w14:textId="77777777" w:rsidR="00E86446" w:rsidRDefault="00345E63">
      <w:pPr>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bookmarkEnd w:id="0"/>
    <w:p w14:paraId="75CC33FD" w14:textId="77777777" w:rsidR="00E86446" w:rsidRDefault="00E86446">
      <w:pPr>
        <w:rPr>
          <w:noProof/>
          <w:sz w:val="22"/>
          <w:szCs w:val="22"/>
        </w:rPr>
      </w:pPr>
    </w:p>
    <w:p w14:paraId="35F364C0" w14:textId="77777777" w:rsidR="00E86446" w:rsidRDefault="00345E63">
      <w:pPr>
        <w:rPr>
          <w:sz w:val="22"/>
          <w:szCs w:val="22"/>
        </w:rPr>
      </w:pPr>
      <w:r>
        <w:rPr>
          <w:noProof/>
          <w:sz w:val="22"/>
          <w:szCs w:val="22"/>
        </w:rPr>
        <w:t>Visos pagalbinės medžiagos išvardytos 6.1 skyriuje.</w:t>
      </w:r>
    </w:p>
    <w:p w14:paraId="556CECB2" w14:textId="77777777" w:rsidR="00E86446" w:rsidRDefault="00E86446">
      <w:pPr>
        <w:rPr>
          <w:sz w:val="22"/>
          <w:szCs w:val="22"/>
        </w:rPr>
      </w:pPr>
    </w:p>
    <w:p w14:paraId="4EC1456D" w14:textId="77777777" w:rsidR="00E86446" w:rsidRDefault="00E86446">
      <w:pPr>
        <w:rPr>
          <w:sz w:val="22"/>
          <w:szCs w:val="22"/>
        </w:rPr>
      </w:pPr>
    </w:p>
    <w:p w14:paraId="67913B7D" w14:textId="77777777" w:rsidR="00E86446" w:rsidRDefault="00345E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49A422E5" w14:textId="77777777" w:rsidR="00E86446" w:rsidRDefault="00E86446">
      <w:pPr>
        <w:rPr>
          <w:sz w:val="22"/>
          <w:szCs w:val="22"/>
        </w:rPr>
      </w:pPr>
    </w:p>
    <w:p w14:paraId="38DB8807" w14:textId="77777777" w:rsidR="00E86446" w:rsidRDefault="00345E63">
      <w:pPr>
        <w:rPr>
          <w:sz w:val="22"/>
          <w:szCs w:val="22"/>
        </w:rPr>
      </w:pPr>
      <w:r>
        <w:rPr>
          <w:sz w:val="22"/>
          <w:szCs w:val="22"/>
        </w:rPr>
        <w:t>Plėvele dengta tabletė (tabletė).</w:t>
      </w:r>
    </w:p>
    <w:p w14:paraId="58FE5067" w14:textId="77777777" w:rsidR="00E86446" w:rsidRDefault="00E86446">
      <w:pPr>
        <w:rPr>
          <w:noProof/>
          <w:sz w:val="22"/>
          <w:szCs w:val="22"/>
        </w:rPr>
      </w:pPr>
    </w:p>
    <w:p w14:paraId="2F5F73C8" w14:textId="77777777"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mg/850 mg plėvele dengtos tabletės</w:t>
      </w:r>
    </w:p>
    <w:p w14:paraId="7BE99CDD"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Oranžinė, ovali, abipus išgaubta, plėvele dengta tabletė, kurios vienoje pusėje yra žyma „K1“. Tabletės matmenys: 20 x 10 mm.</w:t>
      </w:r>
    </w:p>
    <w:p w14:paraId="4C33C8FD" w14:textId="77777777" w:rsidR="00E86446" w:rsidRDefault="00E86446">
      <w:pPr>
        <w:autoSpaceDE w:val="0"/>
        <w:autoSpaceDN w:val="0"/>
        <w:adjustRightInd w:val="0"/>
        <w:rPr>
          <w:rFonts w:eastAsiaTheme="minorHAnsi"/>
          <w:color w:val="000000"/>
          <w:sz w:val="22"/>
          <w:szCs w:val="22"/>
          <w:u w:val="single"/>
          <w:lang w:eastAsia="en-US"/>
        </w:rPr>
      </w:pPr>
    </w:p>
    <w:p w14:paraId="79B271BE" w14:textId="77777777" w:rsidR="00E86446" w:rsidRDefault="00345E63">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mg/1 000 mg plėvele dengtos tabletės</w:t>
      </w:r>
    </w:p>
    <w:p w14:paraId="4DC26C13" w14:textId="77777777" w:rsidR="00E86446" w:rsidRDefault="00345E63">
      <w:pPr>
        <w:rPr>
          <w:sz w:val="22"/>
          <w:szCs w:val="22"/>
        </w:rPr>
      </w:pPr>
      <w:r>
        <w:rPr>
          <w:sz w:val="22"/>
          <w:szCs w:val="22"/>
        </w:rPr>
        <w:t>Geltona, ovali, abipus išgaubta, plėvele dengta tabletė, kurios vienoje pusėje yra žyma „K2“. Tabletės matmenys: 22 x 11 mm.</w:t>
      </w:r>
    </w:p>
    <w:p w14:paraId="36B8FE07" w14:textId="77777777" w:rsidR="00E86446" w:rsidRDefault="00E86446">
      <w:pPr>
        <w:rPr>
          <w:sz w:val="22"/>
          <w:szCs w:val="22"/>
        </w:rPr>
      </w:pPr>
    </w:p>
    <w:p w14:paraId="71F6264F" w14:textId="77777777" w:rsidR="00E86446" w:rsidRDefault="00E86446">
      <w:pPr>
        <w:rPr>
          <w:sz w:val="22"/>
          <w:szCs w:val="22"/>
        </w:rPr>
      </w:pPr>
    </w:p>
    <w:p w14:paraId="0B28A7C1" w14:textId="77777777" w:rsidR="00E86446" w:rsidRDefault="00345E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31B83EC0" w14:textId="77777777" w:rsidR="00E86446" w:rsidRDefault="00E86446">
      <w:pPr>
        <w:rPr>
          <w:sz w:val="22"/>
          <w:szCs w:val="22"/>
        </w:rPr>
      </w:pPr>
    </w:p>
    <w:p w14:paraId="044C28F7"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78CC3DB4" w14:textId="77777777" w:rsidR="00E86446" w:rsidRDefault="00E86446">
      <w:pPr>
        <w:rPr>
          <w:sz w:val="22"/>
          <w:szCs w:val="22"/>
        </w:rPr>
      </w:pPr>
    </w:p>
    <w:p w14:paraId="4E682883" w14:textId="75E84E23"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skiriama suaugusi</w:t>
      </w:r>
      <w:r w:rsidR="00524783">
        <w:rPr>
          <w:rFonts w:eastAsiaTheme="minorHAnsi"/>
          <w:color w:val="000000"/>
          <w:sz w:val="22"/>
          <w:szCs w:val="22"/>
          <w:lang w:eastAsia="en-US"/>
        </w:rPr>
        <w:t>ųjų</w:t>
      </w:r>
      <w:r>
        <w:rPr>
          <w:rFonts w:eastAsiaTheme="minorHAnsi"/>
          <w:color w:val="000000"/>
          <w:sz w:val="22"/>
          <w:szCs w:val="22"/>
          <w:lang w:eastAsia="en-US"/>
        </w:rPr>
        <w:t>, sergan</w:t>
      </w:r>
      <w:r w:rsidR="00524783">
        <w:rPr>
          <w:rFonts w:eastAsiaTheme="minorHAnsi"/>
          <w:color w:val="000000"/>
          <w:sz w:val="22"/>
          <w:szCs w:val="22"/>
          <w:lang w:eastAsia="en-US"/>
        </w:rPr>
        <w:t>čių</w:t>
      </w:r>
      <w:r>
        <w:rPr>
          <w:rFonts w:eastAsiaTheme="minorHAnsi"/>
          <w:color w:val="000000"/>
          <w:sz w:val="22"/>
          <w:szCs w:val="22"/>
          <w:lang w:eastAsia="en-US"/>
        </w:rPr>
        <w:t xml:space="preserve"> 2 tipo cukrini</w:t>
      </w:r>
      <w:r w:rsidR="00524783">
        <w:rPr>
          <w:rFonts w:eastAsiaTheme="minorHAnsi"/>
          <w:color w:val="000000"/>
          <w:sz w:val="22"/>
          <w:szCs w:val="22"/>
          <w:lang w:eastAsia="en-US"/>
        </w:rPr>
        <w:t>u</w:t>
      </w:r>
      <w:r>
        <w:rPr>
          <w:rFonts w:eastAsiaTheme="minorHAnsi"/>
          <w:color w:val="000000"/>
          <w:sz w:val="22"/>
          <w:szCs w:val="22"/>
          <w:lang w:eastAsia="en-US"/>
        </w:rPr>
        <w:t xml:space="preserve"> diabetu, gydy</w:t>
      </w:r>
      <w:r w:rsidR="00524783">
        <w:rPr>
          <w:rFonts w:eastAsiaTheme="minorHAnsi"/>
          <w:color w:val="000000"/>
          <w:sz w:val="22"/>
          <w:szCs w:val="22"/>
          <w:lang w:eastAsia="en-US"/>
        </w:rPr>
        <w:t>mui</w:t>
      </w:r>
      <w:r>
        <w:rPr>
          <w:rFonts w:eastAsiaTheme="minorHAnsi"/>
          <w:color w:val="000000"/>
          <w:sz w:val="22"/>
          <w:szCs w:val="22"/>
          <w:lang w:eastAsia="en-US"/>
        </w:rPr>
        <w:t xml:space="preserve"> (dietos ir fizinio krūvio poveikiui papildyti):</w:t>
      </w:r>
    </w:p>
    <w:p w14:paraId="0CE708D4" w14:textId="51B5EA20" w:rsidR="00E86446" w:rsidRPr="003171F5" w:rsidRDefault="00345E63">
      <w:pPr>
        <w:widowControl w:val="0"/>
        <w:numPr>
          <w:ilvl w:val="0"/>
          <w:numId w:val="21"/>
        </w:numPr>
        <w:spacing w:line="260" w:lineRule="exact"/>
        <w:rPr>
          <w:noProof/>
          <w:sz w:val="22"/>
          <w:szCs w:val="22"/>
          <w:lang w:eastAsia="sl-SI"/>
        </w:rPr>
      </w:pPr>
      <w:r>
        <w:rPr>
          <w:rFonts w:eastAsiaTheme="minorHAnsi"/>
          <w:color w:val="000000"/>
          <w:sz w:val="22"/>
          <w:szCs w:val="22"/>
          <w:lang w:eastAsia="en-US"/>
        </w:rPr>
        <w:t xml:space="preserve">jeigu vien didžiausia toleruojama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dozė </w:t>
      </w:r>
      <w:r w:rsidR="005A4674">
        <w:rPr>
          <w:rFonts w:eastAsiaTheme="minorHAnsi"/>
          <w:color w:val="000000"/>
          <w:sz w:val="22"/>
          <w:szCs w:val="22"/>
          <w:lang w:eastAsia="en-US"/>
        </w:rPr>
        <w:t xml:space="preserve">tinkamai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ne</w:t>
      </w:r>
      <w:r w:rsidR="005A4674">
        <w:rPr>
          <w:rFonts w:eastAsiaTheme="minorHAnsi"/>
          <w:color w:val="000000"/>
          <w:sz w:val="22"/>
          <w:szCs w:val="22"/>
          <w:lang w:eastAsia="en-US"/>
        </w:rPr>
        <w:t>sureguliuoja</w:t>
      </w:r>
      <w:r w:rsidR="00524783">
        <w:rPr>
          <w:rFonts w:eastAsiaTheme="minorHAnsi"/>
          <w:color w:val="000000"/>
          <w:sz w:val="22"/>
          <w:szCs w:val="22"/>
          <w:lang w:eastAsia="en-US"/>
        </w:rPr>
        <w:t>;</w:t>
      </w:r>
    </w:p>
    <w:p w14:paraId="164A5B53" w14:textId="1A79D375" w:rsidR="00E86446" w:rsidRPr="003171F5" w:rsidRDefault="00D0623D">
      <w:pPr>
        <w:widowControl w:val="0"/>
        <w:numPr>
          <w:ilvl w:val="0"/>
          <w:numId w:val="21"/>
        </w:numPr>
        <w:spacing w:line="260" w:lineRule="exact"/>
        <w:rPr>
          <w:noProof/>
          <w:sz w:val="22"/>
          <w:szCs w:val="22"/>
          <w:lang w:eastAsia="sl-SI"/>
        </w:rPr>
      </w:pPr>
      <w:r>
        <w:rPr>
          <w:rFonts w:eastAsiaTheme="minorHAnsi"/>
          <w:color w:val="000000"/>
          <w:sz w:val="22"/>
          <w:szCs w:val="22"/>
          <w:lang w:eastAsia="en-US"/>
        </w:rPr>
        <w:t xml:space="preserve">derinant </w:t>
      </w:r>
      <w:r w:rsidR="00345E63">
        <w:rPr>
          <w:rFonts w:eastAsiaTheme="minorHAnsi"/>
          <w:color w:val="000000"/>
          <w:sz w:val="22"/>
          <w:szCs w:val="22"/>
          <w:lang w:eastAsia="en-US"/>
        </w:rPr>
        <w:t>su kitais</w:t>
      </w:r>
      <w:r w:rsidR="00214E96">
        <w:rPr>
          <w:rFonts w:eastAsiaTheme="minorHAnsi"/>
          <w:color w:val="000000"/>
          <w:sz w:val="22"/>
          <w:szCs w:val="22"/>
          <w:lang w:eastAsia="en-US"/>
        </w:rPr>
        <w:t xml:space="preserve"> cukriniam</w:t>
      </w:r>
      <w:r w:rsidR="00345E63">
        <w:rPr>
          <w:rFonts w:eastAsiaTheme="minorHAnsi"/>
          <w:color w:val="000000"/>
          <w:sz w:val="22"/>
          <w:szCs w:val="22"/>
          <w:lang w:eastAsia="en-US"/>
        </w:rPr>
        <w:t xml:space="preserve"> diabetui gydyti skirtais vaistiniais preparatais – jeigu </w:t>
      </w:r>
      <w:proofErr w:type="spellStart"/>
      <w:r w:rsidR="00345E63">
        <w:rPr>
          <w:rFonts w:eastAsiaTheme="minorHAnsi"/>
          <w:color w:val="000000"/>
          <w:sz w:val="22"/>
          <w:szCs w:val="22"/>
          <w:lang w:eastAsia="en-US"/>
        </w:rPr>
        <w:t>metforminas</w:t>
      </w:r>
      <w:proofErr w:type="spellEnd"/>
      <w:r w:rsidR="00345E63">
        <w:rPr>
          <w:rFonts w:eastAsiaTheme="minorHAnsi"/>
          <w:color w:val="000000"/>
          <w:sz w:val="22"/>
          <w:szCs w:val="22"/>
          <w:lang w:eastAsia="en-US"/>
        </w:rPr>
        <w:t xml:space="preserve"> ir šie vaistiniai preparatai </w:t>
      </w:r>
      <w:r w:rsidR="00B72B04">
        <w:rPr>
          <w:rFonts w:eastAsiaTheme="minorHAnsi"/>
          <w:color w:val="000000"/>
          <w:sz w:val="22"/>
          <w:szCs w:val="22"/>
          <w:lang w:eastAsia="en-US"/>
        </w:rPr>
        <w:t xml:space="preserve">tinkamai </w:t>
      </w:r>
      <w:proofErr w:type="spellStart"/>
      <w:r w:rsidR="00B72B04">
        <w:rPr>
          <w:rFonts w:eastAsiaTheme="minorHAnsi"/>
          <w:color w:val="000000"/>
          <w:sz w:val="22"/>
          <w:szCs w:val="22"/>
          <w:lang w:eastAsia="en-US"/>
        </w:rPr>
        <w:t>glikemijos</w:t>
      </w:r>
      <w:proofErr w:type="spellEnd"/>
      <w:r w:rsidR="00B72B04">
        <w:rPr>
          <w:rFonts w:eastAsiaTheme="minorHAnsi"/>
          <w:color w:val="000000"/>
          <w:sz w:val="22"/>
          <w:szCs w:val="22"/>
          <w:lang w:eastAsia="en-US"/>
        </w:rPr>
        <w:t xml:space="preserve"> nesureguliuoja</w:t>
      </w:r>
      <w:r w:rsidR="0049497B">
        <w:rPr>
          <w:rFonts w:eastAsiaTheme="minorHAnsi"/>
          <w:color w:val="000000"/>
          <w:sz w:val="22"/>
          <w:szCs w:val="22"/>
          <w:lang w:eastAsia="en-US"/>
        </w:rPr>
        <w:t>;</w:t>
      </w:r>
    </w:p>
    <w:p w14:paraId="3D9E3C5F" w14:textId="5F66CF6C" w:rsidR="00E86446" w:rsidRPr="003171F5" w:rsidRDefault="00345E63">
      <w:pPr>
        <w:widowControl w:val="0"/>
        <w:numPr>
          <w:ilvl w:val="0"/>
          <w:numId w:val="21"/>
        </w:numPr>
        <w:spacing w:line="260" w:lineRule="exact"/>
        <w:rPr>
          <w:noProof/>
          <w:sz w:val="22"/>
          <w:szCs w:val="22"/>
          <w:lang w:eastAsia="sl-SI"/>
        </w:rPr>
      </w:pPr>
      <w:r>
        <w:rPr>
          <w:rFonts w:eastAsiaTheme="minorHAnsi"/>
          <w:color w:val="000000"/>
          <w:sz w:val="22"/>
          <w:szCs w:val="22"/>
          <w:lang w:eastAsia="en-US"/>
        </w:rPr>
        <w:t>pacientams, kurie jau vartoja atskir</w:t>
      </w:r>
      <w:r w:rsidR="0049497B">
        <w:rPr>
          <w:rFonts w:eastAsiaTheme="minorHAnsi"/>
          <w:color w:val="000000"/>
          <w:sz w:val="22"/>
          <w:szCs w:val="22"/>
          <w:lang w:eastAsia="en-US"/>
        </w:rPr>
        <w:t>ų</w:t>
      </w:r>
      <w:r>
        <w:rPr>
          <w:rFonts w:eastAsiaTheme="minorHAnsi"/>
          <w:color w:val="000000"/>
          <w:sz w:val="22"/>
          <w:szCs w:val="22"/>
          <w:lang w:eastAsia="en-US"/>
        </w:rPr>
        <w:t xml:space="preserve">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w:t>
      </w:r>
      <w:r w:rsidR="0049497B">
        <w:rPr>
          <w:rFonts w:eastAsiaTheme="minorHAnsi"/>
          <w:color w:val="000000"/>
          <w:sz w:val="22"/>
          <w:szCs w:val="22"/>
          <w:lang w:eastAsia="en-US"/>
        </w:rPr>
        <w:t>čių</w:t>
      </w:r>
      <w:r w:rsidR="00D0623D" w:rsidRPr="00D0623D">
        <w:rPr>
          <w:rFonts w:eastAsiaTheme="minorHAnsi"/>
          <w:color w:val="000000"/>
          <w:sz w:val="22"/>
          <w:szCs w:val="22"/>
          <w:lang w:eastAsia="en-US"/>
        </w:rPr>
        <w:t xml:space="preserve"> </w:t>
      </w:r>
      <w:r w:rsidR="00D0623D">
        <w:rPr>
          <w:rFonts w:eastAsiaTheme="minorHAnsi"/>
          <w:color w:val="000000"/>
          <w:sz w:val="22"/>
          <w:szCs w:val="22"/>
          <w:lang w:eastAsia="en-US"/>
        </w:rPr>
        <w:t>derinį</w:t>
      </w:r>
      <w:r>
        <w:rPr>
          <w:rFonts w:eastAsiaTheme="minorHAnsi"/>
          <w:color w:val="000000"/>
          <w:sz w:val="22"/>
          <w:szCs w:val="22"/>
          <w:lang w:eastAsia="en-US"/>
        </w:rPr>
        <w:t>.</w:t>
      </w:r>
    </w:p>
    <w:p w14:paraId="7A7ECB58" w14:textId="77777777" w:rsidR="00E86446" w:rsidRDefault="00E86446">
      <w:pPr>
        <w:autoSpaceDE w:val="0"/>
        <w:autoSpaceDN w:val="0"/>
        <w:adjustRightInd w:val="0"/>
        <w:rPr>
          <w:rFonts w:eastAsiaTheme="minorHAnsi"/>
          <w:color w:val="000000"/>
          <w:sz w:val="22"/>
          <w:szCs w:val="22"/>
          <w:lang w:eastAsia="en-US"/>
        </w:rPr>
      </w:pPr>
    </w:p>
    <w:p w14:paraId="6D4BF011" w14:textId="06303F4D" w:rsidR="00E86446" w:rsidRDefault="00345E63">
      <w:pPr>
        <w:rPr>
          <w:rFonts w:eastAsiaTheme="minorHAnsi"/>
          <w:color w:val="000000"/>
          <w:sz w:val="22"/>
          <w:szCs w:val="22"/>
          <w:lang w:eastAsia="en-US"/>
        </w:rPr>
      </w:pPr>
      <w:r>
        <w:rPr>
          <w:rFonts w:eastAsiaTheme="minorHAnsi"/>
          <w:color w:val="000000"/>
          <w:sz w:val="22"/>
          <w:szCs w:val="22"/>
          <w:lang w:eastAsia="en-US"/>
        </w:rPr>
        <w:t xml:space="preserve">Sudėtinio gydymo tyrimų duomenis, poveikį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w:t>
      </w:r>
      <w:r w:rsidR="00BE6747">
        <w:rPr>
          <w:rFonts w:eastAsiaTheme="minorHAnsi"/>
          <w:color w:val="000000"/>
          <w:sz w:val="22"/>
          <w:szCs w:val="22"/>
          <w:lang w:eastAsia="en-US"/>
        </w:rPr>
        <w:t>sureguliavimui</w:t>
      </w:r>
      <w:r>
        <w:rPr>
          <w:rFonts w:eastAsiaTheme="minorHAnsi"/>
          <w:color w:val="000000"/>
          <w:sz w:val="22"/>
          <w:szCs w:val="22"/>
          <w:lang w:eastAsia="en-US"/>
        </w:rPr>
        <w:t>, kardiovaskulinėms komplikacijoms ir tirtas populiacijas žr. 4.4, 4.5 ir 5.1 skyriuose.</w:t>
      </w:r>
    </w:p>
    <w:p w14:paraId="1545BB2F" w14:textId="77777777" w:rsidR="00E86446" w:rsidRDefault="00E86446">
      <w:pPr>
        <w:rPr>
          <w:sz w:val="22"/>
          <w:szCs w:val="22"/>
        </w:rPr>
      </w:pPr>
    </w:p>
    <w:p w14:paraId="2F2AA90E"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12A453A8" w14:textId="77777777" w:rsidR="00E86446" w:rsidRDefault="00E86446">
      <w:pPr>
        <w:rPr>
          <w:sz w:val="22"/>
          <w:szCs w:val="22"/>
        </w:rPr>
      </w:pPr>
    </w:p>
    <w:p w14:paraId="452A1824" w14:textId="77777777" w:rsidR="00E86446" w:rsidRDefault="00345E63">
      <w:pPr>
        <w:pStyle w:val="Antrat4"/>
        <w:spacing w:line="240" w:lineRule="auto"/>
        <w:jc w:val="left"/>
        <w:rPr>
          <w:rFonts w:ascii="Times New Roman" w:hAnsi="Times New Roman"/>
          <w:b w:val="0"/>
          <w:bCs w:val="0"/>
          <w:iCs/>
          <w:sz w:val="22"/>
          <w:szCs w:val="22"/>
          <w:u w:val="single"/>
          <w:lang w:val="lt-LT"/>
        </w:rPr>
      </w:pPr>
      <w:r>
        <w:rPr>
          <w:rFonts w:ascii="Times New Roman" w:hAnsi="Times New Roman"/>
          <w:b w:val="0"/>
          <w:bCs w:val="0"/>
          <w:iCs/>
          <w:sz w:val="22"/>
          <w:szCs w:val="22"/>
          <w:u w:val="single"/>
          <w:lang w:val="lt-LT"/>
        </w:rPr>
        <w:t>Dozavimas</w:t>
      </w:r>
    </w:p>
    <w:p w14:paraId="7AECFB2F" w14:textId="1987B8B1" w:rsidR="00E86446" w:rsidRDefault="00345E63">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Suaugusie</w:t>
      </w:r>
      <w:r w:rsidR="003F16A0">
        <w:rPr>
          <w:rFonts w:eastAsiaTheme="minorHAnsi"/>
          <w:i/>
          <w:iCs/>
          <w:color w:val="000000"/>
          <w:sz w:val="22"/>
          <w:szCs w:val="22"/>
          <w:u w:val="single"/>
          <w:lang w:eastAsia="en-US"/>
        </w:rPr>
        <w:t>siems</w:t>
      </w:r>
      <w:r>
        <w:rPr>
          <w:rFonts w:eastAsiaTheme="minorHAnsi"/>
          <w:i/>
          <w:iCs/>
          <w:color w:val="000000"/>
          <w:sz w:val="22"/>
          <w:szCs w:val="22"/>
          <w:u w:val="single"/>
          <w:lang w:eastAsia="en-US"/>
        </w:rPr>
        <w:t>, kurių inkstų funkcija normali (</w:t>
      </w:r>
      <w:proofErr w:type="spellStart"/>
      <w:r>
        <w:rPr>
          <w:rFonts w:eastAsiaTheme="minorHAnsi"/>
          <w:i/>
          <w:iCs/>
          <w:color w:val="000000"/>
          <w:sz w:val="22"/>
          <w:szCs w:val="22"/>
          <w:u w:val="single"/>
          <w:lang w:eastAsia="en-US"/>
        </w:rPr>
        <w:t>glomerulų</w:t>
      </w:r>
      <w:proofErr w:type="spellEnd"/>
      <w:r>
        <w:rPr>
          <w:rFonts w:eastAsiaTheme="minorHAnsi"/>
          <w:i/>
          <w:iCs/>
          <w:color w:val="000000"/>
          <w:sz w:val="22"/>
          <w:szCs w:val="22"/>
          <w:u w:val="single"/>
          <w:lang w:eastAsia="en-US"/>
        </w:rPr>
        <w:t xml:space="preserve"> filtracijos greitis [GFG]</w:t>
      </w:r>
      <w:r w:rsidR="003F16A0">
        <w:rPr>
          <w:rFonts w:eastAsiaTheme="minorHAnsi"/>
          <w:i/>
          <w:iCs/>
          <w:color w:val="000000"/>
          <w:sz w:val="22"/>
          <w:szCs w:val="22"/>
          <w:u w:val="single"/>
          <w:lang w:eastAsia="en-US"/>
        </w:rPr>
        <w:t> </w:t>
      </w:r>
      <w:r>
        <w:rPr>
          <w:rFonts w:eastAsiaTheme="minorHAnsi"/>
          <w:i/>
          <w:iCs/>
          <w:color w:val="000000"/>
          <w:sz w:val="22"/>
          <w:szCs w:val="22"/>
          <w:u w:val="single"/>
          <w:lang w:eastAsia="en-US"/>
        </w:rPr>
        <w:t>≥</w:t>
      </w:r>
      <w:r w:rsidR="003F16A0">
        <w:rPr>
          <w:rFonts w:eastAsiaTheme="minorHAnsi"/>
          <w:i/>
          <w:iCs/>
          <w:color w:val="000000"/>
          <w:sz w:val="22"/>
          <w:szCs w:val="22"/>
          <w:u w:val="single"/>
          <w:lang w:eastAsia="en-US"/>
        </w:rPr>
        <w:t> </w:t>
      </w:r>
      <w:r>
        <w:rPr>
          <w:rFonts w:eastAsiaTheme="minorHAnsi"/>
          <w:i/>
          <w:iCs/>
          <w:color w:val="000000"/>
          <w:sz w:val="22"/>
          <w:szCs w:val="22"/>
          <w:u w:val="single"/>
          <w:lang w:eastAsia="en-US"/>
        </w:rPr>
        <w:t>90 ml/min.)</w:t>
      </w:r>
    </w:p>
    <w:p w14:paraId="706D3FAB" w14:textId="77777777" w:rsidR="00E86446" w:rsidRDefault="00E86446">
      <w:pPr>
        <w:autoSpaceDE w:val="0"/>
        <w:autoSpaceDN w:val="0"/>
        <w:adjustRightInd w:val="0"/>
        <w:rPr>
          <w:rFonts w:eastAsiaTheme="minorHAnsi"/>
          <w:color w:val="000000"/>
          <w:sz w:val="22"/>
          <w:szCs w:val="22"/>
          <w:lang w:eastAsia="en-US"/>
        </w:rPr>
      </w:pPr>
    </w:p>
    <w:p w14:paraId="2A307E3B" w14:textId="77777777" w:rsidR="00E86446" w:rsidRDefault="00345E63">
      <w:pPr>
        <w:pStyle w:val="Antrat4"/>
        <w:spacing w:line="240" w:lineRule="auto"/>
        <w:jc w:val="left"/>
        <w:rPr>
          <w:rFonts w:ascii="Times New Roman" w:eastAsiaTheme="minorHAnsi" w:hAnsi="Times New Roman"/>
          <w:b w:val="0"/>
          <w:bCs w:val="0"/>
          <w:snapToGrid/>
          <w:color w:val="000000"/>
          <w:sz w:val="22"/>
          <w:szCs w:val="22"/>
          <w:lang w:val="lt-LT" w:eastAsia="en-US"/>
        </w:rPr>
      </w:pPr>
      <w:r>
        <w:rPr>
          <w:rFonts w:ascii="Times New Roman" w:eastAsiaTheme="minorHAnsi" w:hAnsi="Times New Roman"/>
          <w:b w:val="0"/>
          <w:bCs w:val="0"/>
          <w:snapToGrid/>
          <w:color w:val="000000"/>
          <w:sz w:val="22"/>
          <w:szCs w:val="22"/>
          <w:lang w:val="lt-LT" w:eastAsia="en-US"/>
        </w:rPr>
        <w:t xml:space="preserve">Rekomenduojama dozė yra po vieną tabletę 2 kartus per parą. Kiekvienoje tabletėje yra fiksuota dapagliflozino ir </w:t>
      </w:r>
      <w:proofErr w:type="spellStart"/>
      <w:r>
        <w:rPr>
          <w:rFonts w:ascii="Times New Roman" w:eastAsiaTheme="minorHAnsi" w:hAnsi="Times New Roman"/>
          <w:b w:val="0"/>
          <w:bCs w:val="0"/>
          <w:snapToGrid/>
          <w:color w:val="000000"/>
          <w:sz w:val="22"/>
          <w:szCs w:val="22"/>
          <w:lang w:val="lt-LT" w:eastAsia="en-US"/>
        </w:rPr>
        <w:t>metformino</w:t>
      </w:r>
      <w:proofErr w:type="spellEnd"/>
      <w:r>
        <w:rPr>
          <w:rFonts w:ascii="Times New Roman" w:eastAsiaTheme="minorHAnsi" w:hAnsi="Times New Roman"/>
          <w:b w:val="0"/>
          <w:bCs w:val="0"/>
          <w:snapToGrid/>
          <w:color w:val="000000"/>
          <w:sz w:val="22"/>
          <w:szCs w:val="22"/>
          <w:lang w:val="lt-LT" w:eastAsia="en-US"/>
        </w:rPr>
        <w:t xml:space="preserve"> dozė (žr. 2 skyrių).</w:t>
      </w:r>
    </w:p>
    <w:p w14:paraId="216761B2" w14:textId="77777777" w:rsidR="00E86446" w:rsidRDefault="00E86446">
      <w:pPr>
        <w:rPr>
          <w:sz w:val="22"/>
          <w:szCs w:val="22"/>
          <w:lang w:eastAsia="en-US"/>
        </w:rPr>
      </w:pPr>
    </w:p>
    <w:p w14:paraId="161BAF5A"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Pacientams, kuriems </w:t>
      </w:r>
      <w:proofErr w:type="spellStart"/>
      <w:r>
        <w:rPr>
          <w:rFonts w:eastAsiaTheme="minorHAnsi"/>
          <w:i/>
          <w:iCs/>
          <w:color w:val="000000"/>
          <w:sz w:val="22"/>
          <w:szCs w:val="22"/>
          <w:lang w:eastAsia="en-US"/>
        </w:rPr>
        <w:t>metforminas</w:t>
      </w:r>
      <w:proofErr w:type="spellEnd"/>
      <w:r>
        <w:rPr>
          <w:rFonts w:eastAsiaTheme="minorHAnsi"/>
          <w:i/>
          <w:iCs/>
          <w:color w:val="000000"/>
          <w:sz w:val="22"/>
          <w:szCs w:val="22"/>
          <w:lang w:eastAsia="en-US"/>
        </w:rPr>
        <w:t xml:space="preserve"> vienas arba kartu su kitais vaistiniais preparatais nuo diabeto, neužtikrina reikiamos </w:t>
      </w:r>
      <w:proofErr w:type="spellStart"/>
      <w:r>
        <w:rPr>
          <w:rFonts w:eastAsiaTheme="minorHAnsi"/>
          <w:i/>
          <w:iCs/>
          <w:color w:val="000000"/>
          <w:sz w:val="22"/>
          <w:szCs w:val="22"/>
          <w:lang w:eastAsia="en-US"/>
        </w:rPr>
        <w:t>glikemijos</w:t>
      </w:r>
      <w:proofErr w:type="spellEnd"/>
      <w:r>
        <w:rPr>
          <w:rFonts w:eastAsiaTheme="minorHAnsi"/>
          <w:i/>
          <w:iCs/>
          <w:color w:val="000000"/>
          <w:sz w:val="22"/>
          <w:szCs w:val="22"/>
          <w:lang w:eastAsia="en-US"/>
        </w:rPr>
        <w:t xml:space="preserve"> kontrolės</w:t>
      </w:r>
    </w:p>
    <w:p w14:paraId="3F22C053" w14:textId="7DB39CBD"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Pacientams, kuriems </w:t>
      </w:r>
      <w:proofErr w:type="spellStart"/>
      <w:r>
        <w:rPr>
          <w:rFonts w:eastAsiaTheme="minorHAnsi"/>
          <w:color w:val="000000"/>
          <w:sz w:val="22"/>
          <w:szCs w:val="22"/>
          <w:lang w:eastAsia="en-US"/>
        </w:rPr>
        <w:t>metforminas</w:t>
      </w:r>
      <w:proofErr w:type="spellEnd"/>
      <w:r>
        <w:rPr>
          <w:rFonts w:eastAsiaTheme="minorHAnsi"/>
          <w:color w:val="000000"/>
          <w:sz w:val="22"/>
          <w:szCs w:val="22"/>
          <w:lang w:eastAsia="en-US"/>
        </w:rPr>
        <w:t xml:space="preserve"> vienas arba kartu su kitais diabetui gydyti skirtais vaistiniais preparatais neužtikrina reikiamos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kontrolės, reikia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paros dozę, atitinkančią 10</w:t>
      </w:r>
      <w:r w:rsidR="005424B3">
        <w:rPr>
          <w:rFonts w:eastAsiaTheme="minorHAnsi"/>
          <w:color w:val="000000"/>
          <w:sz w:val="22"/>
          <w:szCs w:val="22"/>
          <w:lang w:eastAsia="en-US"/>
        </w:rPr>
        <w:t> </w:t>
      </w:r>
      <w:r>
        <w:rPr>
          <w:rFonts w:eastAsiaTheme="minorHAnsi"/>
          <w:color w:val="000000"/>
          <w:sz w:val="22"/>
          <w:szCs w:val="22"/>
          <w:lang w:eastAsia="en-US"/>
        </w:rPr>
        <w:t xml:space="preserve">mg dapagliflozino ir tokią, kaip jau </w:t>
      </w:r>
      <w:proofErr w:type="spellStart"/>
      <w:r>
        <w:rPr>
          <w:rFonts w:eastAsiaTheme="minorHAnsi"/>
          <w:color w:val="000000"/>
          <w:sz w:val="22"/>
          <w:szCs w:val="22"/>
          <w:lang w:eastAsia="en-US"/>
        </w:rPr>
        <w:t>vartojama,arba</w:t>
      </w:r>
      <w:proofErr w:type="spellEnd"/>
      <w:r>
        <w:rPr>
          <w:rFonts w:eastAsiaTheme="minorHAnsi"/>
          <w:color w:val="000000"/>
          <w:sz w:val="22"/>
          <w:szCs w:val="22"/>
          <w:lang w:eastAsia="en-US"/>
        </w:rPr>
        <w:t xml:space="preserve"> jai artimiausią gydymui tinkamą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paros dozę.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vartojant kartu su insulinu arba jo sekreciją didinančiu vaistiniu preparatu (pvz., </w:t>
      </w:r>
      <w:proofErr w:type="spellStart"/>
      <w:r>
        <w:rPr>
          <w:rFonts w:eastAsiaTheme="minorHAnsi"/>
          <w:color w:val="000000"/>
          <w:sz w:val="22"/>
          <w:szCs w:val="22"/>
          <w:lang w:eastAsia="en-US"/>
        </w:rPr>
        <w:t>sulfonilkarbamidu</w:t>
      </w:r>
      <w:proofErr w:type="spellEnd"/>
      <w:r>
        <w:rPr>
          <w:rFonts w:eastAsiaTheme="minorHAnsi"/>
          <w:color w:val="000000"/>
          <w:sz w:val="22"/>
          <w:szCs w:val="22"/>
          <w:lang w:eastAsia="en-US"/>
        </w:rPr>
        <w:t xml:space="preserve">), galima svarstyti </w:t>
      </w:r>
      <w:r w:rsidR="007B7DF4">
        <w:rPr>
          <w:rFonts w:eastAsiaTheme="minorHAnsi"/>
          <w:color w:val="000000"/>
          <w:sz w:val="22"/>
          <w:szCs w:val="22"/>
          <w:lang w:eastAsia="en-US"/>
        </w:rPr>
        <w:t xml:space="preserve">galimybę </w:t>
      </w:r>
      <w:r>
        <w:rPr>
          <w:rFonts w:eastAsiaTheme="minorHAnsi"/>
          <w:color w:val="000000"/>
          <w:sz w:val="22"/>
          <w:szCs w:val="22"/>
          <w:lang w:eastAsia="en-US"/>
        </w:rPr>
        <w:t xml:space="preserve">sumažinti insulino arba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dozę, kad būtų mažesnė hipoglikemijos rizika (žr. 4.5 ir 4.8 skyrius).</w:t>
      </w:r>
    </w:p>
    <w:p w14:paraId="33390592" w14:textId="77777777" w:rsidR="00E86446" w:rsidRDefault="00E86446">
      <w:pPr>
        <w:autoSpaceDE w:val="0"/>
        <w:autoSpaceDN w:val="0"/>
        <w:adjustRightInd w:val="0"/>
        <w:rPr>
          <w:rFonts w:eastAsiaTheme="minorHAnsi"/>
          <w:color w:val="000000"/>
          <w:sz w:val="22"/>
          <w:szCs w:val="22"/>
          <w:lang w:eastAsia="en-US"/>
        </w:rPr>
      </w:pPr>
    </w:p>
    <w:p w14:paraId="2D978E94"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Pacientams, kuriems atskiros dapagliflozino ir </w:t>
      </w:r>
      <w:proofErr w:type="spellStart"/>
      <w:r>
        <w:rPr>
          <w:rFonts w:eastAsiaTheme="minorHAnsi"/>
          <w:i/>
          <w:iCs/>
          <w:color w:val="000000"/>
          <w:sz w:val="22"/>
          <w:szCs w:val="22"/>
          <w:lang w:eastAsia="en-US"/>
        </w:rPr>
        <w:t>metformino</w:t>
      </w:r>
      <w:proofErr w:type="spellEnd"/>
      <w:r>
        <w:rPr>
          <w:rFonts w:eastAsiaTheme="minorHAnsi"/>
          <w:i/>
          <w:iCs/>
          <w:color w:val="000000"/>
          <w:sz w:val="22"/>
          <w:szCs w:val="22"/>
          <w:lang w:eastAsia="en-US"/>
        </w:rPr>
        <w:t xml:space="preserve"> tabletės keičiamos šiuo vaistiniu preparatu</w:t>
      </w:r>
    </w:p>
    <w:p w14:paraId="2A4583C2"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Pacientams, kuriems atskiros dapagliflozino (paros dozė – 10 mg)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tabletės keičiamos į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reikia vartoti tokią pačią dapagliflozino paros dozę ir tokią pačią arba jai artimiausią gydymui tinkamą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dozę.</w:t>
      </w:r>
    </w:p>
    <w:p w14:paraId="47DC6199" w14:textId="77777777" w:rsidR="00E86446" w:rsidRDefault="00E86446">
      <w:pPr>
        <w:autoSpaceDE w:val="0"/>
        <w:autoSpaceDN w:val="0"/>
        <w:adjustRightInd w:val="0"/>
        <w:rPr>
          <w:rFonts w:eastAsiaTheme="minorHAnsi"/>
          <w:color w:val="000000"/>
          <w:sz w:val="22"/>
          <w:szCs w:val="22"/>
          <w:lang w:eastAsia="en-US"/>
        </w:rPr>
      </w:pPr>
    </w:p>
    <w:p w14:paraId="6C99064B"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Ypatingos populiacijos</w:t>
      </w:r>
    </w:p>
    <w:p w14:paraId="459351AC" w14:textId="6E9103A8" w:rsidR="00E86446" w:rsidRDefault="00850591">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Pacientams, kurių </w:t>
      </w:r>
      <w:r w:rsidR="00345E63">
        <w:rPr>
          <w:rFonts w:eastAsiaTheme="minorHAnsi"/>
          <w:i/>
          <w:iCs/>
          <w:color w:val="000000"/>
          <w:sz w:val="22"/>
          <w:szCs w:val="22"/>
          <w:lang w:eastAsia="en-US"/>
        </w:rPr>
        <w:t xml:space="preserve"> inkstų funkcija</w:t>
      </w:r>
      <w:r>
        <w:rPr>
          <w:rFonts w:eastAsiaTheme="minorHAnsi"/>
          <w:i/>
          <w:iCs/>
          <w:color w:val="000000"/>
          <w:sz w:val="22"/>
          <w:szCs w:val="22"/>
          <w:lang w:eastAsia="en-US"/>
        </w:rPr>
        <w:t xml:space="preserve"> sutrikusi</w:t>
      </w:r>
    </w:p>
    <w:p w14:paraId="3FB11903" w14:textId="4C462DC1"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Prieš pradedant gydymą vaistiniais preparatais, kurių sudėtyje yra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po to bent kasmet reikia tirti GFG. Jeigu inkstų funkcijos sutrikimo tolesnio progresavimo rizika padidėjusi arba pacientas senyvas, inkstų funkciją reikia tirti dažniau, pvz., kas 3 - 6 mėnesius.</w:t>
      </w:r>
    </w:p>
    <w:p w14:paraId="081966A7" w14:textId="77777777" w:rsidR="00E86446" w:rsidRDefault="00E86446">
      <w:pPr>
        <w:autoSpaceDE w:val="0"/>
        <w:autoSpaceDN w:val="0"/>
        <w:adjustRightInd w:val="0"/>
        <w:rPr>
          <w:rFonts w:eastAsiaTheme="minorHAnsi"/>
          <w:color w:val="000000"/>
          <w:sz w:val="22"/>
          <w:szCs w:val="22"/>
          <w:lang w:eastAsia="en-US"/>
        </w:rPr>
      </w:pPr>
    </w:p>
    <w:p w14:paraId="5183D0FC" w14:textId="3B562A5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Didžiausią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paros dozę pageidautina padalinti į 2-3 vienkartines. Prieš pradedant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gydyti pacientus, kurių GFG</w:t>
      </w:r>
      <w:r w:rsidR="00FC1B16">
        <w:rPr>
          <w:rFonts w:eastAsiaTheme="minorHAnsi"/>
          <w:color w:val="000000"/>
          <w:sz w:val="22"/>
          <w:szCs w:val="22"/>
          <w:lang w:eastAsia="en-US"/>
        </w:rPr>
        <w:t> </w:t>
      </w:r>
      <w:r>
        <w:rPr>
          <w:rFonts w:eastAsiaTheme="minorHAnsi"/>
          <w:color w:val="000000"/>
          <w:sz w:val="22"/>
          <w:szCs w:val="22"/>
          <w:lang w:eastAsia="en-US"/>
        </w:rPr>
        <w:t xml:space="preserve">&lt; 60 ml/min., reikia įvertinti veiksnius, dėl kurių gali padidėti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(žr. 4.4 skyrių).</w:t>
      </w:r>
    </w:p>
    <w:p w14:paraId="48F535DA" w14:textId="77777777" w:rsidR="00E86446" w:rsidRDefault="00E86446">
      <w:pPr>
        <w:autoSpaceDE w:val="0"/>
        <w:autoSpaceDN w:val="0"/>
        <w:adjustRightInd w:val="0"/>
        <w:rPr>
          <w:rFonts w:eastAsiaTheme="minorHAnsi"/>
          <w:color w:val="000000"/>
          <w:sz w:val="22"/>
          <w:szCs w:val="22"/>
          <w:lang w:eastAsia="en-US"/>
        </w:rPr>
      </w:pPr>
    </w:p>
    <w:p w14:paraId="021FD207" w14:textId="77777777" w:rsidR="00E86446" w:rsidRDefault="00345E63">
      <w:pPr>
        <w:rPr>
          <w:rFonts w:eastAsiaTheme="minorHAnsi"/>
          <w:color w:val="000000"/>
          <w:sz w:val="22"/>
          <w:szCs w:val="22"/>
          <w:lang w:eastAsia="en-US"/>
        </w:rPr>
      </w:pPr>
      <w:r>
        <w:rPr>
          <w:rFonts w:eastAsiaTheme="minorHAnsi"/>
          <w:color w:val="000000"/>
          <w:sz w:val="22"/>
          <w:szCs w:val="22"/>
          <w:lang w:eastAsia="en-US"/>
        </w:rPr>
        <w:t xml:space="preserve">Jei nėra tinkamo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stiprumo, vietoj fiksuotų dozių derinio reikia vartoti atskirus vieną veikliąją medžiagą turinčius komponentus.</w:t>
      </w:r>
    </w:p>
    <w:p w14:paraId="19C90440" w14:textId="77777777" w:rsidR="00E86446" w:rsidRDefault="00E86446">
      <w:pPr>
        <w:rPr>
          <w:rFonts w:eastAsiaTheme="minorHAnsi"/>
          <w:color w:val="000000"/>
          <w:sz w:val="22"/>
          <w:szCs w:val="22"/>
          <w:lang w:eastAsia="en-US"/>
        </w:rPr>
      </w:pPr>
    </w:p>
    <w:p w14:paraId="4FB4DD73" w14:textId="77777777" w:rsidR="00E86446" w:rsidRDefault="00345E63">
      <w:pPr>
        <w:pStyle w:val="Antrat4"/>
        <w:spacing w:line="240" w:lineRule="auto"/>
        <w:jc w:val="left"/>
        <w:rPr>
          <w:rFonts w:ascii="Times New Roman" w:hAnsi="Times New Roman"/>
          <w:sz w:val="22"/>
          <w:szCs w:val="22"/>
          <w:lang w:val="lt-LT"/>
        </w:rPr>
      </w:pPr>
      <w:r w:rsidRPr="003171F5">
        <w:rPr>
          <w:rFonts w:ascii="Times New Roman" w:hAnsi="Times New Roman"/>
          <w:sz w:val="22"/>
          <w:szCs w:val="22"/>
          <w:lang w:val="lt-LT"/>
        </w:rPr>
        <w:t>1 lentelė. Dozavimas pacientams, kurių inkstų funkcija sutrikusi</w:t>
      </w:r>
    </w:p>
    <w:tbl>
      <w:tblPr>
        <w:tblStyle w:val="Lentelstinklelis2"/>
        <w:tblW w:w="0" w:type="auto"/>
        <w:tblLook w:val="04A0" w:firstRow="1" w:lastRow="0" w:firstColumn="1" w:lastColumn="0" w:noHBand="0" w:noVBand="1"/>
      </w:tblPr>
      <w:tblGrid>
        <w:gridCol w:w="1555"/>
        <w:gridCol w:w="3827"/>
        <w:gridCol w:w="3679"/>
      </w:tblGrid>
      <w:tr w:rsidR="00E86446" w14:paraId="21FDF617" w14:textId="77777777">
        <w:tc>
          <w:tcPr>
            <w:tcW w:w="1555" w:type="dxa"/>
          </w:tcPr>
          <w:p w14:paraId="68A05938" w14:textId="77777777" w:rsidR="00E86446" w:rsidRDefault="00345E63">
            <w:pPr>
              <w:widowControl w:val="0"/>
              <w:tabs>
                <w:tab w:val="left" w:pos="567"/>
              </w:tabs>
              <w:rPr>
                <w:iCs/>
                <w:sz w:val="22"/>
                <w:szCs w:val="22"/>
                <w:lang w:val="en-GB" w:eastAsia="en-US"/>
              </w:rPr>
            </w:pPr>
            <w:r>
              <w:rPr>
                <w:iCs/>
                <w:sz w:val="22"/>
                <w:szCs w:val="22"/>
                <w:lang w:val="en-GB" w:eastAsia="en-US"/>
              </w:rPr>
              <w:t>GFR ml/min</w:t>
            </w:r>
          </w:p>
        </w:tc>
        <w:tc>
          <w:tcPr>
            <w:tcW w:w="3827" w:type="dxa"/>
          </w:tcPr>
          <w:p w14:paraId="6A8BAE61" w14:textId="77777777" w:rsidR="00E86446" w:rsidRDefault="00345E63">
            <w:pPr>
              <w:widowControl w:val="0"/>
              <w:tabs>
                <w:tab w:val="left" w:pos="567"/>
              </w:tabs>
              <w:rPr>
                <w:iCs/>
                <w:sz w:val="22"/>
                <w:szCs w:val="22"/>
                <w:lang w:val="en-GB" w:eastAsia="en-US"/>
              </w:rPr>
            </w:pPr>
            <w:r>
              <w:rPr>
                <w:iCs/>
                <w:sz w:val="22"/>
                <w:szCs w:val="22"/>
                <w:lang w:val="en-GB" w:eastAsia="en-US"/>
              </w:rPr>
              <w:t>Metforminas</w:t>
            </w:r>
          </w:p>
        </w:tc>
        <w:tc>
          <w:tcPr>
            <w:tcW w:w="3679" w:type="dxa"/>
          </w:tcPr>
          <w:p w14:paraId="0BADB4CE"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Dapagliflozinas</w:t>
            </w:r>
            <w:proofErr w:type="spellEnd"/>
          </w:p>
        </w:tc>
      </w:tr>
      <w:tr w:rsidR="00E86446" w14:paraId="199BEB13" w14:textId="77777777">
        <w:tc>
          <w:tcPr>
            <w:tcW w:w="1555" w:type="dxa"/>
          </w:tcPr>
          <w:p w14:paraId="26D68D20" w14:textId="77777777" w:rsidR="00E86446" w:rsidRDefault="00E86446">
            <w:pPr>
              <w:widowControl w:val="0"/>
              <w:tabs>
                <w:tab w:val="left" w:pos="567"/>
              </w:tabs>
              <w:jc w:val="center"/>
              <w:rPr>
                <w:iCs/>
                <w:sz w:val="22"/>
                <w:szCs w:val="22"/>
                <w:lang w:val="en-GB" w:eastAsia="en-US"/>
              </w:rPr>
            </w:pPr>
          </w:p>
          <w:p w14:paraId="0FF0C405" w14:textId="77777777" w:rsidR="00E86446" w:rsidRDefault="00345E63">
            <w:pPr>
              <w:widowControl w:val="0"/>
              <w:tabs>
                <w:tab w:val="left" w:pos="567"/>
              </w:tabs>
              <w:jc w:val="center"/>
              <w:rPr>
                <w:iCs/>
                <w:sz w:val="22"/>
                <w:szCs w:val="22"/>
                <w:lang w:val="en-GB" w:eastAsia="en-US"/>
              </w:rPr>
            </w:pPr>
            <w:r>
              <w:rPr>
                <w:iCs/>
                <w:sz w:val="22"/>
                <w:szCs w:val="22"/>
                <w:lang w:val="en-GB" w:eastAsia="en-US"/>
              </w:rPr>
              <w:t>60-89</w:t>
            </w:r>
          </w:p>
        </w:tc>
        <w:tc>
          <w:tcPr>
            <w:tcW w:w="3827" w:type="dxa"/>
          </w:tcPr>
          <w:p w14:paraId="229C9A8E"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3 000 mg.</w:t>
            </w:r>
          </w:p>
          <w:p w14:paraId="6CE20FE7"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Atsižvelgiant</w:t>
            </w:r>
            <w:proofErr w:type="spellEnd"/>
            <w:r>
              <w:rPr>
                <w:iCs/>
                <w:sz w:val="22"/>
                <w:szCs w:val="22"/>
                <w:lang w:val="en-GB" w:eastAsia="en-US"/>
              </w:rPr>
              <w:t xml:space="preserve"> į </w:t>
            </w:r>
            <w:proofErr w:type="spellStart"/>
            <w:r>
              <w:rPr>
                <w:iCs/>
                <w:sz w:val="22"/>
                <w:szCs w:val="22"/>
                <w:lang w:val="en-GB" w:eastAsia="en-US"/>
              </w:rPr>
              <w:t>inkstų</w:t>
            </w:r>
            <w:proofErr w:type="spellEnd"/>
            <w:r>
              <w:rPr>
                <w:iCs/>
                <w:sz w:val="22"/>
                <w:szCs w:val="22"/>
                <w:lang w:val="en-GB" w:eastAsia="en-US"/>
              </w:rPr>
              <w:t xml:space="preserve"> </w:t>
            </w:r>
            <w:proofErr w:type="spellStart"/>
            <w:r>
              <w:rPr>
                <w:iCs/>
                <w:sz w:val="22"/>
                <w:szCs w:val="22"/>
                <w:lang w:val="en-GB" w:eastAsia="en-US"/>
              </w:rPr>
              <w:t>funkcijos</w:t>
            </w:r>
            <w:proofErr w:type="spellEnd"/>
            <w:r>
              <w:rPr>
                <w:iCs/>
                <w:sz w:val="22"/>
                <w:szCs w:val="22"/>
                <w:lang w:val="en-GB" w:eastAsia="en-US"/>
              </w:rPr>
              <w:t xml:space="preserve"> </w:t>
            </w:r>
            <w:proofErr w:type="spellStart"/>
            <w:r>
              <w:rPr>
                <w:iCs/>
                <w:sz w:val="22"/>
                <w:szCs w:val="22"/>
                <w:lang w:val="en-GB" w:eastAsia="en-US"/>
              </w:rPr>
              <w:t>silpnėjimą</w:t>
            </w:r>
            <w:proofErr w:type="spellEnd"/>
            <w:r>
              <w:rPr>
                <w:iCs/>
                <w:sz w:val="22"/>
                <w:szCs w:val="22"/>
                <w:lang w:val="en-GB" w:eastAsia="en-US"/>
              </w:rPr>
              <w:t xml:space="preserve">, </w:t>
            </w:r>
            <w:proofErr w:type="spellStart"/>
            <w:r>
              <w:rPr>
                <w:iCs/>
                <w:sz w:val="22"/>
                <w:szCs w:val="22"/>
                <w:lang w:val="en-GB" w:eastAsia="en-US"/>
              </w:rPr>
              <w:t>galima</w:t>
            </w:r>
            <w:proofErr w:type="spellEnd"/>
            <w:r>
              <w:rPr>
                <w:iCs/>
                <w:sz w:val="22"/>
                <w:szCs w:val="22"/>
                <w:lang w:val="en-GB" w:eastAsia="en-US"/>
              </w:rPr>
              <w:t xml:space="preserve"> </w:t>
            </w:r>
            <w:proofErr w:type="spellStart"/>
            <w:r>
              <w:rPr>
                <w:iCs/>
                <w:sz w:val="22"/>
                <w:szCs w:val="22"/>
                <w:lang w:val="en-GB" w:eastAsia="en-US"/>
              </w:rPr>
              <w:t>apsvarstyti</w:t>
            </w:r>
            <w:proofErr w:type="spellEnd"/>
            <w:r>
              <w:rPr>
                <w:iCs/>
                <w:sz w:val="22"/>
                <w:szCs w:val="22"/>
                <w:lang w:val="en-GB" w:eastAsia="en-US"/>
              </w:rPr>
              <w:t xml:space="preserve"> </w:t>
            </w:r>
            <w:proofErr w:type="spellStart"/>
            <w:r>
              <w:rPr>
                <w:iCs/>
                <w:sz w:val="22"/>
                <w:szCs w:val="22"/>
                <w:lang w:val="en-GB" w:eastAsia="en-US"/>
              </w:rPr>
              <w:t>dozės</w:t>
            </w:r>
            <w:proofErr w:type="spellEnd"/>
            <w:r>
              <w:rPr>
                <w:iCs/>
                <w:sz w:val="22"/>
                <w:szCs w:val="22"/>
                <w:lang w:val="en-GB" w:eastAsia="en-US"/>
              </w:rPr>
              <w:t xml:space="preserve"> </w:t>
            </w:r>
            <w:proofErr w:type="spellStart"/>
            <w:r>
              <w:rPr>
                <w:iCs/>
                <w:sz w:val="22"/>
                <w:szCs w:val="22"/>
                <w:lang w:val="en-GB" w:eastAsia="en-US"/>
              </w:rPr>
              <w:t>mažinimo</w:t>
            </w:r>
            <w:proofErr w:type="spellEnd"/>
            <w:r>
              <w:rPr>
                <w:iCs/>
                <w:sz w:val="22"/>
                <w:szCs w:val="22"/>
                <w:lang w:val="en-GB" w:eastAsia="en-US"/>
              </w:rPr>
              <w:t xml:space="preserve"> </w:t>
            </w:r>
            <w:proofErr w:type="spellStart"/>
            <w:r>
              <w:rPr>
                <w:iCs/>
                <w:sz w:val="22"/>
                <w:szCs w:val="22"/>
                <w:lang w:val="en-GB" w:eastAsia="en-US"/>
              </w:rPr>
              <w:t>galimybę</w:t>
            </w:r>
            <w:proofErr w:type="spellEnd"/>
            <w:r>
              <w:rPr>
                <w:iCs/>
                <w:sz w:val="22"/>
                <w:szCs w:val="22"/>
                <w:lang w:val="en-GB" w:eastAsia="en-US"/>
              </w:rPr>
              <w:t>.</w:t>
            </w:r>
          </w:p>
        </w:tc>
        <w:tc>
          <w:tcPr>
            <w:tcW w:w="3679" w:type="dxa"/>
          </w:tcPr>
          <w:p w14:paraId="3788F459"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10</w:t>
            </w:r>
            <w:r>
              <w:rPr>
                <w:sz w:val="22"/>
                <w:szCs w:val="22"/>
                <w:lang w:val="en-GB" w:eastAsia="sl-SI"/>
              </w:rPr>
              <w:t> </w:t>
            </w:r>
            <w:r>
              <w:rPr>
                <w:iCs/>
                <w:sz w:val="22"/>
                <w:szCs w:val="22"/>
                <w:lang w:val="en-GB" w:eastAsia="en-US"/>
              </w:rPr>
              <w:t>mg.</w:t>
            </w:r>
          </w:p>
          <w:p w14:paraId="1C12D5AC" w14:textId="77777777" w:rsidR="00E86446" w:rsidRDefault="00E86446">
            <w:pPr>
              <w:widowControl w:val="0"/>
              <w:tabs>
                <w:tab w:val="left" w:pos="567"/>
              </w:tabs>
              <w:rPr>
                <w:iCs/>
                <w:sz w:val="22"/>
                <w:szCs w:val="22"/>
                <w:lang w:val="en-GB" w:eastAsia="en-US"/>
              </w:rPr>
            </w:pPr>
          </w:p>
        </w:tc>
      </w:tr>
      <w:tr w:rsidR="00E86446" w14:paraId="762EAB79" w14:textId="77777777">
        <w:tc>
          <w:tcPr>
            <w:tcW w:w="1555" w:type="dxa"/>
          </w:tcPr>
          <w:p w14:paraId="0D95E53D" w14:textId="77777777" w:rsidR="00E86446" w:rsidRDefault="00E86446">
            <w:pPr>
              <w:widowControl w:val="0"/>
              <w:tabs>
                <w:tab w:val="left" w:pos="567"/>
              </w:tabs>
              <w:jc w:val="center"/>
              <w:rPr>
                <w:iCs/>
                <w:sz w:val="22"/>
                <w:szCs w:val="22"/>
                <w:lang w:val="en-GB" w:eastAsia="en-US"/>
              </w:rPr>
            </w:pPr>
          </w:p>
          <w:p w14:paraId="4A880484" w14:textId="77777777" w:rsidR="00E86446" w:rsidRDefault="00345E63">
            <w:pPr>
              <w:widowControl w:val="0"/>
              <w:tabs>
                <w:tab w:val="left" w:pos="567"/>
              </w:tabs>
              <w:jc w:val="center"/>
              <w:rPr>
                <w:iCs/>
                <w:sz w:val="22"/>
                <w:szCs w:val="22"/>
                <w:lang w:val="en-GB" w:eastAsia="en-US"/>
              </w:rPr>
            </w:pPr>
            <w:r>
              <w:rPr>
                <w:iCs/>
                <w:sz w:val="22"/>
                <w:szCs w:val="22"/>
                <w:lang w:val="en-GB" w:eastAsia="en-US"/>
              </w:rPr>
              <w:t>45-59</w:t>
            </w:r>
          </w:p>
        </w:tc>
        <w:tc>
          <w:tcPr>
            <w:tcW w:w="3827" w:type="dxa"/>
          </w:tcPr>
          <w:p w14:paraId="5F220DFF"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2 000 mg.</w:t>
            </w:r>
          </w:p>
          <w:p w14:paraId="387FEBDE" w14:textId="76A30E73" w:rsidR="00E86446" w:rsidRDefault="00345E63">
            <w:pPr>
              <w:widowControl w:val="0"/>
              <w:tabs>
                <w:tab w:val="left" w:pos="567"/>
              </w:tabs>
              <w:rPr>
                <w:iCs/>
                <w:sz w:val="22"/>
                <w:szCs w:val="22"/>
                <w:lang w:val="en-GB" w:eastAsia="en-US"/>
              </w:rPr>
            </w:pPr>
            <w:proofErr w:type="spellStart"/>
            <w:r>
              <w:rPr>
                <w:iCs/>
                <w:sz w:val="22"/>
                <w:szCs w:val="22"/>
                <w:lang w:val="en-GB" w:eastAsia="en-US"/>
              </w:rPr>
              <w:t>Pradinė</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w:t>
            </w:r>
            <w:proofErr w:type="spellStart"/>
            <w:r>
              <w:rPr>
                <w:iCs/>
                <w:sz w:val="22"/>
                <w:szCs w:val="22"/>
                <w:lang w:val="en-GB" w:eastAsia="en-US"/>
              </w:rPr>
              <w:t>turi</w:t>
            </w:r>
            <w:proofErr w:type="spellEnd"/>
            <w:r>
              <w:rPr>
                <w:iCs/>
                <w:sz w:val="22"/>
                <w:szCs w:val="22"/>
                <w:lang w:val="en-GB" w:eastAsia="en-US"/>
              </w:rPr>
              <w:t xml:space="preserve"> </w:t>
            </w:r>
            <w:proofErr w:type="spellStart"/>
            <w:r>
              <w:rPr>
                <w:iCs/>
                <w:sz w:val="22"/>
                <w:szCs w:val="22"/>
                <w:lang w:val="en-GB" w:eastAsia="en-US"/>
              </w:rPr>
              <w:t>neviršyti</w:t>
            </w:r>
            <w:proofErr w:type="spellEnd"/>
            <w:r>
              <w:rPr>
                <w:iCs/>
                <w:sz w:val="22"/>
                <w:szCs w:val="22"/>
                <w:lang w:val="en-GB" w:eastAsia="en-US"/>
              </w:rPr>
              <w:t xml:space="preserve"> </w:t>
            </w:r>
            <w:proofErr w:type="spellStart"/>
            <w:r>
              <w:rPr>
                <w:iCs/>
                <w:sz w:val="22"/>
                <w:szCs w:val="22"/>
                <w:lang w:val="en-GB" w:eastAsia="en-US"/>
              </w:rPr>
              <w:t>pusės</w:t>
            </w:r>
            <w:proofErr w:type="spellEnd"/>
            <w:r>
              <w:rPr>
                <w:iCs/>
                <w:sz w:val="22"/>
                <w:szCs w:val="22"/>
                <w:lang w:val="en-GB" w:eastAsia="en-US"/>
              </w:rPr>
              <w:t xml:space="preserve"> </w:t>
            </w:r>
            <w:proofErr w:type="spellStart"/>
            <w:r>
              <w:rPr>
                <w:iCs/>
                <w:sz w:val="22"/>
                <w:szCs w:val="22"/>
                <w:lang w:val="en-GB" w:eastAsia="en-US"/>
              </w:rPr>
              <w:t>didžiausiosios</w:t>
            </w:r>
            <w:proofErr w:type="spellEnd"/>
            <w:r w:rsidR="00F339A9">
              <w:rPr>
                <w:iCs/>
                <w:sz w:val="22"/>
                <w:szCs w:val="22"/>
                <w:lang w:val="en-GB" w:eastAsia="en-US"/>
              </w:rPr>
              <w:t xml:space="preserve"> </w:t>
            </w:r>
            <w:proofErr w:type="spellStart"/>
            <w:r w:rsidR="00F339A9">
              <w:rPr>
                <w:iCs/>
                <w:sz w:val="22"/>
                <w:szCs w:val="22"/>
                <w:lang w:val="en-GB" w:eastAsia="en-US"/>
              </w:rPr>
              <w:t>dozės</w:t>
            </w:r>
            <w:proofErr w:type="spellEnd"/>
            <w:r>
              <w:rPr>
                <w:iCs/>
                <w:sz w:val="22"/>
                <w:szCs w:val="22"/>
                <w:lang w:val="en-GB" w:eastAsia="en-US"/>
              </w:rPr>
              <w:t>.</w:t>
            </w:r>
          </w:p>
        </w:tc>
        <w:tc>
          <w:tcPr>
            <w:tcW w:w="3679" w:type="dxa"/>
          </w:tcPr>
          <w:p w14:paraId="1E8883A2"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10 mg.</w:t>
            </w:r>
          </w:p>
        </w:tc>
      </w:tr>
      <w:tr w:rsidR="00E86446" w14:paraId="2C00DDBD" w14:textId="77777777">
        <w:tc>
          <w:tcPr>
            <w:tcW w:w="1555" w:type="dxa"/>
          </w:tcPr>
          <w:p w14:paraId="7775480D" w14:textId="77777777" w:rsidR="00E86446" w:rsidRDefault="00E86446">
            <w:pPr>
              <w:widowControl w:val="0"/>
              <w:tabs>
                <w:tab w:val="left" w:pos="567"/>
              </w:tabs>
              <w:jc w:val="center"/>
              <w:rPr>
                <w:iCs/>
                <w:sz w:val="22"/>
                <w:szCs w:val="22"/>
                <w:lang w:val="en-GB" w:eastAsia="en-US"/>
              </w:rPr>
            </w:pPr>
          </w:p>
          <w:p w14:paraId="695A07BE" w14:textId="77777777" w:rsidR="00E86446" w:rsidRDefault="00345E63">
            <w:pPr>
              <w:widowControl w:val="0"/>
              <w:tabs>
                <w:tab w:val="left" w:pos="567"/>
              </w:tabs>
              <w:jc w:val="center"/>
              <w:rPr>
                <w:iCs/>
                <w:sz w:val="22"/>
                <w:szCs w:val="22"/>
                <w:lang w:val="en-GB" w:eastAsia="en-US"/>
              </w:rPr>
            </w:pPr>
            <w:r>
              <w:rPr>
                <w:iCs/>
                <w:sz w:val="22"/>
                <w:szCs w:val="22"/>
                <w:lang w:val="en-GB" w:eastAsia="en-US"/>
              </w:rPr>
              <w:t>30-44</w:t>
            </w:r>
          </w:p>
          <w:p w14:paraId="3DE7E8F4" w14:textId="77777777" w:rsidR="00E86446" w:rsidRDefault="00E86446">
            <w:pPr>
              <w:widowControl w:val="0"/>
              <w:tabs>
                <w:tab w:val="left" w:pos="567"/>
              </w:tabs>
              <w:jc w:val="center"/>
              <w:rPr>
                <w:iCs/>
                <w:sz w:val="22"/>
                <w:szCs w:val="22"/>
                <w:lang w:val="en-GB" w:eastAsia="en-US"/>
              </w:rPr>
            </w:pPr>
          </w:p>
        </w:tc>
        <w:tc>
          <w:tcPr>
            <w:tcW w:w="3827" w:type="dxa"/>
          </w:tcPr>
          <w:p w14:paraId="04E0A5D2"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1 000 mg.</w:t>
            </w:r>
          </w:p>
          <w:p w14:paraId="39462036" w14:textId="37C3DB81" w:rsidR="00E86446" w:rsidRDefault="00345E63">
            <w:pPr>
              <w:widowControl w:val="0"/>
              <w:tabs>
                <w:tab w:val="left" w:pos="567"/>
              </w:tabs>
              <w:rPr>
                <w:iCs/>
                <w:sz w:val="22"/>
                <w:szCs w:val="22"/>
                <w:lang w:val="en-GB" w:eastAsia="en-US"/>
              </w:rPr>
            </w:pPr>
            <w:proofErr w:type="spellStart"/>
            <w:r>
              <w:rPr>
                <w:iCs/>
                <w:sz w:val="22"/>
                <w:szCs w:val="22"/>
                <w:lang w:val="en-GB" w:eastAsia="en-US"/>
              </w:rPr>
              <w:t>Pradinė</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w:t>
            </w:r>
            <w:proofErr w:type="spellStart"/>
            <w:r>
              <w:rPr>
                <w:iCs/>
                <w:sz w:val="22"/>
                <w:szCs w:val="22"/>
                <w:lang w:val="en-GB" w:eastAsia="en-US"/>
              </w:rPr>
              <w:t>turi</w:t>
            </w:r>
            <w:proofErr w:type="spellEnd"/>
            <w:r>
              <w:rPr>
                <w:iCs/>
                <w:sz w:val="22"/>
                <w:szCs w:val="22"/>
                <w:lang w:val="en-GB" w:eastAsia="en-US"/>
              </w:rPr>
              <w:t xml:space="preserve"> </w:t>
            </w:r>
            <w:proofErr w:type="spellStart"/>
            <w:r>
              <w:rPr>
                <w:iCs/>
                <w:sz w:val="22"/>
                <w:szCs w:val="22"/>
                <w:lang w:val="en-GB" w:eastAsia="en-US"/>
              </w:rPr>
              <w:t>neviršyti</w:t>
            </w:r>
            <w:proofErr w:type="spellEnd"/>
            <w:r>
              <w:rPr>
                <w:iCs/>
                <w:sz w:val="22"/>
                <w:szCs w:val="22"/>
                <w:lang w:val="en-GB" w:eastAsia="en-US"/>
              </w:rPr>
              <w:t xml:space="preserve"> </w:t>
            </w:r>
            <w:proofErr w:type="spellStart"/>
            <w:r>
              <w:rPr>
                <w:iCs/>
                <w:sz w:val="22"/>
                <w:szCs w:val="22"/>
                <w:lang w:val="en-GB" w:eastAsia="en-US"/>
              </w:rPr>
              <w:t>pusės</w:t>
            </w:r>
            <w:proofErr w:type="spellEnd"/>
            <w:r>
              <w:rPr>
                <w:iCs/>
                <w:sz w:val="22"/>
                <w:szCs w:val="22"/>
                <w:lang w:val="en-GB" w:eastAsia="en-US"/>
              </w:rPr>
              <w:t xml:space="preserve"> </w:t>
            </w:r>
            <w:proofErr w:type="spellStart"/>
            <w:r>
              <w:rPr>
                <w:iCs/>
                <w:sz w:val="22"/>
                <w:szCs w:val="22"/>
                <w:lang w:val="en-GB" w:eastAsia="en-US"/>
              </w:rPr>
              <w:t>didžiausiosios</w:t>
            </w:r>
            <w:proofErr w:type="spellEnd"/>
            <w:r w:rsidR="00A7077C">
              <w:rPr>
                <w:iCs/>
                <w:sz w:val="22"/>
                <w:szCs w:val="22"/>
                <w:lang w:val="en-GB" w:eastAsia="en-US"/>
              </w:rPr>
              <w:t xml:space="preserve"> </w:t>
            </w:r>
            <w:proofErr w:type="spellStart"/>
            <w:r w:rsidR="00A7077C">
              <w:rPr>
                <w:iCs/>
                <w:sz w:val="22"/>
                <w:szCs w:val="22"/>
                <w:lang w:val="en-GB" w:eastAsia="en-US"/>
              </w:rPr>
              <w:t>dozės</w:t>
            </w:r>
            <w:proofErr w:type="spellEnd"/>
            <w:r>
              <w:rPr>
                <w:iCs/>
                <w:sz w:val="22"/>
                <w:szCs w:val="22"/>
                <w:lang w:val="en-GB" w:eastAsia="en-US"/>
              </w:rPr>
              <w:t>.</w:t>
            </w:r>
          </w:p>
        </w:tc>
        <w:tc>
          <w:tcPr>
            <w:tcW w:w="3679" w:type="dxa"/>
          </w:tcPr>
          <w:p w14:paraId="524E96ED"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10 mg. </w:t>
            </w:r>
            <w:proofErr w:type="spellStart"/>
            <w:r>
              <w:rPr>
                <w:iCs/>
                <w:sz w:val="22"/>
                <w:szCs w:val="22"/>
                <w:lang w:val="en-GB" w:eastAsia="en-US"/>
              </w:rPr>
              <w:t>Gliukozės</w:t>
            </w:r>
            <w:proofErr w:type="spellEnd"/>
            <w:r>
              <w:rPr>
                <w:iCs/>
                <w:sz w:val="22"/>
                <w:szCs w:val="22"/>
                <w:lang w:val="en-GB" w:eastAsia="en-US"/>
              </w:rPr>
              <w:t xml:space="preserve"> </w:t>
            </w:r>
            <w:proofErr w:type="spellStart"/>
            <w:r>
              <w:rPr>
                <w:iCs/>
                <w:sz w:val="22"/>
                <w:szCs w:val="22"/>
                <w:lang w:val="en-GB" w:eastAsia="en-US"/>
              </w:rPr>
              <w:t>koncentraciją</w:t>
            </w:r>
            <w:proofErr w:type="spellEnd"/>
            <w:r>
              <w:rPr>
                <w:iCs/>
                <w:sz w:val="22"/>
                <w:szCs w:val="22"/>
                <w:lang w:val="en-GB" w:eastAsia="en-US"/>
              </w:rPr>
              <w:t xml:space="preserve"> </w:t>
            </w:r>
            <w:proofErr w:type="spellStart"/>
            <w:r>
              <w:rPr>
                <w:iCs/>
                <w:sz w:val="22"/>
                <w:szCs w:val="22"/>
                <w:lang w:val="en-GB" w:eastAsia="en-US"/>
              </w:rPr>
              <w:t>mažinantis</w:t>
            </w:r>
            <w:proofErr w:type="spellEnd"/>
            <w:r>
              <w:rPr>
                <w:iCs/>
                <w:sz w:val="22"/>
                <w:szCs w:val="22"/>
                <w:lang w:val="en-GB" w:eastAsia="en-US"/>
              </w:rPr>
              <w:t xml:space="preserve"> </w:t>
            </w:r>
            <w:proofErr w:type="spellStart"/>
            <w:r>
              <w:rPr>
                <w:iCs/>
                <w:sz w:val="22"/>
                <w:szCs w:val="22"/>
                <w:lang w:val="en-GB" w:eastAsia="en-US"/>
              </w:rPr>
              <w:t>dapagliflozino</w:t>
            </w:r>
            <w:proofErr w:type="spellEnd"/>
            <w:r>
              <w:rPr>
                <w:iCs/>
                <w:sz w:val="22"/>
                <w:szCs w:val="22"/>
                <w:lang w:val="en-GB" w:eastAsia="en-US"/>
              </w:rPr>
              <w:t xml:space="preserve"> </w:t>
            </w:r>
            <w:proofErr w:type="spellStart"/>
            <w:r>
              <w:rPr>
                <w:iCs/>
                <w:sz w:val="22"/>
                <w:szCs w:val="22"/>
                <w:lang w:val="en-GB" w:eastAsia="en-US"/>
              </w:rPr>
              <w:t>poveikis</w:t>
            </w:r>
            <w:proofErr w:type="spellEnd"/>
            <w:r>
              <w:rPr>
                <w:iCs/>
                <w:sz w:val="22"/>
                <w:szCs w:val="22"/>
                <w:lang w:val="en-GB" w:eastAsia="en-US"/>
              </w:rPr>
              <w:t xml:space="preserve"> </w:t>
            </w:r>
            <w:proofErr w:type="spellStart"/>
            <w:r>
              <w:rPr>
                <w:iCs/>
                <w:sz w:val="22"/>
                <w:szCs w:val="22"/>
                <w:lang w:val="en-GB" w:eastAsia="en-US"/>
              </w:rPr>
              <w:t>yra</w:t>
            </w:r>
            <w:proofErr w:type="spellEnd"/>
            <w:r>
              <w:rPr>
                <w:iCs/>
                <w:sz w:val="22"/>
                <w:szCs w:val="22"/>
                <w:lang w:val="en-GB" w:eastAsia="en-US"/>
              </w:rPr>
              <w:t xml:space="preserve"> </w:t>
            </w:r>
            <w:proofErr w:type="spellStart"/>
            <w:r>
              <w:rPr>
                <w:iCs/>
                <w:sz w:val="22"/>
                <w:szCs w:val="22"/>
                <w:lang w:val="en-GB" w:eastAsia="en-US"/>
              </w:rPr>
              <w:t>silpnesnis</w:t>
            </w:r>
            <w:proofErr w:type="spellEnd"/>
            <w:r>
              <w:rPr>
                <w:iCs/>
                <w:sz w:val="22"/>
                <w:szCs w:val="22"/>
                <w:lang w:val="en-GB" w:eastAsia="en-US"/>
              </w:rPr>
              <w:t>.</w:t>
            </w:r>
          </w:p>
        </w:tc>
      </w:tr>
      <w:tr w:rsidR="00E86446" w14:paraId="51CC6C4F" w14:textId="77777777">
        <w:tc>
          <w:tcPr>
            <w:tcW w:w="1555" w:type="dxa"/>
          </w:tcPr>
          <w:p w14:paraId="384754C2" w14:textId="77777777" w:rsidR="00E86446" w:rsidRDefault="00E86446">
            <w:pPr>
              <w:widowControl w:val="0"/>
              <w:tabs>
                <w:tab w:val="left" w:pos="567"/>
              </w:tabs>
              <w:jc w:val="center"/>
              <w:rPr>
                <w:iCs/>
                <w:sz w:val="22"/>
                <w:szCs w:val="22"/>
                <w:lang w:val="en-GB" w:eastAsia="en-US"/>
              </w:rPr>
            </w:pPr>
          </w:p>
          <w:p w14:paraId="238B59B0" w14:textId="77777777" w:rsidR="00E86446" w:rsidRDefault="00E86446">
            <w:pPr>
              <w:widowControl w:val="0"/>
              <w:tabs>
                <w:tab w:val="left" w:pos="567"/>
              </w:tabs>
              <w:jc w:val="center"/>
              <w:rPr>
                <w:iCs/>
                <w:sz w:val="22"/>
                <w:szCs w:val="22"/>
                <w:lang w:val="en-GB" w:eastAsia="en-US"/>
              </w:rPr>
            </w:pPr>
          </w:p>
          <w:p w14:paraId="33FC8C28" w14:textId="77777777" w:rsidR="00E86446" w:rsidRDefault="00E86446">
            <w:pPr>
              <w:widowControl w:val="0"/>
              <w:tabs>
                <w:tab w:val="left" w:pos="567"/>
              </w:tabs>
              <w:jc w:val="center"/>
              <w:rPr>
                <w:iCs/>
                <w:sz w:val="22"/>
                <w:szCs w:val="22"/>
                <w:lang w:val="en-GB" w:eastAsia="en-US"/>
              </w:rPr>
            </w:pPr>
          </w:p>
          <w:p w14:paraId="7A999E7D" w14:textId="73A334A7" w:rsidR="00E86446" w:rsidRDefault="00345E63">
            <w:pPr>
              <w:widowControl w:val="0"/>
              <w:tabs>
                <w:tab w:val="left" w:pos="567"/>
              </w:tabs>
              <w:jc w:val="center"/>
              <w:rPr>
                <w:iCs/>
                <w:sz w:val="22"/>
                <w:szCs w:val="22"/>
                <w:lang w:val="en-GB" w:eastAsia="en-US"/>
              </w:rPr>
            </w:pPr>
            <w:r>
              <w:rPr>
                <w:iCs/>
                <w:sz w:val="22"/>
                <w:szCs w:val="22"/>
                <w:lang w:val="en-GB" w:eastAsia="en-US"/>
              </w:rPr>
              <w:t>&lt;</w:t>
            </w:r>
            <w:r w:rsidR="00A7077C">
              <w:rPr>
                <w:iCs/>
                <w:sz w:val="22"/>
                <w:szCs w:val="22"/>
                <w:lang w:val="en-GB" w:eastAsia="en-US"/>
              </w:rPr>
              <w:t> </w:t>
            </w:r>
            <w:r>
              <w:rPr>
                <w:iCs/>
                <w:sz w:val="22"/>
                <w:szCs w:val="22"/>
                <w:lang w:val="en-GB" w:eastAsia="en-US"/>
              </w:rPr>
              <w:t>30</w:t>
            </w:r>
          </w:p>
        </w:tc>
        <w:tc>
          <w:tcPr>
            <w:tcW w:w="3827" w:type="dxa"/>
          </w:tcPr>
          <w:p w14:paraId="726217F2" w14:textId="77777777" w:rsidR="00E86446" w:rsidRDefault="00E86446">
            <w:pPr>
              <w:widowControl w:val="0"/>
              <w:tabs>
                <w:tab w:val="left" w:pos="567"/>
              </w:tabs>
              <w:rPr>
                <w:iCs/>
                <w:sz w:val="22"/>
                <w:szCs w:val="22"/>
                <w:lang w:val="en-GB" w:eastAsia="en-US"/>
              </w:rPr>
            </w:pPr>
          </w:p>
          <w:p w14:paraId="383D868A" w14:textId="77777777" w:rsidR="00E86446" w:rsidRDefault="00E86446">
            <w:pPr>
              <w:widowControl w:val="0"/>
              <w:tabs>
                <w:tab w:val="left" w:pos="567"/>
              </w:tabs>
              <w:rPr>
                <w:iCs/>
                <w:sz w:val="22"/>
                <w:szCs w:val="22"/>
                <w:lang w:val="en-GB" w:eastAsia="en-US"/>
              </w:rPr>
            </w:pPr>
          </w:p>
          <w:p w14:paraId="2B5F3E11" w14:textId="77777777" w:rsidR="00E86446" w:rsidRDefault="00E86446">
            <w:pPr>
              <w:widowControl w:val="0"/>
              <w:tabs>
                <w:tab w:val="left" w:pos="567"/>
              </w:tabs>
              <w:rPr>
                <w:iCs/>
                <w:sz w:val="22"/>
                <w:szCs w:val="22"/>
                <w:lang w:val="en-GB" w:eastAsia="en-US"/>
              </w:rPr>
            </w:pPr>
          </w:p>
          <w:p w14:paraId="7FDCD528"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Metformino</w:t>
            </w:r>
            <w:proofErr w:type="spellEnd"/>
            <w:r>
              <w:rPr>
                <w:iCs/>
                <w:sz w:val="22"/>
                <w:szCs w:val="22"/>
                <w:lang w:val="en-GB" w:eastAsia="en-US"/>
              </w:rPr>
              <w:t xml:space="preserve"> </w:t>
            </w:r>
            <w:proofErr w:type="spellStart"/>
            <w:r>
              <w:rPr>
                <w:iCs/>
                <w:sz w:val="22"/>
                <w:szCs w:val="22"/>
                <w:lang w:val="en-GB" w:eastAsia="en-US"/>
              </w:rPr>
              <w:t>vartoti</w:t>
            </w:r>
            <w:proofErr w:type="spellEnd"/>
            <w:r>
              <w:rPr>
                <w:iCs/>
                <w:sz w:val="22"/>
                <w:szCs w:val="22"/>
                <w:lang w:val="en-GB" w:eastAsia="en-US"/>
              </w:rPr>
              <w:t xml:space="preserve"> </w:t>
            </w:r>
            <w:proofErr w:type="spellStart"/>
            <w:r>
              <w:rPr>
                <w:iCs/>
                <w:sz w:val="22"/>
                <w:szCs w:val="22"/>
                <w:lang w:val="en-GB" w:eastAsia="en-US"/>
              </w:rPr>
              <w:t>negalima</w:t>
            </w:r>
            <w:proofErr w:type="spellEnd"/>
            <w:r>
              <w:rPr>
                <w:iCs/>
                <w:sz w:val="22"/>
                <w:szCs w:val="22"/>
                <w:lang w:val="en-GB" w:eastAsia="en-US"/>
              </w:rPr>
              <w:t>.</w:t>
            </w:r>
          </w:p>
        </w:tc>
        <w:tc>
          <w:tcPr>
            <w:tcW w:w="3679" w:type="dxa"/>
          </w:tcPr>
          <w:p w14:paraId="55EA6E91" w14:textId="77777777" w:rsidR="00E86446" w:rsidRDefault="00345E63">
            <w:pPr>
              <w:widowControl w:val="0"/>
              <w:tabs>
                <w:tab w:val="left" w:pos="567"/>
              </w:tabs>
              <w:rPr>
                <w:iCs/>
                <w:sz w:val="22"/>
                <w:szCs w:val="22"/>
                <w:lang w:val="en-GB" w:eastAsia="en-US"/>
              </w:rPr>
            </w:pPr>
            <w:proofErr w:type="spellStart"/>
            <w:r>
              <w:rPr>
                <w:iCs/>
                <w:sz w:val="22"/>
                <w:szCs w:val="22"/>
                <w:lang w:val="en-GB" w:eastAsia="en-US"/>
              </w:rPr>
              <w:t>Didžiausia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r>
              <w:rPr>
                <w:iCs/>
                <w:sz w:val="22"/>
                <w:szCs w:val="22"/>
                <w:lang w:val="en-GB" w:eastAsia="en-US"/>
              </w:rPr>
              <w:t xml:space="preserve"> – 10 mg.</w:t>
            </w:r>
          </w:p>
          <w:p w14:paraId="1DA0A771" w14:textId="2F761543" w:rsidR="00E86446" w:rsidRDefault="00345E63">
            <w:pPr>
              <w:widowControl w:val="0"/>
              <w:tabs>
                <w:tab w:val="left" w:pos="567"/>
              </w:tabs>
              <w:rPr>
                <w:iCs/>
                <w:sz w:val="22"/>
                <w:szCs w:val="22"/>
                <w:lang w:val="en-GB" w:eastAsia="en-US"/>
              </w:rPr>
            </w:pPr>
            <w:proofErr w:type="spellStart"/>
            <w:r>
              <w:rPr>
                <w:iCs/>
                <w:sz w:val="22"/>
                <w:szCs w:val="22"/>
                <w:lang w:val="en-GB" w:eastAsia="en-US"/>
              </w:rPr>
              <w:t>Patirties</w:t>
            </w:r>
            <w:proofErr w:type="spellEnd"/>
            <w:r>
              <w:rPr>
                <w:iCs/>
                <w:sz w:val="22"/>
                <w:szCs w:val="22"/>
                <w:lang w:val="en-GB" w:eastAsia="en-US"/>
              </w:rPr>
              <w:t xml:space="preserve"> </w:t>
            </w:r>
            <w:proofErr w:type="spellStart"/>
            <w:r>
              <w:rPr>
                <w:iCs/>
                <w:sz w:val="22"/>
                <w:szCs w:val="22"/>
                <w:lang w:val="en-GB" w:eastAsia="en-US"/>
              </w:rPr>
              <w:t>yra</w:t>
            </w:r>
            <w:proofErr w:type="spellEnd"/>
            <w:r>
              <w:rPr>
                <w:iCs/>
                <w:sz w:val="22"/>
                <w:szCs w:val="22"/>
                <w:lang w:val="en-GB" w:eastAsia="en-US"/>
              </w:rPr>
              <w:t xml:space="preserve"> </w:t>
            </w:r>
            <w:proofErr w:type="spellStart"/>
            <w:r>
              <w:rPr>
                <w:iCs/>
                <w:sz w:val="22"/>
                <w:szCs w:val="22"/>
                <w:lang w:val="en-GB" w:eastAsia="en-US"/>
              </w:rPr>
              <w:t>nedaug</w:t>
            </w:r>
            <w:proofErr w:type="spellEnd"/>
            <w:r>
              <w:rPr>
                <w:iCs/>
                <w:sz w:val="22"/>
                <w:szCs w:val="22"/>
                <w:lang w:val="en-GB" w:eastAsia="en-US"/>
              </w:rPr>
              <w:t xml:space="preserve">, </w:t>
            </w:r>
            <w:proofErr w:type="spellStart"/>
            <w:r>
              <w:rPr>
                <w:iCs/>
                <w:sz w:val="22"/>
                <w:szCs w:val="22"/>
                <w:lang w:val="en-GB" w:eastAsia="en-US"/>
              </w:rPr>
              <w:t>todėl</w:t>
            </w:r>
            <w:proofErr w:type="spellEnd"/>
            <w:r>
              <w:rPr>
                <w:iCs/>
                <w:sz w:val="22"/>
                <w:szCs w:val="22"/>
                <w:lang w:val="en-GB" w:eastAsia="en-US"/>
              </w:rPr>
              <w:t xml:space="preserve"> </w:t>
            </w:r>
            <w:proofErr w:type="spellStart"/>
            <w:r>
              <w:rPr>
                <w:iCs/>
                <w:sz w:val="22"/>
                <w:szCs w:val="22"/>
                <w:lang w:val="en-GB" w:eastAsia="en-US"/>
              </w:rPr>
              <w:t>dapagliflozino</w:t>
            </w:r>
            <w:proofErr w:type="spellEnd"/>
            <w:r>
              <w:rPr>
                <w:iCs/>
                <w:sz w:val="22"/>
                <w:szCs w:val="22"/>
                <w:lang w:val="en-GB" w:eastAsia="en-US"/>
              </w:rPr>
              <w:t xml:space="preserve"> </w:t>
            </w:r>
            <w:proofErr w:type="spellStart"/>
            <w:r>
              <w:rPr>
                <w:iCs/>
                <w:sz w:val="22"/>
                <w:szCs w:val="22"/>
                <w:lang w:val="en-GB" w:eastAsia="en-US"/>
              </w:rPr>
              <w:t>nerekomenduojama</w:t>
            </w:r>
            <w:proofErr w:type="spellEnd"/>
            <w:r>
              <w:rPr>
                <w:iCs/>
                <w:sz w:val="22"/>
                <w:szCs w:val="22"/>
                <w:lang w:val="en-GB" w:eastAsia="en-US"/>
              </w:rPr>
              <w:t xml:space="preserve"> </w:t>
            </w:r>
            <w:proofErr w:type="spellStart"/>
            <w:r>
              <w:rPr>
                <w:iCs/>
                <w:sz w:val="22"/>
                <w:szCs w:val="22"/>
                <w:lang w:val="en-GB" w:eastAsia="en-US"/>
              </w:rPr>
              <w:t>pradėti</w:t>
            </w:r>
            <w:proofErr w:type="spellEnd"/>
            <w:r>
              <w:rPr>
                <w:iCs/>
                <w:sz w:val="22"/>
                <w:szCs w:val="22"/>
                <w:lang w:val="en-GB" w:eastAsia="en-US"/>
              </w:rPr>
              <w:t xml:space="preserve"> </w:t>
            </w:r>
            <w:proofErr w:type="spellStart"/>
            <w:r>
              <w:rPr>
                <w:iCs/>
                <w:sz w:val="22"/>
                <w:szCs w:val="22"/>
                <w:lang w:val="en-GB" w:eastAsia="en-US"/>
              </w:rPr>
              <w:t>vartoti</w:t>
            </w:r>
            <w:proofErr w:type="spellEnd"/>
            <w:r>
              <w:rPr>
                <w:iCs/>
                <w:sz w:val="22"/>
                <w:szCs w:val="22"/>
                <w:lang w:val="en-GB" w:eastAsia="en-US"/>
              </w:rPr>
              <w:t xml:space="preserve"> </w:t>
            </w:r>
            <w:proofErr w:type="spellStart"/>
            <w:r>
              <w:rPr>
                <w:iCs/>
                <w:sz w:val="22"/>
                <w:szCs w:val="22"/>
                <w:lang w:val="en-GB" w:eastAsia="en-US"/>
              </w:rPr>
              <w:t>pacientams</w:t>
            </w:r>
            <w:proofErr w:type="spellEnd"/>
            <w:r>
              <w:rPr>
                <w:iCs/>
                <w:sz w:val="22"/>
                <w:szCs w:val="22"/>
                <w:lang w:val="en-GB" w:eastAsia="en-US"/>
              </w:rPr>
              <w:t xml:space="preserve">, </w:t>
            </w:r>
            <w:proofErr w:type="spellStart"/>
            <w:r>
              <w:rPr>
                <w:iCs/>
                <w:sz w:val="22"/>
                <w:szCs w:val="22"/>
                <w:lang w:val="en-GB" w:eastAsia="en-US"/>
              </w:rPr>
              <w:t>kurių</w:t>
            </w:r>
            <w:proofErr w:type="spellEnd"/>
            <w:r>
              <w:rPr>
                <w:iCs/>
                <w:sz w:val="22"/>
                <w:szCs w:val="22"/>
                <w:lang w:val="en-GB" w:eastAsia="en-US"/>
              </w:rPr>
              <w:t xml:space="preserve"> GFG</w:t>
            </w:r>
            <w:r w:rsidR="001330A3">
              <w:rPr>
                <w:iCs/>
                <w:sz w:val="22"/>
                <w:szCs w:val="22"/>
                <w:lang w:val="en-GB" w:eastAsia="en-US"/>
              </w:rPr>
              <w:t> </w:t>
            </w:r>
            <w:r>
              <w:rPr>
                <w:iCs/>
                <w:sz w:val="22"/>
                <w:szCs w:val="22"/>
                <w:lang w:val="en-GB" w:eastAsia="en-US"/>
              </w:rPr>
              <w:t>&lt;</w:t>
            </w:r>
            <w:r w:rsidR="001330A3">
              <w:rPr>
                <w:iCs/>
                <w:sz w:val="22"/>
                <w:szCs w:val="22"/>
                <w:lang w:val="en-GB" w:eastAsia="en-US"/>
              </w:rPr>
              <w:t> </w:t>
            </w:r>
            <w:r>
              <w:rPr>
                <w:iCs/>
                <w:sz w:val="22"/>
                <w:szCs w:val="22"/>
                <w:lang w:val="en-GB" w:eastAsia="en-US"/>
              </w:rPr>
              <w:t>25 ml/min.</w:t>
            </w:r>
          </w:p>
          <w:p w14:paraId="374449B5" w14:textId="77777777" w:rsidR="00E86446" w:rsidRPr="0073443F" w:rsidRDefault="00345E63">
            <w:pPr>
              <w:widowControl w:val="0"/>
              <w:tabs>
                <w:tab w:val="left" w:pos="567"/>
              </w:tabs>
              <w:rPr>
                <w:iCs/>
                <w:sz w:val="22"/>
                <w:szCs w:val="22"/>
                <w:lang w:val="pt-PT" w:eastAsia="en-US"/>
              </w:rPr>
            </w:pPr>
            <w:r w:rsidRPr="0073443F">
              <w:rPr>
                <w:iCs/>
                <w:sz w:val="22"/>
                <w:szCs w:val="22"/>
                <w:lang w:val="pt-PT" w:eastAsia="en-US"/>
              </w:rPr>
              <w:t>Gliukozės koncentracijos dapagliflozinas neturėtų mažinti.</w:t>
            </w:r>
          </w:p>
        </w:tc>
      </w:tr>
    </w:tbl>
    <w:p w14:paraId="2A63FE73" w14:textId="77777777" w:rsidR="00E86446" w:rsidRDefault="00E86446">
      <w:pPr>
        <w:pStyle w:val="Antrat4"/>
        <w:spacing w:line="240" w:lineRule="auto"/>
        <w:jc w:val="left"/>
        <w:rPr>
          <w:rFonts w:ascii="Times New Roman" w:hAnsi="Times New Roman"/>
          <w:sz w:val="22"/>
          <w:szCs w:val="22"/>
          <w:lang w:val="lt-LT"/>
        </w:rPr>
      </w:pPr>
    </w:p>
    <w:p w14:paraId="59253CE5" w14:textId="601A7FDB" w:rsidR="00E86446" w:rsidRDefault="00850591">
      <w:pPr>
        <w:rPr>
          <w:i/>
          <w:iCs/>
          <w:sz w:val="22"/>
          <w:szCs w:val="22"/>
        </w:rPr>
      </w:pPr>
      <w:r>
        <w:rPr>
          <w:i/>
          <w:iCs/>
          <w:sz w:val="22"/>
          <w:szCs w:val="22"/>
        </w:rPr>
        <w:t xml:space="preserve">Pacientams, kurių </w:t>
      </w:r>
      <w:r w:rsidR="00345E63">
        <w:rPr>
          <w:i/>
          <w:iCs/>
          <w:sz w:val="22"/>
          <w:szCs w:val="22"/>
        </w:rPr>
        <w:t>kepenų funkcija</w:t>
      </w:r>
      <w:r>
        <w:rPr>
          <w:i/>
          <w:iCs/>
          <w:sz w:val="22"/>
          <w:szCs w:val="22"/>
        </w:rPr>
        <w:t xml:space="preserve"> sutrikusi</w:t>
      </w:r>
    </w:p>
    <w:p w14:paraId="049E0319" w14:textId="77777777" w:rsidR="00E86446" w:rsidRDefault="00345E63">
      <w:pPr>
        <w:rPr>
          <w:sz w:val="22"/>
          <w:szCs w:val="22"/>
        </w:rPr>
      </w:pPr>
      <w:r>
        <w:rPr>
          <w:sz w:val="22"/>
          <w:szCs w:val="22"/>
        </w:rPr>
        <w:t>Pacientams, kurių kepenų funkcija sutrikusi, šio vaistinio preparato vartoti negalima (žr. 4.3, 4.4 ir 5.2 skyrius).</w:t>
      </w:r>
    </w:p>
    <w:p w14:paraId="3CE98AC2" w14:textId="77777777" w:rsidR="00E86446" w:rsidRDefault="00E86446">
      <w:pPr>
        <w:rPr>
          <w:sz w:val="22"/>
          <w:szCs w:val="22"/>
        </w:rPr>
      </w:pPr>
    </w:p>
    <w:p w14:paraId="667D028D" w14:textId="73A7F090" w:rsidR="00E86446" w:rsidRDefault="00345E63">
      <w:pPr>
        <w:rPr>
          <w:i/>
          <w:iCs/>
          <w:sz w:val="22"/>
          <w:szCs w:val="22"/>
        </w:rPr>
      </w:pPr>
      <w:r>
        <w:rPr>
          <w:i/>
          <w:iCs/>
          <w:sz w:val="22"/>
          <w:szCs w:val="22"/>
        </w:rPr>
        <w:t>Senyvi</w:t>
      </w:r>
      <w:r w:rsidR="00850591">
        <w:rPr>
          <w:i/>
          <w:iCs/>
          <w:sz w:val="22"/>
          <w:szCs w:val="22"/>
        </w:rPr>
        <w:t>ems</w:t>
      </w:r>
      <w:r>
        <w:rPr>
          <w:i/>
          <w:iCs/>
          <w:sz w:val="22"/>
          <w:szCs w:val="22"/>
        </w:rPr>
        <w:t xml:space="preserve"> (65 metų ir vyresni</w:t>
      </w:r>
      <w:r w:rsidR="00850591">
        <w:rPr>
          <w:i/>
          <w:iCs/>
          <w:sz w:val="22"/>
          <w:szCs w:val="22"/>
        </w:rPr>
        <w:t>ems</w:t>
      </w:r>
      <w:r>
        <w:rPr>
          <w:i/>
          <w:iCs/>
          <w:sz w:val="22"/>
          <w:szCs w:val="22"/>
        </w:rPr>
        <w:t xml:space="preserve">) </w:t>
      </w:r>
      <w:r w:rsidR="00850591">
        <w:rPr>
          <w:i/>
          <w:iCs/>
          <w:sz w:val="22"/>
          <w:szCs w:val="22"/>
        </w:rPr>
        <w:t>pacientams</w:t>
      </w:r>
    </w:p>
    <w:p w14:paraId="64D7BF66" w14:textId="77777777" w:rsidR="00E86446" w:rsidRDefault="00345E63">
      <w:pPr>
        <w:rPr>
          <w:sz w:val="22"/>
          <w:szCs w:val="22"/>
        </w:rPr>
      </w:pPr>
      <w:r>
        <w:rPr>
          <w:sz w:val="22"/>
          <w:szCs w:val="22"/>
        </w:rPr>
        <w:t xml:space="preserve">Dalis </w:t>
      </w:r>
      <w:proofErr w:type="spellStart"/>
      <w:r>
        <w:rPr>
          <w:sz w:val="22"/>
          <w:szCs w:val="22"/>
        </w:rPr>
        <w:t>metformino</w:t>
      </w:r>
      <w:proofErr w:type="spellEnd"/>
      <w:r>
        <w:rPr>
          <w:sz w:val="22"/>
          <w:szCs w:val="22"/>
        </w:rPr>
        <w:t xml:space="preserve"> eliminuojama per inkstus, o senyviems pacientams sutrikusios inkstų funkcijos tikimybė yra didesnė, todėl jiems šio vaistinio preparato skiriama atsargiai. Būtina stebėti inkstų funkciją norint išvengti su </w:t>
      </w:r>
      <w:proofErr w:type="spellStart"/>
      <w:r>
        <w:rPr>
          <w:sz w:val="22"/>
          <w:szCs w:val="22"/>
        </w:rPr>
        <w:t>metforminu</w:t>
      </w:r>
      <w:proofErr w:type="spellEnd"/>
      <w:r>
        <w:rPr>
          <w:sz w:val="22"/>
          <w:szCs w:val="22"/>
        </w:rPr>
        <w:t xml:space="preserve"> susijusios pieno rūgšties </w:t>
      </w:r>
      <w:proofErr w:type="spellStart"/>
      <w:r>
        <w:rPr>
          <w:sz w:val="22"/>
          <w:szCs w:val="22"/>
        </w:rPr>
        <w:t>acidozės</w:t>
      </w:r>
      <w:proofErr w:type="spellEnd"/>
      <w:r>
        <w:rPr>
          <w:sz w:val="22"/>
          <w:szCs w:val="22"/>
        </w:rPr>
        <w:t>, ypač senyviems pacientams (žr. 4.3 ir 4.4 skyrius).</w:t>
      </w:r>
    </w:p>
    <w:p w14:paraId="43D6A6A3" w14:textId="77777777" w:rsidR="00E86446" w:rsidRDefault="00E86446">
      <w:pPr>
        <w:rPr>
          <w:sz w:val="22"/>
          <w:szCs w:val="22"/>
        </w:rPr>
      </w:pPr>
    </w:p>
    <w:p w14:paraId="1CC39B5A"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Vaikų populiacija</w:t>
      </w:r>
    </w:p>
    <w:p w14:paraId="172B80E6"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saugumas ir veiksmingumas vaikams ir paaugliams iki 18 metų dar neištirti. Duomenų nėra.</w:t>
      </w:r>
    </w:p>
    <w:p w14:paraId="7AFCA9AE" w14:textId="77777777" w:rsidR="00E86446" w:rsidRDefault="00E86446">
      <w:pPr>
        <w:autoSpaceDE w:val="0"/>
        <w:autoSpaceDN w:val="0"/>
        <w:adjustRightInd w:val="0"/>
        <w:rPr>
          <w:rFonts w:eastAsiaTheme="minorHAnsi"/>
          <w:color w:val="000000"/>
          <w:sz w:val="22"/>
          <w:szCs w:val="22"/>
          <w:lang w:eastAsia="en-US"/>
        </w:rPr>
      </w:pPr>
    </w:p>
    <w:p w14:paraId="4A0665E8"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lastRenderedPageBreak/>
        <w:t>Vartojimo metodas</w:t>
      </w:r>
    </w:p>
    <w:p w14:paraId="72804C1F" w14:textId="77777777" w:rsidR="00E86446" w:rsidRDefault="00345E63">
      <w:pPr>
        <w:rPr>
          <w:sz w:val="22"/>
          <w:szCs w:val="22"/>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reikia vartoti 2 kartus per parą valgio metu, kad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susijusių virškinimo trakto nepageidaujamų reakcijų rizika būtų mažesnė.</w:t>
      </w:r>
    </w:p>
    <w:p w14:paraId="3EF52F1B" w14:textId="77777777" w:rsidR="00E86446" w:rsidRDefault="00E86446"/>
    <w:p w14:paraId="5F1D03BC"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772536D5" w14:textId="77777777" w:rsidR="00E86446" w:rsidRDefault="00E86446">
      <w:pPr>
        <w:rPr>
          <w:sz w:val="22"/>
          <w:szCs w:val="22"/>
        </w:rPr>
      </w:pPr>
    </w:p>
    <w:p w14:paraId="69B58D07" w14:textId="77777777" w:rsidR="00E86446" w:rsidRDefault="00345E63">
      <w:pPr>
        <w:rPr>
          <w:sz w:val="22"/>
          <w:szCs w:val="22"/>
        </w:rPr>
      </w:pPr>
      <w:proofErr w:type="spellStart"/>
      <w:r>
        <w:rPr>
          <w:sz w:val="22"/>
          <w:szCs w:val="22"/>
        </w:rPr>
        <w:t>Mexdagry</w:t>
      </w:r>
      <w:proofErr w:type="spellEnd"/>
      <w:r>
        <w:rPr>
          <w:sz w:val="22"/>
          <w:szCs w:val="22"/>
        </w:rPr>
        <w:t xml:space="preserve"> vartoti negalima, jeigu yra:</w:t>
      </w:r>
    </w:p>
    <w:p w14:paraId="74F024EC" w14:textId="77777777" w:rsidR="00E86446" w:rsidRPr="003171F5" w:rsidRDefault="00345E63">
      <w:pPr>
        <w:widowControl w:val="0"/>
        <w:numPr>
          <w:ilvl w:val="0"/>
          <w:numId w:val="21"/>
        </w:numPr>
        <w:tabs>
          <w:tab w:val="left" w:pos="567"/>
        </w:tabs>
        <w:contextualSpacing/>
        <w:rPr>
          <w:sz w:val="22"/>
          <w:szCs w:val="22"/>
          <w:lang w:eastAsia="en-US"/>
        </w:rPr>
      </w:pPr>
      <w:r>
        <w:rPr>
          <w:sz w:val="22"/>
          <w:szCs w:val="22"/>
        </w:rPr>
        <w:t>padidėjęs jautrumas veikliajai arba bet kuriai 6.1 skyriuje nurodytai pagalbinei medžiagai;</w:t>
      </w:r>
    </w:p>
    <w:p w14:paraId="3BC57AB4" w14:textId="77777777" w:rsidR="00E86446" w:rsidRPr="003171F5" w:rsidRDefault="00345E63">
      <w:pPr>
        <w:widowControl w:val="0"/>
        <w:numPr>
          <w:ilvl w:val="0"/>
          <w:numId w:val="21"/>
        </w:numPr>
        <w:tabs>
          <w:tab w:val="left" w:pos="567"/>
        </w:tabs>
        <w:contextualSpacing/>
        <w:rPr>
          <w:sz w:val="22"/>
          <w:szCs w:val="22"/>
          <w:lang w:eastAsia="en-US"/>
        </w:rPr>
      </w:pPr>
      <w:r>
        <w:rPr>
          <w:sz w:val="22"/>
          <w:szCs w:val="22"/>
        </w:rPr>
        <w:t xml:space="preserve">bet kokio tipo ūminė </w:t>
      </w:r>
      <w:proofErr w:type="spellStart"/>
      <w:r>
        <w:rPr>
          <w:sz w:val="22"/>
          <w:szCs w:val="22"/>
        </w:rPr>
        <w:t>metabolinė</w:t>
      </w:r>
      <w:proofErr w:type="spellEnd"/>
      <w:r>
        <w:rPr>
          <w:sz w:val="22"/>
          <w:szCs w:val="22"/>
        </w:rPr>
        <w:t xml:space="preserve"> </w:t>
      </w:r>
      <w:proofErr w:type="spellStart"/>
      <w:r>
        <w:rPr>
          <w:sz w:val="22"/>
          <w:szCs w:val="22"/>
        </w:rPr>
        <w:t>acidozė</w:t>
      </w:r>
      <w:proofErr w:type="spellEnd"/>
      <w:r>
        <w:rPr>
          <w:sz w:val="22"/>
          <w:szCs w:val="22"/>
        </w:rPr>
        <w:t xml:space="preserve"> (pvz., pieno rūgšties </w:t>
      </w:r>
      <w:proofErr w:type="spellStart"/>
      <w:r>
        <w:rPr>
          <w:sz w:val="22"/>
          <w:szCs w:val="22"/>
        </w:rPr>
        <w:t>acidozė</w:t>
      </w:r>
      <w:proofErr w:type="spellEnd"/>
      <w:r>
        <w:rPr>
          <w:sz w:val="22"/>
          <w:szCs w:val="22"/>
        </w:rPr>
        <w:t xml:space="preserve">, diabetinė </w:t>
      </w:r>
      <w:proofErr w:type="spellStart"/>
      <w:r>
        <w:rPr>
          <w:sz w:val="22"/>
          <w:szCs w:val="22"/>
        </w:rPr>
        <w:t>ketoacidozė</w:t>
      </w:r>
      <w:proofErr w:type="spellEnd"/>
      <w:r>
        <w:rPr>
          <w:sz w:val="22"/>
          <w:szCs w:val="22"/>
        </w:rPr>
        <w:t>);</w:t>
      </w:r>
    </w:p>
    <w:p w14:paraId="220126BB" w14:textId="77777777" w:rsidR="00E86446" w:rsidRDefault="00345E63">
      <w:pPr>
        <w:widowControl w:val="0"/>
        <w:numPr>
          <w:ilvl w:val="0"/>
          <w:numId w:val="21"/>
        </w:numPr>
        <w:tabs>
          <w:tab w:val="left" w:pos="567"/>
        </w:tabs>
        <w:contextualSpacing/>
        <w:rPr>
          <w:sz w:val="22"/>
          <w:szCs w:val="22"/>
          <w:lang w:val="en-GB" w:eastAsia="en-US"/>
        </w:rPr>
      </w:pPr>
      <w:r>
        <w:rPr>
          <w:sz w:val="22"/>
          <w:szCs w:val="22"/>
        </w:rPr>
        <w:t xml:space="preserve">diabetinė </w:t>
      </w:r>
      <w:proofErr w:type="spellStart"/>
      <w:r>
        <w:rPr>
          <w:sz w:val="22"/>
          <w:szCs w:val="22"/>
        </w:rPr>
        <w:t>prekoma</w:t>
      </w:r>
      <w:proofErr w:type="spellEnd"/>
      <w:r>
        <w:rPr>
          <w:sz w:val="22"/>
          <w:szCs w:val="22"/>
        </w:rPr>
        <w:t>;</w:t>
      </w:r>
    </w:p>
    <w:p w14:paraId="21379785" w14:textId="0CC4B5C2" w:rsidR="00E86446" w:rsidRDefault="00345E63">
      <w:pPr>
        <w:widowControl w:val="0"/>
        <w:numPr>
          <w:ilvl w:val="0"/>
          <w:numId w:val="21"/>
        </w:numPr>
        <w:tabs>
          <w:tab w:val="left" w:pos="567"/>
        </w:tabs>
        <w:contextualSpacing/>
        <w:rPr>
          <w:sz w:val="22"/>
          <w:szCs w:val="22"/>
          <w:lang w:val="en-GB" w:eastAsia="en-US"/>
        </w:rPr>
      </w:pPr>
      <w:bookmarkStart w:id="1" w:name="_Hlk199838498"/>
      <w:r>
        <w:rPr>
          <w:sz w:val="22"/>
          <w:szCs w:val="22"/>
        </w:rPr>
        <w:t>sunkus inkstų nepakankamumas (GFG</w:t>
      </w:r>
      <w:r w:rsidR="00BA2342">
        <w:rPr>
          <w:sz w:val="22"/>
          <w:szCs w:val="22"/>
        </w:rPr>
        <w:t> </w:t>
      </w:r>
      <w:r>
        <w:rPr>
          <w:sz w:val="22"/>
          <w:szCs w:val="22"/>
        </w:rPr>
        <w:t>&lt; 30 ml/min.) (žr. 4.2, 4.4 ir 5.2 skyrius);</w:t>
      </w:r>
    </w:p>
    <w:p w14:paraId="6CBC9D02" w14:textId="77777777" w:rsidR="00E86446" w:rsidRDefault="00345E63">
      <w:pPr>
        <w:widowControl w:val="0"/>
        <w:numPr>
          <w:ilvl w:val="0"/>
          <w:numId w:val="21"/>
        </w:numPr>
        <w:tabs>
          <w:tab w:val="left" w:pos="567"/>
        </w:tabs>
        <w:contextualSpacing/>
        <w:rPr>
          <w:sz w:val="22"/>
          <w:szCs w:val="22"/>
          <w:lang w:val="en-GB" w:eastAsia="en-US"/>
        </w:rPr>
      </w:pPr>
      <w:r>
        <w:rPr>
          <w:sz w:val="22"/>
          <w:szCs w:val="22"/>
        </w:rPr>
        <w:t>ūminė būklė, dėl kurios gali pakisti inkstų funkcija, pvz.:</w:t>
      </w:r>
    </w:p>
    <w:bookmarkEnd w:id="1"/>
    <w:p w14:paraId="1AE051CF" w14:textId="37907C2B" w:rsidR="00E86446" w:rsidRDefault="00345E63">
      <w:pPr>
        <w:pStyle w:val="Sraopastraipa"/>
        <w:widowControl w:val="0"/>
        <w:numPr>
          <w:ilvl w:val="1"/>
          <w:numId w:val="22"/>
        </w:numPr>
        <w:spacing w:after="0" w:line="240" w:lineRule="auto"/>
        <w:rPr>
          <w:rFonts w:ascii="Times New Roman" w:hAnsi="Times New Roman"/>
          <w:lang w:val="en-GB"/>
        </w:rPr>
      </w:pPr>
      <w:r>
        <w:rPr>
          <w:rFonts w:ascii="Times New Roman" w:hAnsi="Times New Roman"/>
        </w:rPr>
        <w:t>dehidratacija</w:t>
      </w:r>
      <w:r w:rsidR="00BA2342">
        <w:rPr>
          <w:rFonts w:ascii="Times New Roman" w:hAnsi="Times New Roman"/>
        </w:rPr>
        <w:t>;</w:t>
      </w:r>
    </w:p>
    <w:p w14:paraId="2AAF443F" w14:textId="3CF8482D" w:rsidR="00E86446" w:rsidRDefault="00345E63">
      <w:pPr>
        <w:pStyle w:val="Sraopastraipa"/>
        <w:widowControl w:val="0"/>
        <w:numPr>
          <w:ilvl w:val="1"/>
          <w:numId w:val="22"/>
        </w:numPr>
        <w:spacing w:after="0" w:line="240" w:lineRule="auto"/>
        <w:rPr>
          <w:rFonts w:ascii="Times New Roman" w:hAnsi="Times New Roman"/>
          <w:lang w:val="en-GB"/>
        </w:rPr>
      </w:pPr>
      <w:r>
        <w:rPr>
          <w:rFonts w:ascii="Times New Roman" w:hAnsi="Times New Roman"/>
        </w:rPr>
        <w:t>sunki infekcija</w:t>
      </w:r>
      <w:r w:rsidR="00BA2342">
        <w:rPr>
          <w:rFonts w:ascii="Times New Roman" w:hAnsi="Times New Roman"/>
        </w:rPr>
        <w:t>;</w:t>
      </w:r>
    </w:p>
    <w:p w14:paraId="20D9FAC2" w14:textId="77777777" w:rsidR="00E86446" w:rsidRDefault="00345E63">
      <w:pPr>
        <w:pStyle w:val="Sraopastraipa"/>
        <w:widowControl w:val="0"/>
        <w:numPr>
          <w:ilvl w:val="1"/>
          <w:numId w:val="22"/>
        </w:numPr>
        <w:spacing w:after="0" w:line="240" w:lineRule="auto"/>
        <w:rPr>
          <w:rFonts w:ascii="Times New Roman" w:hAnsi="Times New Roman"/>
          <w:lang w:val="en-GB"/>
        </w:rPr>
      </w:pPr>
      <w:r>
        <w:rPr>
          <w:rFonts w:ascii="Times New Roman" w:hAnsi="Times New Roman"/>
        </w:rPr>
        <w:t>šokas;</w:t>
      </w:r>
    </w:p>
    <w:p w14:paraId="65759E18" w14:textId="77777777" w:rsidR="00E86446" w:rsidRDefault="00345E63">
      <w:pPr>
        <w:widowControl w:val="0"/>
        <w:numPr>
          <w:ilvl w:val="0"/>
          <w:numId w:val="22"/>
        </w:numPr>
        <w:contextualSpacing/>
        <w:rPr>
          <w:sz w:val="22"/>
          <w:szCs w:val="22"/>
          <w:lang w:val="en-GB" w:eastAsia="en-US"/>
        </w:rPr>
      </w:pPr>
      <w:r>
        <w:rPr>
          <w:sz w:val="22"/>
          <w:szCs w:val="22"/>
        </w:rPr>
        <w:t>ūminė arba lėtinė liga, kuri gali sukelti audinių hipoksiją:</w:t>
      </w:r>
    </w:p>
    <w:p w14:paraId="6C3EF2B5" w14:textId="1BF5B5ED" w:rsidR="00E86446" w:rsidRDefault="00345E63">
      <w:pPr>
        <w:pStyle w:val="Sraopastraipa"/>
        <w:widowControl w:val="0"/>
        <w:numPr>
          <w:ilvl w:val="1"/>
          <w:numId w:val="22"/>
        </w:numPr>
        <w:spacing w:after="0" w:line="240" w:lineRule="auto"/>
        <w:rPr>
          <w:rFonts w:ascii="Times New Roman" w:hAnsi="Times New Roman"/>
          <w:lang w:val="en-GB"/>
        </w:rPr>
      </w:pPr>
      <w:r>
        <w:rPr>
          <w:rFonts w:ascii="Times New Roman" w:hAnsi="Times New Roman"/>
        </w:rPr>
        <w:t>širdies ar kvėpavimo nepakankamumas</w:t>
      </w:r>
      <w:r w:rsidR="00D33089">
        <w:rPr>
          <w:rFonts w:ascii="Times New Roman" w:hAnsi="Times New Roman"/>
        </w:rPr>
        <w:t>;</w:t>
      </w:r>
    </w:p>
    <w:p w14:paraId="45F1EA7C" w14:textId="3C50F4D4" w:rsidR="00E86446" w:rsidRDefault="00345E63">
      <w:pPr>
        <w:pStyle w:val="Sraopastraipa"/>
        <w:widowControl w:val="0"/>
        <w:numPr>
          <w:ilvl w:val="1"/>
          <w:numId w:val="22"/>
        </w:numPr>
        <w:spacing w:after="0" w:line="240" w:lineRule="auto"/>
        <w:rPr>
          <w:rFonts w:ascii="Times New Roman" w:hAnsi="Times New Roman"/>
          <w:lang w:val="en-GB"/>
        </w:rPr>
      </w:pPr>
      <w:r>
        <w:rPr>
          <w:rFonts w:ascii="Times New Roman" w:hAnsi="Times New Roman"/>
        </w:rPr>
        <w:t>neseniai ištikęs miokardo infarktas</w:t>
      </w:r>
      <w:r w:rsidR="00D33089">
        <w:rPr>
          <w:rFonts w:ascii="Times New Roman" w:hAnsi="Times New Roman"/>
        </w:rPr>
        <w:t>;</w:t>
      </w:r>
    </w:p>
    <w:p w14:paraId="6CBD8411" w14:textId="77777777" w:rsidR="00E86446" w:rsidRDefault="00345E63">
      <w:pPr>
        <w:pStyle w:val="Sraopastraipa"/>
        <w:widowControl w:val="0"/>
        <w:numPr>
          <w:ilvl w:val="1"/>
          <w:numId w:val="22"/>
        </w:numPr>
        <w:spacing w:after="0" w:line="240" w:lineRule="auto"/>
        <w:rPr>
          <w:rFonts w:ascii="Times New Roman" w:hAnsi="Times New Roman"/>
          <w:lang w:val="en-GB"/>
        </w:rPr>
      </w:pPr>
      <w:r>
        <w:rPr>
          <w:rFonts w:ascii="Times New Roman" w:hAnsi="Times New Roman"/>
        </w:rPr>
        <w:t>šokas;</w:t>
      </w:r>
    </w:p>
    <w:p w14:paraId="3D806508" w14:textId="77777777" w:rsidR="00E86446" w:rsidRDefault="00345E63">
      <w:pPr>
        <w:widowControl w:val="0"/>
        <w:numPr>
          <w:ilvl w:val="0"/>
          <w:numId w:val="22"/>
        </w:numPr>
        <w:contextualSpacing/>
        <w:rPr>
          <w:sz w:val="22"/>
          <w:szCs w:val="22"/>
          <w:lang w:val="en-GB" w:eastAsia="en-US"/>
        </w:rPr>
      </w:pPr>
      <w:r>
        <w:rPr>
          <w:sz w:val="22"/>
          <w:szCs w:val="22"/>
        </w:rPr>
        <w:t>sutrikusi kepenų funkcija (žr. 4.2, 4.4 ir 5.2 skyrius);</w:t>
      </w:r>
    </w:p>
    <w:p w14:paraId="01B0AA45" w14:textId="77777777" w:rsidR="00E86446" w:rsidRDefault="00345E63">
      <w:pPr>
        <w:widowControl w:val="0"/>
        <w:numPr>
          <w:ilvl w:val="0"/>
          <w:numId w:val="22"/>
        </w:numPr>
        <w:contextualSpacing/>
        <w:rPr>
          <w:sz w:val="22"/>
          <w:szCs w:val="22"/>
          <w:lang w:val="en-GB" w:eastAsia="en-US"/>
        </w:rPr>
      </w:pPr>
      <w:r>
        <w:rPr>
          <w:sz w:val="22"/>
          <w:szCs w:val="22"/>
        </w:rPr>
        <w:t>ūminis apsinuodijimas alkoholiu arba alkoholizmas (žr. 4.5 skyrių).</w:t>
      </w:r>
    </w:p>
    <w:p w14:paraId="7180BBAE" w14:textId="77777777" w:rsidR="00E86446" w:rsidRDefault="00E86446">
      <w:pPr>
        <w:widowControl w:val="0"/>
        <w:contextualSpacing/>
        <w:rPr>
          <w:sz w:val="22"/>
          <w:szCs w:val="22"/>
          <w:lang w:val="en-GB" w:eastAsia="en-US"/>
        </w:rPr>
      </w:pPr>
    </w:p>
    <w:p w14:paraId="72ACFF44"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71C9CA9D" w14:textId="77777777" w:rsidR="00E86446" w:rsidRDefault="00E86446">
      <w:pPr>
        <w:rPr>
          <w:sz w:val="22"/>
          <w:szCs w:val="22"/>
        </w:rPr>
      </w:pPr>
    </w:p>
    <w:p w14:paraId="656ECD10"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Pieno rūgšties </w:t>
      </w:r>
      <w:proofErr w:type="spellStart"/>
      <w:r>
        <w:rPr>
          <w:rFonts w:eastAsiaTheme="minorHAnsi"/>
          <w:color w:val="000000"/>
          <w:sz w:val="22"/>
          <w:szCs w:val="22"/>
          <w:u w:val="single"/>
          <w:lang w:eastAsia="en-US"/>
        </w:rPr>
        <w:t>acidozė</w:t>
      </w:r>
      <w:proofErr w:type="spellEnd"/>
    </w:p>
    <w:p w14:paraId="66BDCB88" w14:textId="6636445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sidR="00984735">
        <w:rPr>
          <w:rFonts w:eastAsiaTheme="minorHAnsi"/>
          <w:color w:val="000000"/>
          <w:sz w:val="22"/>
          <w:szCs w:val="22"/>
          <w:lang w:eastAsia="en-US"/>
        </w:rPr>
        <w:t xml:space="preserve"> yra</w:t>
      </w:r>
      <w:r>
        <w:rPr>
          <w:rFonts w:eastAsiaTheme="minorHAnsi"/>
          <w:color w:val="000000"/>
          <w:sz w:val="22"/>
          <w:szCs w:val="22"/>
          <w:lang w:eastAsia="en-US"/>
        </w:rPr>
        <w:t xml:space="preserve"> labai reta, bet sunki </w:t>
      </w:r>
      <w:proofErr w:type="spellStart"/>
      <w:r>
        <w:rPr>
          <w:rFonts w:eastAsiaTheme="minorHAnsi"/>
          <w:color w:val="000000"/>
          <w:sz w:val="22"/>
          <w:szCs w:val="22"/>
          <w:lang w:eastAsia="en-US"/>
        </w:rPr>
        <w:t>metabolinė</w:t>
      </w:r>
      <w:proofErr w:type="spellEnd"/>
      <w:r>
        <w:rPr>
          <w:rFonts w:eastAsiaTheme="minorHAnsi"/>
          <w:color w:val="000000"/>
          <w:sz w:val="22"/>
          <w:szCs w:val="22"/>
          <w:lang w:eastAsia="en-US"/>
        </w:rPr>
        <w:t xml:space="preserve"> komplikacija, dažniausiai pasireiškia esant ūminiam inkstų funkcijos </w:t>
      </w:r>
      <w:r w:rsidR="00885EC2">
        <w:rPr>
          <w:rFonts w:eastAsiaTheme="minorHAnsi"/>
          <w:color w:val="000000"/>
          <w:sz w:val="22"/>
          <w:szCs w:val="22"/>
          <w:lang w:eastAsia="en-US"/>
        </w:rPr>
        <w:t>sutrikimui</w:t>
      </w:r>
      <w:r>
        <w:rPr>
          <w:rFonts w:eastAsiaTheme="minorHAnsi"/>
          <w:color w:val="000000"/>
          <w:sz w:val="22"/>
          <w:szCs w:val="22"/>
          <w:lang w:eastAsia="en-US"/>
        </w:rPr>
        <w:t xml:space="preserve">, širdies ir plaučių ligai arba sepsiui. Esant ūminiam inkstų funkcijos </w:t>
      </w:r>
      <w:r w:rsidR="00885EC2">
        <w:rPr>
          <w:rFonts w:eastAsiaTheme="minorHAnsi"/>
          <w:color w:val="000000"/>
          <w:sz w:val="22"/>
          <w:szCs w:val="22"/>
          <w:lang w:eastAsia="en-US"/>
        </w:rPr>
        <w:t>sutrikimui</w:t>
      </w:r>
      <w:r>
        <w:rPr>
          <w:rFonts w:eastAsiaTheme="minorHAnsi"/>
          <w:color w:val="000000"/>
          <w:sz w:val="22"/>
          <w:szCs w:val="22"/>
          <w:lang w:eastAsia="en-US"/>
        </w:rPr>
        <w:t xml:space="preserve">, </w:t>
      </w:r>
      <w:proofErr w:type="spellStart"/>
      <w:r>
        <w:rPr>
          <w:rFonts w:eastAsiaTheme="minorHAnsi"/>
          <w:color w:val="000000"/>
          <w:sz w:val="22"/>
          <w:szCs w:val="22"/>
          <w:lang w:eastAsia="en-US"/>
        </w:rPr>
        <w:t>metforminas</w:t>
      </w:r>
      <w:proofErr w:type="spellEnd"/>
      <w:r>
        <w:rPr>
          <w:rFonts w:eastAsiaTheme="minorHAnsi"/>
          <w:color w:val="000000"/>
          <w:sz w:val="22"/>
          <w:szCs w:val="22"/>
          <w:lang w:eastAsia="en-US"/>
        </w:rPr>
        <w:t xml:space="preserve"> kaupiasi ir didina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w:t>
      </w:r>
    </w:p>
    <w:p w14:paraId="1A360FC1" w14:textId="77777777" w:rsidR="00E86446" w:rsidRDefault="00E86446">
      <w:pPr>
        <w:autoSpaceDE w:val="0"/>
        <w:autoSpaceDN w:val="0"/>
        <w:adjustRightInd w:val="0"/>
        <w:rPr>
          <w:rFonts w:eastAsiaTheme="minorHAnsi"/>
          <w:color w:val="000000"/>
          <w:sz w:val="22"/>
          <w:szCs w:val="22"/>
          <w:lang w:eastAsia="en-US"/>
        </w:rPr>
      </w:pPr>
    </w:p>
    <w:p w14:paraId="27070F72"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Esant dehidratacijai (sunkiam viduriavimui ar vėmimui, karščiavimui ar sumažėjusiam skysčių vartojimui), reikia laikinai nutraukti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vartojimą ir rekomenduojama kreiptis į sveikatos priežiūros specialistą.</w:t>
      </w:r>
    </w:p>
    <w:p w14:paraId="54E841F5" w14:textId="77777777" w:rsidR="00E86446" w:rsidRDefault="00E86446">
      <w:pPr>
        <w:autoSpaceDE w:val="0"/>
        <w:autoSpaceDN w:val="0"/>
        <w:adjustRightInd w:val="0"/>
        <w:rPr>
          <w:rFonts w:eastAsiaTheme="minorHAnsi"/>
          <w:color w:val="000000"/>
          <w:sz w:val="22"/>
          <w:szCs w:val="22"/>
          <w:lang w:eastAsia="en-US"/>
        </w:rPr>
      </w:pPr>
    </w:p>
    <w:p w14:paraId="6D374106" w14:textId="4DCEF7C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Gydymą vaistiniais preparatais, kurie gali ūmiai sutrikdyti inkstų funkciją (pvz., </w:t>
      </w:r>
      <w:proofErr w:type="spellStart"/>
      <w:r>
        <w:rPr>
          <w:rFonts w:eastAsiaTheme="minorHAnsi"/>
          <w:color w:val="000000"/>
          <w:sz w:val="22"/>
          <w:szCs w:val="22"/>
          <w:lang w:eastAsia="en-US"/>
        </w:rPr>
        <w:t>antihipertenziniais</w:t>
      </w:r>
      <w:proofErr w:type="spellEnd"/>
      <w:r>
        <w:rPr>
          <w:rFonts w:eastAsiaTheme="minorHAnsi"/>
          <w:color w:val="000000"/>
          <w:sz w:val="22"/>
          <w:szCs w:val="22"/>
          <w:lang w:eastAsia="en-US"/>
        </w:rPr>
        <w:t>, diuretikais ir nesteroidiniais vaist</w:t>
      </w:r>
      <w:r w:rsidR="00BE6159">
        <w:rPr>
          <w:rFonts w:eastAsiaTheme="minorHAnsi"/>
          <w:color w:val="000000"/>
          <w:sz w:val="22"/>
          <w:szCs w:val="22"/>
          <w:lang w:eastAsia="en-US"/>
        </w:rPr>
        <w:t>iniais preparatais</w:t>
      </w:r>
      <w:r>
        <w:rPr>
          <w:rFonts w:eastAsiaTheme="minorHAnsi"/>
          <w:color w:val="000000"/>
          <w:sz w:val="22"/>
          <w:szCs w:val="22"/>
          <w:lang w:eastAsia="en-US"/>
        </w:rPr>
        <w:t xml:space="preserve"> nuo uždegimo [NV</w:t>
      </w:r>
      <w:r w:rsidR="00BE6159">
        <w:rPr>
          <w:rFonts w:eastAsiaTheme="minorHAnsi"/>
          <w:color w:val="000000"/>
          <w:sz w:val="22"/>
          <w:szCs w:val="22"/>
          <w:lang w:eastAsia="en-US"/>
        </w:rPr>
        <w:t>P</w:t>
      </w:r>
      <w:r>
        <w:rPr>
          <w:rFonts w:eastAsiaTheme="minorHAnsi"/>
          <w:color w:val="000000"/>
          <w:sz w:val="22"/>
          <w:szCs w:val="22"/>
          <w:lang w:eastAsia="en-US"/>
        </w:rPr>
        <w:t xml:space="preserve">NU]), </w:t>
      </w:r>
      <w:proofErr w:type="spellStart"/>
      <w:r>
        <w:rPr>
          <w:rFonts w:eastAsiaTheme="minorHAnsi"/>
          <w:color w:val="000000"/>
          <w:sz w:val="22"/>
          <w:szCs w:val="22"/>
          <w:lang w:eastAsia="en-US"/>
        </w:rPr>
        <w:t>metformin</w:t>
      </w:r>
      <w:r w:rsidR="00BE6159">
        <w:rPr>
          <w:rFonts w:eastAsiaTheme="minorHAnsi"/>
          <w:color w:val="000000"/>
          <w:sz w:val="22"/>
          <w:szCs w:val="22"/>
          <w:lang w:eastAsia="en-US"/>
        </w:rPr>
        <w:t>o</w:t>
      </w:r>
      <w:proofErr w:type="spellEnd"/>
      <w:r>
        <w:rPr>
          <w:rFonts w:eastAsiaTheme="minorHAnsi"/>
          <w:color w:val="000000"/>
          <w:sz w:val="22"/>
          <w:szCs w:val="22"/>
          <w:lang w:eastAsia="en-US"/>
        </w:rPr>
        <w:t xml:space="preserve"> vartojantiems pacientams reikia pradėti atsargiai. Kiti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rizikos veiksniai yra piktnaudžiavimas alkoholiu, kepenų nepakankamumas, nepakankamai kontroliuojamas diabetas, </w:t>
      </w:r>
      <w:proofErr w:type="spellStart"/>
      <w:r>
        <w:rPr>
          <w:rFonts w:eastAsiaTheme="minorHAnsi"/>
          <w:color w:val="000000"/>
          <w:sz w:val="22"/>
          <w:szCs w:val="22"/>
          <w:lang w:eastAsia="en-US"/>
        </w:rPr>
        <w:t>ketonemija</w:t>
      </w:r>
      <w:proofErr w:type="spellEnd"/>
      <w:r>
        <w:rPr>
          <w:rFonts w:eastAsiaTheme="minorHAnsi"/>
          <w:color w:val="000000"/>
          <w:sz w:val="22"/>
          <w:szCs w:val="22"/>
          <w:lang w:eastAsia="en-US"/>
        </w:rPr>
        <w:t xml:space="preserve">, ilgalaikis badavimas ir su hipoksija susijusios būklės, taip pat vaistinių preparatų, kurie gali sukelti pieno rūgšties </w:t>
      </w:r>
      <w:proofErr w:type="spellStart"/>
      <w:r>
        <w:rPr>
          <w:rFonts w:eastAsiaTheme="minorHAnsi"/>
          <w:color w:val="000000"/>
          <w:sz w:val="22"/>
          <w:szCs w:val="22"/>
          <w:lang w:eastAsia="en-US"/>
        </w:rPr>
        <w:t>acidozę</w:t>
      </w:r>
      <w:proofErr w:type="spellEnd"/>
      <w:r>
        <w:rPr>
          <w:rFonts w:eastAsiaTheme="minorHAnsi"/>
          <w:color w:val="000000"/>
          <w:sz w:val="22"/>
          <w:szCs w:val="22"/>
          <w:lang w:eastAsia="en-US"/>
        </w:rPr>
        <w:t>, vartojimas kartu (žr. 4.3 ir 4.5 skyrius).</w:t>
      </w:r>
    </w:p>
    <w:p w14:paraId="7BC66808" w14:textId="77777777" w:rsidR="00E86446" w:rsidRDefault="00E86446">
      <w:pPr>
        <w:autoSpaceDE w:val="0"/>
        <w:autoSpaceDN w:val="0"/>
        <w:adjustRightInd w:val="0"/>
        <w:rPr>
          <w:rFonts w:eastAsiaTheme="minorHAnsi"/>
          <w:color w:val="000000"/>
          <w:sz w:val="22"/>
          <w:szCs w:val="22"/>
          <w:lang w:eastAsia="en-US"/>
        </w:rPr>
      </w:pPr>
    </w:p>
    <w:p w14:paraId="0591E7A2" w14:textId="24A93EFC"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Pacientus ir (arba) globėjus reikia informuoti apie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Pieno rūgšties </w:t>
      </w:r>
      <w:proofErr w:type="spellStart"/>
      <w:r>
        <w:rPr>
          <w:rFonts w:eastAsiaTheme="minorHAnsi"/>
          <w:color w:val="000000"/>
          <w:sz w:val="22"/>
          <w:szCs w:val="22"/>
          <w:lang w:eastAsia="en-US"/>
        </w:rPr>
        <w:t>acidozei</w:t>
      </w:r>
      <w:proofErr w:type="spellEnd"/>
      <w:r>
        <w:rPr>
          <w:rFonts w:eastAsiaTheme="minorHAnsi"/>
          <w:color w:val="000000"/>
          <w:sz w:val="22"/>
          <w:szCs w:val="22"/>
          <w:lang w:eastAsia="en-US"/>
        </w:rPr>
        <w:t xml:space="preserve"> būdingas </w:t>
      </w:r>
      <w:proofErr w:type="spellStart"/>
      <w:r>
        <w:rPr>
          <w:rFonts w:eastAsiaTheme="minorHAnsi"/>
          <w:color w:val="000000"/>
          <w:sz w:val="22"/>
          <w:szCs w:val="22"/>
          <w:lang w:eastAsia="en-US"/>
        </w:rPr>
        <w:t>acidozinis</w:t>
      </w:r>
      <w:proofErr w:type="spellEnd"/>
      <w:r>
        <w:rPr>
          <w:rFonts w:eastAsiaTheme="minorHAnsi"/>
          <w:color w:val="000000"/>
          <w:sz w:val="22"/>
          <w:szCs w:val="22"/>
          <w:lang w:eastAsia="en-US"/>
        </w:rPr>
        <w:t xml:space="preserve"> dusulys, pilvo skausmas, raumenų mėšlungis, </w:t>
      </w:r>
      <w:proofErr w:type="spellStart"/>
      <w:r>
        <w:rPr>
          <w:rFonts w:eastAsiaTheme="minorHAnsi"/>
          <w:color w:val="000000"/>
          <w:sz w:val="22"/>
          <w:szCs w:val="22"/>
          <w:lang w:eastAsia="en-US"/>
        </w:rPr>
        <w:t>astenija</w:t>
      </w:r>
      <w:proofErr w:type="spellEnd"/>
      <w:r>
        <w:rPr>
          <w:rFonts w:eastAsiaTheme="minorHAnsi"/>
          <w:color w:val="000000"/>
          <w:sz w:val="22"/>
          <w:szCs w:val="22"/>
          <w:lang w:eastAsia="en-US"/>
        </w:rPr>
        <w:t xml:space="preserve"> ir hipotermija, po kurių ištinka koma. Įtarus simptomus, pacientas turi nutraukti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vartojimą ir nedelsdamas kreiptis pagalbos į medikus. Diagnostiniai laboratoriniai duomenys yra sumažėjęs kraujo pH</w:t>
      </w:r>
      <w:r w:rsidR="00CE41A0">
        <w:rPr>
          <w:rFonts w:eastAsiaTheme="minorHAnsi"/>
          <w:color w:val="000000"/>
          <w:sz w:val="22"/>
          <w:szCs w:val="22"/>
          <w:lang w:eastAsia="en-US"/>
        </w:rPr>
        <w:t> </w:t>
      </w:r>
      <w:r>
        <w:rPr>
          <w:rFonts w:eastAsiaTheme="minorHAnsi"/>
          <w:color w:val="000000"/>
          <w:sz w:val="22"/>
          <w:szCs w:val="22"/>
          <w:lang w:eastAsia="en-US"/>
        </w:rPr>
        <w:t>(&lt;</w:t>
      </w:r>
      <w:r w:rsidR="00CE41A0">
        <w:rPr>
          <w:rFonts w:eastAsiaTheme="minorHAnsi"/>
          <w:color w:val="000000"/>
          <w:sz w:val="22"/>
          <w:szCs w:val="22"/>
          <w:lang w:eastAsia="en-US"/>
        </w:rPr>
        <w:t> </w:t>
      </w:r>
      <w:r>
        <w:rPr>
          <w:rFonts w:eastAsiaTheme="minorHAnsi"/>
          <w:color w:val="000000"/>
          <w:sz w:val="22"/>
          <w:szCs w:val="22"/>
          <w:lang w:eastAsia="en-US"/>
        </w:rPr>
        <w:t>7,35), padidėjusi laktatų koncentracija plazmoje (&gt;</w:t>
      </w:r>
      <w:r w:rsidR="00CE41A0">
        <w:rPr>
          <w:rFonts w:eastAsiaTheme="minorHAnsi"/>
          <w:color w:val="000000"/>
          <w:sz w:val="22"/>
          <w:szCs w:val="22"/>
          <w:lang w:eastAsia="en-US"/>
        </w:rPr>
        <w:t> </w:t>
      </w:r>
      <w:r>
        <w:rPr>
          <w:rFonts w:eastAsiaTheme="minorHAnsi"/>
          <w:color w:val="000000"/>
          <w:sz w:val="22"/>
          <w:szCs w:val="22"/>
          <w:lang w:eastAsia="en-US"/>
        </w:rPr>
        <w:t>5 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/l) ir padidėjęs anijoninis tarpas bei laktatų / </w:t>
      </w:r>
      <w:proofErr w:type="spellStart"/>
      <w:r>
        <w:rPr>
          <w:rFonts w:eastAsiaTheme="minorHAnsi"/>
          <w:color w:val="000000"/>
          <w:sz w:val="22"/>
          <w:szCs w:val="22"/>
          <w:lang w:eastAsia="en-US"/>
        </w:rPr>
        <w:t>piruvatų</w:t>
      </w:r>
      <w:proofErr w:type="spellEnd"/>
      <w:r>
        <w:rPr>
          <w:rFonts w:eastAsiaTheme="minorHAnsi"/>
          <w:color w:val="000000"/>
          <w:sz w:val="22"/>
          <w:szCs w:val="22"/>
          <w:lang w:eastAsia="en-US"/>
        </w:rPr>
        <w:t xml:space="preserve"> santykis.</w:t>
      </w:r>
    </w:p>
    <w:p w14:paraId="496FD48B" w14:textId="77777777" w:rsidR="00E86446" w:rsidRDefault="00E86446">
      <w:pPr>
        <w:autoSpaceDE w:val="0"/>
        <w:autoSpaceDN w:val="0"/>
        <w:adjustRightInd w:val="0"/>
        <w:rPr>
          <w:rFonts w:eastAsiaTheme="minorHAnsi"/>
          <w:i/>
          <w:iCs/>
          <w:color w:val="000000"/>
          <w:sz w:val="22"/>
          <w:szCs w:val="22"/>
          <w:lang w:eastAsia="en-US"/>
        </w:rPr>
      </w:pPr>
    </w:p>
    <w:p w14:paraId="6239B628"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Pacientai, kuriems diagnozuotos arba įtariamos </w:t>
      </w:r>
      <w:proofErr w:type="spellStart"/>
      <w:r>
        <w:rPr>
          <w:rFonts w:eastAsiaTheme="minorHAnsi"/>
          <w:i/>
          <w:iCs/>
          <w:color w:val="000000"/>
          <w:sz w:val="22"/>
          <w:szCs w:val="22"/>
          <w:lang w:eastAsia="en-US"/>
        </w:rPr>
        <w:t>mitochondrinės</w:t>
      </w:r>
      <w:proofErr w:type="spellEnd"/>
      <w:r>
        <w:rPr>
          <w:rFonts w:eastAsiaTheme="minorHAnsi"/>
          <w:i/>
          <w:iCs/>
          <w:color w:val="000000"/>
          <w:sz w:val="22"/>
          <w:szCs w:val="22"/>
          <w:lang w:eastAsia="en-US"/>
        </w:rPr>
        <w:t xml:space="preserve"> ligos</w:t>
      </w:r>
    </w:p>
    <w:p w14:paraId="5B0DF851" w14:textId="77777777" w:rsidR="00E86446" w:rsidRDefault="00345E63">
      <w:pPr>
        <w:pStyle w:val="Default"/>
        <w:rPr>
          <w:rFonts w:eastAsiaTheme="minorHAnsi"/>
          <w:sz w:val="22"/>
          <w:szCs w:val="22"/>
          <w:lang w:val="lt-LT" w:eastAsia="en-US"/>
        </w:rPr>
      </w:pPr>
      <w:r w:rsidRPr="003171F5">
        <w:rPr>
          <w:rFonts w:eastAsiaTheme="minorHAnsi"/>
          <w:sz w:val="22"/>
          <w:szCs w:val="22"/>
          <w:lang w:val="lt-LT" w:eastAsia="en-US"/>
        </w:rPr>
        <w:t xml:space="preserve">Pacientams, kuriems diagnozuotos </w:t>
      </w:r>
      <w:proofErr w:type="spellStart"/>
      <w:r w:rsidRPr="003171F5">
        <w:rPr>
          <w:rFonts w:eastAsiaTheme="minorHAnsi"/>
          <w:sz w:val="22"/>
          <w:szCs w:val="22"/>
          <w:lang w:val="lt-LT" w:eastAsia="en-US"/>
        </w:rPr>
        <w:t>mitochondrinės</w:t>
      </w:r>
      <w:proofErr w:type="spellEnd"/>
      <w:r w:rsidRPr="003171F5">
        <w:rPr>
          <w:rFonts w:eastAsiaTheme="minorHAnsi"/>
          <w:sz w:val="22"/>
          <w:szCs w:val="22"/>
          <w:lang w:val="lt-LT" w:eastAsia="en-US"/>
        </w:rPr>
        <w:t xml:space="preserve"> ligos, pvz., </w:t>
      </w:r>
      <w:proofErr w:type="spellStart"/>
      <w:r w:rsidRPr="003171F5">
        <w:rPr>
          <w:rFonts w:eastAsiaTheme="minorHAnsi"/>
          <w:sz w:val="22"/>
          <w:szCs w:val="22"/>
          <w:lang w:val="lt-LT" w:eastAsia="en-US"/>
        </w:rPr>
        <w:t>mitochondrinės</w:t>
      </w:r>
      <w:proofErr w:type="spellEnd"/>
      <w:r w:rsidRPr="003171F5">
        <w:rPr>
          <w:rFonts w:eastAsiaTheme="minorHAnsi"/>
          <w:sz w:val="22"/>
          <w:szCs w:val="22"/>
          <w:lang w:val="lt-LT" w:eastAsia="en-US"/>
        </w:rPr>
        <w:t xml:space="preserve"> </w:t>
      </w:r>
      <w:proofErr w:type="spellStart"/>
      <w:r w:rsidRPr="003171F5">
        <w:rPr>
          <w:rFonts w:eastAsiaTheme="minorHAnsi"/>
          <w:sz w:val="22"/>
          <w:szCs w:val="22"/>
          <w:lang w:val="lt-LT" w:eastAsia="en-US"/>
        </w:rPr>
        <w:t>encefalopatijos</w:t>
      </w:r>
      <w:proofErr w:type="spellEnd"/>
      <w:r w:rsidRPr="003171F5">
        <w:rPr>
          <w:rFonts w:eastAsiaTheme="minorHAnsi"/>
          <w:sz w:val="22"/>
          <w:szCs w:val="22"/>
          <w:lang w:val="lt-LT" w:eastAsia="en-US"/>
        </w:rPr>
        <w:t xml:space="preserve"> su pieno rūgšties </w:t>
      </w:r>
      <w:proofErr w:type="spellStart"/>
      <w:r w:rsidRPr="003171F5">
        <w:rPr>
          <w:rFonts w:eastAsiaTheme="minorHAnsi"/>
          <w:sz w:val="22"/>
          <w:szCs w:val="22"/>
          <w:lang w:val="lt-LT" w:eastAsia="en-US"/>
        </w:rPr>
        <w:t>acidoze</w:t>
      </w:r>
      <w:proofErr w:type="spellEnd"/>
      <w:r w:rsidRPr="003171F5">
        <w:rPr>
          <w:rFonts w:eastAsiaTheme="minorHAnsi"/>
          <w:sz w:val="22"/>
          <w:szCs w:val="22"/>
          <w:lang w:val="lt-LT" w:eastAsia="en-US"/>
        </w:rPr>
        <w:t xml:space="preserve"> ir į insultą panašiais epizodais (angl. </w:t>
      </w:r>
      <w:proofErr w:type="spellStart"/>
      <w:r w:rsidRPr="0073443F">
        <w:rPr>
          <w:rFonts w:eastAsiaTheme="minorHAnsi"/>
          <w:i/>
          <w:iCs/>
          <w:sz w:val="22"/>
          <w:szCs w:val="22"/>
          <w:lang w:val="lt-LT" w:eastAsia="en-US"/>
        </w:rPr>
        <w:t>Mitochondrial</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Encephalomyopathy</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with</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Lactic</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Acidosis</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and</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Stroke-like</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Episodes</w:t>
      </w:r>
      <w:proofErr w:type="spellEnd"/>
      <w:r w:rsidRPr="0073443F">
        <w:rPr>
          <w:rFonts w:eastAsiaTheme="minorHAnsi"/>
          <w:i/>
          <w:iCs/>
          <w:sz w:val="22"/>
          <w:szCs w:val="22"/>
          <w:lang w:val="lt-LT" w:eastAsia="en-US"/>
        </w:rPr>
        <w:t>, MELAS</w:t>
      </w:r>
      <w:r w:rsidRPr="0073443F">
        <w:rPr>
          <w:rFonts w:eastAsiaTheme="minorHAnsi"/>
          <w:sz w:val="22"/>
          <w:szCs w:val="22"/>
          <w:lang w:val="lt-LT" w:eastAsia="en-US"/>
        </w:rPr>
        <w:t xml:space="preserve">) sindromas ir iš motinos paveldėtas diabetas bei kurtumas (angl. </w:t>
      </w:r>
      <w:proofErr w:type="spellStart"/>
      <w:r w:rsidRPr="0073443F">
        <w:rPr>
          <w:rFonts w:eastAsiaTheme="minorHAnsi"/>
          <w:i/>
          <w:iCs/>
          <w:sz w:val="22"/>
          <w:szCs w:val="22"/>
          <w:lang w:val="lt-LT" w:eastAsia="en-US"/>
        </w:rPr>
        <w:t>Maternally</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Inherited</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Diabetes</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and</w:t>
      </w:r>
      <w:proofErr w:type="spellEnd"/>
      <w:r w:rsidRPr="0073443F">
        <w:rPr>
          <w:rFonts w:eastAsiaTheme="minorHAnsi"/>
          <w:i/>
          <w:iCs/>
          <w:sz w:val="22"/>
          <w:szCs w:val="22"/>
          <w:lang w:val="lt-LT" w:eastAsia="en-US"/>
        </w:rPr>
        <w:t xml:space="preserve"> </w:t>
      </w:r>
      <w:proofErr w:type="spellStart"/>
      <w:r w:rsidRPr="0073443F">
        <w:rPr>
          <w:rFonts w:eastAsiaTheme="minorHAnsi"/>
          <w:i/>
          <w:iCs/>
          <w:sz w:val="22"/>
          <w:szCs w:val="22"/>
          <w:lang w:val="lt-LT" w:eastAsia="en-US"/>
        </w:rPr>
        <w:t>Deafness</w:t>
      </w:r>
      <w:proofErr w:type="spellEnd"/>
      <w:r w:rsidRPr="0073443F">
        <w:rPr>
          <w:rFonts w:eastAsiaTheme="minorHAnsi"/>
          <w:i/>
          <w:iCs/>
          <w:sz w:val="22"/>
          <w:szCs w:val="22"/>
          <w:lang w:val="lt-LT" w:eastAsia="en-US"/>
        </w:rPr>
        <w:t>, MIDD</w:t>
      </w:r>
      <w:r w:rsidRPr="0073443F">
        <w:rPr>
          <w:rFonts w:eastAsiaTheme="minorHAnsi"/>
          <w:sz w:val="22"/>
          <w:szCs w:val="22"/>
          <w:lang w:val="lt-LT" w:eastAsia="en-US"/>
        </w:rPr>
        <w:t xml:space="preserve">), </w:t>
      </w:r>
      <w:proofErr w:type="spellStart"/>
      <w:r w:rsidRPr="0073443F">
        <w:rPr>
          <w:rFonts w:eastAsiaTheme="minorHAnsi"/>
          <w:sz w:val="22"/>
          <w:szCs w:val="22"/>
          <w:lang w:val="lt-LT" w:eastAsia="en-US"/>
        </w:rPr>
        <w:t>metformino</w:t>
      </w:r>
      <w:proofErr w:type="spellEnd"/>
      <w:r w:rsidRPr="0073443F">
        <w:rPr>
          <w:rFonts w:eastAsiaTheme="minorHAnsi"/>
          <w:sz w:val="22"/>
          <w:szCs w:val="22"/>
          <w:lang w:val="lt-LT" w:eastAsia="en-US"/>
        </w:rPr>
        <w:t xml:space="preserve"> vartoti nerekomenduojama dėl pieno rūgšties </w:t>
      </w:r>
      <w:proofErr w:type="spellStart"/>
      <w:r w:rsidRPr="0073443F">
        <w:rPr>
          <w:rFonts w:eastAsiaTheme="minorHAnsi"/>
          <w:sz w:val="22"/>
          <w:szCs w:val="22"/>
          <w:lang w:val="lt-LT" w:eastAsia="en-US"/>
        </w:rPr>
        <w:t>acidozės</w:t>
      </w:r>
      <w:proofErr w:type="spellEnd"/>
      <w:r w:rsidRPr="0073443F">
        <w:rPr>
          <w:rFonts w:eastAsiaTheme="minorHAnsi"/>
          <w:sz w:val="22"/>
          <w:szCs w:val="22"/>
          <w:lang w:val="lt-LT" w:eastAsia="en-US"/>
        </w:rPr>
        <w:t xml:space="preserve"> paūmėjimo ir neurologinių komplikacijų, dėl kurių gali pasunkėti liga, rizikos. </w:t>
      </w:r>
      <w:r>
        <w:rPr>
          <w:rFonts w:eastAsiaTheme="minorHAnsi"/>
          <w:sz w:val="22"/>
          <w:szCs w:val="22"/>
          <w:lang w:val="lt-LT" w:eastAsia="en-US"/>
        </w:rPr>
        <w:t xml:space="preserve">Jei pavartojus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atsiranda požymių ir simptomų, būdingų </w:t>
      </w:r>
      <w:r>
        <w:rPr>
          <w:rFonts w:eastAsiaTheme="minorHAnsi"/>
          <w:i/>
          <w:iCs/>
          <w:sz w:val="22"/>
          <w:szCs w:val="22"/>
          <w:lang w:val="lt-LT" w:eastAsia="en-US"/>
        </w:rPr>
        <w:t xml:space="preserve">MELAS </w:t>
      </w:r>
      <w:r>
        <w:rPr>
          <w:rFonts w:eastAsiaTheme="minorHAnsi"/>
          <w:sz w:val="22"/>
          <w:szCs w:val="22"/>
          <w:lang w:val="lt-LT" w:eastAsia="en-US"/>
        </w:rPr>
        <w:t xml:space="preserve">sindromui arba </w:t>
      </w:r>
      <w:r>
        <w:rPr>
          <w:rFonts w:eastAsiaTheme="minorHAnsi"/>
          <w:i/>
          <w:iCs/>
          <w:sz w:val="22"/>
          <w:szCs w:val="22"/>
          <w:lang w:val="lt-LT" w:eastAsia="en-US"/>
        </w:rPr>
        <w:t>MIDD</w:t>
      </w:r>
      <w:r>
        <w:rPr>
          <w:rFonts w:eastAsiaTheme="minorHAnsi"/>
          <w:sz w:val="22"/>
          <w:szCs w:val="22"/>
          <w:lang w:val="lt-LT" w:eastAsia="en-US"/>
        </w:rPr>
        <w:t xml:space="preserve">, reikia nedelsiant nutraukti gydymą </w:t>
      </w:r>
      <w:proofErr w:type="spellStart"/>
      <w:r>
        <w:rPr>
          <w:rFonts w:eastAsiaTheme="minorHAnsi"/>
          <w:sz w:val="22"/>
          <w:szCs w:val="22"/>
          <w:lang w:val="lt-LT" w:eastAsia="en-US"/>
        </w:rPr>
        <w:t>metforminu</w:t>
      </w:r>
      <w:proofErr w:type="spellEnd"/>
      <w:r>
        <w:rPr>
          <w:rFonts w:eastAsiaTheme="minorHAnsi"/>
          <w:sz w:val="22"/>
          <w:szCs w:val="22"/>
          <w:lang w:val="lt-LT" w:eastAsia="en-US"/>
        </w:rPr>
        <w:t xml:space="preserve"> ir greitai atlikti diagnostinį įvertinimą.</w:t>
      </w:r>
    </w:p>
    <w:p w14:paraId="41FC28D2" w14:textId="77777777" w:rsidR="00E86446" w:rsidRDefault="00E86446">
      <w:pPr>
        <w:pStyle w:val="Default"/>
        <w:rPr>
          <w:rFonts w:eastAsiaTheme="minorHAnsi"/>
          <w:sz w:val="22"/>
          <w:szCs w:val="22"/>
          <w:lang w:val="lt-LT" w:eastAsia="en-US"/>
        </w:rPr>
      </w:pPr>
    </w:p>
    <w:p w14:paraId="01B6E1A0"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Inkstų funkcija</w:t>
      </w:r>
    </w:p>
    <w:p w14:paraId="5FFA68BA" w14:textId="27CFA76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Gliukozės koncentraciją mažinantis dapagliflozino veiksmingumas priklauso nuo inkstų funkcijos – jis būna mažesnis, kai GFG</w:t>
      </w:r>
      <w:r w:rsidR="002257C1">
        <w:rPr>
          <w:rFonts w:eastAsiaTheme="minorHAnsi"/>
          <w:color w:val="000000"/>
          <w:sz w:val="22"/>
          <w:szCs w:val="22"/>
          <w:lang w:eastAsia="en-US"/>
        </w:rPr>
        <w:t> </w:t>
      </w:r>
      <w:r>
        <w:rPr>
          <w:rFonts w:eastAsiaTheme="minorHAnsi"/>
          <w:color w:val="000000"/>
          <w:sz w:val="22"/>
          <w:szCs w:val="22"/>
          <w:lang w:eastAsia="en-US"/>
        </w:rPr>
        <w:t xml:space="preserve">&lt; 45 ml/min. ir turėtų išnykti </w:t>
      </w:r>
      <w:r w:rsidR="0091617B">
        <w:rPr>
          <w:rFonts w:eastAsiaTheme="minorHAnsi"/>
          <w:color w:val="000000"/>
          <w:sz w:val="22"/>
          <w:szCs w:val="22"/>
          <w:lang w:eastAsia="en-US"/>
        </w:rPr>
        <w:t>pacientams, kurių inkstų funkcijos sutrikimas</w:t>
      </w:r>
      <w:r>
        <w:rPr>
          <w:rFonts w:eastAsiaTheme="minorHAnsi"/>
          <w:color w:val="000000"/>
          <w:sz w:val="22"/>
          <w:szCs w:val="22"/>
          <w:lang w:eastAsia="en-US"/>
        </w:rPr>
        <w:t xml:space="preserve"> sunk</w:t>
      </w:r>
      <w:r w:rsidR="0091617B">
        <w:rPr>
          <w:rFonts w:eastAsiaTheme="minorHAnsi"/>
          <w:color w:val="000000"/>
          <w:sz w:val="22"/>
          <w:szCs w:val="22"/>
          <w:lang w:eastAsia="en-US"/>
        </w:rPr>
        <w:t>us</w:t>
      </w:r>
      <w:r>
        <w:rPr>
          <w:rFonts w:eastAsiaTheme="minorHAnsi"/>
          <w:color w:val="000000"/>
          <w:sz w:val="22"/>
          <w:szCs w:val="22"/>
          <w:lang w:eastAsia="en-US"/>
        </w:rPr>
        <w:t xml:space="preserve"> (žr. 4.2, 5.1 ir 5.2 skyrius).</w:t>
      </w:r>
    </w:p>
    <w:p w14:paraId="24908AD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Metforminas išskiriamas per inkstus, todėl vidutiniškai arba sunkiai sutrikus inkstų funkcijai padidėja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(žr. 4.4 skyrių).</w:t>
      </w:r>
    </w:p>
    <w:p w14:paraId="582BB186" w14:textId="28E98E7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Inkstų funkciją reikia tirti prieš pradedant gydymą ir paskui reguliariai (žr. 4.2 skyrių).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negalima vartoti pacientams, kurių GFG</w:t>
      </w:r>
      <w:r w:rsidR="000761FB">
        <w:rPr>
          <w:rFonts w:eastAsiaTheme="minorHAnsi"/>
          <w:color w:val="000000"/>
          <w:sz w:val="22"/>
          <w:szCs w:val="22"/>
          <w:lang w:eastAsia="en-US"/>
        </w:rPr>
        <w:t> </w:t>
      </w:r>
      <w:r>
        <w:rPr>
          <w:rFonts w:eastAsiaTheme="minorHAnsi"/>
          <w:color w:val="000000"/>
          <w:sz w:val="22"/>
          <w:szCs w:val="22"/>
          <w:lang w:eastAsia="en-US"/>
        </w:rPr>
        <w:t>&lt;</w:t>
      </w:r>
      <w:r w:rsidR="000761FB">
        <w:rPr>
          <w:rFonts w:eastAsiaTheme="minorHAnsi"/>
          <w:color w:val="000000"/>
          <w:sz w:val="22"/>
          <w:szCs w:val="22"/>
          <w:lang w:eastAsia="en-US"/>
        </w:rPr>
        <w:t> </w:t>
      </w:r>
      <w:r>
        <w:rPr>
          <w:rFonts w:eastAsiaTheme="minorHAnsi"/>
          <w:color w:val="000000"/>
          <w:sz w:val="22"/>
          <w:szCs w:val="22"/>
          <w:lang w:eastAsia="en-US"/>
        </w:rPr>
        <w:t>30</w:t>
      </w:r>
      <w:r w:rsidR="000761FB">
        <w:rPr>
          <w:rFonts w:eastAsiaTheme="minorHAnsi"/>
          <w:color w:val="000000"/>
          <w:sz w:val="22"/>
          <w:szCs w:val="22"/>
          <w:lang w:eastAsia="en-US"/>
        </w:rPr>
        <w:t> </w:t>
      </w:r>
      <w:r>
        <w:rPr>
          <w:rFonts w:eastAsiaTheme="minorHAnsi"/>
          <w:color w:val="000000"/>
          <w:sz w:val="22"/>
          <w:szCs w:val="22"/>
          <w:lang w:eastAsia="en-US"/>
        </w:rPr>
        <w:t>ml/min., jo vartojimą reikia laikinai nutraukti, esant būklėms, kurios sutrikdo inkstų funkciją (žr. 4.3 skyrių).</w:t>
      </w:r>
    </w:p>
    <w:p w14:paraId="1F4643D7" w14:textId="77777777" w:rsidR="00E86446" w:rsidRDefault="00E86446">
      <w:pPr>
        <w:autoSpaceDE w:val="0"/>
        <w:autoSpaceDN w:val="0"/>
        <w:adjustRightInd w:val="0"/>
        <w:rPr>
          <w:rFonts w:eastAsiaTheme="minorHAnsi"/>
          <w:color w:val="000000"/>
          <w:sz w:val="22"/>
          <w:szCs w:val="22"/>
          <w:lang w:eastAsia="en-US"/>
        </w:rPr>
      </w:pPr>
    </w:p>
    <w:p w14:paraId="65A540A2"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Senyviems pacientams sutrikusi inkstų funkcija pasitaiko dažnai ir nesukelia simptomų. Kai ji gali sutrikti, pvz., pradedant vartoti </w:t>
      </w:r>
      <w:proofErr w:type="spellStart"/>
      <w:r>
        <w:rPr>
          <w:rFonts w:eastAsiaTheme="minorHAnsi"/>
          <w:color w:val="000000"/>
          <w:sz w:val="22"/>
          <w:szCs w:val="22"/>
          <w:lang w:eastAsia="en-US"/>
        </w:rPr>
        <w:t>antihipertenzinių</w:t>
      </w:r>
      <w:proofErr w:type="spellEnd"/>
      <w:r>
        <w:rPr>
          <w:rFonts w:eastAsiaTheme="minorHAnsi"/>
          <w:color w:val="000000"/>
          <w:sz w:val="22"/>
          <w:szCs w:val="22"/>
          <w:lang w:eastAsia="en-US"/>
        </w:rPr>
        <w:t xml:space="preserve"> vaistinių preparatų, diuretikų arba NVNU, reikia specialių atsargumo priemonių.</w:t>
      </w:r>
    </w:p>
    <w:p w14:paraId="0FAD632B" w14:textId="77777777" w:rsidR="00E86446" w:rsidRDefault="00E86446">
      <w:pPr>
        <w:autoSpaceDE w:val="0"/>
        <w:autoSpaceDN w:val="0"/>
        <w:adjustRightInd w:val="0"/>
        <w:rPr>
          <w:rFonts w:eastAsiaTheme="minorHAnsi"/>
          <w:color w:val="000000"/>
          <w:sz w:val="22"/>
          <w:szCs w:val="22"/>
          <w:lang w:eastAsia="en-US"/>
        </w:rPr>
      </w:pPr>
    </w:p>
    <w:p w14:paraId="09C213B5"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Vartojimas esant kraujo tūrio sumažėjimo ir (arba) </w:t>
      </w:r>
      <w:proofErr w:type="spellStart"/>
      <w:r>
        <w:rPr>
          <w:rFonts w:eastAsiaTheme="minorHAnsi"/>
          <w:color w:val="000000"/>
          <w:sz w:val="22"/>
          <w:szCs w:val="22"/>
          <w:u w:val="single"/>
          <w:lang w:eastAsia="en-US"/>
        </w:rPr>
        <w:t>hipotenzijos</w:t>
      </w:r>
      <w:proofErr w:type="spellEnd"/>
      <w:r>
        <w:rPr>
          <w:rFonts w:eastAsiaTheme="minorHAnsi"/>
          <w:color w:val="000000"/>
          <w:sz w:val="22"/>
          <w:szCs w:val="22"/>
          <w:u w:val="single"/>
          <w:lang w:eastAsia="en-US"/>
        </w:rPr>
        <w:t xml:space="preserve"> pavojui</w:t>
      </w:r>
    </w:p>
    <w:p w14:paraId="757ACB3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Dėl savo veikimo mechanizmo dapagliflozinas didina diurezę, todėl gali sukelti nedidelį kraujospūdžio sumažėjimą, nustatytą klinikinių tyrimų metu (žr. 5.1 skyrių). Šis poveikis gali būti ryškesnis pacientams, kurių kraujyje gliukozės koncentracija yra labai didelė.</w:t>
      </w:r>
    </w:p>
    <w:p w14:paraId="02D3BDC1" w14:textId="77777777" w:rsidR="00E86446" w:rsidRDefault="00E86446">
      <w:pPr>
        <w:autoSpaceDE w:val="0"/>
        <w:autoSpaceDN w:val="0"/>
        <w:adjustRightInd w:val="0"/>
        <w:rPr>
          <w:rFonts w:eastAsiaTheme="minorHAnsi"/>
          <w:color w:val="000000"/>
          <w:sz w:val="22"/>
          <w:szCs w:val="22"/>
          <w:lang w:eastAsia="en-US"/>
        </w:rPr>
      </w:pPr>
    </w:p>
    <w:p w14:paraId="10233975"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dapagliflozino sukeltas kraujospūdžio sumažėjimas gali būti pavojingas (pvz., jeigu </w:t>
      </w:r>
      <w:proofErr w:type="spellStart"/>
      <w:r>
        <w:rPr>
          <w:rFonts w:eastAsiaTheme="minorHAnsi"/>
          <w:color w:val="000000"/>
          <w:sz w:val="22"/>
          <w:szCs w:val="22"/>
          <w:lang w:eastAsia="en-US"/>
        </w:rPr>
        <w:t>antihipertenzinių</w:t>
      </w:r>
      <w:proofErr w:type="spellEnd"/>
      <w:r>
        <w:rPr>
          <w:rFonts w:eastAsiaTheme="minorHAnsi"/>
          <w:color w:val="000000"/>
          <w:sz w:val="22"/>
          <w:szCs w:val="22"/>
          <w:lang w:eastAsia="en-US"/>
        </w:rPr>
        <w:t xml:space="preserve"> vaistinių preparatų vartojančiam pacientui yra buvusi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 xml:space="preserve"> arba pacientas senyvo amžiaus), reikia imtis atsargumo priemonių.</w:t>
      </w:r>
    </w:p>
    <w:p w14:paraId="325FF4A8" w14:textId="77777777" w:rsidR="00E86446" w:rsidRDefault="00E86446">
      <w:pPr>
        <w:autoSpaceDE w:val="0"/>
        <w:autoSpaceDN w:val="0"/>
        <w:adjustRightInd w:val="0"/>
        <w:rPr>
          <w:rFonts w:eastAsiaTheme="minorHAnsi"/>
          <w:color w:val="000000"/>
          <w:sz w:val="22"/>
          <w:szCs w:val="22"/>
          <w:lang w:eastAsia="en-US"/>
        </w:rPr>
      </w:pPr>
    </w:p>
    <w:p w14:paraId="26398F86"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pacientas serga gretutine (pvz., virškinimo trakto) liga, dėl kurios gali sumažėti kraujo tūris, tai rekomenduojama jį kruopščiai stebėti (pvz., atlikti medicininę apžiūrą, matuoti kraujospūdį, daryti laboratorinius tyrimus, įskaitant </w:t>
      </w:r>
      <w:proofErr w:type="spellStart"/>
      <w:r>
        <w:rPr>
          <w:rFonts w:eastAsiaTheme="minorHAnsi"/>
          <w:color w:val="000000"/>
          <w:sz w:val="22"/>
          <w:szCs w:val="22"/>
          <w:lang w:eastAsia="en-US"/>
        </w:rPr>
        <w:t>hematokrito</w:t>
      </w:r>
      <w:proofErr w:type="spellEnd"/>
      <w:r>
        <w:rPr>
          <w:rFonts w:eastAsiaTheme="minorHAnsi"/>
          <w:color w:val="000000"/>
          <w:sz w:val="22"/>
          <w:szCs w:val="22"/>
          <w:lang w:eastAsia="en-US"/>
        </w:rPr>
        <w:t xml:space="preserve"> ir elektrolitų koncentracijas). Sumažėjus skysčio tūriui rekomenduojama laikinai (kol jis bus sureguliuotas) nutraukti šio vaistinio preparato vartojimą (žr. 4.8 skyrių).</w:t>
      </w:r>
    </w:p>
    <w:p w14:paraId="0943CDE4" w14:textId="77777777" w:rsidR="00E86446" w:rsidRDefault="00E86446">
      <w:pPr>
        <w:autoSpaceDE w:val="0"/>
        <w:autoSpaceDN w:val="0"/>
        <w:adjustRightInd w:val="0"/>
        <w:rPr>
          <w:rFonts w:eastAsiaTheme="minorHAnsi"/>
          <w:color w:val="000000"/>
          <w:sz w:val="22"/>
          <w:szCs w:val="22"/>
          <w:lang w:eastAsia="en-US"/>
        </w:rPr>
      </w:pPr>
    </w:p>
    <w:p w14:paraId="093E5EE0"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Diabetinė </w:t>
      </w:r>
      <w:proofErr w:type="spellStart"/>
      <w:r>
        <w:rPr>
          <w:rFonts w:eastAsiaTheme="minorHAnsi"/>
          <w:color w:val="000000"/>
          <w:sz w:val="22"/>
          <w:szCs w:val="22"/>
          <w:u w:val="single"/>
          <w:lang w:eastAsia="en-US"/>
        </w:rPr>
        <w:t>ketoacidozė</w:t>
      </w:r>
      <w:proofErr w:type="spellEnd"/>
    </w:p>
    <w:p w14:paraId="38CA6FF2" w14:textId="0A58B9A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Vartojant natrio ir gliukozės vienkrypčio nešiklio 2 (angl. </w:t>
      </w:r>
      <w:proofErr w:type="spellStart"/>
      <w:r>
        <w:rPr>
          <w:rFonts w:eastAsiaTheme="minorHAnsi"/>
          <w:i/>
          <w:iCs/>
          <w:color w:val="000000"/>
          <w:sz w:val="22"/>
          <w:szCs w:val="22"/>
          <w:lang w:eastAsia="en-US"/>
        </w:rPr>
        <w:t>sodium</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glucose</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co-transporter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2, SGLT2) inhibitorių, įskaitant dapagliflozin</w:t>
      </w:r>
      <w:r w:rsidR="00583FB9">
        <w:rPr>
          <w:rFonts w:eastAsiaTheme="minorHAnsi"/>
          <w:color w:val="000000"/>
          <w:sz w:val="22"/>
          <w:szCs w:val="22"/>
          <w:lang w:eastAsia="en-US"/>
        </w:rPr>
        <w:t>o</w:t>
      </w:r>
      <w:r>
        <w:rPr>
          <w:rFonts w:eastAsiaTheme="minorHAnsi"/>
          <w:color w:val="000000"/>
          <w:sz w:val="22"/>
          <w:szCs w:val="22"/>
          <w:lang w:eastAsia="en-US"/>
        </w:rPr>
        <w:t xml:space="preserve">, užfiksuota retų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(DKA) atvejų, tarp kurių buvo pavojingų gyvybei ir mirtinų. Kartais ši būklė pasireiškė netipiškai, o gliukozės koncentracija kraujyje buvo padidėjusi tik vidutiniškai (nesiekė 14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t. y. 250 mg/dl). Ar DKA rizika būna didesnė vartojant didesnes dapagliflozino dozes, nežinoma.</w:t>
      </w:r>
    </w:p>
    <w:p w14:paraId="49357613" w14:textId="77777777" w:rsidR="00E86446" w:rsidRDefault="00E86446">
      <w:pPr>
        <w:autoSpaceDE w:val="0"/>
        <w:autoSpaceDN w:val="0"/>
        <w:adjustRightInd w:val="0"/>
        <w:rPr>
          <w:rFonts w:eastAsiaTheme="minorHAnsi"/>
          <w:color w:val="000000"/>
          <w:sz w:val="22"/>
          <w:szCs w:val="22"/>
          <w:lang w:eastAsia="en-US"/>
        </w:rPr>
      </w:pPr>
    </w:p>
    <w:p w14:paraId="22FF849B" w14:textId="5491286E"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Į galimą DKA reikia atsižvelgti pasireiškus nespecifinių simptomų, pvz., pykinimui, vėmimui, anoreksijai, pilvo skausmui, dideliam troškuliui, pasunkėjus kvėpavimui, </w:t>
      </w:r>
      <w:r w:rsidR="00844E0D">
        <w:rPr>
          <w:rFonts w:eastAsiaTheme="minorHAnsi"/>
          <w:color w:val="000000"/>
          <w:sz w:val="22"/>
          <w:szCs w:val="22"/>
          <w:lang w:eastAsia="en-US"/>
        </w:rPr>
        <w:t>atsiradus sumišimui</w:t>
      </w:r>
      <w:r>
        <w:rPr>
          <w:rFonts w:eastAsiaTheme="minorHAnsi"/>
          <w:color w:val="000000"/>
          <w:sz w:val="22"/>
          <w:szCs w:val="22"/>
          <w:lang w:eastAsia="en-US"/>
        </w:rPr>
        <w:t xml:space="preserve">, atsiradus neįprastam nuovargiui ar mieguistumui. Tuomet reikia nedelsiant ištirti, ar nėra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w:t>
      </w:r>
      <w:r w:rsidR="00CF5972">
        <w:rPr>
          <w:rFonts w:eastAsiaTheme="minorHAnsi"/>
          <w:color w:val="000000"/>
          <w:sz w:val="22"/>
          <w:szCs w:val="22"/>
          <w:lang w:eastAsia="en-US"/>
        </w:rPr>
        <w:t>neatsižvelgiant į</w:t>
      </w:r>
      <w:r>
        <w:rPr>
          <w:rFonts w:eastAsiaTheme="minorHAnsi"/>
          <w:color w:val="000000"/>
          <w:sz w:val="22"/>
          <w:szCs w:val="22"/>
          <w:lang w:eastAsia="en-US"/>
        </w:rPr>
        <w:t xml:space="preserve"> gliukozės koncentracij</w:t>
      </w:r>
      <w:r w:rsidR="00CF5972">
        <w:rPr>
          <w:rFonts w:eastAsiaTheme="minorHAnsi"/>
          <w:color w:val="000000"/>
          <w:sz w:val="22"/>
          <w:szCs w:val="22"/>
          <w:lang w:eastAsia="en-US"/>
        </w:rPr>
        <w:t>ą</w:t>
      </w:r>
      <w:r>
        <w:rPr>
          <w:rFonts w:eastAsiaTheme="minorHAnsi"/>
          <w:color w:val="000000"/>
          <w:sz w:val="22"/>
          <w:szCs w:val="22"/>
          <w:lang w:eastAsia="en-US"/>
        </w:rPr>
        <w:t xml:space="preserve"> kraujyje).</w:t>
      </w:r>
    </w:p>
    <w:p w14:paraId="3F8EEFA5" w14:textId="77777777" w:rsidR="00E86446" w:rsidRDefault="00E86446">
      <w:pPr>
        <w:autoSpaceDE w:val="0"/>
        <w:autoSpaceDN w:val="0"/>
        <w:adjustRightInd w:val="0"/>
        <w:rPr>
          <w:rFonts w:eastAsiaTheme="minorHAnsi"/>
          <w:color w:val="000000"/>
          <w:sz w:val="22"/>
          <w:szCs w:val="22"/>
          <w:lang w:eastAsia="en-US"/>
        </w:rPr>
      </w:pPr>
    </w:p>
    <w:p w14:paraId="698C75C4"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Įtarus arba nustačius DKA, reikia nedelsiant nutraukti dapagliflozino vartojimą.</w:t>
      </w:r>
    </w:p>
    <w:p w14:paraId="4C8EBE76" w14:textId="77777777" w:rsidR="00E86446" w:rsidRDefault="00E86446">
      <w:pPr>
        <w:autoSpaceDE w:val="0"/>
        <w:autoSpaceDN w:val="0"/>
        <w:adjustRightInd w:val="0"/>
        <w:rPr>
          <w:rFonts w:eastAsiaTheme="minorHAnsi"/>
          <w:color w:val="000000"/>
          <w:sz w:val="22"/>
          <w:szCs w:val="22"/>
          <w:lang w:eastAsia="en-US"/>
        </w:rPr>
      </w:pPr>
    </w:p>
    <w:p w14:paraId="1B2DA20A" w14:textId="6922C16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Šio vaistinio preparato vartojimą reikia laikinai nutraukti hospitalizavus pacientą didelės apimties operacijai arba jam susirgus sunkia ūmine liga. Šiems pacientams rekomenduojama stebėti ketonų kiekį. Ketonų kiekį pageidaujama nustatyti šlapime. Dapagliflozin</w:t>
      </w:r>
      <w:r w:rsidR="008C0E43">
        <w:rPr>
          <w:rFonts w:eastAsiaTheme="minorHAnsi"/>
          <w:color w:val="000000"/>
          <w:sz w:val="22"/>
          <w:szCs w:val="22"/>
          <w:lang w:eastAsia="en-US"/>
        </w:rPr>
        <w:t>o</w:t>
      </w:r>
      <w:r>
        <w:rPr>
          <w:rFonts w:eastAsiaTheme="minorHAnsi"/>
          <w:color w:val="000000"/>
          <w:sz w:val="22"/>
          <w:szCs w:val="22"/>
          <w:lang w:eastAsia="en-US"/>
        </w:rPr>
        <w:t xml:space="preserve"> galima vėl vartoti tik tada, kai ketonų kiekis tampa normalus ir kai paciento sveikatos būklė stabilizuo</w:t>
      </w:r>
      <w:r w:rsidR="008C0E43">
        <w:rPr>
          <w:rFonts w:eastAsiaTheme="minorHAnsi"/>
          <w:color w:val="000000"/>
          <w:sz w:val="22"/>
          <w:szCs w:val="22"/>
          <w:lang w:eastAsia="en-US"/>
        </w:rPr>
        <w:t>jasi</w:t>
      </w:r>
      <w:r>
        <w:rPr>
          <w:rFonts w:eastAsiaTheme="minorHAnsi"/>
          <w:color w:val="000000"/>
          <w:sz w:val="22"/>
          <w:szCs w:val="22"/>
          <w:lang w:eastAsia="en-US"/>
        </w:rPr>
        <w:t>.</w:t>
      </w:r>
    </w:p>
    <w:p w14:paraId="40AE260F" w14:textId="77777777" w:rsidR="00E86446" w:rsidRDefault="00E86446">
      <w:pPr>
        <w:autoSpaceDE w:val="0"/>
        <w:autoSpaceDN w:val="0"/>
        <w:adjustRightInd w:val="0"/>
        <w:rPr>
          <w:rFonts w:eastAsiaTheme="minorHAnsi"/>
          <w:color w:val="000000"/>
          <w:sz w:val="22"/>
          <w:szCs w:val="22"/>
          <w:lang w:eastAsia="en-US"/>
        </w:rPr>
      </w:pPr>
    </w:p>
    <w:p w14:paraId="73F6F1C6" w14:textId="77777777" w:rsidR="00E86446" w:rsidRDefault="00345E63">
      <w:pPr>
        <w:rPr>
          <w:rFonts w:eastAsiaTheme="minorHAnsi"/>
          <w:color w:val="000000"/>
          <w:sz w:val="22"/>
          <w:szCs w:val="22"/>
          <w:lang w:eastAsia="en-US"/>
        </w:rPr>
      </w:pPr>
      <w:r>
        <w:rPr>
          <w:rFonts w:eastAsiaTheme="minorHAnsi"/>
          <w:color w:val="000000"/>
          <w:sz w:val="22"/>
          <w:szCs w:val="22"/>
          <w:lang w:eastAsia="en-US"/>
        </w:rPr>
        <w:t xml:space="preserve">Prieš skiriant dapagliflozino, reikia įvertinti anamnezės faktorius, galinčius skatinti </w:t>
      </w:r>
      <w:proofErr w:type="spellStart"/>
      <w:r>
        <w:rPr>
          <w:rFonts w:eastAsiaTheme="minorHAnsi"/>
          <w:color w:val="000000"/>
          <w:sz w:val="22"/>
          <w:szCs w:val="22"/>
          <w:lang w:eastAsia="en-US"/>
        </w:rPr>
        <w:t>ketoacidozę</w:t>
      </w:r>
      <w:proofErr w:type="spellEnd"/>
      <w:r>
        <w:rPr>
          <w:rFonts w:eastAsiaTheme="minorHAnsi"/>
          <w:color w:val="000000"/>
          <w:sz w:val="22"/>
          <w:szCs w:val="22"/>
          <w:lang w:eastAsia="en-US"/>
        </w:rPr>
        <w:t>.</w:t>
      </w:r>
    </w:p>
    <w:p w14:paraId="63A64172" w14:textId="77777777" w:rsidR="00E86446" w:rsidRDefault="00E86446">
      <w:pPr>
        <w:rPr>
          <w:rFonts w:eastAsiaTheme="minorHAnsi"/>
          <w:color w:val="000000"/>
          <w:sz w:val="22"/>
          <w:szCs w:val="22"/>
          <w:lang w:eastAsia="en-US"/>
        </w:rPr>
      </w:pPr>
    </w:p>
    <w:p w14:paraId="7C29B0D1"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DKA rizika gali būti didesnė, kai mažas beta ląstelių funkcijos rezervas (pvz., kai yra 2 tipo diabetas ir mažai C peptido, latentiniu autoimuniniu diabetu sergantiems suaugusiesiems bei sergant ar sirgus pankreatitu), sergant ligomis, dėl kurių ribojamas maisto kiekis arba pasireiškia sunki dehidratacija, sumažinus insulino dozę arba padidėjus jo poreikiui dėl ūminės ligos, operacijos arba piktnaudžiavimo alkoholiu. Tokiems pacientams vartojant SGLT2 inhibitorių, būtinos atsargumo priemonės.</w:t>
      </w:r>
    </w:p>
    <w:p w14:paraId="66712C2C" w14:textId="77777777" w:rsidR="00E86446" w:rsidRDefault="00E86446">
      <w:pPr>
        <w:autoSpaceDE w:val="0"/>
        <w:autoSpaceDN w:val="0"/>
        <w:adjustRightInd w:val="0"/>
        <w:rPr>
          <w:rFonts w:eastAsiaTheme="minorHAnsi"/>
          <w:color w:val="000000"/>
          <w:sz w:val="22"/>
          <w:szCs w:val="22"/>
          <w:lang w:eastAsia="en-US"/>
        </w:rPr>
      </w:pPr>
    </w:p>
    <w:p w14:paraId="1EB883B4"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 buvo pasireiškusi DKA vartojant SGLT2 inhibitorių, vėl jų skirti nerekomenduojama, nebent nustatoma ir pašalinama kita jos priežastis.</w:t>
      </w:r>
    </w:p>
    <w:p w14:paraId="27A16390" w14:textId="624E963D"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lastRenderedPageBreak/>
        <w:t>Mexdagry</w:t>
      </w:r>
      <w:proofErr w:type="spellEnd"/>
      <w:r>
        <w:rPr>
          <w:rFonts w:eastAsiaTheme="minorHAnsi"/>
          <w:color w:val="000000"/>
          <w:sz w:val="22"/>
          <w:szCs w:val="22"/>
          <w:lang w:eastAsia="en-US"/>
        </w:rPr>
        <w:t xml:space="preserve"> saugumas ir veiksmingumas 1 </w:t>
      </w:r>
      <w:r w:rsidR="00E36E15">
        <w:rPr>
          <w:rFonts w:eastAsiaTheme="minorHAnsi"/>
          <w:color w:val="000000"/>
          <w:sz w:val="22"/>
          <w:szCs w:val="22"/>
          <w:lang w:eastAsia="en-US"/>
        </w:rPr>
        <w:t xml:space="preserve">tipo </w:t>
      </w:r>
      <w:r>
        <w:rPr>
          <w:rFonts w:eastAsiaTheme="minorHAnsi"/>
          <w:color w:val="000000"/>
          <w:sz w:val="22"/>
          <w:szCs w:val="22"/>
          <w:lang w:eastAsia="en-US"/>
        </w:rPr>
        <w:t>diabetu sergantiems pacientams neištirti, todėl jiems šio vaistinio preparato vartoti negalima. 1 tipo diabeto tyrimų metu DKA užfiksuota dažnai.</w:t>
      </w:r>
    </w:p>
    <w:p w14:paraId="7575569D" w14:textId="77777777" w:rsidR="00E86446" w:rsidRDefault="00E86446">
      <w:pPr>
        <w:autoSpaceDE w:val="0"/>
        <w:autoSpaceDN w:val="0"/>
        <w:adjustRightInd w:val="0"/>
        <w:rPr>
          <w:rFonts w:eastAsiaTheme="minorHAnsi"/>
          <w:color w:val="000000"/>
          <w:sz w:val="22"/>
          <w:szCs w:val="22"/>
          <w:lang w:eastAsia="en-US"/>
        </w:rPr>
      </w:pPr>
    </w:p>
    <w:p w14:paraId="3188B3EE" w14:textId="77777777"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Tarpvietės</w:t>
      </w:r>
      <w:proofErr w:type="spellEnd"/>
      <w:r>
        <w:rPr>
          <w:rFonts w:eastAsiaTheme="minorHAnsi"/>
          <w:color w:val="000000"/>
          <w:sz w:val="22"/>
          <w:szCs w:val="22"/>
          <w:u w:val="single"/>
          <w:lang w:eastAsia="en-US"/>
        </w:rPr>
        <w:t xml:space="preserve"> </w:t>
      </w:r>
      <w:proofErr w:type="spellStart"/>
      <w:r>
        <w:rPr>
          <w:rFonts w:eastAsiaTheme="minorHAnsi"/>
          <w:color w:val="000000"/>
          <w:sz w:val="22"/>
          <w:szCs w:val="22"/>
          <w:u w:val="single"/>
          <w:lang w:eastAsia="en-US"/>
        </w:rPr>
        <w:t>nekrozuojantis</w:t>
      </w:r>
      <w:proofErr w:type="spellEnd"/>
      <w:r>
        <w:rPr>
          <w:rFonts w:eastAsiaTheme="minorHAnsi"/>
          <w:color w:val="000000"/>
          <w:sz w:val="22"/>
          <w:szCs w:val="22"/>
          <w:u w:val="single"/>
          <w:lang w:eastAsia="en-US"/>
        </w:rPr>
        <w:t xml:space="preserve"> </w:t>
      </w:r>
      <w:proofErr w:type="spellStart"/>
      <w:r>
        <w:rPr>
          <w:rFonts w:eastAsiaTheme="minorHAnsi"/>
          <w:color w:val="000000"/>
          <w:sz w:val="22"/>
          <w:szCs w:val="22"/>
          <w:u w:val="single"/>
          <w:lang w:eastAsia="en-US"/>
        </w:rPr>
        <w:t>fascitas</w:t>
      </w:r>
      <w:proofErr w:type="spellEnd"/>
      <w:r>
        <w:rPr>
          <w:rFonts w:eastAsiaTheme="minorHAnsi"/>
          <w:color w:val="000000"/>
          <w:sz w:val="22"/>
          <w:szCs w:val="22"/>
          <w:u w:val="single"/>
          <w:lang w:eastAsia="en-US"/>
        </w:rPr>
        <w:t xml:space="preserve"> (</w:t>
      </w:r>
      <w:proofErr w:type="spellStart"/>
      <w:r>
        <w:rPr>
          <w:rFonts w:eastAsiaTheme="minorHAnsi"/>
          <w:i/>
          <w:iCs/>
          <w:color w:val="000000"/>
          <w:sz w:val="22"/>
          <w:szCs w:val="22"/>
          <w:u w:val="single"/>
          <w:lang w:eastAsia="en-US"/>
        </w:rPr>
        <w:t>Fournier</w:t>
      </w:r>
      <w:proofErr w:type="spellEnd"/>
      <w:r>
        <w:rPr>
          <w:rFonts w:eastAsiaTheme="minorHAnsi"/>
          <w:i/>
          <w:iCs/>
          <w:color w:val="000000"/>
          <w:sz w:val="22"/>
          <w:szCs w:val="22"/>
          <w:u w:val="single"/>
          <w:lang w:eastAsia="en-US"/>
        </w:rPr>
        <w:t xml:space="preserve"> </w:t>
      </w:r>
      <w:r>
        <w:rPr>
          <w:rFonts w:eastAsiaTheme="minorHAnsi"/>
          <w:color w:val="000000"/>
          <w:sz w:val="22"/>
          <w:szCs w:val="22"/>
          <w:u w:val="single"/>
          <w:lang w:eastAsia="en-US"/>
        </w:rPr>
        <w:t>gangrena)</w:t>
      </w:r>
    </w:p>
    <w:p w14:paraId="646B84B4" w14:textId="7561DF7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Po vaistinio preparato pateikimo rinkai gauta pranešimų apie SGLT2 inhibitori</w:t>
      </w:r>
      <w:r w:rsidR="00460417">
        <w:rPr>
          <w:rFonts w:eastAsiaTheme="minorHAnsi"/>
          <w:color w:val="000000"/>
          <w:sz w:val="22"/>
          <w:szCs w:val="22"/>
          <w:lang w:eastAsia="en-US"/>
        </w:rPr>
        <w:t>ų</w:t>
      </w:r>
      <w:r>
        <w:rPr>
          <w:rFonts w:eastAsiaTheme="minorHAnsi"/>
          <w:color w:val="000000"/>
          <w:sz w:val="22"/>
          <w:szCs w:val="22"/>
          <w:lang w:eastAsia="en-US"/>
        </w:rPr>
        <w:t xml:space="preserve"> vartojančioms moterims ir vyrams nustatyto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nekrozuojančio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fascito</w:t>
      </w:r>
      <w:proofErr w:type="spellEnd"/>
      <w:r>
        <w:rPr>
          <w:rFonts w:eastAsiaTheme="minorHAnsi"/>
          <w:color w:val="000000"/>
          <w:sz w:val="22"/>
          <w:szCs w:val="22"/>
          <w:lang w:eastAsia="en-US"/>
        </w:rPr>
        <w:t xml:space="preserve"> (dar vadinamo </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gangrena) atvejus (žr. 4.8 skyrių). Tai yra retas, bet rimtas grėsmę paciento gyvybei galintis kelti reiškinys, kuriam pasireiškus būtina skubiai imtis chirurginių intervencinių priemonių ir taikyti gydymą antibiotikais.</w:t>
      </w:r>
    </w:p>
    <w:p w14:paraId="0BCEE607" w14:textId="77777777" w:rsidR="00E86446" w:rsidRDefault="00E86446">
      <w:pPr>
        <w:autoSpaceDE w:val="0"/>
        <w:autoSpaceDN w:val="0"/>
        <w:adjustRightInd w:val="0"/>
        <w:rPr>
          <w:rFonts w:eastAsiaTheme="minorHAnsi"/>
          <w:color w:val="000000"/>
          <w:sz w:val="22"/>
          <w:szCs w:val="22"/>
          <w:lang w:eastAsia="en-US"/>
        </w:rPr>
      </w:pPr>
    </w:p>
    <w:p w14:paraId="1B5B5EF4" w14:textId="000B49A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Pacientus reikėtų informuoti, kad tuo pat metu pasireiškus skausmui,</w:t>
      </w:r>
      <w:r w:rsidR="00653B77">
        <w:rPr>
          <w:rFonts w:eastAsiaTheme="minorHAnsi"/>
          <w:color w:val="000000"/>
          <w:sz w:val="22"/>
          <w:szCs w:val="22"/>
          <w:lang w:eastAsia="en-US"/>
        </w:rPr>
        <w:t xml:space="preserve"> jautrumui,</w:t>
      </w:r>
      <w:r>
        <w:rPr>
          <w:rFonts w:eastAsiaTheme="minorHAnsi"/>
          <w:color w:val="000000"/>
          <w:sz w:val="22"/>
          <w:szCs w:val="22"/>
          <w:lang w:eastAsia="en-US"/>
        </w:rPr>
        <w:t xml:space="preserve"> </w:t>
      </w:r>
      <w:proofErr w:type="spellStart"/>
      <w:r>
        <w:rPr>
          <w:rFonts w:eastAsiaTheme="minorHAnsi"/>
          <w:color w:val="000000"/>
          <w:sz w:val="22"/>
          <w:szCs w:val="22"/>
          <w:lang w:eastAsia="en-US"/>
        </w:rPr>
        <w:t>eritemai</w:t>
      </w:r>
      <w:proofErr w:type="spellEnd"/>
      <w:r>
        <w:rPr>
          <w:rFonts w:eastAsiaTheme="minorHAnsi"/>
          <w:color w:val="000000"/>
          <w:sz w:val="22"/>
          <w:szCs w:val="22"/>
          <w:lang w:eastAsia="en-US"/>
        </w:rPr>
        <w:t xml:space="preserve"> arba patinimui lyties organų arba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srityje, taip pat pradėjus karščiuoti arba sunegalavus, reikia kreiptis į gydytoją. </w:t>
      </w:r>
      <w:r w:rsidR="00A16789">
        <w:rPr>
          <w:rFonts w:eastAsiaTheme="minorHAnsi"/>
          <w:color w:val="000000"/>
          <w:sz w:val="22"/>
          <w:szCs w:val="22"/>
          <w:lang w:eastAsia="en-US"/>
        </w:rPr>
        <w:t xml:space="preserve">Turite </w:t>
      </w:r>
      <w:r>
        <w:rPr>
          <w:rFonts w:eastAsiaTheme="minorHAnsi"/>
          <w:color w:val="000000"/>
          <w:sz w:val="22"/>
          <w:szCs w:val="22"/>
          <w:lang w:eastAsia="en-US"/>
        </w:rPr>
        <w:t xml:space="preserve">žinoti, kad </w:t>
      </w:r>
      <w:proofErr w:type="spellStart"/>
      <w:r>
        <w:rPr>
          <w:rFonts w:eastAsiaTheme="minorHAnsi"/>
          <w:color w:val="000000"/>
          <w:sz w:val="22"/>
          <w:szCs w:val="22"/>
          <w:lang w:eastAsia="en-US"/>
        </w:rPr>
        <w:t>nekrozuojantis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fascitas</w:t>
      </w:r>
      <w:proofErr w:type="spellEnd"/>
      <w:r>
        <w:rPr>
          <w:rFonts w:eastAsiaTheme="minorHAnsi"/>
          <w:color w:val="000000"/>
          <w:sz w:val="22"/>
          <w:szCs w:val="22"/>
          <w:lang w:eastAsia="en-US"/>
        </w:rPr>
        <w:t xml:space="preserve"> gali išsivystyti po </w:t>
      </w:r>
      <w:proofErr w:type="spellStart"/>
      <w:r>
        <w:rPr>
          <w:rFonts w:eastAsiaTheme="minorHAnsi"/>
          <w:color w:val="000000"/>
          <w:sz w:val="22"/>
          <w:szCs w:val="22"/>
          <w:lang w:eastAsia="en-US"/>
        </w:rPr>
        <w:t>urogenitalinės</w:t>
      </w:r>
      <w:proofErr w:type="spellEnd"/>
      <w:r>
        <w:rPr>
          <w:rFonts w:eastAsiaTheme="minorHAnsi"/>
          <w:color w:val="000000"/>
          <w:sz w:val="22"/>
          <w:szCs w:val="22"/>
          <w:lang w:eastAsia="en-US"/>
        </w:rPr>
        <w:t xml:space="preserve"> infekcijos arba susiformavus </w:t>
      </w:r>
      <w:proofErr w:type="spellStart"/>
      <w:r>
        <w:rPr>
          <w:rFonts w:eastAsiaTheme="minorHAnsi"/>
          <w:color w:val="000000"/>
          <w:sz w:val="22"/>
          <w:szCs w:val="22"/>
          <w:lang w:eastAsia="en-US"/>
        </w:rPr>
        <w:t>abscesui</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srityje. Įtarus </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 xml:space="preserve">gangreną, </w:t>
      </w:r>
      <w:r w:rsidR="008A12F6">
        <w:rPr>
          <w:rFonts w:eastAsiaTheme="minorHAnsi"/>
          <w:color w:val="000000"/>
          <w:sz w:val="22"/>
          <w:szCs w:val="22"/>
          <w:lang w:eastAsia="en-US"/>
        </w:rPr>
        <w:t xml:space="preserve">reikia </w:t>
      </w:r>
      <w:r>
        <w:rPr>
          <w:rFonts w:eastAsiaTheme="minorHAnsi"/>
          <w:color w:val="000000"/>
          <w:sz w:val="22"/>
          <w:szCs w:val="22"/>
          <w:lang w:eastAsia="en-US"/>
        </w:rPr>
        <w:t xml:space="preserve">nutraukti gydymą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ir kuo skubiau pradėti gydymą (įskaitant gydymą antibiotikais ir negyvų audinių pašalinimą chirurginiu būdu).</w:t>
      </w:r>
    </w:p>
    <w:p w14:paraId="1B568A43" w14:textId="77777777" w:rsidR="00E86446" w:rsidRDefault="00E86446">
      <w:pPr>
        <w:autoSpaceDE w:val="0"/>
        <w:autoSpaceDN w:val="0"/>
        <w:adjustRightInd w:val="0"/>
        <w:rPr>
          <w:rFonts w:eastAsiaTheme="minorHAnsi"/>
          <w:color w:val="000000"/>
          <w:sz w:val="22"/>
          <w:szCs w:val="22"/>
          <w:lang w:eastAsia="en-US"/>
        </w:rPr>
      </w:pPr>
    </w:p>
    <w:p w14:paraId="6202FB16"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Šlapimo takų infekcijos</w:t>
      </w:r>
    </w:p>
    <w:p w14:paraId="27677786"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Gliukozės išskyrimas su šlapimu gali būti susijęs su padidėjusia šlapimo takų infekcijos rizika, todėl gydant </w:t>
      </w:r>
      <w:proofErr w:type="spellStart"/>
      <w:r>
        <w:rPr>
          <w:rFonts w:eastAsiaTheme="minorHAnsi"/>
          <w:color w:val="000000"/>
          <w:sz w:val="22"/>
          <w:szCs w:val="22"/>
          <w:lang w:eastAsia="en-US"/>
        </w:rPr>
        <w:t>pielonefritą</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urosepsį</w:t>
      </w:r>
      <w:proofErr w:type="spellEnd"/>
      <w:r>
        <w:rPr>
          <w:rFonts w:eastAsiaTheme="minorHAnsi"/>
          <w:color w:val="000000"/>
          <w:sz w:val="22"/>
          <w:szCs w:val="22"/>
          <w:lang w:eastAsia="en-US"/>
        </w:rPr>
        <w:t xml:space="preserve"> svarstytinas tikslingumas laikinai nutraukti šio vaistinio preparato vartojimą.</w:t>
      </w:r>
    </w:p>
    <w:p w14:paraId="4761252C" w14:textId="77777777" w:rsidR="00E86446" w:rsidRDefault="00E86446">
      <w:pPr>
        <w:autoSpaceDE w:val="0"/>
        <w:autoSpaceDN w:val="0"/>
        <w:adjustRightInd w:val="0"/>
        <w:rPr>
          <w:rFonts w:eastAsiaTheme="minorHAnsi"/>
          <w:color w:val="000000"/>
          <w:sz w:val="22"/>
          <w:szCs w:val="22"/>
          <w:lang w:eastAsia="en-US"/>
        </w:rPr>
      </w:pPr>
    </w:p>
    <w:p w14:paraId="74DBEC7C"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Senyvi (65 metų ir vyresni) žmonės</w:t>
      </w:r>
    </w:p>
    <w:p w14:paraId="340C59A4"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Senyviems pacientams gali kilti didesnis kraujo tūrio sumažėjimo pavojus ir yra didesnė diuretikų vartojimo tikimybė.</w:t>
      </w:r>
    </w:p>
    <w:p w14:paraId="58D7C783" w14:textId="77777777" w:rsidR="00E86446" w:rsidRDefault="00E86446">
      <w:pPr>
        <w:autoSpaceDE w:val="0"/>
        <w:autoSpaceDN w:val="0"/>
        <w:adjustRightInd w:val="0"/>
        <w:rPr>
          <w:rFonts w:eastAsiaTheme="minorHAnsi"/>
          <w:color w:val="000000"/>
          <w:sz w:val="22"/>
          <w:szCs w:val="22"/>
          <w:lang w:eastAsia="en-US"/>
        </w:rPr>
      </w:pPr>
    </w:p>
    <w:p w14:paraId="690DCBBF"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Senyvų pacientų inkstų funkcijos sutrikimo tikimybė yra didesnė, jie dažniau vartoja </w:t>
      </w:r>
      <w:proofErr w:type="spellStart"/>
      <w:r>
        <w:rPr>
          <w:rFonts w:eastAsiaTheme="minorHAnsi"/>
          <w:color w:val="000000"/>
          <w:sz w:val="22"/>
          <w:szCs w:val="22"/>
          <w:lang w:eastAsia="en-US"/>
        </w:rPr>
        <w:t>antihipertenzinių</w:t>
      </w:r>
      <w:proofErr w:type="spellEnd"/>
      <w:r>
        <w:rPr>
          <w:rFonts w:eastAsiaTheme="minorHAnsi"/>
          <w:color w:val="000000"/>
          <w:sz w:val="22"/>
          <w:szCs w:val="22"/>
          <w:lang w:eastAsia="en-US"/>
        </w:rPr>
        <w:t xml:space="preserve"> vaistinių preparatų (pvz., </w:t>
      </w:r>
      <w:proofErr w:type="spellStart"/>
      <w:r>
        <w:rPr>
          <w:rFonts w:eastAsiaTheme="minorHAnsi"/>
          <w:color w:val="000000"/>
          <w:sz w:val="22"/>
          <w:szCs w:val="22"/>
          <w:lang w:eastAsia="en-US"/>
        </w:rPr>
        <w:t>angiotenziną</w:t>
      </w:r>
      <w:proofErr w:type="spellEnd"/>
      <w:r>
        <w:rPr>
          <w:rFonts w:eastAsiaTheme="minorHAnsi"/>
          <w:color w:val="000000"/>
          <w:sz w:val="22"/>
          <w:szCs w:val="22"/>
          <w:lang w:eastAsia="en-US"/>
        </w:rPr>
        <w:t xml:space="preserve"> konvertuojančio fermento inhibitorių,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-II 1 tipo receptorių blokatorių), kurie gali sukelti inkstų funkcijos sutrikimų. Senyviems pacientams taikomos tokios pačios rekomendacijos dėl inkstų funkcijos kaip ir visiems kitiems (žr. 4.2, 4.4, 4.8 ir 5.1 skyrius).</w:t>
      </w:r>
    </w:p>
    <w:p w14:paraId="514E5273" w14:textId="77777777" w:rsidR="00E86446" w:rsidRDefault="00E86446">
      <w:pPr>
        <w:autoSpaceDE w:val="0"/>
        <w:autoSpaceDN w:val="0"/>
        <w:adjustRightInd w:val="0"/>
        <w:rPr>
          <w:rFonts w:eastAsiaTheme="minorHAnsi"/>
          <w:color w:val="000000"/>
          <w:sz w:val="22"/>
          <w:szCs w:val="22"/>
          <w:lang w:eastAsia="en-US"/>
        </w:rPr>
      </w:pPr>
    </w:p>
    <w:p w14:paraId="44BDED7A"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Širdies nepakankamumas</w:t>
      </w:r>
    </w:p>
    <w:p w14:paraId="454C4A25"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Dapagliflozino vartojimo IV klasės pagal Niujorko širdies asociacijos (angl. </w:t>
      </w:r>
      <w:proofErr w:type="spellStart"/>
      <w:r>
        <w:rPr>
          <w:rFonts w:eastAsiaTheme="minorHAnsi"/>
          <w:i/>
          <w:iCs/>
          <w:color w:val="000000"/>
          <w:sz w:val="22"/>
          <w:szCs w:val="22"/>
          <w:lang w:eastAsia="en-US"/>
        </w:rPr>
        <w:t>New</w:t>
      </w:r>
      <w:proofErr w:type="spellEnd"/>
      <w:r>
        <w:rPr>
          <w:rFonts w:eastAsiaTheme="minorHAnsi"/>
          <w:i/>
          <w:iCs/>
          <w:color w:val="000000"/>
          <w:sz w:val="22"/>
          <w:szCs w:val="22"/>
          <w:lang w:eastAsia="en-US"/>
        </w:rPr>
        <w:t xml:space="preserve"> York </w:t>
      </w:r>
      <w:proofErr w:type="spellStart"/>
      <w:r>
        <w:rPr>
          <w:rFonts w:eastAsiaTheme="minorHAnsi"/>
          <w:i/>
          <w:iCs/>
          <w:color w:val="000000"/>
          <w:sz w:val="22"/>
          <w:szCs w:val="22"/>
          <w:lang w:eastAsia="en-US"/>
        </w:rPr>
        <w:t>Heart</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Association</w:t>
      </w:r>
      <w:proofErr w:type="spellEnd"/>
      <w:r>
        <w:rPr>
          <w:rFonts w:eastAsiaTheme="minorHAnsi"/>
          <w:i/>
          <w:iCs/>
          <w:color w:val="000000"/>
          <w:sz w:val="22"/>
          <w:szCs w:val="22"/>
          <w:lang w:eastAsia="en-US"/>
        </w:rPr>
        <w:t>, NYHA</w:t>
      </w:r>
      <w:r>
        <w:rPr>
          <w:rFonts w:eastAsiaTheme="minorHAnsi"/>
          <w:color w:val="000000"/>
          <w:sz w:val="22"/>
          <w:szCs w:val="22"/>
          <w:lang w:eastAsia="en-US"/>
        </w:rPr>
        <w:t>) klasifikaciją širdies nepakankamumu sergantiems pacientams patirties yra nedaug.</w:t>
      </w:r>
    </w:p>
    <w:p w14:paraId="1AC54BB4" w14:textId="77777777" w:rsidR="00E86446" w:rsidRDefault="00E86446">
      <w:pPr>
        <w:autoSpaceDE w:val="0"/>
        <w:autoSpaceDN w:val="0"/>
        <w:adjustRightInd w:val="0"/>
        <w:rPr>
          <w:rFonts w:eastAsiaTheme="minorHAnsi"/>
          <w:color w:val="000000"/>
          <w:sz w:val="22"/>
          <w:szCs w:val="22"/>
          <w:lang w:eastAsia="en-US"/>
        </w:rPr>
      </w:pPr>
    </w:p>
    <w:p w14:paraId="1DF5FF33"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Padidėjęs </w:t>
      </w:r>
      <w:proofErr w:type="spellStart"/>
      <w:r>
        <w:rPr>
          <w:rFonts w:eastAsiaTheme="minorHAnsi"/>
          <w:color w:val="000000"/>
          <w:sz w:val="22"/>
          <w:szCs w:val="22"/>
          <w:u w:val="single"/>
          <w:lang w:eastAsia="en-US"/>
        </w:rPr>
        <w:t>hematokritas</w:t>
      </w:r>
      <w:proofErr w:type="spellEnd"/>
    </w:p>
    <w:p w14:paraId="014C13F5" w14:textId="67BC7CA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Buvo pastebėta, kad gydant dapagliflozinu, padidėja </w:t>
      </w:r>
      <w:proofErr w:type="spellStart"/>
      <w:r>
        <w:rPr>
          <w:rFonts w:eastAsiaTheme="minorHAnsi"/>
          <w:color w:val="000000"/>
          <w:sz w:val="22"/>
          <w:szCs w:val="22"/>
          <w:lang w:eastAsia="en-US"/>
        </w:rPr>
        <w:t>hematokritas</w:t>
      </w:r>
      <w:proofErr w:type="spellEnd"/>
      <w:r>
        <w:rPr>
          <w:rFonts w:eastAsiaTheme="minorHAnsi"/>
          <w:color w:val="000000"/>
          <w:sz w:val="22"/>
          <w:szCs w:val="22"/>
          <w:lang w:eastAsia="en-US"/>
        </w:rPr>
        <w:t xml:space="preserve"> (žr. 4.8 skyrių). Pacientus, kurių </w:t>
      </w:r>
      <w:proofErr w:type="spellStart"/>
      <w:r>
        <w:rPr>
          <w:rFonts w:eastAsiaTheme="minorHAnsi"/>
          <w:color w:val="000000"/>
          <w:sz w:val="22"/>
          <w:szCs w:val="22"/>
          <w:lang w:eastAsia="en-US"/>
        </w:rPr>
        <w:t>hematokrit</w:t>
      </w:r>
      <w:r w:rsidR="000F00BB">
        <w:rPr>
          <w:rFonts w:eastAsiaTheme="minorHAnsi"/>
          <w:color w:val="000000"/>
          <w:sz w:val="22"/>
          <w:szCs w:val="22"/>
          <w:lang w:eastAsia="en-US"/>
        </w:rPr>
        <w:t>o</w:t>
      </w:r>
      <w:proofErr w:type="spellEnd"/>
      <w:r>
        <w:rPr>
          <w:rFonts w:eastAsiaTheme="minorHAnsi"/>
          <w:color w:val="000000"/>
          <w:sz w:val="22"/>
          <w:szCs w:val="22"/>
          <w:lang w:eastAsia="en-US"/>
        </w:rPr>
        <w:t xml:space="preserve"> </w:t>
      </w:r>
      <w:r w:rsidR="000F00BB">
        <w:rPr>
          <w:rFonts w:eastAsiaTheme="minorHAnsi"/>
          <w:color w:val="000000"/>
          <w:sz w:val="22"/>
          <w:szCs w:val="22"/>
          <w:lang w:eastAsia="en-US"/>
        </w:rPr>
        <w:t>padidėjimas labai ryškus</w:t>
      </w:r>
      <w:r>
        <w:rPr>
          <w:rFonts w:eastAsiaTheme="minorHAnsi"/>
          <w:color w:val="000000"/>
          <w:sz w:val="22"/>
          <w:szCs w:val="22"/>
          <w:lang w:eastAsia="en-US"/>
        </w:rPr>
        <w:t xml:space="preserve">, reikia stebėti ir tirti dėl </w:t>
      </w:r>
      <w:r w:rsidR="009320E4">
        <w:rPr>
          <w:rFonts w:eastAsiaTheme="minorHAnsi"/>
          <w:color w:val="000000"/>
          <w:sz w:val="22"/>
          <w:szCs w:val="22"/>
          <w:lang w:eastAsia="en-US"/>
        </w:rPr>
        <w:t xml:space="preserve">galimų </w:t>
      </w:r>
      <w:r>
        <w:rPr>
          <w:rFonts w:eastAsiaTheme="minorHAnsi"/>
          <w:color w:val="000000"/>
          <w:sz w:val="22"/>
          <w:szCs w:val="22"/>
          <w:lang w:eastAsia="en-US"/>
        </w:rPr>
        <w:t>kraujo lig</w:t>
      </w:r>
      <w:r w:rsidR="009320E4">
        <w:rPr>
          <w:rFonts w:eastAsiaTheme="minorHAnsi"/>
          <w:color w:val="000000"/>
          <w:sz w:val="22"/>
          <w:szCs w:val="22"/>
          <w:lang w:eastAsia="en-US"/>
        </w:rPr>
        <w:t>ų</w:t>
      </w:r>
      <w:r>
        <w:rPr>
          <w:rFonts w:eastAsiaTheme="minorHAnsi"/>
          <w:color w:val="000000"/>
          <w:sz w:val="22"/>
          <w:szCs w:val="22"/>
          <w:lang w:eastAsia="en-US"/>
        </w:rPr>
        <w:t>.</w:t>
      </w:r>
    </w:p>
    <w:p w14:paraId="5EA65BF8" w14:textId="77777777" w:rsidR="00E86446" w:rsidRDefault="00E86446">
      <w:pPr>
        <w:autoSpaceDE w:val="0"/>
        <w:autoSpaceDN w:val="0"/>
        <w:adjustRightInd w:val="0"/>
        <w:rPr>
          <w:rFonts w:eastAsiaTheme="minorHAnsi"/>
          <w:color w:val="000000"/>
          <w:sz w:val="22"/>
          <w:szCs w:val="22"/>
          <w:lang w:eastAsia="en-US"/>
        </w:rPr>
      </w:pPr>
    </w:p>
    <w:p w14:paraId="2F231B41"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Kojų amputacijos</w:t>
      </w:r>
    </w:p>
    <w:p w14:paraId="70D9499A" w14:textId="567D980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Tęsiamų ilgalaikių kito SGLT2 inhibitoriaus klinikinių tyrimų metu teko dažniau amputuoti kojas ar jų dalis, ypač pirštus. Ar toks poveikis yra būdingas visai šių vaistinių preparatų grupei, nėra žinoma. Š</w:t>
      </w:r>
      <w:r w:rsidR="002C33AD">
        <w:rPr>
          <w:rFonts w:eastAsiaTheme="minorHAnsi"/>
          <w:color w:val="000000"/>
          <w:sz w:val="22"/>
          <w:szCs w:val="22"/>
          <w:lang w:eastAsia="en-US"/>
        </w:rPr>
        <w:t>io</w:t>
      </w:r>
      <w:r>
        <w:rPr>
          <w:rFonts w:eastAsiaTheme="minorHAnsi"/>
          <w:color w:val="000000"/>
          <w:sz w:val="22"/>
          <w:szCs w:val="22"/>
          <w:lang w:eastAsia="en-US"/>
        </w:rPr>
        <w:t xml:space="preserve"> vaistin</w:t>
      </w:r>
      <w:r w:rsidR="002C33AD">
        <w:rPr>
          <w:rFonts w:eastAsiaTheme="minorHAnsi"/>
          <w:color w:val="000000"/>
          <w:sz w:val="22"/>
          <w:szCs w:val="22"/>
          <w:lang w:eastAsia="en-US"/>
        </w:rPr>
        <w:t>io</w:t>
      </w:r>
      <w:r>
        <w:rPr>
          <w:rFonts w:eastAsiaTheme="minorHAnsi"/>
          <w:color w:val="000000"/>
          <w:sz w:val="22"/>
          <w:szCs w:val="22"/>
          <w:lang w:eastAsia="en-US"/>
        </w:rPr>
        <w:t xml:space="preserve"> preparat</w:t>
      </w:r>
      <w:r w:rsidR="002C33AD">
        <w:rPr>
          <w:rFonts w:eastAsiaTheme="minorHAnsi"/>
          <w:color w:val="000000"/>
          <w:sz w:val="22"/>
          <w:szCs w:val="22"/>
          <w:lang w:eastAsia="en-US"/>
        </w:rPr>
        <w:t>o</w:t>
      </w:r>
      <w:r>
        <w:rPr>
          <w:rFonts w:eastAsiaTheme="minorHAnsi"/>
          <w:color w:val="000000"/>
          <w:sz w:val="22"/>
          <w:szCs w:val="22"/>
          <w:lang w:eastAsia="en-US"/>
        </w:rPr>
        <w:t xml:space="preserve"> vartojančius pacientus (kaip ir visus kitus sergančius diabetu) svarbu konsultuoti dėl įprastinės profilaktinės pėdų priežiūros.</w:t>
      </w:r>
    </w:p>
    <w:p w14:paraId="5AE9939A" w14:textId="77777777" w:rsidR="00E86446" w:rsidRDefault="00E86446">
      <w:pPr>
        <w:autoSpaceDE w:val="0"/>
        <w:autoSpaceDN w:val="0"/>
        <w:adjustRightInd w:val="0"/>
        <w:rPr>
          <w:rFonts w:eastAsiaTheme="minorHAnsi"/>
          <w:color w:val="000000"/>
          <w:sz w:val="22"/>
          <w:szCs w:val="22"/>
          <w:lang w:eastAsia="en-US"/>
        </w:rPr>
      </w:pPr>
    </w:p>
    <w:p w14:paraId="4DD0621F"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Laboratoriniai šlapimo tyrimai</w:t>
      </w:r>
    </w:p>
    <w:p w14:paraId="4E511DA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Dėl šio vaistinio preparato veikimo mechanizmo gliukozės mėginys jį vartojančių pacientų šlapime būna teigiamas.</w:t>
      </w:r>
    </w:p>
    <w:p w14:paraId="18EC243B" w14:textId="77777777" w:rsidR="00E86446" w:rsidRDefault="00E86446">
      <w:pPr>
        <w:autoSpaceDE w:val="0"/>
        <w:autoSpaceDN w:val="0"/>
        <w:adjustRightInd w:val="0"/>
        <w:rPr>
          <w:rFonts w:eastAsiaTheme="minorHAnsi"/>
          <w:color w:val="000000"/>
          <w:sz w:val="22"/>
          <w:szCs w:val="22"/>
          <w:lang w:eastAsia="en-US"/>
        </w:rPr>
      </w:pPr>
    </w:p>
    <w:p w14:paraId="3636AF9F" w14:textId="77777777" w:rsidR="00E86446" w:rsidRDefault="00345E63">
      <w:pPr>
        <w:rPr>
          <w:rFonts w:eastAsiaTheme="minorHAnsi"/>
          <w:color w:val="000000"/>
          <w:sz w:val="22"/>
          <w:szCs w:val="22"/>
          <w:u w:val="single"/>
          <w:lang w:eastAsia="en-US"/>
        </w:rPr>
      </w:pPr>
      <w:r>
        <w:rPr>
          <w:rFonts w:eastAsiaTheme="minorHAnsi"/>
          <w:color w:val="000000"/>
          <w:sz w:val="22"/>
          <w:szCs w:val="22"/>
          <w:u w:val="single"/>
          <w:lang w:eastAsia="en-US"/>
        </w:rPr>
        <w:t>Jodo turinčių kontrastinių medžiagų skyrimas</w:t>
      </w:r>
    </w:p>
    <w:p w14:paraId="6AFC2579"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Jodo turinčių kontrastinių medžiagų suleidus į kraujagysles, gali pasireikšti kontrastinių medžiagų sukeliama </w:t>
      </w:r>
      <w:proofErr w:type="spellStart"/>
      <w:r>
        <w:rPr>
          <w:rFonts w:eastAsiaTheme="minorHAnsi"/>
          <w:color w:val="000000"/>
          <w:sz w:val="22"/>
          <w:szCs w:val="22"/>
          <w:lang w:eastAsia="en-US"/>
        </w:rPr>
        <w:t>nefropatija</w:t>
      </w:r>
      <w:proofErr w:type="spellEnd"/>
      <w:r>
        <w:rPr>
          <w:rFonts w:eastAsiaTheme="minorHAnsi"/>
          <w:color w:val="000000"/>
          <w:sz w:val="22"/>
          <w:szCs w:val="22"/>
          <w:lang w:eastAsia="en-US"/>
        </w:rPr>
        <w:t xml:space="preserve">, dėl to gali kauptis </w:t>
      </w:r>
      <w:proofErr w:type="spellStart"/>
      <w:r>
        <w:rPr>
          <w:rFonts w:eastAsiaTheme="minorHAnsi"/>
          <w:color w:val="000000"/>
          <w:sz w:val="22"/>
          <w:szCs w:val="22"/>
          <w:lang w:eastAsia="en-US"/>
        </w:rPr>
        <w:t>metforminas</w:t>
      </w:r>
      <w:proofErr w:type="spellEnd"/>
      <w:r>
        <w:rPr>
          <w:rFonts w:eastAsiaTheme="minorHAnsi"/>
          <w:color w:val="000000"/>
          <w:sz w:val="22"/>
          <w:szCs w:val="22"/>
          <w:lang w:eastAsia="en-US"/>
        </w:rPr>
        <w:t xml:space="preserve"> ir padidėti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Prieš vizualizacijos procedūrą arba jos metu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vartojimą reikia nutraukti. Vėl vartoti galima tik praėjus ne mažiau kaip 48 valandoms po procedūros ir tik jei buvo atlikti tyrimai, kurie parodė stabilią inkstų funkciją (žr. 4.2 ir 4.5 skyrių).</w:t>
      </w:r>
    </w:p>
    <w:p w14:paraId="6636946E" w14:textId="77777777" w:rsidR="00E86446" w:rsidRDefault="00E86446">
      <w:pPr>
        <w:autoSpaceDE w:val="0"/>
        <w:autoSpaceDN w:val="0"/>
        <w:adjustRightInd w:val="0"/>
        <w:rPr>
          <w:rFonts w:eastAsiaTheme="minorHAnsi"/>
          <w:color w:val="000000"/>
          <w:sz w:val="22"/>
          <w:szCs w:val="22"/>
          <w:lang w:eastAsia="en-US"/>
        </w:rPr>
      </w:pPr>
    </w:p>
    <w:p w14:paraId="56E93B5E"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Operacijos</w:t>
      </w:r>
    </w:p>
    <w:p w14:paraId="4C976535"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Operacijos metu taikant bendrąją, </w:t>
      </w:r>
      <w:proofErr w:type="spellStart"/>
      <w:r>
        <w:rPr>
          <w:rFonts w:eastAsiaTheme="minorHAnsi"/>
          <w:color w:val="000000"/>
          <w:sz w:val="22"/>
          <w:szCs w:val="22"/>
          <w:lang w:eastAsia="en-US"/>
        </w:rPr>
        <w:t>spinalinę</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epidurinę</w:t>
      </w:r>
      <w:proofErr w:type="spellEnd"/>
      <w:r>
        <w:rPr>
          <w:rFonts w:eastAsiaTheme="minorHAnsi"/>
          <w:color w:val="000000"/>
          <w:sz w:val="22"/>
          <w:szCs w:val="22"/>
          <w:lang w:eastAsia="en-US"/>
        </w:rPr>
        <w:t xml:space="preserve"> nejautrą,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vartojimą reikia nutraukti. Gydymą galima atnaujinti praėjus ne mažiau kaip 48 valandoms po operacijos arba po maitinimo per burną atnaujinimo ir tik jei buvo atlikti tyrimai, kurie parodė stabilią inkstų funkciją.</w:t>
      </w:r>
    </w:p>
    <w:p w14:paraId="671276D9" w14:textId="77777777" w:rsidR="00E86446" w:rsidRDefault="00E86446">
      <w:pPr>
        <w:autoSpaceDE w:val="0"/>
        <w:autoSpaceDN w:val="0"/>
        <w:adjustRightInd w:val="0"/>
        <w:rPr>
          <w:rFonts w:eastAsiaTheme="minorHAnsi"/>
          <w:color w:val="000000"/>
          <w:sz w:val="22"/>
          <w:szCs w:val="22"/>
          <w:lang w:eastAsia="en-US"/>
        </w:rPr>
      </w:pPr>
    </w:p>
    <w:p w14:paraId="4A663F71"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Pacientų, sergančių 2 tipo cukriniu diabetu, anksčiau sureguliuotos klinikinės būklės pokyčiai</w:t>
      </w:r>
    </w:p>
    <w:p w14:paraId="4F9CBF5F"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vaistinio preparato sudėtyje yra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todėl jeigu 2 tipo cukriniu diabetu sergančiam pacientui, kurio būklė buvo gerai juo kontroliuojama, atsiranda laboratorinių sutrikimų arba klinikinių negalavimų (ypač jeigu jie neaiškūs), reikia skubiai patikrinti, ar nepasireiškė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arba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w:t>
      </w:r>
    </w:p>
    <w:p w14:paraId="4B6679E0"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Būtina ištirti elektrolitų ir ketonų koncentracijas serume, gliukozės koncentraciją kraujyje, o prireikus taip pat kraujo pH bei laktato, </w:t>
      </w:r>
      <w:proofErr w:type="spellStart"/>
      <w:r>
        <w:rPr>
          <w:rFonts w:eastAsiaTheme="minorHAnsi"/>
          <w:color w:val="000000"/>
          <w:sz w:val="22"/>
          <w:szCs w:val="22"/>
          <w:lang w:eastAsia="en-US"/>
        </w:rPr>
        <w:t>piruvato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koncentracijas. Nustačius kurios nors formos </w:t>
      </w:r>
      <w:proofErr w:type="spellStart"/>
      <w:r>
        <w:rPr>
          <w:rFonts w:eastAsiaTheme="minorHAnsi"/>
          <w:color w:val="000000"/>
          <w:sz w:val="22"/>
          <w:szCs w:val="22"/>
          <w:lang w:eastAsia="en-US"/>
        </w:rPr>
        <w:t>acidozę</w:t>
      </w:r>
      <w:proofErr w:type="spellEnd"/>
      <w:r>
        <w:rPr>
          <w:rFonts w:eastAsiaTheme="minorHAnsi"/>
          <w:color w:val="000000"/>
          <w:sz w:val="22"/>
          <w:szCs w:val="22"/>
          <w:lang w:eastAsia="en-US"/>
        </w:rPr>
        <w:t>, reikia nedelsiant nutraukti šio vaistinio preparato vartojimą ir imtis kitų tinkamų koregavimo priemonių.</w:t>
      </w:r>
    </w:p>
    <w:p w14:paraId="355E6276" w14:textId="77777777" w:rsidR="00E86446" w:rsidRDefault="00E86446">
      <w:pPr>
        <w:autoSpaceDE w:val="0"/>
        <w:autoSpaceDN w:val="0"/>
        <w:adjustRightInd w:val="0"/>
        <w:rPr>
          <w:rFonts w:eastAsiaTheme="minorHAnsi"/>
          <w:color w:val="000000"/>
          <w:sz w:val="22"/>
          <w:szCs w:val="22"/>
          <w:lang w:eastAsia="en-US"/>
        </w:rPr>
      </w:pPr>
    </w:p>
    <w:p w14:paraId="00F42BC7"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Vitamino B</w:t>
      </w:r>
      <w:r>
        <w:rPr>
          <w:rFonts w:eastAsiaTheme="minorHAnsi"/>
          <w:color w:val="000000"/>
          <w:sz w:val="14"/>
          <w:szCs w:val="14"/>
          <w:u w:val="single"/>
          <w:lang w:eastAsia="en-US"/>
        </w:rPr>
        <w:t xml:space="preserve">12 </w:t>
      </w:r>
      <w:r>
        <w:rPr>
          <w:rFonts w:eastAsiaTheme="minorHAnsi"/>
          <w:color w:val="000000"/>
          <w:sz w:val="22"/>
          <w:szCs w:val="22"/>
          <w:u w:val="single"/>
          <w:lang w:eastAsia="en-US"/>
        </w:rPr>
        <w:t>koncentracijos sumažėjimas / stoka</w:t>
      </w:r>
    </w:p>
    <w:p w14:paraId="32401BC7" w14:textId="4463CAD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Metforminas gali sumažinti vitamino B</w:t>
      </w:r>
      <w:r>
        <w:rPr>
          <w:rFonts w:eastAsiaTheme="minorHAnsi"/>
          <w:color w:val="000000"/>
          <w:sz w:val="14"/>
          <w:szCs w:val="14"/>
          <w:lang w:eastAsia="en-US"/>
        </w:rPr>
        <w:t xml:space="preserve">12 </w:t>
      </w:r>
      <w:r>
        <w:rPr>
          <w:rFonts w:eastAsiaTheme="minorHAnsi"/>
          <w:color w:val="000000"/>
          <w:sz w:val="22"/>
          <w:szCs w:val="22"/>
          <w:lang w:eastAsia="en-US"/>
        </w:rPr>
        <w:t>koncentracij</w:t>
      </w:r>
      <w:r w:rsidR="0068267C">
        <w:rPr>
          <w:rFonts w:eastAsiaTheme="minorHAnsi"/>
          <w:color w:val="000000"/>
          <w:sz w:val="22"/>
          <w:szCs w:val="22"/>
          <w:lang w:eastAsia="en-US"/>
        </w:rPr>
        <w:t>ą</w:t>
      </w:r>
      <w:r>
        <w:rPr>
          <w:rFonts w:eastAsiaTheme="minorHAnsi"/>
          <w:color w:val="000000"/>
          <w:sz w:val="22"/>
          <w:szCs w:val="22"/>
          <w:lang w:eastAsia="en-US"/>
        </w:rPr>
        <w:t xml:space="preserve"> serume. Vitamino B</w:t>
      </w:r>
      <w:r>
        <w:rPr>
          <w:rFonts w:eastAsiaTheme="minorHAnsi"/>
          <w:color w:val="000000"/>
          <w:sz w:val="14"/>
          <w:szCs w:val="14"/>
          <w:lang w:eastAsia="en-US"/>
        </w:rPr>
        <w:t xml:space="preserve">12 </w:t>
      </w:r>
      <w:r>
        <w:rPr>
          <w:rFonts w:eastAsiaTheme="minorHAnsi"/>
          <w:color w:val="000000"/>
          <w:sz w:val="22"/>
          <w:szCs w:val="22"/>
          <w:lang w:eastAsia="en-US"/>
        </w:rPr>
        <w:t>koncentracij</w:t>
      </w:r>
      <w:r w:rsidR="0068267C">
        <w:rPr>
          <w:rFonts w:eastAsiaTheme="minorHAnsi"/>
          <w:color w:val="000000"/>
          <w:sz w:val="22"/>
          <w:szCs w:val="22"/>
          <w:lang w:eastAsia="en-US"/>
        </w:rPr>
        <w:t>os</w:t>
      </w:r>
      <w:r>
        <w:rPr>
          <w:rFonts w:eastAsiaTheme="minorHAnsi"/>
          <w:color w:val="000000"/>
          <w:sz w:val="22"/>
          <w:szCs w:val="22"/>
          <w:lang w:eastAsia="en-US"/>
        </w:rPr>
        <w:t xml:space="preserve"> sumažėjimo rizika didėja, vartojant didesnę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dozę, ilgėjant gydymo trukmei ir (arba) pacientams, turintiems rizikos veiksnių, dėl kurių gali pasireikšti vitamino B</w:t>
      </w:r>
      <w:r>
        <w:rPr>
          <w:rFonts w:eastAsiaTheme="minorHAnsi"/>
          <w:color w:val="000000"/>
          <w:sz w:val="14"/>
          <w:szCs w:val="14"/>
          <w:lang w:eastAsia="en-US"/>
        </w:rPr>
        <w:t xml:space="preserve">12 </w:t>
      </w:r>
      <w:r>
        <w:rPr>
          <w:rFonts w:eastAsiaTheme="minorHAnsi"/>
          <w:color w:val="000000"/>
          <w:sz w:val="22"/>
          <w:szCs w:val="22"/>
          <w:lang w:eastAsia="en-US"/>
        </w:rPr>
        <w:t>stoka. Įtarus vitamino B</w:t>
      </w:r>
      <w:r>
        <w:rPr>
          <w:rFonts w:eastAsiaTheme="minorHAnsi"/>
          <w:color w:val="000000"/>
          <w:sz w:val="14"/>
          <w:szCs w:val="14"/>
          <w:lang w:eastAsia="en-US"/>
        </w:rPr>
        <w:t xml:space="preserve">12 </w:t>
      </w:r>
      <w:r>
        <w:rPr>
          <w:rFonts w:eastAsiaTheme="minorHAnsi"/>
          <w:color w:val="000000"/>
          <w:sz w:val="22"/>
          <w:szCs w:val="22"/>
          <w:lang w:eastAsia="en-US"/>
        </w:rPr>
        <w:t xml:space="preserve">stoką (pvz., anemijos ar neuropatijos atveju), reikia </w:t>
      </w:r>
      <w:r w:rsidR="0068267C">
        <w:rPr>
          <w:rFonts w:eastAsiaTheme="minorHAnsi"/>
          <w:color w:val="000000"/>
          <w:sz w:val="22"/>
          <w:szCs w:val="22"/>
          <w:lang w:eastAsia="en-US"/>
        </w:rPr>
        <w:t xml:space="preserve">tirti </w:t>
      </w:r>
      <w:r>
        <w:rPr>
          <w:rFonts w:eastAsiaTheme="minorHAnsi"/>
          <w:color w:val="000000"/>
          <w:sz w:val="22"/>
          <w:szCs w:val="22"/>
          <w:lang w:eastAsia="en-US"/>
        </w:rPr>
        <w:t>vitamino B</w:t>
      </w:r>
      <w:r>
        <w:rPr>
          <w:rFonts w:eastAsiaTheme="minorHAnsi"/>
          <w:color w:val="000000"/>
          <w:sz w:val="14"/>
          <w:szCs w:val="14"/>
          <w:lang w:eastAsia="en-US"/>
        </w:rPr>
        <w:t xml:space="preserve">12 </w:t>
      </w:r>
      <w:r>
        <w:rPr>
          <w:rFonts w:eastAsiaTheme="minorHAnsi"/>
          <w:color w:val="000000"/>
          <w:sz w:val="22"/>
          <w:szCs w:val="22"/>
          <w:lang w:eastAsia="en-US"/>
        </w:rPr>
        <w:t>koncentracij</w:t>
      </w:r>
      <w:r w:rsidR="0068267C">
        <w:rPr>
          <w:rFonts w:eastAsiaTheme="minorHAnsi"/>
          <w:color w:val="000000"/>
          <w:sz w:val="22"/>
          <w:szCs w:val="22"/>
          <w:lang w:eastAsia="en-US"/>
        </w:rPr>
        <w:t>ą</w:t>
      </w:r>
      <w:r>
        <w:rPr>
          <w:rFonts w:eastAsiaTheme="minorHAnsi"/>
          <w:color w:val="000000"/>
          <w:sz w:val="22"/>
          <w:szCs w:val="22"/>
          <w:lang w:eastAsia="en-US"/>
        </w:rPr>
        <w:t xml:space="preserve"> serume. Pacientams, turintiems vitamino B</w:t>
      </w:r>
      <w:r>
        <w:rPr>
          <w:rFonts w:eastAsiaTheme="minorHAnsi"/>
          <w:color w:val="000000"/>
          <w:sz w:val="14"/>
          <w:szCs w:val="14"/>
          <w:lang w:eastAsia="en-US"/>
        </w:rPr>
        <w:t xml:space="preserve">12 </w:t>
      </w:r>
      <w:r>
        <w:rPr>
          <w:rFonts w:eastAsiaTheme="minorHAnsi"/>
          <w:color w:val="000000"/>
          <w:sz w:val="22"/>
          <w:szCs w:val="22"/>
          <w:lang w:eastAsia="en-US"/>
        </w:rPr>
        <w:t xml:space="preserve">stokos rizikos veiksnių, gali prireikti periodiškai </w:t>
      </w:r>
      <w:r w:rsidR="0068267C">
        <w:rPr>
          <w:rFonts w:eastAsiaTheme="minorHAnsi"/>
          <w:color w:val="000000"/>
          <w:sz w:val="22"/>
          <w:szCs w:val="22"/>
          <w:lang w:eastAsia="en-US"/>
        </w:rPr>
        <w:t xml:space="preserve">tirti </w:t>
      </w:r>
      <w:r>
        <w:rPr>
          <w:rFonts w:eastAsiaTheme="minorHAnsi"/>
          <w:color w:val="000000"/>
          <w:sz w:val="22"/>
          <w:szCs w:val="22"/>
          <w:lang w:eastAsia="en-US"/>
        </w:rPr>
        <w:t>vitamino B</w:t>
      </w:r>
      <w:r>
        <w:rPr>
          <w:rFonts w:eastAsiaTheme="minorHAnsi"/>
          <w:color w:val="000000"/>
          <w:sz w:val="14"/>
          <w:szCs w:val="14"/>
          <w:lang w:eastAsia="en-US"/>
        </w:rPr>
        <w:t xml:space="preserve">12 </w:t>
      </w:r>
      <w:r>
        <w:rPr>
          <w:rFonts w:eastAsiaTheme="minorHAnsi"/>
          <w:color w:val="000000"/>
          <w:sz w:val="22"/>
          <w:szCs w:val="22"/>
          <w:lang w:eastAsia="en-US"/>
        </w:rPr>
        <w:t>koncentracij</w:t>
      </w:r>
      <w:r w:rsidR="0068267C">
        <w:rPr>
          <w:rFonts w:eastAsiaTheme="minorHAnsi"/>
          <w:color w:val="000000"/>
          <w:sz w:val="22"/>
          <w:szCs w:val="22"/>
          <w:lang w:eastAsia="en-US"/>
        </w:rPr>
        <w:t>ą</w:t>
      </w:r>
      <w:r>
        <w:rPr>
          <w:rFonts w:eastAsiaTheme="minorHAnsi"/>
          <w:color w:val="000000"/>
          <w:sz w:val="22"/>
          <w:szCs w:val="22"/>
          <w:lang w:eastAsia="en-US"/>
        </w:rPr>
        <w:t xml:space="preserve">. Gydymą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reikia tęsti tol, kol jis toleruojamas ir nėra kontraindikacijų, ir turėtų būti skiriamas tinkamas vitamino B</w:t>
      </w:r>
      <w:r>
        <w:rPr>
          <w:rFonts w:eastAsiaTheme="minorHAnsi"/>
          <w:color w:val="000000"/>
          <w:sz w:val="14"/>
          <w:szCs w:val="14"/>
          <w:lang w:eastAsia="en-US"/>
        </w:rPr>
        <w:t xml:space="preserve">12 </w:t>
      </w:r>
      <w:r>
        <w:rPr>
          <w:rFonts w:eastAsiaTheme="minorHAnsi"/>
          <w:color w:val="000000"/>
          <w:sz w:val="22"/>
          <w:szCs w:val="22"/>
          <w:lang w:eastAsia="en-US"/>
        </w:rPr>
        <w:t>stoką koreguojantis gydymas pagal dabartines klinikines rekomendacijas.</w:t>
      </w:r>
    </w:p>
    <w:p w14:paraId="60767AC2" w14:textId="77777777" w:rsidR="00E86446" w:rsidRDefault="00E86446">
      <w:pPr>
        <w:autoSpaceDE w:val="0"/>
        <w:autoSpaceDN w:val="0"/>
        <w:adjustRightInd w:val="0"/>
        <w:rPr>
          <w:rFonts w:eastAsiaTheme="minorHAnsi"/>
          <w:color w:val="000000"/>
          <w:sz w:val="22"/>
          <w:szCs w:val="22"/>
          <w:lang w:eastAsia="en-US"/>
        </w:rPr>
      </w:pPr>
    </w:p>
    <w:p w14:paraId="3C50452C"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Natris</w:t>
      </w:r>
    </w:p>
    <w:p w14:paraId="6E7A7F4D" w14:textId="5E5C15E7" w:rsidR="00E86446" w:rsidRDefault="00345E63">
      <w:pPr>
        <w:rPr>
          <w:rFonts w:eastAsiaTheme="minorHAnsi"/>
          <w:color w:val="000000"/>
          <w:sz w:val="22"/>
          <w:szCs w:val="22"/>
          <w:lang w:eastAsia="en-US"/>
        </w:rPr>
      </w:pPr>
      <w:r>
        <w:rPr>
          <w:rFonts w:eastAsiaTheme="minorHAnsi"/>
          <w:color w:val="000000"/>
          <w:sz w:val="22"/>
          <w:szCs w:val="22"/>
          <w:lang w:eastAsia="en-US"/>
        </w:rPr>
        <w:t xml:space="preserve">Šio vaistinio preparato </w:t>
      </w:r>
      <w:r w:rsidR="0068267C">
        <w:rPr>
          <w:rFonts w:eastAsiaTheme="minorHAnsi"/>
          <w:color w:val="000000"/>
          <w:sz w:val="22"/>
          <w:szCs w:val="22"/>
          <w:lang w:eastAsia="en-US"/>
        </w:rPr>
        <w:t xml:space="preserve">kiekvienoje </w:t>
      </w:r>
      <w:r>
        <w:rPr>
          <w:rFonts w:eastAsiaTheme="minorHAnsi"/>
          <w:color w:val="000000"/>
          <w:sz w:val="22"/>
          <w:szCs w:val="22"/>
          <w:lang w:eastAsia="en-US"/>
        </w:rPr>
        <w:t>dozėje yra mažiau kaip 1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 (23 mg) natrio, t. y. jis beveik neturi reikšmės.</w:t>
      </w:r>
    </w:p>
    <w:p w14:paraId="6C729066" w14:textId="77777777" w:rsidR="00E86446" w:rsidRDefault="00E86446">
      <w:pPr>
        <w:rPr>
          <w:sz w:val="22"/>
          <w:szCs w:val="22"/>
        </w:rPr>
      </w:pPr>
    </w:p>
    <w:p w14:paraId="021A9AC2"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51AFC823" w14:textId="77777777" w:rsidR="00E86446" w:rsidRDefault="00E86446">
      <w:pPr>
        <w:rPr>
          <w:sz w:val="22"/>
          <w:szCs w:val="22"/>
        </w:rPr>
      </w:pPr>
    </w:p>
    <w:p w14:paraId="5F9DC161"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Daugkartines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dozes vartojant kartu, sveikų žmonių organizme dapagliflozino ar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farmakokinetika reikšmingai nekito.</w:t>
      </w:r>
    </w:p>
    <w:p w14:paraId="42108ED7" w14:textId="77777777" w:rsidR="00E86446" w:rsidRDefault="00E86446">
      <w:pPr>
        <w:autoSpaceDE w:val="0"/>
        <w:autoSpaceDN w:val="0"/>
        <w:adjustRightInd w:val="0"/>
        <w:rPr>
          <w:rFonts w:eastAsiaTheme="minorHAnsi"/>
          <w:color w:val="000000"/>
          <w:sz w:val="22"/>
          <w:szCs w:val="22"/>
          <w:lang w:eastAsia="en-US"/>
        </w:rPr>
      </w:pPr>
    </w:p>
    <w:p w14:paraId="10449777"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sąveikos tyrimų neatlikta. Žemiau pateikiama informacija apie jo sudėtines veikliąsias medžiagas.</w:t>
      </w:r>
    </w:p>
    <w:p w14:paraId="32735D0A" w14:textId="77777777" w:rsidR="00E86446" w:rsidRDefault="00E86446">
      <w:pPr>
        <w:autoSpaceDE w:val="0"/>
        <w:autoSpaceDN w:val="0"/>
        <w:adjustRightInd w:val="0"/>
        <w:rPr>
          <w:rFonts w:eastAsiaTheme="minorHAnsi"/>
          <w:color w:val="000000"/>
          <w:sz w:val="22"/>
          <w:szCs w:val="22"/>
          <w:lang w:eastAsia="en-US"/>
        </w:rPr>
      </w:pPr>
    </w:p>
    <w:p w14:paraId="0EC513F0"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Dapagliflozinas</w:t>
      </w:r>
    </w:p>
    <w:p w14:paraId="399AA6B8"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Farmakodinaminė</w:t>
      </w:r>
      <w:proofErr w:type="spellEnd"/>
      <w:r>
        <w:rPr>
          <w:rFonts w:eastAsiaTheme="minorHAnsi"/>
          <w:color w:val="000000"/>
          <w:sz w:val="22"/>
          <w:szCs w:val="22"/>
          <w:lang w:eastAsia="en-US"/>
        </w:rPr>
        <w:t xml:space="preserve"> sąveika</w:t>
      </w:r>
    </w:p>
    <w:p w14:paraId="7CFAB416"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Diuretikai</w:t>
      </w:r>
    </w:p>
    <w:p w14:paraId="38DBA8A1" w14:textId="4368DFA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vaistinio preparato ir </w:t>
      </w:r>
      <w:proofErr w:type="spellStart"/>
      <w:r>
        <w:rPr>
          <w:rFonts w:eastAsiaTheme="minorHAnsi"/>
          <w:color w:val="000000"/>
          <w:sz w:val="22"/>
          <w:szCs w:val="22"/>
          <w:lang w:eastAsia="en-US"/>
        </w:rPr>
        <w:t>tiazidinių</w:t>
      </w:r>
      <w:proofErr w:type="spellEnd"/>
      <w:r>
        <w:rPr>
          <w:rFonts w:eastAsiaTheme="minorHAnsi"/>
          <w:color w:val="000000"/>
          <w:sz w:val="22"/>
          <w:szCs w:val="22"/>
          <w:lang w:eastAsia="en-US"/>
        </w:rPr>
        <w:t xml:space="preserve"> bei kilpinių diuretikų </w:t>
      </w:r>
      <w:proofErr w:type="spellStart"/>
      <w:r>
        <w:rPr>
          <w:rFonts w:eastAsiaTheme="minorHAnsi"/>
          <w:color w:val="000000"/>
          <w:sz w:val="22"/>
          <w:szCs w:val="22"/>
          <w:lang w:eastAsia="en-US"/>
        </w:rPr>
        <w:t>diurezinis</w:t>
      </w:r>
      <w:proofErr w:type="spellEnd"/>
      <w:r>
        <w:rPr>
          <w:rFonts w:eastAsiaTheme="minorHAnsi"/>
          <w:color w:val="000000"/>
          <w:sz w:val="22"/>
          <w:szCs w:val="22"/>
          <w:lang w:eastAsia="en-US"/>
        </w:rPr>
        <w:t xml:space="preserve"> poveikis gali </w:t>
      </w:r>
      <w:r w:rsidR="00A76EF0">
        <w:rPr>
          <w:rFonts w:eastAsiaTheme="minorHAnsi"/>
          <w:color w:val="000000"/>
          <w:sz w:val="22"/>
          <w:szCs w:val="22"/>
          <w:lang w:eastAsia="en-US"/>
        </w:rPr>
        <w:t>stiprėti</w:t>
      </w:r>
      <w:r>
        <w:rPr>
          <w:rFonts w:eastAsiaTheme="minorHAnsi"/>
          <w:color w:val="000000"/>
          <w:sz w:val="22"/>
          <w:szCs w:val="22"/>
          <w:lang w:eastAsia="en-US"/>
        </w:rPr>
        <w:t xml:space="preserve">, todėl gali padidėti dehidratacijos ir </w:t>
      </w:r>
      <w:proofErr w:type="spellStart"/>
      <w:r>
        <w:rPr>
          <w:rFonts w:eastAsiaTheme="minorHAnsi"/>
          <w:color w:val="000000"/>
          <w:sz w:val="22"/>
          <w:szCs w:val="22"/>
          <w:lang w:eastAsia="en-US"/>
        </w:rPr>
        <w:t>hipotenzijos</w:t>
      </w:r>
      <w:proofErr w:type="spellEnd"/>
      <w:r>
        <w:rPr>
          <w:rFonts w:eastAsiaTheme="minorHAnsi"/>
          <w:color w:val="000000"/>
          <w:sz w:val="22"/>
          <w:szCs w:val="22"/>
          <w:lang w:eastAsia="en-US"/>
        </w:rPr>
        <w:t xml:space="preserve"> rizika (žr. 4.4 skyrių).</w:t>
      </w:r>
    </w:p>
    <w:p w14:paraId="5DE0ED0C" w14:textId="77777777" w:rsidR="00E86446" w:rsidRDefault="00E86446">
      <w:pPr>
        <w:autoSpaceDE w:val="0"/>
        <w:autoSpaceDN w:val="0"/>
        <w:adjustRightInd w:val="0"/>
        <w:rPr>
          <w:rFonts w:eastAsiaTheme="minorHAnsi"/>
          <w:color w:val="000000"/>
          <w:sz w:val="22"/>
          <w:szCs w:val="22"/>
          <w:lang w:eastAsia="en-US"/>
        </w:rPr>
      </w:pPr>
    </w:p>
    <w:p w14:paraId="18F2C6EB"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Insulinas ir jo sekreciją skatinantys vaistiniai preparatai</w:t>
      </w:r>
    </w:p>
    <w:p w14:paraId="34C5EBE1" w14:textId="29593C8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Insulinas ir jo sekreciją skatinantys vaistiniai preparatai, pvz., </w:t>
      </w:r>
      <w:proofErr w:type="spellStart"/>
      <w:r>
        <w:rPr>
          <w:rFonts w:eastAsiaTheme="minorHAnsi"/>
          <w:color w:val="000000"/>
          <w:sz w:val="22"/>
          <w:szCs w:val="22"/>
          <w:lang w:eastAsia="en-US"/>
        </w:rPr>
        <w:t>sulfonilkarbamidai</w:t>
      </w:r>
      <w:proofErr w:type="spellEnd"/>
      <w:r>
        <w:rPr>
          <w:rFonts w:eastAsiaTheme="minorHAnsi"/>
          <w:color w:val="000000"/>
          <w:sz w:val="22"/>
          <w:szCs w:val="22"/>
          <w:lang w:eastAsia="en-US"/>
        </w:rPr>
        <w:t>, sukelia hipoglikemiją. Dėl to norint sumažinti jos riziką, gali tekti sumažinti kartu su dapagliflozinu vartojamo insulino ar jo sekreciją skatinančio vaistinio preparato dozę (žr. 4.2 ir 4.8 skyrius).</w:t>
      </w:r>
    </w:p>
    <w:p w14:paraId="27F6EDA8" w14:textId="77777777" w:rsidR="00E86446" w:rsidRDefault="00E86446">
      <w:pPr>
        <w:autoSpaceDE w:val="0"/>
        <w:autoSpaceDN w:val="0"/>
        <w:adjustRightInd w:val="0"/>
        <w:rPr>
          <w:rFonts w:eastAsiaTheme="minorHAnsi"/>
          <w:color w:val="000000"/>
          <w:sz w:val="22"/>
          <w:szCs w:val="22"/>
          <w:lang w:eastAsia="en-US"/>
        </w:rPr>
      </w:pPr>
    </w:p>
    <w:p w14:paraId="4708147B" w14:textId="77777777"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i/>
          <w:iCs/>
          <w:color w:val="000000"/>
          <w:sz w:val="22"/>
          <w:szCs w:val="22"/>
          <w:u w:val="single"/>
          <w:lang w:eastAsia="en-US"/>
        </w:rPr>
        <w:t>Farmakokinetinė</w:t>
      </w:r>
      <w:proofErr w:type="spellEnd"/>
      <w:r>
        <w:rPr>
          <w:rFonts w:eastAsiaTheme="minorHAnsi"/>
          <w:i/>
          <w:iCs/>
          <w:color w:val="000000"/>
          <w:sz w:val="22"/>
          <w:szCs w:val="22"/>
          <w:u w:val="single"/>
          <w:lang w:eastAsia="en-US"/>
        </w:rPr>
        <w:t xml:space="preserve"> sąveika</w:t>
      </w:r>
    </w:p>
    <w:p w14:paraId="1C069358"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Pagrindinis dapagliflozino metabolizmo būdas – </w:t>
      </w:r>
      <w:proofErr w:type="spellStart"/>
      <w:r>
        <w:rPr>
          <w:rFonts w:eastAsiaTheme="minorHAnsi"/>
          <w:color w:val="000000"/>
          <w:sz w:val="22"/>
          <w:szCs w:val="22"/>
          <w:lang w:eastAsia="en-US"/>
        </w:rPr>
        <w:t>konjugacija</w:t>
      </w:r>
      <w:proofErr w:type="spellEnd"/>
      <w:r>
        <w:rPr>
          <w:rFonts w:eastAsiaTheme="minorHAnsi"/>
          <w:color w:val="000000"/>
          <w:sz w:val="22"/>
          <w:szCs w:val="22"/>
          <w:lang w:eastAsia="en-US"/>
        </w:rPr>
        <w:t xml:space="preserve"> su </w:t>
      </w:r>
      <w:proofErr w:type="spellStart"/>
      <w:r>
        <w:rPr>
          <w:rFonts w:eastAsiaTheme="minorHAnsi"/>
          <w:color w:val="000000"/>
          <w:sz w:val="22"/>
          <w:szCs w:val="22"/>
          <w:lang w:eastAsia="en-US"/>
        </w:rPr>
        <w:t>glukuronidu</w:t>
      </w:r>
      <w:proofErr w:type="spellEnd"/>
      <w:r>
        <w:rPr>
          <w:rFonts w:eastAsiaTheme="minorHAnsi"/>
          <w:color w:val="000000"/>
          <w:sz w:val="22"/>
          <w:szCs w:val="22"/>
          <w:lang w:eastAsia="en-US"/>
        </w:rPr>
        <w:t xml:space="preserve">, kurią katalizuoja UDF </w:t>
      </w:r>
      <w:proofErr w:type="spellStart"/>
      <w:r>
        <w:rPr>
          <w:rFonts w:eastAsiaTheme="minorHAnsi"/>
          <w:color w:val="000000"/>
          <w:sz w:val="22"/>
          <w:szCs w:val="22"/>
          <w:lang w:eastAsia="en-US"/>
        </w:rPr>
        <w:t>glukuronoziltransferazė</w:t>
      </w:r>
      <w:proofErr w:type="spellEnd"/>
      <w:r>
        <w:rPr>
          <w:rFonts w:eastAsiaTheme="minorHAnsi"/>
          <w:color w:val="000000"/>
          <w:sz w:val="22"/>
          <w:szCs w:val="22"/>
          <w:lang w:eastAsia="en-US"/>
        </w:rPr>
        <w:t xml:space="preserve"> 1A9 (UGT1A9).</w:t>
      </w:r>
    </w:p>
    <w:p w14:paraId="434F5695" w14:textId="77777777" w:rsidR="00E86446" w:rsidRDefault="00E86446">
      <w:pPr>
        <w:autoSpaceDE w:val="0"/>
        <w:autoSpaceDN w:val="0"/>
        <w:adjustRightInd w:val="0"/>
        <w:rPr>
          <w:rFonts w:eastAsiaTheme="minorHAnsi"/>
          <w:color w:val="000000"/>
          <w:sz w:val="22"/>
          <w:szCs w:val="22"/>
          <w:lang w:eastAsia="en-US"/>
        </w:rPr>
      </w:pPr>
    </w:p>
    <w:p w14:paraId="55B97422" w14:textId="5F73AA42" w:rsidR="00E86446" w:rsidRDefault="00345E63">
      <w:pPr>
        <w:rPr>
          <w:rFonts w:eastAsiaTheme="minorHAnsi"/>
          <w:color w:val="000000"/>
          <w:sz w:val="22"/>
          <w:szCs w:val="22"/>
          <w:lang w:eastAsia="en-US"/>
        </w:rPr>
      </w:pPr>
      <w:proofErr w:type="spellStart"/>
      <w:r>
        <w:rPr>
          <w:rFonts w:eastAsiaTheme="minorHAnsi"/>
          <w:i/>
          <w:iCs/>
          <w:color w:val="000000"/>
          <w:sz w:val="22"/>
          <w:szCs w:val="22"/>
          <w:lang w:eastAsia="en-US"/>
        </w:rPr>
        <w:t>In</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vitro</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 xml:space="preserve">atliktų tyrimų metu dapagliflozinas neslopino </w:t>
      </w:r>
      <w:proofErr w:type="spellStart"/>
      <w:r>
        <w:rPr>
          <w:rFonts w:eastAsiaTheme="minorHAnsi"/>
          <w:color w:val="000000"/>
          <w:sz w:val="22"/>
          <w:szCs w:val="22"/>
          <w:lang w:eastAsia="en-US"/>
        </w:rPr>
        <w:t>citochromo</w:t>
      </w:r>
      <w:proofErr w:type="spellEnd"/>
      <w:r>
        <w:rPr>
          <w:rFonts w:eastAsiaTheme="minorHAnsi"/>
          <w:color w:val="000000"/>
          <w:sz w:val="22"/>
          <w:szCs w:val="22"/>
          <w:lang w:eastAsia="en-US"/>
        </w:rPr>
        <w:t xml:space="preserve"> P450 (CYP) 1A2, CYP2A6, CYP2B6, CYP2C8, CYP2C9, CYP2C19 ar CYP2D6, CYP3A4 bei neindukavo CYP1A2, CYP2B6 ar CYP3A4. Dėl to šis vaistinis preparatas neturėtų </w:t>
      </w:r>
      <w:r w:rsidR="00AC1C1C">
        <w:rPr>
          <w:rFonts w:eastAsiaTheme="minorHAnsi"/>
          <w:color w:val="000000"/>
          <w:sz w:val="22"/>
          <w:szCs w:val="22"/>
          <w:lang w:eastAsia="en-US"/>
        </w:rPr>
        <w:t xml:space="preserve">daryti įtakos </w:t>
      </w:r>
      <w:r>
        <w:rPr>
          <w:rFonts w:eastAsiaTheme="minorHAnsi"/>
          <w:color w:val="000000"/>
          <w:sz w:val="22"/>
          <w:szCs w:val="22"/>
          <w:lang w:eastAsia="en-US"/>
        </w:rPr>
        <w:t xml:space="preserve">kartu vartojamų šių fermentų </w:t>
      </w:r>
      <w:proofErr w:type="spellStart"/>
      <w:r>
        <w:rPr>
          <w:rFonts w:eastAsiaTheme="minorHAnsi"/>
          <w:color w:val="000000"/>
          <w:sz w:val="22"/>
          <w:szCs w:val="22"/>
          <w:lang w:eastAsia="en-US"/>
        </w:rPr>
        <w:t>metabolizuojamų</w:t>
      </w:r>
      <w:proofErr w:type="spellEnd"/>
      <w:r>
        <w:rPr>
          <w:rFonts w:eastAsiaTheme="minorHAnsi"/>
          <w:color w:val="000000"/>
          <w:sz w:val="22"/>
          <w:szCs w:val="22"/>
          <w:lang w:eastAsia="en-US"/>
        </w:rPr>
        <w:t xml:space="preserve"> vaistinių preparatų </w:t>
      </w:r>
      <w:proofErr w:type="spellStart"/>
      <w:r>
        <w:rPr>
          <w:rFonts w:eastAsiaTheme="minorHAnsi"/>
          <w:color w:val="000000"/>
          <w:sz w:val="22"/>
          <w:szCs w:val="22"/>
          <w:lang w:eastAsia="en-US"/>
        </w:rPr>
        <w:t>metabolinio</w:t>
      </w:r>
      <w:proofErr w:type="spellEnd"/>
      <w:r>
        <w:rPr>
          <w:rFonts w:eastAsiaTheme="minorHAnsi"/>
          <w:color w:val="000000"/>
          <w:sz w:val="22"/>
          <w:szCs w:val="22"/>
          <w:lang w:eastAsia="en-US"/>
        </w:rPr>
        <w:t xml:space="preserve"> klirenso.</w:t>
      </w:r>
    </w:p>
    <w:p w14:paraId="46A92CAB" w14:textId="77777777" w:rsidR="00E86446" w:rsidRDefault="00E86446">
      <w:pPr>
        <w:rPr>
          <w:rFonts w:eastAsiaTheme="minorHAnsi"/>
          <w:color w:val="000000"/>
          <w:sz w:val="22"/>
          <w:szCs w:val="22"/>
          <w:lang w:eastAsia="en-US"/>
        </w:rPr>
      </w:pPr>
    </w:p>
    <w:p w14:paraId="632380AC"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Kitų vaistinių preparatų poveikis dapagliflozinui</w:t>
      </w:r>
    </w:p>
    <w:p w14:paraId="640C3D8B" w14:textId="0AA4893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Atliktų sąveikos sveikų žmonių organizme tyrimų, </w:t>
      </w:r>
      <w:proofErr w:type="spellStart"/>
      <w:r>
        <w:rPr>
          <w:rFonts w:eastAsiaTheme="minorHAnsi"/>
          <w:color w:val="000000"/>
          <w:sz w:val="22"/>
          <w:szCs w:val="22"/>
          <w:lang w:eastAsia="en-US"/>
        </w:rPr>
        <w:t>daugum</w:t>
      </w:r>
      <w:r w:rsidR="008A16B6">
        <w:rPr>
          <w:rFonts w:eastAsiaTheme="minorHAnsi"/>
          <w:color w:val="000000"/>
          <w:sz w:val="22"/>
          <w:szCs w:val="22"/>
          <w:lang w:eastAsia="en-US"/>
        </w:rPr>
        <w:t>iausia</w:t>
      </w:r>
      <w:proofErr w:type="spellEnd"/>
      <w:r w:rsidR="008A16B6">
        <w:rPr>
          <w:rFonts w:eastAsiaTheme="minorHAnsi"/>
          <w:color w:val="000000"/>
          <w:sz w:val="22"/>
          <w:szCs w:val="22"/>
          <w:lang w:eastAsia="en-US"/>
        </w:rPr>
        <w:t xml:space="preserve"> naudojant</w:t>
      </w:r>
      <w:r>
        <w:rPr>
          <w:rFonts w:eastAsiaTheme="minorHAnsi"/>
          <w:color w:val="000000"/>
          <w:sz w:val="22"/>
          <w:szCs w:val="22"/>
          <w:lang w:eastAsia="en-US"/>
        </w:rPr>
        <w:t xml:space="preserve"> vienos dozės </w:t>
      </w:r>
      <w:r w:rsidR="008A16B6">
        <w:rPr>
          <w:rFonts w:eastAsiaTheme="minorHAnsi"/>
          <w:color w:val="000000"/>
          <w:sz w:val="22"/>
          <w:szCs w:val="22"/>
          <w:lang w:eastAsia="en-US"/>
        </w:rPr>
        <w:t>modelį</w:t>
      </w:r>
      <w:r>
        <w:rPr>
          <w:rFonts w:eastAsiaTheme="minorHAnsi"/>
          <w:color w:val="000000"/>
          <w:sz w:val="22"/>
          <w:szCs w:val="22"/>
          <w:lang w:eastAsia="en-US"/>
        </w:rPr>
        <w:t xml:space="preserve">, duomenimis, </w:t>
      </w:r>
      <w:proofErr w:type="spellStart"/>
      <w:r>
        <w:rPr>
          <w:rFonts w:eastAsiaTheme="minorHAnsi"/>
          <w:color w:val="000000"/>
          <w:sz w:val="22"/>
          <w:szCs w:val="22"/>
          <w:lang w:eastAsia="en-US"/>
        </w:rPr>
        <w:t>pioglitazonas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sitagliptinas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glimepiridas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voglibozė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hidrochlorotiazidas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bumetanidas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valsartanas</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simvastatinas</w:t>
      </w:r>
      <w:proofErr w:type="spellEnd"/>
      <w:r>
        <w:rPr>
          <w:rFonts w:eastAsiaTheme="minorHAnsi"/>
          <w:color w:val="000000"/>
          <w:sz w:val="22"/>
          <w:szCs w:val="22"/>
          <w:lang w:eastAsia="en-US"/>
        </w:rPr>
        <w:t xml:space="preserve"> įtakos dapagliflozino farmakokinetikai neturi.</w:t>
      </w:r>
    </w:p>
    <w:p w14:paraId="44A1EF63" w14:textId="77777777" w:rsidR="00E86446" w:rsidRDefault="00E86446">
      <w:pPr>
        <w:autoSpaceDE w:val="0"/>
        <w:autoSpaceDN w:val="0"/>
        <w:adjustRightInd w:val="0"/>
        <w:rPr>
          <w:rFonts w:eastAsiaTheme="minorHAnsi"/>
          <w:color w:val="000000"/>
          <w:sz w:val="22"/>
          <w:szCs w:val="22"/>
          <w:lang w:eastAsia="en-US"/>
        </w:rPr>
      </w:pPr>
    </w:p>
    <w:p w14:paraId="13698667" w14:textId="604D6EF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Kartu vartojant </w:t>
      </w:r>
      <w:proofErr w:type="spellStart"/>
      <w:r>
        <w:rPr>
          <w:rFonts w:eastAsiaTheme="minorHAnsi"/>
          <w:color w:val="000000"/>
          <w:sz w:val="22"/>
          <w:szCs w:val="22"/>
          <w:lang w:eastAsia="en-US"/>
        </w:rPr>
        <w:t>rifampicin</w:t>
      </w:r>
      <w:r w:rsidR="00B42D77">
        <w:rPr>
          <w:rFonts w:eastAsiaTheme="minorHAnsi"/>
          <w:color w:val="000000"/>
          <w:sz w:val="22"/>
          <w:szCs w:val="22"/>
          <w:lang w:eastAsia="en-US"/>
        </w:rPr>
        <w:t>o</w:t>
      </w:r>
      <w:proofErr w:type="spellEnd"/>
      <w:r>
        <w:rPr>
          <w:rFonts w:eastAsiaTheme="minorHAnsi"/>
          <w:color w:val="000000"/>
          <w:sz w:val="22"/>
          <w:szCs w:val="22"/>
          <w:lang w:eastAsia="en-US"/>
        </w:rPr>
        <w:t>, kuris aktyvina įvairius nešiklius ir vaist</w:t>
      </w:r>
      <w:r w:rsidR="00672310">
        <w:rPr>
          <w:rFonts w:eastAsiaTheme="minorHAnsi"/>
          <w:color w:val="000000"/>
          <w:sz w:val="22"/>
          <w:szCs w:val="22"/>
          <w:lang w:eastAsia="en-US"/>
        </w:rPr>
        <w:t>inių preparatų</w:t>
      </w:r>
      <w:r>
        <w:rPr>
          <w:rFonts w:eastAsiaTheme="minorHAnsi"/>
          <w:color w:val="000000"/>
          <w:sz w:val="22"/>
          <w:szCs w:val="22"/>
          <w:lang w:eastAsia="en-US"/>
        </w:rPr>
        <w:t xml:space="preserve"> metabolizmo fermentus, nustatyta 22</w:t>
      </w:r>
      <w:r w:rsidR="00672310">
        <w:rPr>
          <w:rFonts w:eastAsiaTheme="minorHAnsi"/>
          <w:color w:val="000000"/>
          <w:sz w:val="22"/>
          <w:szCs w:val="22"/>
          <w:lang w:eastAsia="en-US"/>
        </w:rPr>
        <w:t> </w:t>
      </w:r>
      <w:r>
        <w:rPr>
          <w:rFonts w:eastAsiaTheme="minorHAnsi"/>
          <w:color w:val="000000"/>
          <w:sz w:val="22"/>
          <w:szCs w:val="22"/>
          <w:lang w:eastAsia="en-US"/>
        </w:rPr>
        <w:t>% sumažėjusi dapagliflozino sisteminė ekspozicija (AUC), tačiau nebuvo klini</w:t>
      </w:r>
      <w:r w:rsidR="00672310">
        <w:rPr>
          <w:rFonts w:eastAsiaTheme="minorHAnsi"/>
          <w:color w:val="000000"/>
          <w:sz w:val="22"/>
          <w:szCs w:val="22"/>
          <w:lang w:eastAsia="en-US"/>
        </w:rPr>
        <w:t>š</w:t>
      </w:r>
      <w:r>
        <w:rPr>
          <w:rFonts w:eastAsiaTheme="minorHAnsi"/>
          <w:color w:val="000000"/>
          <w:sz w:val="22"/>
          <w:szCs w:val="22"/>
          <w:lang w:eastAsia="en-US"/>
        </w:rPr>
        <w:t xml:space="preserve">kai reikšmingo </w:t>
      </w:r>
      <w:r>
        <w:rPr>
          <w:rFonts w:eastAsiaTheme="minorHAnsi"/>
          <w:color w:val="000000"/>
          <w:sz w:val="22"/>
          <w:szCs w:val="22"/>
          <w:lang w:eastAsia="en-US"/>
        </w:rPr>
        <w:lastRenderedPageBreak/>
        <w:t>poveikio gliukozės kiekiui, išskiriamam su šlapimu per 24</w:t>
      </w:r>
      <w:r w:rsidR="00672310">
        <w:rPr>
          <w:rFonts w:eastAsiaTheme="minorHAnsi"/>
          <w:color w:val="000000"/>
          <w:sz w:val="22"/>
          <w:szCs w:val="22"/>
          <w:lang w:eastAsia="en-US"/>
        </w:rPr>
        <w:t> </w:t>
      </w:r>
      <w:r>
        <w:rPr>
          <w:rFonts w:eastAsiaTheme="minorHAnsi"/>
          <w:color w:val="000000"/>
          <w:sz w:val="22"/>
          <w:szCs w:val="22"/>
          <w:lang w:eastAsia="en-US"/>
        </w:rPr>
        <w:t>val. Dozės koreguoti nerekomenduojama. Klini</w:t>
      </w:r>
      <w:r w:rsidR="00672310">
        <w:rPr>
          <w:rFonts w:eastAsiaTheme="minorHAnsi"/>
          <w:color w:val="000000"/>
          <w:sz w:val="22"/>
          <w:szCs w:val="22"/>
          <w:lang w:eastAsia="en-US"/>
        </w:rPr>
        <w:t>š</w:t>
      </w:r>
      <w:r>
        <w:rPr>
          <w:rFonts w:eastAsiaTheme="minorHAnsi"/>
          <w:color w:val="000000"/>
          <w:sz w:val="22"/>
          <w:szCs w:val="22"/>
          <w:lang w:eastAsia="en-US"/>
        </w:rPr>
        <w:t xml:space="preserve">kai reikšmingo kitų </w:t>
      </w:r>
      <w:proofErr w:type="spellStart"/>
      <w:r>
        <w:rPr>
          <w:rFonts w:eastAsiaTheme="minorHAnsi"/>
          <w:color w:val="000000"/>
          <w:sz w:val="22"/>
          <w:szCs w:val="22"/>
          <w:lang w:eastAsia="en-US"/>
        </w:rPr>
        <w:t>induktorių</w:t>
      </w:r>
      <w:proofErr w:type="spellEnd"/>
      <w:r>
        <w:rPr>
          <w:rFonts w:eastAsiaTheme="minorHAnsi"/>
          <w:color w:val="000000"/>
          <w:sz w:val="22"/>
          <w:szCs w:val="22"/>
          <w:lang w:eastAsia="en-US"/>
        </w:rPr>
        <w:t xml:space="preserve"> (pvz., </w:t>
      </w:r>
      <w:proofErr w:type="spellStart"/>
      <w:r>
        <w:rPr>
          <w:rFonts w:eastAsiaTheme="minorHAnsi"/>
          <w:color w:val="000000"/>
          <w:sz w:val="22"/>
          <w:szCs w:val="22"/>
          <w:lang w:eastAsia="en-US"/>
        </w:rPr>
        <w:t>karbamazepino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fenitoino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fenobarbitalio</w:t>
      </w:r>
      <w:proofErr w:type="spellEnd"/>
      <w:r>
        <w:rPr>
          <w:rFonts w:eastAsiaTheme="minorHAnsi"/>
          <w:color w:val="000000"/>
          <w:sz w:val="22"/>
          <w:szCs w:val="22"/>
          <w:lang w:eastAsia="en-US"/>
        </w:rPr>
        <w:t>) poveikio nesitikima.</w:t>
      </w:r>
    </w:p>
    <w:p w14:paraId="5255E44D" w14:textId="77777777" w:rsidR="00E86446" w:rsidRDefault="00E86446">
      <w:pPr>
        <w:autoSpaceDE w:val="0"/>
        <w:autoSpaceDN w:val="0"/>
        <w:adjustRightInd w:val="0"/>
        <w:rPr>
          <w:rFonts w:eastAsiaTheme="minorHAnsi"/>
          <w:color w:val="000000"/>
          <w:sz w:val="22"/>
          <w:szCs w:val="22"/>
          <w:lang w:eastAsia="en-US"/>
        </w:rPr>
      </w:pPr>
    </w:p>
    <w:p w14:paraId="4424315E" w14:textId="2C75015C"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Kartu vartojant </w:t>
      </w:r>
      <w:proofErr w:type="spellStart"/>
      <w:r>
        <w:rPr>
          <w:rFonts w:eastAsiaTheme="minorHAnsi"/>
          <w:color w:val="000000"/>
          <w:sz w:val="22"/>
          <w:szCs w:val="22"/>
          <w:lang w:eastAsia="en-US"/>
        </w:rPr>
        <w:t>mefenamo</w:t>
      </w:r>
      <w:proofErr w:type="spellEnd"/>
      <w:r>
        <w:rPr>
          <w:rFonts w:eastAsiaTheme="minorHAnsi"/>
          <w:color w:val="000000"/>
          <w:sz w:val="22"/>
          <w:szCs w:val="22"/>
          <w:lang w:eastAsia="en-US"/>
        </w:rPr>
        <w:t xml:space="preserve"> rūgšt</w:t>
      </w:r>
      <w:r w:rsidR="00672310">
        <w:rPr>
          <w:rFonts w:eastAsiaTheme="minorHAnsi"/>
          <w:color w:val="000000"/>
          <w:sz w:val="22"/>
          <w:szCs w:val="22"/>
          <w:lang w:eastAsia="en-US"/>
        </w:rPr>
        <w:t>ies</w:t>
      </w:r>
      <w:r>
        <w:rPr>
          <w:rFonts w:eastAsiaTheme="minorHAnsi"/>
          <w:color w:val="000000"/>
          <w:sz w:val="22"/>
          <w:szCs w:val="22"/>
          <w:lang w:eastAsia="en-US"/>
        </w:rPr>
        <w:t>, kuri slopina UGT1A9, nustatyta 55</w:t>
      </w:r>
      <w:r w:rsidR="00672310">
        <w:rPr>
          <w:rFonts w:eastAsiaTheme="minorHAnsi"/>
          <w:color w:val="000000"/>
          <w:sz w:val="22"/>
          <w:szCs w:val="22"/>
          <w:lang w:eastAsia="en-US"/>
        </w:rPr>
        <w:t> </w:t>
      </w:r>
      <w:r>
        <w:rPr>
          <w:rFonts w:eastAsiaTheme="minorHAnsi"/>
          <w:color w:val="000000"/>
          <w:sz w:val="22"/>
          <w:szCs w:val="22"/>
          <w:lang w:eastAsia="en-US"/>
        </w:rPr>
        <w:t>% padidėjusi dapagliflozino sisteminė ekspozicija, tačiau nebuvo klinikai reikšmingo poveikio gliukozės kiekiui, išskiriamam su šlapimu per 24</w:t>
      </w:r>
      <w:r w:rsidR="00672310">
        <w:rPr>
          <w:rFonts w:eastAsiaTheme="minorHAnsi"/>
          <w:color w:val="000000"/>
          <w:sz w:val="22"/>
          <w:szCs w:val="22"/>
          <w:lang w:eastAsia="en-US"/>
        </w:rPr>
        <w:t> </w:t>
      </w:r>
      <w:r>
        <w:rPr>
          <w:rFonts w:eastAsiaTheme="minorHAnsi"/>
          <w:color w:val="000000"/>
          <w:sz w:val="22"/>
          <w:szCs w:val="22"/>
          <w:lang w:eastAsia="en-US"/>
        </w:rPr>
        <w:t>val. Dozės koreguoti nerekomenduojama.</w:t>
      </w:r>
    </w:p>
    <w:p w14:paraId="3B86C35B" w14:textId="77777777" w:rsidR="00E86446" w:rsidRDefault="00E86446">
      <w:pPr>
        <w:autoSpaceDE w:val="0"/>
        <w:autoSpaceDN w:val="0"/>
        <w:adjustRightInd w:val="0"/>
        <w:rPr>
          <w:rFonts w:eastAsiaTheme="minorHAnsi"/>
          <w:color w:val="000000"/>
          <w:sz w:val="22"/>
          <w:szCs w:val="22"/>
          <w:lang w:eastAsia="en-US"/>
        </w:rPr>
      </w:pPr>
    </w:p>
    <w:p w14:paraId="3C015C97"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Dapagliflozino poveikis kitiems vaistiniams preparatams</w:t>
      </w:r>
    </w:p>
    <w:p w14:paraId="1B49E13A" w14:textId="1FC1F31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Dapagliflozinas gali didinti ličio šalinimą per inkstus, todėl gali sumažėti ličio koncentracija kraujyje. Pradėjus vartoti dapagliflozin</w:t>
      </w:r>
      <w:r w:rsidR="00762452">
        <w:rPr>
          <w:rFonts w:eastAsiaTheme="minorHAnsi"/>
          <w:color w:val="000000"/>
          <w:sz w:val="22"/>
          <w:szCs w:val="22"/>
          <w:lang w:eastAsia="en-US"/>
        </w:rPr>
        <w:t>o</w:t>
      </w:r>
      <w:r>
        <w:rPr>
          <w:rFonts w:eastAsiaTheme="minorHAnsi"/>
          <w:color w:val="000000"/>
          <w:sz w:val="22"/>
          <w:szCs w:val="22"/>
          <w:lang w:eastAsia="en-US"/>
        </w:rPr>
        <w:t>, ličio koncentraciją serume reikia stebėti dažniau. Nukreipkite pacientą pas ličio preparatą paskyrusį gydytoją, kad būtų stebima ličio koncentracija serume.</w:t>
      </w:r>
    </w:p>
    <w:p w14:paraId="7C5235C6" w14:textId="77777777" w:rsidR="00E86446" w:rsidRDefault="00E86446">
      <w:pPr>
        <w:autoSpaceDE w:val="0"/>
        <w:autoSpaceDN w:val="0"/>
        <w:adjustRightInd w:val="0"/>
        <w:rPr>
          <w:rFonts w:eastAsiaTheme="minorHAnsi"/>
          <w:color w:val="000000"/>
          <w:sz w:val="22"/>
          <w:szCs w:val="22"/>
          <w:lang w:eastAsia="en-US"/>
        </w:rPr>
      </w:pPr>
    </w:p>
    <w:p w14:paraId="78E5E69C" w14:textId="51D2B3E2"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Sąveikos sveikų žmonių organizme tyrimų, kurių </w:t>
      </w:r>
      <w:r w:rsidR="00B87189">
        <w:rPr>
          <w:rFonts w:eastAsiaTheme="minorHAnsi"/>
          <w:color w:val="000000"/>
          <w:sz w:val="22"/>
          <w:szCs w:val="22"/>
          <w:lang w:eastAsia="en-US"/>
        </w:rPr>
        <w:t xml:space="preserve">metu daugiausia buvo taikomas </w:t>
      </w:r>
      <w:r>
        <w:rPr>
          <w:rFonts w:eastAsiaTheme="minorHAnsi"/>
          <w:color w:val="000000"/>
          <w:sz w:val="22"/>
          <w:szCs w:val="22"/>
          <w:lang w:eastAsia="en-US"/>
        </w:rPr>
        <w:t xml:space="preserve">vienos dozės </w:t>
      </w:r>
      <w:r w:rsidR="00B87189">
        <w:rPr>
          <w:rFonts w:eastAsiaTheme="minorHAnsi"/>
          <w:color w:val="000000"/>
          <w:sz w:val="22"/>
          <w:szCs w:val="22"/>
          <w:lang w:eastAsia="en-US"/>
        </w:rPr>
        <w:t>modelis</w:t>
      </w:r>
      <w:r>
        <w:rPr>
          <w:rFonts w:eastAsiaTheme="minorHAnsi"/>
          <w:color w:val="000000"/>
          <w:sz w:val="22"/>
          <w:szCs w:val="22"/>
          <w:lang w:eastAsia="en-US"/>
        </w:rPr>
        <w:t xml:space="preserve">, metu dapagliflozinas </w:t>
      </w:r>
      <w:r w:rsidR="00B87189">
        <w:rPr>
          <w:rFonts w:eastAsiaTheme="minorHAnsi"/>
          <w:color w:val="000000"/>
          <w:sz w:val="22"/>
          <w:szCs w:val="22"/>
          <w:lang w:eastAsia="en-US"/>
        </w:rPr>
        <w:t xml:space="preserve">nedarė įtakos </w:t>
      </w:r>
      <w:proofErr w:type="spellStart"/>
      <w:r>
        <w:rPr>
          <w:rFonts w:eastAsiaTheme="minorHAnsi"/>
          <w:color w:val="000000"/>
          <w:sz w:val="22"/>
          <w:szCs w:val="22"/>
          <w:lang w:eastAsia="en-US"/>
        </w:rPr>
        <w:t>pioglitazono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sitagliptino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glimepirido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hidrochlorotiazido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bumetanido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digoksino</w:t>
      </w:r>
      <w:proofErr w:type="spellEnd"/>
      <w:r>
        <w:rPr>
          <w:rFonts w:eastAsiaTheme="minorHAnsi"/>
          <w:color w:val="000000"/>
          <w:sz w:val="22"/>
          <w:szCs w:val="22"/>
          <w:lang w:eastAsia="en-US"/>
        </w:rPr>
        <w:t xml:space="preserve"> (P-</w:t>
      </w:r>
      <w:proofErr w:type="spellStart"/>
      <w:r>
        <w:rPr>
          <w:rFonts w:eastAsiaTheme="minorHAnsi"/>
          <w:color w:val="000000"/>
          <w:sz w:val="22"/>
          <w:szCs w:val="22"/>
          <w:lang w:eastAsia="en-US"/>
        </w:rPr>
        <w:t>gp</w:t>
      </w:r>
      <w:proofErr w:type="spellEnd"/>
      <w:r>
        <w:rPr>
          <w:rFonts w:eastAsiaTheme="minorHAnsi"/>
          <w:color w:val="000000"/>
          <w:sz w:val="22"/>
          <w:szCs w:val="22"/>
          <w:lang w:eastAsia="en-US"/>
        </w:rPr>
        <w:t xml:space="preserve"> substrato) ir varfarino (S-varfarino, CYP2C9 substrato) farmakokinetikos bei nekeitė </w:t>
      </w:r>
      <w:proofErr w:type="spellStart"/>
      <w:r>
        <w:rPr>
          <w:rFonts w:eastAsiaTheme="minorHAnsi"/>
          <w:color w:val="000000"/>
          <w:sz w:val="22"/>
          <w:szCs w:val="22"/>
          <w:lang w:eastAsia="en-US"/>
        </w:rPr>
        <w:t>koaguliaciją</w:t>
      </w:r>
      <w:proofErr w:type="spellEnd"/>
      <w:r>
        <w:rPr>
          <w:rFonts w:eastAsiaTheme="minorHAnsi"/>
          <w:color w:val="000000"/>
          <w:sz w:val="22"/>
          <w:szCs w:val="22"/>
          <w:lang w:eastAsia="en-US"/>
        </w:rPr>
        <w:t xml:space="preserve"> slopinančio varfarino poveikio (vertinant pagal tarptautinį normalizuotą santykį). Kartu pavartojus vieną 20 mg dapagliflozino dozę, CYP3A4 substrato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AUC padidėjo 19 %, o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rūgšties AUC</w:t>
      </w:r>
      <w:r w:rsidR="00C34D37">
        <w:rPr>
          <w:rFonts w:eastAsiaTheme="minorHAnsi"/>
          <w:color w:val="000000"/>
          <w:sz w:val="22"/>
          <w:szCs w:val="22"/>
          <w:lang w:eastAsia="en-US"/>
        </w:rPr>
        <w:t> </w:t>
      </w:r>
      <w:r>
        <w:rPr>
          <w:rFonts w:eastAsiaTheme="minorHAnsi"/>
          <w:color w:val="000000"/>
          <w:sz w:val="22"/>
          <w:szCs w:val="22"/>
          <w:lang w:eastAsia="en-US"/>
        </w:rPr>
        <w:t>–</w:t>
      </w:r>
      <w:r w:rsidR="00C34D37">
        <w:rPr>
          <w:rFonts w:eastAsiaTheme="minorHAnsi"/>
          <w:color w:val="000000"/>
          <w:sz w:val="22"/>
          <w:szCs w:val="22"/>
          <w:lang w:eastAsia="en-US"/>
        </w:rPr>
        <w:t> </w:t>
      </w:r>
      <w:r>
        <w:rPr>
          <w:rFonts w:eastAsiaTheme="minorHAnsi"/>
          <w:color w:val="000000"/>
          <w:sz w:val="22"/>
          <w:szCs w:val="22"/>
          <w:lang w:eastAsia="en-US"/>
        </w:rPr>
        <w:t xml:space="preserve">31 %. Šis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rūgšties ekspozicijos padidėjimas </w:t>
      </w:r>
      <w:r w:rsidR="00C34D37">
        <w:rPr>
          <w:rFonts w:eastAsiaTheme="minorHAnsi"/>
          <w:color w:val="000000"/>
          <w:sz w:val="22"/>
          <w:szCs w:val="22"/>
          <w:lang w:eastAsia="en-US"/>
        </w:rPr>
        <w:t xml:space="preserve">kliniškai </w:t>
      </w:r>
      <w:r>
        <w:rPr>
          <w:rFonts w:eastAsiaTheme="minorHAnsi"/>
          <w:color w:val="000000"/>
          <w:sz w:val="22"/>
          <w:szCs w:val="22"/>
          <w:lang w:eastAsia="en-US"/>
        </w:rPr>
        <w:t>reikšmingu nelaikomas.</w:t>
      </w:r>
    </w:p>
    <w:p w14:paraId="26CCEE47" w14:textId="77777777" w:rsidR="00E86446" w:rsidRDefault="00E86446">
      <w:pPr>
        <w:autoSpaceDE w:val="0"/>
        <w:autoSpaceDN w:val="0"/>
        <w:adjustRightInd w:val="0"/>
        <w:rPr>
          <w:rFonts w:eastAsiaTheme="minorHAnsi"/>
          <w:color w:val="000000"/>
          <w:sz w:val="22"/>
          <w:szCs w:val="22"/>
          <w:lang w:eastAsia="en-US"/>
        </w:rPr>
      </w:pPr>
    </w:p>
    <w:p w14:paraId="1EDDDA29"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1,5-anhidrogliucitolio (1,5-AG) mėginio duomenų iškraipymas</w:t>
      </w:r>
    </w:p>
    <w:p w14:paraId="40070B7F"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1,5-AG mėginys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reguliacijai tirti nerekomenduojamas, nes jis neduoda patikimų duomenų, kai vartojama SGLT2 inhibitorių.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reguliaciją patartina tirti kitais būdais.</w:t>
      </w:r>
    </w:p>
    <w:p w14:paraId="6950CE3E" w14:textId="77777777" w:rsidR="00E86446" w:rsidRDefault="00E86446">
      <w:pPr>
        <w:autoSpaceDE w:val="0"/>
        <w:autoSpaceDN w:val="0"/>
        <w:adjustRightInd w:val="0"/>
        <w:rPr>
          <w:rFonts w:eastAsiaTheme="minorHAnsi"/>
          <w:color w:val="000000"/>
          <w:sz w:val="22"/>
          <w:szCs w:val="22"/>
          <w:lang w:eastAsia="en-US"/>
        </w:rPr>
      </w:pPr>
    </w:p>
    <w:p w14:paraId="5C0508D2" w14:textId="77777777" w:rsidR="00E86446" w:rsidRPr="003324A5"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Vaikų populiacija</w:t>
      </w:r>
    </w:p>
    <w:p w14:paraId="48305A7F"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Sąveikos tyrimai atlikti tik suaugusiesiems.</w:t>
      </w:r>
    </w:p>
    <w:p w14:paraId="020C9DCC" w14:textId="77777777" w:rsidR="00E86446" w:rsidRDefault="00E86446">
      <w:pPr>
        <w:autoSpaceDE w:val="0"/>
        <w:autoSpaceDN w:val="0"/>
        <w:adjustRightInd w:val="0"/>
        <w:rPr>
          <w:rFonts w:eastAsiaTheme="minorHAnsi"/>
          <w:color w:val="000000"/>
          <w:sz w:val="22"/>
          <w:szCs w:val="22"/>
          <w:lang w:eastAsia="en-US"/>
        </w:rPr>
      </w:pPr>
    </w:p>
    <w:p w14:paraId="390E3E8D"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72827DD7"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Nerekomenduojami deriniai</w:t>
      </w:r>
    </w:p>
    <w:p w14:paraId="1322910D" w14:textId="1B4BB4AE"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Katijoninės</w:t>
      </w:r>
      <w:proofErr w:type="spellEnd"/>
      <w:r>
        <w:rPr>
          <w:rFonts w:eastAsiaTheme="minorHAnsi"/>
          <w:color w:val="000000"/>
          <w:sz w:val="22"/>
          <w:szCs w:val="22"/>
          <w:lang w:eastAsia="en-US"/>
        </w:rPr>
        <w:t xml:space="preserve"> medžiagos, eliminuojamos inkstų kanalėlių sekrecijos būdu (pvz., </w:t>
      </w:r>
      <w:proofErr w:type="spellStart"/>
      <w:r>
        <w:rPr>
          <w:rFonts w:eastAsiaTheme="minorHAnsi"/>
          <w:color w:val="000000"/>
          <w:sz w:val="22"/>
          <w:szCs w:val="22"/>
          <w:lang w:eastAsia="en-US"/>
        </w:rPr>
        <w:t>cimetidinas</w:t>
      </w:r>
      <w:proofErr w:type="spellEnd"/>
      <w:r>
        <w:rPr>
          <w:rFonts w:eastAsiaTheme="minorHAnsi"/>
          <w:color w:val="000000"/>
          <w:sz w:val="22"/>
          <w:szCs w:val="22"/>
          <w:lang w:eastAsia="en-US"/>
        </w:rPr>
        <w:t xml:space="preserve">), gali sąveikauti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konkuruodamos dėl bendrų nešiklių inkstų kanalėliuose. Tyrimo metu 7 sveikiems savanoriams vartojant po 400 mg </w:t>
      </w:r>
      <w:proofErr w:type="spellStart"/>
      <w:r>
        <w:rPr>
          <w:rFonts w:eastAsiaTheme="minorHAnsi"/>
          <w:color w:val="000000"/>
          <w:sz w:val="22"/>
          <w:szCs w:val="22"/>
          <w:lang w:eastAsia="en-US"/>
        </w:rPr>
        <w:t>cimetidino</w:t>
      </w:r>
      <w:proofErr w:type="spellEnd"/>
      <w:r>
        <w:rPr>
          <w:rFonts w:eastAsiaTheme="minorHAnsi"/>
          <w:color w:val="000000"/>
          <w:sz w:val="22"/>
          <w:szCs w:val="22"/>
          <w:lang w:eastAsia="en-US"/>
        </w:rPr>
        <w:t xml:space="preserve"> 2 kartus per parą,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sisteminė ekspozicija (AUC) padidėjo 50 %, o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 xml:space="preserve">–81 %. Dėl to kartu vartojant </w:t>
      </w:r>
      <w:proofErr w:type="spellStart"/>
      <w:r>
        <w:rPr>
          <w:rFonts w:eastAsiaTheme="minorHAnsi"/>
          <w:color w:val="000000"/>
          <w:sz w:val="22"/>
          <w:szCs w:val="22"/>
          <w:lang w:eastAsia="en-US"/>
        </w:rPr>
        <w:t>katijoninių</w:t>
      </w:r>
      <w:proofErr w:type="spellEnd"/>
      <w:r>
        <w:rPr>
          <w:rFonts w:eastAsiaTheme="minorHAnsi"/>
          <w:color w:val="000000"/>
          <w:sz w:val="22"/>
          <w:szCs w:val="22"/>
          <w:lang w:eastAsia="en-US"/>
        </w:rPr>
        <w:t xml:space="preserve"> vaistinių preparatų, eliminuojamų inkstų kanalėlių sekrecijos būdu, reikia atidžiai stebėti </w:t>
      </w:r>
      <w:proofErr w:type="spellStart"/>
      <w:r>
        <w:rPr>
          <w:rFonts w:eastAsiaTheme="minorHAnsi"/>
          <w:color w:val="000000"/>
          <w:sz w:val="22"/>
          <w:szCs w:val="22"/>
          <w:lang w:eastAsia="en-US"/>
        </w:rPr>
        <w:t>glikemiją</w:t>
      </w:r>
      <w:proofErr w:type="spellEnd"/>
      <w:r>
        <w:rPr>
          <w:rFonts w:eastAsiaTheme="minorHAnsi"/>
          <w:color w:val="000000"/>
          <w:sz w:val="22"/>
          <w:szCs w:val="22"/>
          <w:lang w:eastAsia="en-US"/>
        </w:rPr>
        <w:t xml:space="preserve"> bei įvertinti būtinybę koreguoti dozę rekomenduojamose ribose ir diabeto gydymą.</w:t>
      </w:r>
    </w:p>
    <w:p w14:paraId="30236196" w14:textId="77777777" w:rsidR="00E86446" w:rsidRDefault="00E86446">
      <w:pPr>
        <w:autoSpaceDE w:val="0"/>
        <w:autoSpaceDN w:val="0"/>
        <w:adjustRightInd w:val="0"/>
        <w:rPr>
          <w:rFonts w:eastAsiaTheme="minorHAnsi"/>
          <w:color w:val="000000"/>
          <w:sz w:val="22"/>
          <w:szCs w:val="22"/>
          <w:lang w:eastAsia="en-US"/>
        </w:rPr>
      </w:pPr>
    </w:p>
    <w:p w14:paraId="5863845E"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Alkoholis</w:t>
      </w:r>
    </w:p>
    <w:p w14:paraId="7CD9F1E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Intoksikacija alkoholiu yra susijusi su padidėjusia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ypač badavimo, prastos mitybos ar kepenų funkcijos sutrikimo atvejais dėl šio vaistinio preparato veikliosios medžiagos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poveikio (žr. 4.4 skyrių). Reikia vengti vartoti alkoholio ir vaistinių preparatų, kurių sudėtyje jo yra.</w:t>
      </w:r>
    </w:p>
    <w:p w14:paraId="5022DA87" w14:textId="77777777" w:rsidR="00E86446" w:rsidRDefault="00E86446">
      <w:pPr>
        <w:autoSpaceDE w:val="0"/>
        <w:autoSpaceDN w:val="0"/>
        <w:adjustRightInd w:val="0"/>
        <w:rPr>
          <w:rFonts w:eastAsiaTheme="minorHAnsi"/>
          <w:color w:val="000000"/>
          <w:sz w:val="22"/>
          <w:szCs w:val="22"/>
          <w:lang w:eastAsia="en-US"/>
        </w:rPr>
      </w:pPr>
    </w:p>
    <w:p w14:paraId="6426472E" w14:textId="77777777" w:rsidR="00E86446" w:rsidRDefault="00345E63">
      <w:pPr>
        <w:autoSpaceDE w:val="0"/>
        <w:autoSpaceDN w:val="0"/>
        <w:adjustRightInd w:val="0"/>
        <w:rPr>
          <w:rFonts w:eastAsiaTheme="minorHAnsi"/>
          <w:i/>
          <w:iCs/>
          <w:color w:val="000000"/>
          <w:sz w:val="22"/>
          <w:szCs w:val="22"/>
          <w:lang w:eastAsia="en-US"/>
        </w:rPr>
      </w:pPr>
      <w:r>
        <w:rPr>
          <w:rFonts w:eastAsiaTheme="minorHAnsi"/>
          <w:i/>
          <w:iCs/>
          <w:color w:val="000000"/>
          <w:sz w:val="22"/>
          <w:szCs w:val="22"/>
          <w:lang w:eastAsia="en-US"/>
        </w:rPr>
        <w:t>Jodo turinčios kontrastinės medžiagos</w:t>
      </w:r>
    </w:p>
    <w:p w14:paraId="2B859D42" w14:textId="3089E8BC" w:rsidR="00E86446" w:rsidRDefault="00345E63">
      <w:pPr>
        <w:autoSpaceDE w:val="0"/>
        <w:autoSpaceDN w:val="0"/>
        <w:adjustRightInd w:val="0"/>
        <w:rPr>
          <w:rFonts w:eastAsiaTheme="minorHAnsi"/>
          <w:i/>
          <w:iCs/>
          <w:color w:val="000000"/>
          <w:sz w:val="22"/>
          <w:szCs w:val="22"/>
          <w:lang w:eastAsia="en-US"/>
        </w:rPr>
      </w:pPr>
      <w:r>
        <w:rPr>
          <w:sz w:val="22"/>
          <w:szCs w:val="22"/>
        </w:rPr>
        <w:t>Jodo</w:t>
      </w:r>
      <w:r w:rsidR="00474007">
        <w:rPr>
          <w:sz w:val="22"/>
          <w:szCs w:val="22"/>
        </w:rPr>
        <w:t xml:space="preserve"> turinčių</w:t>
      </w:r>
      <w:r>
        <w:rPr>
          <w:sz w:val="22"/>
          <w:szCs w:val="22"/>
        </w:rPr>
        <w:t xml:space="preserve"> kontrastinių medžiagų vartojimas į kraujagysles gali sukelti su kontrastine medžiaga susijusią </w:t>
      </w:r>
      <w:proofErr w:type="spellStart"/>
      <w:r>
        <w:rPr>
          <w:sz w:val="22"/>
          <w:szCs w:val="22"/>
        </w:rPr>
        <w:t>nefropatiją</w:t>
      </w:r>
      <w:proofErr w:type="spellEnd"/>
      <w:r>
        <w:rPr>
          <w:sz w:val="22"/>
          <w:szCs w:val="22"/>
        </w:rPr>
        <w:t xml:space="preserve">, dėl kurios gali kauptis </w:t>
      </w:r>
      <w:proofErr w:type="spellStart"/>
      <w:r>
        <w:rPr>
          <w:sz w:val="22"/>
          <w:szCs w:val="22"/>
        </w:rPr>
        <w:t>metforminas</w:t>
      </w:r>
      <w:proofErr w:type="spellEnd"/>
      <w:r>
        <w:rPr>
          <w:sz w:val="22"/>
          <w:szCs w:val="22"/>
        </w:rPr>
        <w:t xml:space="preserve"> ir padidėti pieno rūgšties </w:t>
      </w:r>
      <w:proofErr w:type="spellStart"/>
      <w:r>
        <w:rPr>
          <w:sz w:val="22"/>
          <w:szCs w:val="22"/>
        </w:rPr>
        <w:t>acidozės</w:t>
      </w:r>
      <w:proofErr w:type="spellEnd"/>
      <w:r>
        <w:rPr>
          <w:sz w:val="22"/>
          <w:szCs w:val="22"/>
        </w:rPr>
        <w:t xml:space="preserve"> rizika. Prieš vizualizacijos procedūrą arba jos metu </w:t>
      </w:r>
      <w:proofErr w:type="spellStart"/>
      <w:r>
        <w:rPr>
          <w:sz w:val="22"/>
          <w:szCs w:val="22"/>
        </w:rPr>
        <w:t>metformino</w:t>
      </w:r>
      <w:proofErr w:type="spellEnd"/>
      <w:r>
        <w:rPr>
          <w:sz w:val="22"/>
          <w:szCs w:val="22"/>
        </w:rPr>
        <w:t xml:space="preserve"> vartojimą reikia nutraukti. Vėl vartoti galima tik praėjus ne mažiau kaip 48 valandoms po procedūros ir tik jei buvo atlikti tyrimai, kurie parodė stabilią inkstų funkciją (žr. 4.2 ir 4.4 skyrius).</w:t>
      </w:r>
    </w:p>
    <w:p w14:paraId="3FEEB5E2" w14:textId="77777777" w:rsidR="00E86446" w:rsidRDefault="00E86446">
      <w:pPr>
        <w:autoSpaceDE w:val="0"/>
        <w:autoSpaceDN w:val="0"/>
        <w:adjustRightInd w:val="0"/>
        <w:rPr>
          <w:rFonts w:eastAsiaTheme="minorHAnsi"/>
          <w:i/>
          <w:iCs/>
          <w:color w:val="000000"/>
          <w:sz w:val="22"/>
          <w:szCs w:val="22"/>
          <w:lang w:eastAsia="en-US"/>
        </w:rPr>
      </w:pPr>
    </w:p>
    <w:p w14:paraId="43C46ED3"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Deriniai, kuriuos vartojant reikia imtis atsargumo priemonių</w:t>
      </w:r>
    </w:p>
    <w:p w14:paraId="61DC78AE" w14:textId="5765BA13"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Gliukokortikoidams</w:t>
      </w:r>
      <w:proofErr w:type="spellEnd"/>
      <w:r>
        <w:rPr>
          <w:rFonts w:eastAsiaTheme="minorHAnsi"/>
          <w:color w:val="000000"/>
          <w:sz w:val="22"/>
          <w:szCs w:val="22"/>
          <w:lang w:eastAsia="en-US"/>
        </w:rPr>
        <w:t xml:space="preserve"> (vartojamiems sisteminiais ir lokaliais būdais), beta-2 </w:t>
      </w:r>
      <w:proofErr w:type="spellStart"/>
      <w:r>
        <w:rPr>
          <w:rFonts w:eastAsiaTheme="minorHAnsi"/>
          <w:color w:val="000000"/>
          <w:sz w:val="22"/>
          <w:szCs w:val="22"/>
          <w:lang w:eastAsia="en-US"/>
        </w:rPr>
        <w:t>agonistams</w:t>
      </w:r>
      <w:proofErr w:type="spellEnd"/>
      <w:r>
        <w:rPr>
          <w:rFonts w:eastAsiaTheme="minorHAnsi"/>
          <w:color w:val="000000"/>
          <w:sz w:val="22"/>
          <w:szCs w:val="22"/>
          <w:lang w:eastAsia="en-US"/>
        </w:rPr>
        <w:t xml:space="preserve"> ir diuretikams yra būdingas gliukozės </w:t>
      </w:r>
      <w:r w:rsidR="00C755C1">
        <w:rPr>
          <w:rFonts w:eastAsiaTheme="minorHAnsi"/>
          <w:color w:val="000000"/>
          <w:sz w:val="22"/>
          <w:szCs w:val="22"/>
          <w:lang w:eastAsia="en-US"/>
        </w:rPr>
        <w:t xml:space="preserve">koncentraciją </w:t>
      </w:r>
      <w:r>
        <w:rPr>
          <w:rFonts w:eastAsiaTheme="minorHAnsi"/>
          <w:color w:val="000000"/>
          <w:sz w:val="22"/>
          <w:szCs w:val="22"/>
          <w:lang w:eastAsia="en-US"/>
        </w:rPr>
        <w:t xml:space="preserve">kraujyje didinantis poveikis. Reikia apie tai informuoti pacientą ir dažniau tirti gliukozės koncentraciją kraujyje, ypač pradedant vartoti šių vaistinių preparatų. Esant reikalui, būtina koreguoti gliukozės </w:t>
      </w:r>
      <w:r w:rsidR="006A13B5">
        <w:rPr>
          <w:rFonts w:eastAsiaTheme="minorHAnsi"/>
          <w:color w:val="000000"/>
          <w:sz w:val="22"/>
          <w:szCs w:val="22"/>
          <w:lang w:eastAsia="en-US"/>
        </w:rPr>
        <w:t xml:space="preserve">koncentraciją </w:t>
      </w:r>
      <w:r>
        <w:rPr>
          <w:rFonts w:eastAsiaTheme="minorHAnsi"/>
          <w:color w:val="000000"/>
          <w:sz w:val="22"/>
          <w:szCs w:val="22"/>
          <w:lang w:eastAsia="en-US"/>
        </w:rPr>
        <w:t>kraujyje mažinančio vaistinio preparato dozę vartojant ir baigus vartoti kurį nors iš minėtų vaistinių preparatų.</w:t>
      </w:r>
    </w:p>
    <w:p w14:paraId="620E97DB" w14:textId="77777777" w:rsidR="00E86446" w:rsidRDefault="00E86446">
      <w:pPr>
        <w:autoSpaceDE w:val="0"/>
        <w:autoSpaceDN w:val="0"/>
        <w:adjustRightInd w:val="0"/>
        <w:rPr>
          <w:rFonts w:eastAsiaTheme="minorHAnsi"/>
          <w:color w:val="000000"/>
          <w:sz w:val="22"/>
          <w:szCs w:val="22"/>
          <w:lang w:eastAsia="en-US"/>
        </w:rPr>
      </w:pPr>
    </w:p>
    <w:p w14:paraId="64E494EF" w14:textId="7CC8E81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Kai kurie vaistiniai preparatai gali neigiamai veikti inkstų funkciją ir gali 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pvz., NVNU, įskaitant selektyviuosius </w:t>
      </w:r>
      <w:proofErr w:type="spellStart"/>
      <w:r>
        <w:rPr>
          <w:rFonts w:eastAsiaTheme="minorHAnsi"/>
          <w:color w:val="000000"/>
          <w:sz w:val="22"/>
          <w:szCs w:val="22"/>
          <w:lang w:eastAsia="en-US"/>
        </w:rPr>
        <w:t>ciklooksigenazės</w:t>
      </w:r>
      <w:proofErr w:type="spellEnd"/>
      <w:r>
        <w:rPr>
          <w:rFonts w:eastAsiaTheme="minorHAnsi"/>
          <w:color w:val="000000"/>
          <w:sz w:val="22"/>
          <w:szCs w:val="22"/>
          <w:lang w:eastAsia="en-US"/>
        </w:rPr>
        <w:t xml:space="preserve"> (COX) II inhibitorius, AKF inhibitoriai, </w:t>
      </w:r>
      <w:proofErr w:type="spellStart"/>
      <w:r>
        <w:rPr>
          <w:rFonts w:eastAsiaTheme="minorHAnsi"/>
          <w:color w:val="000000"/>
          <w:sz w:val="22"/>
          <w:szCs w:val="22"/>
          <w:lang w:eastAsia="en-US"/>
        </w:rPr>
        <w:lastRenderedPageBreak/>
        <w:t>angiotenzino</w:t>
      </w:r>
      <w:proofErr w:type="spellEnd"/>
      <w:r>
        <w:rPr>
          <w:rFonts w:eastAsiaTheme="minorHAnsi"/>
          <w:color w:val="000000"/>
          <w:sz w:val="22"/>
          <w:szCs w:val="22"/>
          <w:lang w:eastAsia="en-US"/>
        </w:rPr>
        <w:t xml:space="preserve"> II receptorių blokatoriai ir diuretikai, ypač kilpiniai diuretikai. Pradedant vartoti arba vartojant </w:t>
      </w:r>
      <w:proofErr w:type="spellStart"/>
      <w:r>
        <w:rPr>
          <w:rFonts w:eastAsiaTheme="minorHAnsi"/>
          <w:color w:val="000000"/>
          <w:sz w:val="22"/>
          <w:szCs w:val="22"/>
          <w:lang w:eastAsia="en-US"/>
        </w:rPr>
        <w:t>toki</w:t>
      </w:r>
      <w:r w:rsidR="00565133">
        <w:rPr>
          <w:rFonts w:eastAsiaTheme="minorHAnsi"/>
          <w:color w:val="000000"/>
          <w:sz w:val="22"/>
          <w:szCs w:val="22"/>
          <w:lang w:eastAsia="en-US"/>
        </w:rPr>
        <w:t>ū</w:t>
      </w:r>
      <w:proofErr w:type="spellEnd"/>
      <w:r>
        <w:rPr>
          <w:rFonts w:eastAsiaTheme="minorHAnsi"/>
          <w:color w:val="000000"/>
          <w:sz w:val="22"/>
          <w:szCs w:val="22"/>
          <w:lang w:eastAsia="en-US"/>
        </w:rPr>
        <w:t xml:space="preserve"> vaistini</w:t>
      </w:r>
      <w:r w:rsidR="00565133">
        <w:rPr>
          <w:rFonts w:eastAsiaTheme="minorHAnsi"/>
          <w:color w:val="000000"/>
          <w:sz w:val="22"/>
          <w:szCs w:val="22"/>
          <w:lang w:eastAsia="en-US"/>
        </w:rPr>
        <w:t>ų</w:t>
      </w:r>
      <w:r>
        <w:rPr>
          <w:rFonts w:eastAsiaTheme="minorHAnsi"/>
          <w:color w:val="000000"/>
          <w:sz w:val="22"/>
          <w:szCs w:val="22"/>
          <w:lang w:eastAsia="en-US"/>
        </w:rPr>
        <w:t xml:space="preserve"> preparat</w:t>
      </w:r>
      <w:r w:rsidR="00E0482B">
        <w:rPr>
          <w:rFonts w:eastAsiaTheme="minorHAnsi"/>
          <w:color w:val="000000"/>
          <w:sz w:val="22"/>
          <w:szCs w:val="22"/>
          <w:lang w:eastAsia="en-US"/>
        </w:rPr>
        <w:t>ų</w:t>
      </w:r>
      <w:r>
        <w:rPr>
          <w:rFonts w:eastAsiaTheme="minorHAnsi"/>
          <w:color w:val="000000"/>
          <w:sz w:val="22"/>
          <w:szCs w:val="22"/>
          <w:lang w:eastAsia="en-US"/>
        </w:rPr>
        <w:t xml:space="preserve"> kartu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reikia atidžiai stebėti inkstų funkciją.</w:t>
      </w:r>
    </w:p>
    <w:p w14:paraId="30326FA3" w14:textId="77777777" w:rsidR="00E86446" w:rsidRDefault="00E86446">
      <w:pPr>
        <w:autoSpaceDE w:val="0"/>
        <w:autoSpaceDN w:val="0"/>
        <w:adjustRightInd w:val="0"/>
        <w:rPr>
          <w:rFonts w:eastAsiaTheme="minorHAnsi"/>
          <w:color w:val="000000"/>
          <w:sz w:val="22"/>
          <w:szCs w:val="22"/>
          <w:lang w:eastAsia="en-US"/>
        </w:rPr>
      </w:pPr>
    </w:p>
    <w:p w14:paraId="19F19FC0" w14:textId="427C685D"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Insulinas ir jo sekreciją </w:t>
      </w:r>
      <w:r w:rsidR="00E0482B">
        <w:rPr>
          <w:rFonts w:eastAsiaTheme="minorHAnsi"/>
          <w:i/>
          <w:iCs/>
          <w:color w:val="000000"/>
          <w:sz w:val="22"/>
          <w:szCs w:val="22"/>
          <w:lang w:eastAsia="en-US"/>
        </w:rPr>
        <w:t xml:space="preserve">skatinantys </w:t>
      </w:r>
      <w:r>
        <w:rPr>
          <w:rFonts w:eastAsiaTheme="minorHAnsi"/>
          <w:i/>
          <w:iCs/>
          <w:color w:val="000000"/>
          <w:sz w:val="22"/>
          <w:szCs w:val="22"/>
          <w:lang w:eastAsia="en-US"/>
        </w:rPr>
        <w:t>vaistiniai preparatai</w:t>
      </w:r>
    </w:p>
    <w:p w14:paraId="658A52ED" w14:textId="0F7997D7" w:rsidR="00E86446" w:rsidRDefault="00345E63">
      <w:pPr>
        <w:autoSpaceDE w:val="0"/>
        <w:autoSpaceDN w:val="0"/>
        <w:adjustRightInd w:val="0"/>
        <w:rPr>
          <w:rFonts w:eastAsiaTheme="minorHAnsi"/>
          <w:i/>
          <w:iCs/>
          <w:color w:val="000000"/>
          <w:sz w:val="22"/>
          <w:szCs w:val="22"/>
          <w:lang w:eastAsia="en-US"/>
        </w:rPr>
      </w:pPr>
      <w:r>
        <w:rPr>
          <w:rFonts w:eastAsiaTheme="minorHAnsi"/>
          <w:color w:val="000000"/>
          <w:sz w:val="22"/>
          <w:szCs w:val="22"/>
          <w:lang w:eastAsia="en-US"/>
        </w:rPr>
        <w:t xml:space="preserve">Insulinas ir jo sekreciją </w:t>
      </w:r>
      <w:r w:rsidR="00E0482B">
        <w:rPr>
          <w:rFonts w:eastAsiaTheme="minorHAnsi"/>
          <w:color w:val="000000"/>
          <w:sz w:val="22"/>
          <w:szCs w:val="22"/>
          <w:lang w:eastAsia="en-US"/>
        </w:rPr>
        <w:t xml:space="preserve">skatinantys </w:t>
      </w:r>
      <w:r>
        <w:rPr>
          <w:rFonts w:eastAsiaTheme="minorHAnsi"/>
          <w:color w:val="000000"/>
          <w:sz w:val="22"/>
          <w:szCs w:val="22"/>
          <w:lang w:eastAsia="en-US"/>
        </w:rPr>
        <w:t xml:space="preserve">vaistiniai preparatai, pvz., </w:t>
      </w:r>
      <w:proofErr w:type="spellStart"/>
      <w:r>
        <w:rPr>
          <w:rFonts w:eastAsiaTheme="minorHAnsi"/>
          <w:color w:val="000000"/>
          <w:sz w:val="22"/>
          <w:szCs w:val="22"/>
          <w:lang w:eastAsia="en-US"/>
        </w:rPr>
        <w:t>sulfonilkarbamidai</w:t>
      </w:r>
      <w:proofErr w:type="spellEnd"/>
      <w:r>
        <w:rPr>
          <w:rFonts w:eastAsiaTheme="minorHAnsi"/>
          <w:color w:val="000000"/>
          <w:sz w:val="22"/>
          <w:szCs w:val="22"/>
          <w:lang w:eastAsia="en-US"/>
        </w:rPr>
        <w:t xml:space="preserve">, sukelia hipoglikemiją. Dėl to kartu vartojant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gali tekti sumažinti insulino ar jo sekreciją didinančio vaistinio preparato dozę, kad būtų mažesnė hipoglikemijos rizika (žr. 4.2 ir 4.8 skyrius).</w:t>
      </w:r>
    </w:p>
    <w:p w14:paraId="069C478F" w14:textId="77777777" w:rsidR="00E86446" w:rsidRDefault="00E86446">
      <w:pPr>
        <w:autoSpaceDE w:val="0"/>
        <w:autoSpaceDN w:val="0"/>
        <w:adjustRightInd w:val="0"/>
        <w:rPr>
          <w:rFonts w:eastAsiaTheme="minorHAnsi"/>
          <w:color w:val="000000"/>
          <w:sz w:val="22"/>
          <w:szCs w:val="22"/>
          <w:lang w:eastAsia="en-US"/>
        </w:rPr>
      </w:pPr>
    </w:p>
    <w:p w14:paraId="3471FD49" w14:textId="77777777" w:rsidR="00E86446" w:rsidRDefault="00E86446">
      <w:pPr>
        <w:widowControl w:val="0"/>
        <w:tabs>
          <w:tab w:val="left" w:pos="567"/>
        </w:tabs>
        <w:ind w:left="567" w:hanging="567"/>
        <w:outlineLvl w:val="2"/>
        <w:rPr>
          <w:sz w:val="22"/>
          <w:szCs w:val="22"/>
          <w:u w:val="single"/>
        </w:rPr>
      </w:pPr>
    </w:p>
    <w:p w14:paraId="140EA62D" w14:textId="77777777" w:rsidR="00E86446" w:rsidRDefault="00E86446">
      <w:pPr>
        <w:widowControl w:val="0"/>
        <w:tabs>
          <w:tab w:val="left" w:pos="567"/>
        </w:tabs>
        <w:ind w:left="567" w:hanging="567"/>
        <w:outlineLvl w:val="2"/>
        <w:rPr>
          <w:sz w:val="22"/>
          <w:szCs w:val="22"/>
          <w:u w:val="single"/>
        </w:rPr>
      </w:pPr>
    </w:p>
    <w:p w14:paraId="1109B8DC" w14:textId="77777777" w:rsidR="00E86446" w:rsidRDefault="00345E63">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3D057F5A" w14:textId="77777777" w:rsidR="00E86446" w:rsidRDefault="00E86446">
      <w:pPr>
        <w:rPr>
          <w:sz w:val="22"/>
          <w:szCs w:val="22"/>
        </w:rPr>
      </w:pPr>
    </w:p>
    <w:p w14:paraId="16F378B7"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Nėštumas</w:t>
      </w:r>
    </w:p>
    <w:p w14:paraId="156AAFDE" w14:textId="46C2BDBD"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ar dapagliflozino vartojimo nėščioms moterims duomenų nėra. Su žiurkėmis atlikti tyrimai parodė toksinį dapagliflozino poveikį inkstų vystymuisi laikotarpiu, atitinkančiu antrą ir trečią žmogaus nėštumo trimestrus (žr. 5.3 skyrių). Dėl to antrą ir trečią nėštumo trimestrus šio vaistinio preparato vartoti nerekomenduojama. Nedidelis kiekis duomenų apie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vartojusias nėščias moteris nerodo </w:t>
      </w:r>
      <w:r w:rsidR="0004779D">
        <w:rPr>
          <w:rFonts w:eastAsiaTheme="minorHAnsi"/>
          <w:color w:val="000000"/>
          <w:sz w:val="22"/>
          <w:szCs w:val="22"/>
          <w:lang w:eastAsia="en-US"/>
        </w:rPr>
        <w:t xml:space="preserve">įgimtų </w:t>
      </w:r>
      <w:r w:rsidR="00B03C3D">
        <w:rPr>
          <w:rFonts w:eastAsiaTheme="minorHAnsi"/>
          <w:color w:val="000000"/>
          <w:sz w:val="22"/>
          <w:szCs w:val="22"/>
          <w:lang w:eastAsia="en-US"/>
        </w:rPr>
        <w:t xml:space="preserve">formavimosi ydų </w:t>
      </w:r>
      <w:r>
        <w:rPr>
          <w:rFonts w:eastAsiaTheme="minorHAnsi"/>
          <w:color w:val="000000"/>
          <w:sz w:val="22"/>
          <w:szCs w:val="22"/>
          <w:lang w:eastAsia="en-US"/>
        </w:rPr>
        <w:t xml:space="preserve">rizikos padidėjimo.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tyrimai kenksmingo poveikio gyvūnų vaikingumo eigai, embriono ar vaisiaus vystymuisi, atsivedimui ar vystymuisi po atsivedimo neparodė (žr. 5.3 skyrių).</w:t>
      </w:r>
    </w:p>
    <w:p w14:paraId="38E991A5" w14:textId="77777777" w:rsidR="00E86446" w:rsidRDefault="00E86446">
      <w:pPr>
        <w:autoSpaceDE w:val="0"/>
        <w:autoSpaceDN w:val="0"/>
        <w:adjustRightInd w:val="0"/>
        <w:rPr>
          <w:rFonts w:eastAsiaTheme="minorHAnsi"/>
          <w:color w:val="000000"/>
          <w:sz w:val="22"/>
          <w:szCs w:val="22"/>
          <w:lang w:eastAsia="en-US"/>
        </w:rPr>
      </w:pPr>
    </w:p>
    <w:p w14:paraId="7385310B" w14:textId="06C18C9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 pacientė </w:t>
      </w:r>
      <w:proofErr w:type="spellStart"/>
      <w:r>
        <w:rPr>
          <w:rFonts w:eastAsiaTheme="minorHAnsi"/>
          <w:color w:val="000000"/>
          <w:sz w:val="22"/>
          <w:szCs w:val="22"/>
          <w:lang w:eastAsia="en-US"/>
        </w:rPr>
        <w:t>planuoja</w:t>
      </w:r>
      <w:r w:rsidR="005C28E6">
        <w:rPr>
          <w:rFonts w:eastAsiaTheme="minorHAnsi"/>
          <w:color w:val="000000"/>
          <w:sz w:val="22"/>
          <w:szCs w:val="22"/>
          <w:lang w:eastAsia="en-US"/>
        </w:rPr>
        <w:t>pastoti</w:t>
      </w:r>
      <w:proofErr w:type="spellEnd"/>
      <w:r w:rsidR="005C28E6">
        <w:rPr>
          <w:rFonts w:eastAsiaTheme="minorHAnsi"/>
          <w:color w:val="000000"/>
          <w:sz w:val="22"/>
          <w:szCs w:val="22"/>
          <w:lang w:eastAsia="en-US"/>
        </w:rPr>
        <w:t xml:space="preserve"> </w:t>
      </w:r>
      <w:r>
        <w:rPr>
          <w:rFonts w:eastAsiaTheme="minorHAnsi"/>
          <w:color w:val="000000"/>
          <w:sz w:val="22"/>
          <w:szCs w:val="22"/>
          <w:lang w:eastAsia="en-US"/>
        </w:rPr>
        <w:t xml:space="preserve">arba </w:t>
      </w:r>
      <w:r w:rsidR="005C28E6">
        <w:rPr>
          <w:rFonts w:eastAsiaTheme="minorHAnsi"/>
          <w:color w:val="000000"/>
          <w:sz w:val="22"/>
          <w:szCs w:val="22"/>
          <w:lang w:eastAsia="en-US"/>
        </w:rPr>
        <w:t>laukiasi</w:t>
      </w:r>
      <w:r>
        <w:rPr>
          <w:rFonts w:eastAsiaTheme="minorHAnsi"/>
          <w:color w:val="000000"/>
          <w:sz w:val="22"/>
          <w:szCs w:val="22"/>
          <w:lang w:eastAsia="en-US"/>
        </w:rPr>
        <w:t xml:space="preserve">, yra rekomenduojama, kad diabetas būtų negydomas šiuo vaistiniu preparatu, bet insulinu būtų palaikoma kiek įmanoma artimesnė normaliai gliukozės koncentracija kraujyje, kad būtų mažesnė vaisiaus </w:t>
      </w:r>
      <w:r w:rsidR="00596A24">
        <w:rPr>
          <w:rFonts w:eastAsiaTheme="minorHAnsi"/>
          <w:color w:val="000000"/>
          <w:sz w:val="22"/>
          <w:szCs w:val="22"/>
          <w:lang w:eastAsia="en-US"/>
        </w:rPr>
        <w:t>įgimtų formavimosi ydų</w:t>
      </w:r>
      <w:r>
        <w:rPr>
          <w:rFonts w:eastAsiaTheme="minorHAnsi"/>
          <w:color w:val="000000"/>
          <w:sz w:val="22"/>
          <w:szCs w:val="22"/>
          <w:lang w:eastAsia="en-US"/>
        </w:rPr>
        <w:t>, susijusių su nenormalia gliukozės koncentracija kraujyje, rizika.</w:t>
      </w:r>
    </w:p>
    <w:p w14:paraId="57B7657C" w14:textId="77777777" w:rsidR="00E86446" w:rsidRDefault="00E86446">
      <w:pPr>
        <w:autoSpaceDE w:val="0"/>
        <w:autoSpaceDN w:val="0"/>
        <w:adjustRightInd w:val="0"/>
        <w:rPr>
          <w:rFonts w:eastAsiaTheme="minorHAnsi"/>
          <w:color w:val="000000"/>
          <w:sz w:val="22"/>
          <w:szCs w:val="22"/>
          <w:lang w:eastAsia="en-US"/>
        </w:rPr>
      </w:pPr>
    </w:p>
    <w:p w14:paraId="31BD34DE"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Žindymas</w:t>
      </w:r>
    </w:p>
    <w:p w14:paraId="42A1F4ED" w14:textId="389524DE" w:rsidR="00E86446" w:rsidRDefault="00166BFC">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Nežinoma, ar </w:t>
      </w:r>
      <w:r w:rsidR="00345E63">
        <w:rPr>
          <w:rFonts w:eastAsiaTheme="minorHAnsi"/>
          <w:color w:val="000000"/>
          <w:sz w:val="22"/>
          <w:szCs w:val="22"/>
          <w:lang w:eastAsia="en-US"/>
        </w:rPr>
        <w:t xml:space="preserve">šio vaistinio preparato arba dapagliflozino ir (ar) jo metabolitų </w:t>
      </w:r>
      <w:r w:rsidR="006B6AB2">
        <w:rPr>
          <w:rFonts w:eastAsiaTheme="minorHAnsi"/>
          <w:color w:val="000000"/>
          <w:sz w:val="22"/>
          <w:szCs w:val="22"/>
          <w:lang w:eastAsia="en-US"/>
        </w:rPr>
        <w:t xml:space="preserve">išsiskiria </w:t>
      </w:r>
      <w:r w:rsidR="00345E63">
        <w:rPr>
          <w:rFonts w:eastAsiaTheme="minorHAnsi"/>
          <w:color w:val="000000"/>
          <w:sz w:val="22"/>
          <w:szCs w:val="22"/>
          <w:lang w:eastAsia="en-US"/>
        </w:rPr>
        <w:t xml:space="preserve">į moters pieną. </w:t>
      </w:r>
      <w:r w:rsidR="006B6AB2">
        <w:rPr>
          <w:rFonts w:eastAsiaTheme="minorHAnsi"/>
          <w:color w:val="000000"/>
          <w:sz w:val="22"/>
          <w:szCs w:val="22"/>
          <w:lang w:eastAsia="en-US"/>
        </w:rPr>
        <w:t xml:space="preserve">Esami </w:t>
      </w:r>
      <w:r w:rsidR="00345E63">
        <w:rPr>
          <w:rFonts w:eastAsiaTheme="minorHAnsi"/>
          <w:color w:val="000000"/>
          <w:sz w:val="22"/>
          <w:szCs w:val="22"/>
          <w:lang w:eastAsia="en-US"/>
        </w:rPr>
        <w:t xml:space="preserve">farmakodinamikos ir </w:t>
      </w:r>
      <w:proofErr w:type="spellStart"/>
      <w:r w:rsidR="00345E63">
        <w:rPr>
          <w:rFonts w:eastAsiaTheme="minorHAnsi"/>
          <w:color w:val="000000"/>
          <w:sz w:val="22"/>
          <w:szCs w:val="22"/>
          <w:lang w:eastAsia="en-US"/>
        </w:rPr>
        <w:t>toksikologinių</w:t>
      </w:r>
      <w:proofErr w:type="spellEnd"/>
      <w:r w:rsidR="00345E63">
        <w:rPr>
          <w:rFonts w:eastAsiaTheme="minorHAnsi"/>
          <w:color w:val="000000"/>
          <w:sz w:val="22"/>
          <w:szCs w:val="22"/>
          <w:lang w:eastAsia="en-US"/>
        </w:rPr>
        <w:t xml:space="preserve"> tyrimų </w:t>
      </w:r>
      <w:r w:rsidR="005A28B9">
        <w:rPr>
          <w:rFonts w:eastAsiaTheme="minorHAnsi"/>
          <w:color w:val="000000"/>
          <w:sz w:val="22"/>
          <w:szCs w:val="22"/>
          <w:lang w:eastAsia="en-US"/>
        </w:rPr>
        <w:t xml:space="preserve">su gyvūnais </w:t>
      </w:r>
      <w:r w:rsidR="00345E63">
        <w:rPr>
          <w:rFonts w:eastAsiaTheme="minorHAnsi"/>
          <w:color w:val="000000"/>
          <w:sz w:val="22"/>
          <w:szCs w:val="22"/>
          <w:lang w:eastAsia="en-US"/>
        </w:rPr>
        <w:t>duomenys rodo</w:t>
      </w:r>
      <w:r w:rsidR="005A28B9">
        <w:rPr>
          <w:rFonts w:eastAsiaTheme="minorHAnsi"/>
          <w:color w:val="000000"/>
          <w:sz w:val="22"/>
          <w:szCs w:val="22"/>
          <w:lang w:eastAsia="en-US"/>
        </w:rPr>
        <w:t>, kad</w:t>
      </w:r>
      <w:r w:rsidR="00345E63">
        <w:rPr>
          <w:rFonts w:eastAsiaTheme="minorHAnsi"/>
          <w:color w:val="000000"/>
          <w:sz w:val="22"/>
          <w:szCs w:val="22"/>
          <w:lang w:eastAsia="en-US"/>
        </w:rPr>
        <w:t xml:space="preserve"> dapagliflozino ir (ar) jo metabolitų </w:t>
      </w:r>
      <w:r w:rsidR="005A28B9">
        <w:rPr>
          <w:rFonts w:eastAsiaTheme="minorHAnsi"/>
          <w:color w:val="000000"/>
          <w:sz w:val="22"/>
          <w:szCs w:val="22"/>
          <w:lang w:eastAsia="en-US"/>
        </w:rPr>
        <w:t>išsiskiria į gyvūnų pieną</w:t>
      </w:r>
      <w:r w:rsidR="00603BC0">
        <w:rPr>
          <w:rFonts w:eastAsiaTheme="minorHAnsi"/>
          <w:color w:val="000000"/>
          <w:sz w:val="22"/>
          <w:szCs w:val="22"/>
          <w:lang w:eastAsia="en-US"/>
        </w:rPr>
        <w:t>.</w:t>
      </w:r>
      <w:r w:rsidR="00345E63">
        <w:rPr>
          <w:rFonts w:eastAsiaTheme="minorHAnsi"/>
          <w:color w:val="000000"/>
          <w:sz w:val="22"/>
          <w:szCs w:val="22"/>
          <w:lang w:eastAsia="en-US"/>
        </w:rPr>
        <w:t xml:space="preserve"> </w:t>
      </w:r>
      <w:r w:rsidR="00603BC0">
        <w:rPr>
          <w:rFonts w:eastAsiaTheme="minorHAnsi"/>
          <w:color w:val="000000"/>
          <w:sz w:val="22"/>
          <w:szCs w:val="22"/>
          <w:lang w:eastAsia="en-US"/>
        </w:rPr>
        <w:t xml:space="preserve">Taip pat rodo </w:t>
      </w:r>
      <w:r w:rsidR="00345E63">
        <w:rPr>
          <w:rFonts w:eastAsiaTheme="minorHAnsi"/>
          <w:color w:val="000000"/>
          <w:sz w:val="22"/>
          <w:szCs w:val="22"/>
          <w:lang w:eastAsia="en-US"/>
        </w:rPr>
        <w:t xml:space="preserve">farmakologinio pobūdžio poveikius žindomiems jaunikliams (žr. 5.3 skyrių). Nedaug </w:t>
      </w:r>
      <w:proofErr w:type="spellStart"/>
      <w:r w:rsidR="00345E63">
        <w:rPr>
          <w:rFonts w:eastAsiaTheme="minorHAnsi"/>
          <w:color w:val="000000"/>
          <w:sz w:val="22"/>
          <w:szCs w:val="22"/>
          <w:lang w:eastAsia="en-US"/>
        </w:rPr>
        <w:t>metformino</w:t>
      </w:r>
      <w:proofErr w:type="spellEnd"/>
      <w:r w:rsidR="00345E63">
        <w:rPr>
          <w:rFonts w:eastAsiaTheme="minorHAnsi"/>
          <w:color w:val="000000"/>
          <w:sz w:val="22"/>
          <w:szCs w:val="22"/>
          <w:lang w:eastAsia="en-US"/>
        </w:rPr>
        <w:t xml:space="preserve"> </w:t>
      </w:r>
      <w:r w:rsidR="00136099">
        <w:rPr>
          <w:rFonts w:eastAsiaTheme="minorHAnsi"/>
          <w:color w:val="000000"/>
          <w:sz w:val="22"/>
          <w:szCs w:val="22"/>
          <w:lang w:eastAsia="en-US"/>
        </w:rPr>
        <w:t xml:space="preserve">išsiskiria </w:t>
      </w:r>
      <w:r w:rsidR="00345E63">
        <w:rPr>
          <w:rFonts w:eastAsiaTheme="minorHAnsi"/>
          <w:color w:val="000000"/>
          <w:sz w:val="22"/>
          <w:szCs w:val="22"/>
          <w:lang w:eastAsia="en-US"/>
        </w:rPr>
        <w:t xml:space="preserve">į moters pieną. </w:t>
      </w:r>
      <w:r w:rsidR="005F16CE">
        <w:rPr>
          <w:rFonts w:eastAsiaTheme="minorHAnsi"/>
          <w:color w:val="000000"/>
          <w:sz w:val="22"/>
          <w:szCs w:val="22"/>
          <w:lang w:eastAsia="en-US"/>
        </w:rPr>
        <w:t>Pavojaus žindomiems naujagimiams ar kūdikiams negalima atmesti.</w:t>
      </w:r>
    </w:p>
    <w:p w14:paraId="5A3DFE7D" w14:textId="77777777" w:rsidR="00E86446" w:rsidRDefault="00E86446">
      <w:pPr>
        <w:autoSpaceDE w:val="0"/>
        <w:autoSpaceDN w:val="0"/>
        <w:adjustRightInd w:val="0"/>
        <w:rPr>
          <w:rFonts w:eastAsiaTheme="minorHAnsi"/>
          <w:color w:val="000000"/>
          <w:sz w:val="22"/>
          <w:szCs w:val="22"/>
          <w:lang w:eastAsia="en-US"/>
        </w:rPr>
      </w:pPr>
    </w:p>
    <w:p w14:paraId="1758EBD0" w14:textId="39496857" w:rsidR="00E86446" w:rsidRDefault="00953731">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w:t>
      </w:r>
      <w:r w:rsidR="00345E63">
        <w:rPr>
          <w:rFonts w:eastAsiaTheme="minorHAnsi"/>
          <w:color w:val="000000"/>
          <w:sz w:val="22"/>
          <w:szCs w:val="22"/>
          <w:lang w:eastAsia="en-US"/>
        </w:rPr>
        <w:t xml:space="preserve">io vaistinio preparato </w:t>
      </w:r>
      <w:r>
        <w:rPr>
          <w:rFonts w:eastAsiaTheme="minorHAnsi"/>
          <w:color w:val="000000"/>
          <w:sz w:val="22"/>
          <w:szCs w:val="22"/>
          <w:lang w:eastAsia="en-US"/>
        </w:rPr>
        <w:t>neturi būti vartojama žindymo metu.</w:t>
      </w:r>
    </w:p>
    <w:p w14:paraId="495B3B57" w14:textId="77777777" w:rsidR="00E86446" w:rsidRDefault="00E86446">
      <w:pPr>
        <w:autoSpaceDE w:val="0"/>
        <w:autoSpaceDN w:val="0"/>
        <w:adjustRightInd w:val="0"/>
        <w:rPr>
          <w:rFonts w:eastAsiaTheme="minorHAnsi"/>
          <w:color w:val="000000"/>
          <w:sz w:val="22"/>
          <w:szCs w:val="22"/>
          <w:lang w:eastAsia="en-US"/>
        </w:rPr>
      </w:pPr>
    </w:p>
    <w:p w14:paraId="4C005BF6"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Vaisingumas</w:t>
      </w:r>
    </w:p>
    <w:p w14:paraId="44D4C0A9" w14:textId="77777777" w:rsidR="00E86446" w:rsidRDefault="00345E63">
      <w:pPr>
        <w:rPr>
          <w:rFonts w:eastAsiaTheme="minorHAnsi"/>
          <w:color w:val="000000"/>
          <w:sz w:val="22"/>
          <w:szCs w:val="22"/>
          <w:lang w:eastAsia="en-US"/>
        </w:rPr>
      </w:pPr>
      <w:r>
        <w:rPr>
          <w:rFonts w:eastAsiaTheme="minorHAnsi"/>
          <w:color w:val="000000"/>
          <w:sz w:val="22"/>
          <w:szCs w:val="22"/>
          <w:lang w:eastAsia="en-US"/>
        </w:rPr>
        <w:t xml:space="preserve">Šio vaistinio preparato ir dapagliflozino poveikis žmonių vaisingumui netirtas. Jokia tirta dapagliflozino dozė žiurkių patinų ir patelių vaisingumo neveikė.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tyrimai toksinio poveikio gyvūnų reprodukcijai neparodė (žr. 5.3 skyrių).</w:t>
      </w:r>
    </w:p>
    <w:p w14:paraId="30EFFA7F" w14:textId="77777777" w:rsidR="00E86446" w:rsidRDefault="00E86446">
      <w:pPr>
        <w:rPr>
          <w:sz w:val="22"/>
          <w:szCs w:val="22"/>
          <w:u w:val="single"/>
        </w:rPr>
      </w:pPr>
    </w:p>
    <w:p w14:paraId="0169B195"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4ECE53A1" w14:textId="77777777" w:rsidR="00E86446" w:rsidRDefault="00E86446">
      <w:pPr>
        <w:rPr>
          <w:sz w:val="22"/>
          <w:szCs w:val="22"/>
        </w:rPr>
      </w:pPr>
    </w:p>
    <w:p w14:paraId="5C6B31A9" w14:textId="7E297FD3" w:rsidR="00E86446" w:rsidRDefault="00345E63">
      <w:pPr>
        <w:rPr>
          <w:sz w:val="22"/>
          <w:szCs w:val="22"/>
        </w:rPr>
      </w:pPr>
      <w:proofErr w:type="spellStart"/>
      <w:r>
        <w:rPr>
          <w:sz w:val="22"/>
          <w:szCs w:val="22"/>
        </w:rPr>
        <w:t>Mexdagry</w:t>
      </w:r>
      <w:proofErr w:type="spellEnd"/>
      <w:r>
        <w:rPr>
          <w:sz w:val="22"/>
          <w:szCs w:val="22"/>
        </w:rPr>
        <w:t xml:space="preserve"> gebėjimo vairuoti ir valdyti mechanizmus neveikia arba veikia nereikšmingai. Pacientus, kurie šio vaistinio preparato vartoja kartu su kitais</w:t>
      </w:r>
      <w:r w:rsidR="00B32DBA">
        <w:rPr>
          <w:sz w:val="22"/>
          <w:szCs w:val="22"/>
        </w:rPr>
        <w:t xml:space="preserve"> vaistiniais preparatais</w:t>
      </w:r>
      <w:r>
        <w:rPr>
          <w:sz w:val="22"/>
          <w:szCs w:val="22"/>
        </w:rPr>
        <w:t>, mažinančiais gliukozės koncentraciją ir sukeliančiais hipoglikemiją, reikia įspėti apie hipoglikemijos pavojų.</w:t>
      </w:r>
    </w:p>
    <w:p w14:paraId="175D1476" w14:textId="77777777" w:rsidR="00E86446" w:rsidRDefault="00E86446">
      <w:pPr>
        <w:rPr>
          <w:noProof/>
          <w:sz w:val="22"/>
          <w:szCs w:val="22"/>
        </w:rPr>
      </w:pPr>
    </w:p>
    <w:p w14:paraId="68E6B434" w14:textId="77777777" w:rsidR="00E86446" w:rsidRDefault="00345E63">
      <w:pPr>
        <w:outlineLvl w:val="0"/>
        <w:rPr>
          <w:sz w:val="22"/>
          <w:szCs w:val="22"/>
        </w:rPr>
      </w:pPr>
      <w:r>
        <w:rPr>
          <w:b/>
          <w:sz w:val="22"/>
          <w:szCs w:val="22"/>
        </w:rPr>
        <w:t>4.8</w:t>
      </w:r>
      <w:r>
        <w:rPr>
          <w:b/>
          <w:sz w:val="22"/>
          <w:szCs w:val="22"/>
        </w:rPr>
        <w:tab/>
        <w:t>Nepageidaujamas poveikis</w:t>
      </w:r>
    </w:p>
    <w:p w14:paraId="759C17B6" w14:textId="77777777" w:rsidR="00E86446" w:rsidRDefault="00E86446">
      <w:pPr>
        <w:rPr>
          <w:sz w:val="22"/>
          <w:szCs w:val="22"/>
          <w:u w:val="single"/>
        </w:rPr>
      </w:pPr>
    </w:p>
    <w:p w14:paraId="0046A5BF" w14:textId="77777777" w:rsidR="00E86446" w:rsidRDefault="00345E63">
      <w:pPr>
        <w:rPr>
          <w:sz w:val="22"/>
          <w:szCs w:val="22"/>
        </w:rPr>
      </w:pPr>
      <w:r>
        <w:rPr>
          <w:sz w:val="22"/>
          <w:szCs w:val="22"/>
        </w:rPr>
        <w:t xml:space="preserve">Įrodytas </w:t>
      </w:r>
      <w:proofErr w:type="spellStart"/>
      <w:r>
        <w:rPr>
          <w:sz w:val="22"/>
          <w:szCs w:val="22"/>
        </w:rPr>
        <w:t>Mexdagry</w:t>
      </w:r>
      <w:proofErr w:type="spellEnd"/>
      <w:r>
        <w:rPr>
          <w:sz w:val="22"/>
          <w:szCs w:val="22"/>
        </w:rPr>
        <w:t xml:space="preserve"> biologinis ekvivalentiškumas kartu vartojamiems dapagliflozinui ir </w:t>
      </w:r>
      <w:proofErr w:type="spellStart"/>
      <w:r>
        <w:rPr>
          <w:sz w:val="22"/>
          <w:szCs w:val="22"/>
        </w:rPr>
        <w:t>metforminui</w:t>
      </w:r>
      <w:proofErr w:type="spellEnd"/>
      <w:r>
        <w:rPr>
          <w:sz w:val="22"/>
          <w:szCs w:val="22"/>
        </w:rPr>
        <w:t xml:space="preserve"> (žr. 5.2 skyrių). </w:t>
      </w:r>
      <w:proofErr w:type="spellStart"/>
      <w:r>
        <w:rPr>
          <w:sz w:val="22"/>
          <w:szCs w:val="22"/>
        </w:rPr>
        <w:t>Mexdagry</w:t>
      </w:r>
      <w:proofErr w:type="spellEnd"/>
      <w:r>
        <w:rPr>
          <w:sz w:val="22"/>
          <w:szCs w:val="22"/>
        </w:rPr>
        <w:t xml:space="preserve"> tablečių klinikinių tyrimų neatlikta.</w:t>
      </w:r>
    </w:p>
    <w:p w14:paraId="315130FB" w14:textId="77777777" w:rsidR="00E86446" w:rsidRDefault="00E86446">
      <w:pPr>
        <w:rPr>
          <w:sz w:val="22"/>
          <w:szCs w:val="22"/>
        </w:rPr>
      </w:pPr>
    </w:p>
    <w:p w14:paraId="12D0E78D"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Dapagliflozino ir </w:t>
      </w:r>
      <w:proofErr w:type="spellStart"/>
      <w:r>
        <w:rPr>
          <w:rFonts w:eastAsiaTheme="minorHAnsi"/>
          <w:color w:val="000000"/>
          <w:sz w:val="22"/>
          <w:szCs w:val="22"/>
          <w:u w:val="single"/>
          <w:lang w:eastAsia="en-US"/>
        </w:rPr>
        <w:t>metformino</w:t>
      </w:r>
      <w:proofErr w:type="spellEnd"/>
      <w:r>
        <w:rPr>
          <w:rFonts w:eastAsiaTheme="minorHAnsi"/>
          <w:color w:val="000000"/>
          <w:sz w:val="22"/>
          <w:szCs w:val="22"/>
          <w:u w:val="single"/>
          <w:lang w:eastAsia="en-US"/>
        </w:rPr>
        <w:t xml:space="preserve"> derinys</w:t>
      </w:r>
    </w:p>
    <w:p w14:paraId="734FD054" w14:textId="77777777" w:rsidR="00E86446" w:rsidRPr="00902BD2"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Saugumo duomenų santrauka</w:t>
      </w:r>
    </w:p>
    <w:p w14:paraId="57F82AFD" w14:textId="7981B9D0" w:rsidR="00E86446" w:rsidRDefault="00A87274">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Atliktų </w:t>
      </w:r>
      <w:r w:rsidR="00345E63">
        <w:rPr>
          <w:rFonts w:eastAsiaTheme="minorHAnsi"/>
          <w:color w:val="000000"/>
          <w:sz w:val="22"/>
          <w:szCs w:val="22"/>
          <w:lang w:eastAsia="en-US"/>
        </w:rPr>
        <w:t xml:space="preserve">5 placebu kontroliuojamų dapagliflozino vartojimo papildomam kombinuotam gydymui kartu </w:t>
      </w:r>
      <w:proofErr w:type="spellStart"/>
      <w:r w:rsidR="00345E63">
        <w:rPr>
          <w:rFonts w:eastAsiaTheme="minorHAnsi"/>
          <w:color w:val="000000"/>
          <w:sz w:val="22"/>
          <w:szCs w:val="22"/>
          <w:lang w:eastAsia="en-US"/>
        </w:rPr>
        <w:t>metforminu</w:t>
      </w:r>
      <w:proofErr w:type="spellEnd"/>
      <w:r w:rsidR="00345E63">
        <w:rPr>
          <w:rFonts w:eastAsiaTheme="minorHAnsi"/>
          <w:color w:val="000000"/>
          <w:sz w:val="22"/>
          <w:szCs w:val="22"/>
          <w:lang w:eastAsia="en-US"/>
        </w:rPr>
        <w:t xml:space="preserve"> tyrimų analizė parodė saugumą, panašų į nustatytą iš anksto numatytos 13 placebu kontroliuojamų dapagliflozino tyrimų bendros analizės metu (žr. žemiau „Dapagliflozinas“, „Saugumo duomenų santrauka“). Kitokių nepageidaujamų reakcijų dapagliflozino ir </w:t>
      </w:r>
      <w:proofErr w:type="spellStart"/>
      <w:r w:rsidR="00345E63">
        <w:rPr>
          <w:rFonts w:eastAsiaTheme="minorHAnsi"/>
          <w:color w:val="000000"/>
          <w:sz w:val="22"/>
          <w:szCs w:val="22"/>
          <w:lang w:eastAsia="en-US"/>
        </w:rPr>
        <w:t>metformino</w:t>
      </w:r>
      <w:proofErr w:type="spellEnd"/>
      <w:r w:rsidR="00345E63">
        <w:rPr>
          <w:rFonts w:eastAsiaTheme="minorHAnsi"/>
          <w:color w:val="000000"/>
          <w:sz w:val="22"/>
          <w:szCs w:val="22"/>
          <w:lang w:eastAsia="en-US"/>
        </w:rPr>
        <w:t xml:space="preserve"> derinio grupės pacientams (palyginus su vartojusiais šiuos komponentus atskirai) nenustatyta. Į atskirai atliktą bendrą </w:t>
      </w:r>
      <w:r w:rsidR="00345E63">
        <w:rPr>
          <w:rFonts w:eastAsiaTheme="minorHAnsi"/>
          <w:color w:val="000000"/>
          <w:sz w:val="22"/>
          <w:szCs w:val="22"/>
          <w:lang w:eastAsia="en-US"/>
        </w:rPr>
        <w:lastRenderedPageBreak/>
        <w:t xml:space="preserve">dapagliflozino vartojimo papildomam kombinuotam gydymui kartu su </w:t>
      </w:r>
      <w:proofErr w:type="spellStart"/>
      <w:r w:rsidR="00345E63">
        <w:rPr>
          <w:rFonts w:eastAsiaTheme="minorHAnsi"/>
          <w:color w:val="000000"/>
          <w:sz w:val="22"/>
          <w:szCs w:val="22"/>
          <w:lang w:eastAsia="en-US"/>
        </w:rPr>
        <w:t>metforminu</w:t>
      </w:r>
      <w:proofErr w:type="spellEnd"/>
      <w:r w:rsidR="00345E63">
        <w:rPr>
          <w:rFonts w:eastAsiaTheme="minorHAnsi"/>
          <w:color w:val="000000"/>
          <w:sz w:val="22"/>
          <w:szCs w:val="22"/>
          <w:lang w:eastAsia="en-US"/>
        </w:rPr>
        <w:t xml:space="preserve"> analizę įtraukti 623 pacientai papildomam kombinuotam gydymui vartojo 10</w:t>
      </w:r>
      <w:r w:rsidR="00396F47">
        <w:rPr>
          <w:rFonts w:eastAsiaTheme="minorHAnsi"/>
          <w:color w:val="000000"/>
          <w:sz w:val="22"/>
          <w:szCs w:val="22"/>
          <w:lang w:eastAsia="en-US"/>
        </w:rPr>
        <w:t> </w:t>
      </w:r>
      <w:r w:rsidR="00345E63">
        <w:rPr>
          <w:rFonts w:eastAsiaTheme="minorHAnsi"/>
          <w:color w:val="000000"/>
          <w:sz w:val="22"/>
          <w:szCs w:val="22"/>
          <w:lang w:eastAsia="en-US"/>
        </w:rPr>
        <w:t xml:space="preserve">mg dapagliflozino, o 523 buvo gydyti placebu ir </w:t>
      </w:r>
      <w:proofErr w:type="spellStart"/>
      <w:r w:rsidR="00345E63">
        <w:rPr>
          <w:rFonts w:eastAsiaTheme="minorHAnsi"/>
          <w:color w:val="000000"/>
          <w:sz w:val="22"/>
          <w:szCs w:val="22"/>
          <w:lang w:eastAsia="en-US"/>
        </w:rPr>
        <w:t>metforminu</w:t>
      </w:r>
      <w:proofErr w:type="spellEnd"/>
      <w:r w:rsidR="00345E63">
        <w:rPr>
          <w:rFonts w:eastAsiaTheme="minorHAnsi"/>
          <w:color w:val="000000"/>
          <w:sz w:val="22"/>
          <w:szCs w:val="22"/>
          <w:lang w:eastAsia="en-US"/>
        </w:rPr>
        <w:t>.</w:t>
      </w:r>
    </w:p>
    <w:p w14:paraId="66960B24" w14:textId="77777777" w:rsidR="00E86446" w:rsidRDefault="00E86446">
      <w:pPr>
        <w:autoSpaceDE w:val="0"/>
        <w:autoSpaceDN w:val="0"/>
        <w:adjustRightInd w:val="0"/>
        <w:rPr>
          <w:rFonts w:eastAsiaTheme="minorHAnsi"/>
          <w:color w:val="000000"/>
          <w:sz w:val="22"/>
          <w:szCs w:val="22"/>
          <w:lang w:eastAsia="en-US"/>
        </w:rPr>
      </w:pPr>
    </w:p>
    <w:p w14:paraId="25365F1D"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Dapagliflozinas</w:t>
      </w:r>
    </w:p>
    <w:p w14:paraId="31EB98C1" w14:textId="77777777" w:rsidR="00E86446" w:rsidRPr="00902BD2"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Saugumo duomenų santrauka</w:t>
      </w:r>
    </w:p>
    <w:p w14:paraId="364FE6F3" w14:textId="00C24A11"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2 tipo diabeto klinikinių tyrimų metu dapagliflozin</w:t>
      </w:r>
      <w:r w:rsidR="008947C0">
        <w:rPr>
          <w:rFonts w:eastAsiaTheme="minorHAnsi"/>
          <w:color w:val="000000"/>
          <w:sz w:val="22"/>
          <w:szCs w:val="22"/>
          <w:lang w:eastAsia="en-US"/>
        </w:rPr>
        <w:t>o</w:t>
      </w:r>
      <w:r>
        <w:rPr>
          <w:rFonts w:eastAsiaTheme="minorHAnsi"/>
          <w:color w:val="000000"/>
          <w:sz w:val="22"/>
          <w:szCs w:val="22"/>
          <w:lang w:eastAsia="en-US"/>
        </w:rPr>
        <w:t xml:space="preserve"> vartojo daugiau kaip 15 000 pacientų.</w:t>
      </w:r>
    </w:p>
    <w:p w14:paraId="325BD304" w14:textId="77777777" w:rsidR="00E86446" w:rsidRDefault="00E86446">
      <w:pPr>
        <w:autoSpaceDE w:val="0"/>
        <w:autoSpaceDN w:val="0"/>
        <w:adjustRightInd w:val="0"/>
        <w:rPr>
          <w:rFonts w:eastAsiaTheme="minorHAnsi"/>
          <w:color w:val="000000"/>
          <w:sz w:val="22"/>
          <w:szCs w:val="22"/>
          <w:lang w:eastAsia="en-US"/>
        </w:rPr>
      </w:pPr>
    </w:p>
    <w:p w14:paraId="07BB1906" w14:textId="38A0181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Pagrindinis saugumo ir toleravimo vertinimas pagrįstas iš anksto numatyta bendra analize, į kurią įtraukta 13 trumpalaikių (iki 24 savaičių) placebu kontroliuotų tyrimų (jų metu 2 360 žmonių vartojo 10 mg dapagliflozino ir 2 295 – placeb</w:t>
      </w:r>
      <w:r w:rsidR="00FA1CCE">
        <w:rPr>
          <w:rFonts w:eastAsiaTheme="minorHAnsi"/>
          <w:color w:val="000000"/>
          <w:sz w:val="22"/>
          <w:szCs w:val="22"/>
          <w:lang w:eastAsia="en-US"/>
        </w:rPr>
        <w:t>o</w:t>
      </w:r>
      <w:r>
        <w:rPr>
          <w:rFonts w:eastAsiaTheme="minorHAnsi"/>
          <w:color w:val="000000"/>
          <w:sz w:val="22"/>
          <w:szCs w:val="22"/>
          <w:lang w:eastAsia="en-US"/>
        </w:rPr>
        <w:t>).</w:t>
      </w:r>
    </w:p>
    <w:p w14:paraId="2FBBA31E" w14:textId="77777777" w:rsidR="00E86446" w:rsidRDefault="00E86446">
      <w:pPr>
        <w:autoSpaceDE w:val="0"/>
        <w:autoSpaceDN w:val="0"/>
        <w:adjustRightInd w:val="0"/>
        <w:rPr>
          <w:rFonts w:eastAsiaTheme="minorHAnsi"/>
          <w:color w:val="000000"/>
          <w:sz w:val="22"/>
          <w:szCs w:val="22"/>
          <w:lang w:eastAsia="en-US"/>
        </w:rPr>
      </w:pPr>
    </w:p>
    <w:p w14:paraId="4C6D889E" w14:textId="77CD0E4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Dapagliflozino poveikio kardiovaskulinėms komplikacijoms tyrimo metu (DECLARE, žr. 5.1 skyrių) 8 574 pacientai vartojo 10</w:t>
      </w:r>
      <w:r w:rsidR="003170DB">
        <w:rPr>
          <w:rFonts w:eastAsiaTheme="minorHAnsi"/>
          <w:color w:val="000000"/>
          <w:sz w:val="22"/>
          <w:szCs w:val="22"/>
          <w:lang w:eastAsia="en-US"/>
        </w:rPr>
        <w:t> </w:t>
      </w:r>
      <w:r>
        <w:rPr>
          <w:rFonts w:eastAsiaTheme="minorHAnsi"/>
          <w:color w:val="000000"/>
          <w:sz w:val="22"/>
          <w:szCs w:val="22"/>
          <w:lang w:eastAsia="en-US"/>
        </w:rPr>
        <w:t>mg dapagliflozino ir 8 569 – placeb</w:t>
      </w:r>
      <w:r w:rsidR="003170DB">
        <w:rPr>
          <w:rFonts w:eastAsiaTheme="minorHAnsi"/>
          <w:color w:val="000000"/>
          <w:sz w:val="22"/>
          <w:szCs w:val="22"/>
          <w:lang w:eastAsia="en-US"/>
        </w:rPr>
        <w:t>o</w:t>
      </w:r>
      <w:r>
        <w:rPr>
          <w:rFonts w:eastAsiaTheme="minorHAnsi"/>
          <w:color w:val="000000"/>
          <w:sz w:val="22"/>
          <w:szCs w:val="22"/>
          <w:lang w:eastAsia="en-US"/>
        </w:rPr>
        <w:t xml:space="preserve"> (vartojimo laikotarpio mediana buvo 48 mėn</w:t>
      </w:r>
      <w:r w:rsidR="003170DB">
        <w:rPr>
          <w:rFonts w:eastAsiaTheme="minorHAnsi"/>
          <w:color w:val="000000"/>
          <w:sz w:val="22"/>
          <w:szCs w:val="22"/>
          <w:lang w:eastAsia="en-US"/>
        </w:rPr>
        <w:t>esiai</w:t>
      </w:r>
      <w:r>
        <w:rPr>
          <w:rFonts w:eastAsiaTheme="minorHAnsi"/>
          <w:color w:val="000000"/>
          <w:sz w:val="22"/>
          <w:szCs w:val="22"/>
          <w:lang w:eastAsia="en-US"/>
        </w:rPr>
        <w:t>). Iš viso susidarė 30 623 dapagliflozino vartojimo paciento metai.</w:t>
      </w:r>
    </w:p>
    <w:p w14:paraId="211F039F" w14:textId="77777777" w:rsidR="00E86446" w:rsidRDefault="00E86446">
      <w:pPr>
        <w:autoSpaceDE w:val="0"/>
        <w:autoSpaceDN w:val="0"/>
        <w:adjustRightInd w:val="0"/>
        <w:rPr>
          <w:rFonts w:eastAsiaTheme="minorHAnsi"/>
          <w:color w:val="000000"/>
          <w:sz w:val="22"/>
          <w:szCs w:val="22"/>
          <w:lang w:eastAsia="en-US"/>
        </w:rPr>
      </w:pPr>
    </w:p>
    <w:p w14:paraId="3DDAA5A8" w14:textId="301B250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Nepageidaujamos reakcijos, apie kurias dažniausiai pranešta klinikinių tyrimų metu, buvo genitalijų infekcijos.</w:t>
      </w:r>
    </w:p>
    <w:p w14:paraId="0811EF08" w14:textId="4ADB0F8A"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Nepageidaujamų reakcijų </w:t>
      </w:r>
      <w:r w:rsidR="00902BD2">
        <w:rPr>
          <w:rFonts w:eastAsiaTheme="minorHAnsi"/>
          <w:color w:val="000000"/>
          <w:sz w:val="22"/>
          <w:szCs w:val="22"/>
          <w:u w:val="single"/>
          <w:lang w:eastAsia="en-US"/>
        </w:rPr>
        <w:t xml:space="preserve">santrauka </w:t>
      </w:r>
      <w:r>
        <w:rPr>
          <w:rFonts w:eastAsiaTheme="minorHAnsi"/>
          <w:color w:val="000000"/>
          <w:sz w:val="22"/>
          <w:szCs w:val="22"/>
          <w:u w:val="single"/>
          <w:lang w:eastAsia="en-US"/>
        </w:rPr>
        <w:t>lentelė</w:t>
      </w:r>
      <w:r w:rsidR="009A1986">
        <w:rPr>
          <w:rFonts w:eastAsiaTheme="minorHAnsi"/>
          <w:color w:val="000000"/>
          <w:sz w:val="22"/>
          <w:szCs w:val="22"/>
          <w:u w:val="single"/>
          <w:lang w:eastAsia="en-US"/>
        </w:rPr>
        <w:t>je</w:t>
      </w:r>
    </w:p>
    <w:p w14:paraId="330BC6F2" w14:textId="230B8228" w:rsidR="00E86446" w:rsidRDefault="00345E63">
      <w:pPr>
        <w:widowControl w:val="0"/>
        <w:tabs>
          <w:tab w:val="left" w:pos="567"/>
        </w:tabs>
        <w:rPr>
          <w:sz w:val="22"/>
          <w:szCs w:val="22"/>
        </w:rPr>
      </w:pPr>
      <w:r>
        <w:rPr>
          <w:rFonts w:eastAsiaTheme="minorHAnsi"/>
          <w:color w:val="000000"/>
          <w:sz w:val="22"/>
          <w:szCs w:val="22"/>
          <w:lang w:eastAsia="en-US"/>
        </w:rPr>
        <w:t xml:space="preserve">Toliau išvardytos nepageidaujamos reakcijos nustatytos placebu kontroliuojamų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derinio klinikinių tyrimų metu, dapagliflozino klinikinių tyrimų metu,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klinikinių tyrimų metu ir vaistinius preparatus pateikus į rinką. Nė vienos </w:t>
      </w:r>
      <w:r w:rsidR="00207DF1">
        <w:rPr>
          <w:rFonts w:eastAsiaTheme="minorHAnsi"/>
          <w:color w:val="000000"/>
          <w:sz w:val="22"/>
          <w:szCs w:val="22"/>
          <w:lang w:eastAsia="en-US"/>
        </w:rPr>
        <w:t xml:space="preserve">iš </w:t>
      </w:r>
      <w:r>
        <w:rPr>
          <w:rFonts w:eastAsiaTheme="minorHAnsi"/>
          <w:color w:val="000000"/>
          <w:sz w:val="22"/>
          <w:szCs w:val="22"/>
          <w:lang w:eastAsia="en-US"/>
        </w:rPr>
        <w:t xml:space="preserve">jų ryšio su doze nenustatyta. </w:t>
      </w:r>
      <w:r>
        <w:rPr>
          <w:sz w:val="22"/>
          <w:szCs w:val="22"/>
        </w:rPr>
        <w:t xml:space="preserve">Nepageidaujamos reakcijos yra išvardytos pagal absoliutų dažnį. Dažnis apibūdinamas taip: labai dažnas (≥ 1/10), dažnas (nuo ≥ 1/100 iki &lt; 1/10), nedažnas (nuo ≥ 1/1 000 iki &lt; 1/100), retas (nuo ≥ 1/10 000 iki &lt; 1/1 000), labai retas (&lt; 1/10 000) </w:t>
      </w:r>
      <w:r w:rsidR="00EB329D">
        <w:rPr>
          <w:sz w:val="22"/>
          <w:szCs w:val="22"/>
        </w:rPr>
        <w:t xml:space="preserve">ir </w:t>
      </w:r>
      <w:r>
        <w:rPr>
          <w:sz w:val="22"/>
          <w:szCs w:val="22"/>
        </w:rPr>
        <w:t>nežinomas (negali būti apskaičiuotas pagal turimus duomenis).</w:t>
      </w:r>
    </w:p>
    <w:p w14:paraId="65DBFEDD" w14:textId="77777777" w:rsidR="00E86446" w:rsidRDefault="00E86446">
      <w:pPr>
        <w:rPr>
          <w:sz w:val="22"/>
          <w:szCs w:val="22"/>
        </w:rPr>
      </w:pPr>
    </w:p>
    <w:p w14:paraId="43CD5307" w14:textId="3CE7F71D" w:rsidR="00E86446" w:rsidRDefault="00345E63">
      <w:pPr>
        <w:rPr>
          <w:sz w:val="22"/>
          <w:szCs w:val="22"/>
        </w:rPr>
      </w:pPr>
      <w:r>
        <w:rPr>
          <w:b/>
          <w:bCs/>
          <w:sz w:val="22"/>
          <w:szCs w:val="22"/>
        </w:rPr>
        <w:t>2 lentelė. Nepageidaujamos reakcijos</w:t>
      </w:r>
      <w:r w:rsidR="00A571C7">
        <w:rPr>
          <w:b/>
          <w:bCs/>
          <w:sz w:val="22"/>
          <w:szCs w:val="22"/>
        </w:rPr>
        <w:t>, pastebėtos</w:t>
      </w:r>
      <w:r>
        <w:rPr>
          <w:b/>
          <w:bCs/>
          <w:sz w:val="22"/>
          <w:szCs w:val="22"/>
        </w:rPr>
        <w:t xml:space="preserve"> dapagliflozino ir greito atpalaidavimo </w:t>
      </w:r>
      <w:proofErr w:type="spellStart"/>
      <w:r>
        <w:rPr>
          <w:b/>
          <w:bCs/>
          <w:sz w:val="22"/>
          <w:szCs w:val="22"/>
        </w:rPr>
        <w:t>metformino</w:t>
      </w:r>
      <w:proofErr w:type="spellEnd"/>
      <w:r>
        <w:rPr>
          <w:b/>
          <w:bCs/>
          <w:sz w:val="22"/>
          <w:szCs w:val="22"/>
        </w:rPr>
        <w:t xml:space="preserve"> klinikinio tyrimo metu bei vaistinį preparatą pateikus į </w:t>
      </w:r>
      <w:proofErr w:type="spellStart"/>
      <w:r>
        <w:rPr>
          <w:b/>
          <w:bCs/>
          <w:sz w:val="22"/>
          <w:szCs w:val="22"/>
        </w:rPr>
        <w:t>rinką</w:t>
      </w:r>
      <w:r>
        <w:rPr>
          <w:b/>
          <w:bCs/>
          <w:sz w:val="22"/>
          <w:szCs w:val="22"/>
          <w:vertAlign w:val="superscript"/>
        </w:rPr>
        <w: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683"/>
        <w:gridCol w:w="1714"/>
        <w:gridCol w:w="1594"/>
        <w:gridCol w:w="1579"/>
        <w:gridCol w:w="1394"/>
      </w:tblGrid>
      <w:tr w:rsidR="00E86446" w14:paraId="3E079B94" w14:textId="77777777">
        <w:tc>
          <w:tcPr>
            <w:tcW w:w="897" w:type="pct"/>
          </w:tcPr>
          <w:p w14:paraId="36F71F37" w14:textId="77777777" w:rsidR="00E86446" w:rsidRDefault="00345E63">
            <w:pPr>
              <w:widowControl w:val="0"/>
              <w:tabs>
                <w:tab w:val="left" w:pos="567"/>
              </w:tabs>
              <w:rPr>
                <w:b/>
                <w:bCs/>
                <w:sz w:val="20"/>
                <w:szCs w:val="20"/>
                <w:lang w:val="en-GB" w:eastAsia="en-US"/>
              </w:rPr>
            </w:pPr>
            <w:r>
              <w:rPr>
                <w:b/>
                <w:bCs/>
                <w:sz w:val="20"/>
                <w:szCs w:val="20"/>
              </w:rPr>
              <w:t xml:space="preserve">Organų sistemų grupė </w:t>
            </w:r>
          </w:p>
        </w:tc>
        <w:tc>
          <w:tcPr>
            <w:tcW w:w="821" w:type="pct"/>
          </w:tcPr>
          <w:p w14:paraId="41755B7E" w14:textId="77777777" w:rsidR="00E86446" w:rsidRDefault="00345E63">
            <w:pPr>
              <w:widowControl w:val="0"/>
              <w:jc w:val="center"/>
              <w:rPr>
                <w:b/>
                <w:bCs/>
                <w:sz w:val="20"/>
                <w:szCs w:val="20"/>
                <w:lang w:val="en-GB" w:eastAsia="en-US"/>
              </w:rPr>
            </w:pPr>
            <w:r>
              <w:rPr>
                <w:b/>
                <w:bCs/>
                <w:sz w:val="20"/>
                <w:szCs w:val="20"/>
              </w:rPr>
              <w:t>Labai dažnas</w:t>
            </w:r>
          </w:p>
        </w:tc>
        <w:tc>
          <w:tcPr>
            <w:tcW w:w="916" w:type="pct"/>
          </w:tcPr>
          <w:p w14:paraId="4E43DACC" w14:textId="77777777" w:rsidR="00E86446" w:rsidRDefault="00345E63">
            <w:pPr>
              <w:widowControl w:val="0"/>
              <w:tabs>
                <w:tab w:val="left" w:pos="567"/>
              </w:tabs>
              <w:jc w:val="center"/>
              <w:rPr>
                <w:b/>
                <w:bCs/>
                <w:sz w:val="20"/>
                <w:szCs w:val="20"/>
                <w:lang w:val="en-GB" w:eastAsia="en-US"/>
              </w:rPr>
            </w:pPr>
            <w:r>
              <w:rPr>
                <w:b/>
                <w:bCs/>
                <w:sz w:val="20"/>
                <w:szCs w:val="20"/>
              </w:rPr>
              <w:t>Dažnas</w:t>
            </w:r>
          </w:p>
        </w:tc>
        <w:tc>
          <w:tcPr>
            <w:tcW w:w="807" w:type="pct"/>
          </w:tcPr>
          <w:p w14:paraId="1C2D9EC6" w14:textId="77777777" w:rsidR="00E86446" w:rsidRDefault="00345E63">
            <w:pPr>
              <w:widowControl w:val="0"/>
              <w:tabs>
                <w:tab w:val="left" w:pos="567"/>
              </w:tabs>
              <w:jc w:val="center"/>
              <w:rPr>
                <w:b/>
                <w:bCs/>
                <w:sz w:val="20"/>
                <w:szCs w:val="20"/>
                <w:lang w:val="en-GB" w:eastAsia="en-US"/>
              </w:rPr>
            </w:pPr>
            <w:r>
              <w:rPr>
                <w:b/>
                <w:bCs/>
                <w:sz w:val="20"/>
                <w:szCs w:val="20"/>
              </w:rPr>
              <w:t>Nedažnas</w:t>
            </w:r>
          </w:p>
        </w:tc>
        <w:tc>
          <w:tcPr>
            <w:tcW w:w="846" w:type="pct"/>
          </w:tcPr>
          <w:p w14:paraId="1D30E387" w14:textId="77777777" w:rsidR="00E86446" w:rsidRDefault="00345E63">
            <w:pPr>
              <w:widowControl w:val="0"/>
              <w:tabs>
                <w:tab w:val="left" w:pos="567"/>
              </w:tabs>
              <w:jc w:val="center"/>
              <w:rPr>
                <w:b/>
                <w:bCs/>
                <w:sz w:val="20"/>
                <w:szCs w:val="20"/>
                <w:lang w:val="en-GB" w:eastAsia="en-US"/>
              </w:rPr>
            </w:pPr>
            <w:r>
              <w:rPr>
                <w:b/>
                <w:bCs/>
                <w:sz w:val="20"/>
                <w:szCs w:val="20"/>
              </w:rPr>
              <w:t>Retas</w:t>
            </w:r>
          </w:p>
        </w:tc>
        <w:tc>
          <w:tcPr>
            <w:tcW w:w="713" w:type="pct"/>
          </w:tcPr>
          <w:p w14:paraId="77958476" w14:textId="77777777" w:rsidR="00E86446" w:rsidRDefault="00345E63">
            <w:pPr>
              <w:widowControl w:val="0"/>
              <w:tabs>
                <w:tab w:val="left" w:pos="567"/>
              </w:tabs>
              <w:jc w:val="center"/>
              <w:rPr>
                <w:b/>
                <w:bCs/>
                <w:sz w:val="20"/>
                <w:szCs w:val="20"/>
                <w:lang w:val="en-GB" w:eastAsia="en-US"/>
              </w:rPr>
            </w:pPr>
            <w:r>
              <w:rPr>
                <w:b/>
                <w:bCs/>
                <w:sz w:val="20"/>
                <w:szCs w:val="20"/>
              </w:rPr>
              <w:t>Labai retas</w:t>
            </w:r>
          </w:p>
        </w:tc>
      </w:tr>
      <w:tr w:rsidR="00E86446" w14:paraId="08776BE3" w14:textId="77777777">
        <w:tc>
          <w:tcPr>
            <w:tcW w:w="897" w:type="pct"/>
          </w:tcPr>
          <w:p w14:paraId="44E84838" w14:textId="77777777" w:rsidR="00E86446" w:rsidRDefault="00345E63">
            <w:pPr>
              <w:widowControl w:val="0"/>
              <w:tabs>
                <w:tab w:val="center" w:pos="4536"/>
                <w:tab w:val="right" w:pos="9072"/>
              </w:tabs>
              <w:rPr>
                <w:i/>
                <w:iCs/>
                <w:noProof/>
                <w:sz w:val="20"/>
                <w:szCs w:val="20"/>
                <w:lang w:val="en-GB" w:eastAsia="en-US"/>
              </w:rPr>
            </w:pPr>
            <w:r>
              <w:rPr>
                <w:i/>
                <w:iCs/>
                <w:noProof/>
                <w:sz w:val="20"/>
                <w:szCs w:val="20"/>
                <w:lang w:val="en-GB" w:eastAsia="en-US"/>
              </w:rPr>
              <w:t>Infekcijos ir infestacijos</w:t>
            </w:r>
          </w:p>
        </w:tc>
        <w:tc>
          <w:tcPr>
            <w:tcW w:w="821" w:type="pct"/>
          </w:tcPr>
          <w:p w14:paraId="1E2762D0" w14:textId="77777777" w:rsidR="00E86446" w:rsidRDefault="00E86446">
            <w:pPr>
              <w:widowControl w:val="0"/>
              <w:tabs>
                <w:tab w:val="left" w:pos="567"/>
              </w:tabs>
              <w:rPr>
                <w:sz w:val="20"/>
                <w:szCs w:val="20"/>
                <w:lang w:val="en-GB" w:eastAsia="en-US"/>
              </w:rPr>
            </w:pPr>
          </w:p>
        </w:tc>
        <w:tc>
          <w:tcPr>
            <w:tcW w:w="916" w:type="pct"/>
          </w:tcPr>
          <w:p w14:paraId="68069090" w14:textId="77777777" w:rsidR="00E86446" w:rsidRPr="0073443F" w:rsidRDefault="00345E63">
            <w:pPr>
              <w:widowControl w:val="0"/>
              <w:tabs>
                <w:tab w:val="left" w:pos="567"/>
              </w:tabs>
              <w:rPr>
                <w:sz w:val="20"/>
                <w:szCs w:val="20"/>
                <w:lang w:val="pt-PT" w:eastAsia="sl-SI"/>
              </w:rPr>
            </w:pPr>
            <w:r w:rsidRPr="0073443F">
              <w:rPr>
                <w:sz w:val="20"/>
                <w:szCs w:val="20"/>
                <w:lang w:val="pt-PT" w:eastAsia="sl-SI"/>
              </w:rPr>
              <w:t xml:space="preserve">Vulvovaginitas, balanitas ir susijusios genitalijų infekcijos </w:t>
            </w:r>
            <w:r w:rsidRPr="0073443F">
              <w:rPr>
                <w:sz w:val="20"/>
                <w:szCs w:val="20"/>
                <w:vertAlign w:val="superscript"/>
                <w:lang w:val="pt-PT" w:eastAsia="sl-SI"/>
              </w:rPr>
              <w:t>*,b,c</w:t>
            </w:r>
          </w:p>
          <w:p w14:paraId="5EE4DDB2" w14:textId="77777777" w:rsidR="00E86446" w:rsidRPr="0073443F" w:rsidRDefault="00345E63">
            <w:pPr>
              <w:widowControl w:val="0"/>
              <w:tabs>
                <w:tab w:val="left" w:pos="567"/>
              </w:tabs>
              <w:rPr>
                <w:sz w:val="20"/>
                <w:szCs w:val="20"/>
                <w:lang w:val="pt-PT" w:eastAsia="en-US"/>
              </w:rPr>
            </w:pPr>
            <w:r w:rsidRPr="0073443F">
              <w:rPr>
                <w:sz w:val="20"/>
                <w:szCs w:val="20"/>
                <w:lang w:val="pt-PT" w:eastAsia="sl-SI"/>
              </w:rPr>
              <w:t xml:space="preserve">Šlapimo takų infekcija </w:t>
            </w:r>
            <w:r w:rsidRPr="0073443F">
              <w:rPr>
                <w:sz w:val="20"/>
                <w:szCs w:val="20"/>
                <w:vertAlign w:val="superscript"/>
                <w:lang w:val="pt-PT" w:eastAsia="sl-SI"/>
              </w:rPr>
              <w:t>*,b,d</w:t>
            </w:r>
          </w:p>
        </w:tc>
        <w:tc>
          <w:tcPr>
            <w:tcW w:w="807" w:type="pct"/>
          </w:tcPr>
          <w:p w14:paraId="0D19D966" w14:textId="77777777" w:rsidR="00E86446" w:rsidRDefault="00345E63">
            <w:pPr>
              <w:widowControl w:val="0"/>
              <w:tabs>
                <w:tab w:val="left" w:pos="567"/>
              </w:tabs>
              <w:rPr>
                <w:sz w:val="20"/>
                <w:szCs w:val="20"/>
                <w:lang w:val="en-GB" w:eastAsia="en-US"/>
              </w:rPr>
            </w:pPr>
            <w:proofErr w:type="spellStart"/>
            <w:r>
              <w:rPr>
                <w:sz w:val="20"/>
                <w:szCs w:val="20"/>
                <w:lang w:val="en-GB" w:eastAsia="sl-SI"/>
              </w:rPr>
              <w:t>Grybelių</w:t>
            </w:r>
            <w:proofErr w:type="spellEnd"/>
            <w:r>
              <w:rPr>
                <w:sz w:val="20"/>
                <w:szCs w:val="20"/>
                <w:lang w:val="en-GB" w:eastAsia="sl-SI"/>
              </w:rPr>
              <w:t xml:space="preserve"> </w:t>
            </w:r>
            <w:proofErr w:type="spellStart"/>
            <w:r>
              <w:rPr>
                <w:sz w:val="20"/>
                <w:szCs w:val="20"/>
                <w:lang w:val="en-GB" w:eastAsia="sl-SI"/>
              </w:rPr>
              <w:t>infekcija</w:t>
            </w:r>
            <w:proofErr w:type="spellEnd"/>
            <w:r>
              <w:rPr>
                <w:sz w:val="20"/>
                <w:szCs w:val="20"/>
                <w:vertAlign w:val="superscript"/>
                <w:lang w:val="en-GB" w:eastAsia="sl-SI"/>
              </w:rPr>
              <w:t>**</w:t>
            </w:r>
          </w:p>
        </w:tc>
        <w:tc>
          <w:tcPr>
            <w:tcW w:w="846" w:type="pct"/>
          </w:tcPr>
          <w:p w14:paraId="33B5C877" w14:textId="77777777" w:rsidR="00E86446" w:rsidRDefault="00E86446">
            <w:pPr>
              <w:widowControl w:val="0"/>
              <w:tabs>
                <w:tab w:val="left" w:pos="567"/>
              </w:tabs>
              <w:rPr>
                <w:sz w:val="20"/>
                <w:szCs w:val="20"/>
                <w:lang w:val="en-GB" w:eastAsia="en-US"/>
              </w:rPr>
            </w:pPr>
          </w:p>
        </w:tc>
        <w:tc>
          <w:tcPr>
            <w:tcW w:w="713" w:type="pct"/>
          </w:tcPr>
          <w:p w14:paraId="5FD84FBA" w14:textId="77777777" w:rsidR="00E86446" w:rsidRPr="003171F5" w:rsidRDefault="00345E63">
            <w:pPr>
              <w:widowControl w:val="0"/>
              <w:tabs>
                <w:tab w:val="left" w:pos="567"/>
              </w:tabs>
              <w:rPr>
                <w:sz w:val="20"/>
                <w:szCs w:val="20"/>
                <w:lang w:val="de-AT" w:eastAsia="en-US"/>
              </w:rPr>
            </w:pPr>
            <w:proofErr w:type="spellStart"/>
            <w:r w:rsidRPr="003171F5">
              <w:rPr>
                <w:sz w:val="20"/>
                <w:szCs w:val="20"/>
                <w:lang w:val="de-AT" w:eastAsia="sl-SI"/>
              </w:rPr>
              <w:t>Tarpvietės</w:t>
            </w:r>
            <w:proofErr w:type="spellEnd"/>
            <w:r w:rsidRPr="003171F5">
              <w:rPr>
                <w:sz w:val="20"/>
                <w:szCs w:val="20"/>
                <w:lang w:val="de-AT" w:eastAsia="sl-SI"/>
              </w:rPr>
              <w:t xml:space="preserve"> </w:t>
            </w:r>
            <w:proofErr w:type="spellStart"/>
            <w:r w:rsidRPr="003171F5">
              <w:rPr>
                <w:sz w:val="20"/>
                <w:szCs w:val="20"/>
                <w:lang w:val="de-AT" w:eastAsia="sl-SI"/>
              </w:rPr>
              <w:t>nekrozuojantis</w:t>
            </w:r>
            <w:proofErr w:type="spellEnd"/>
            <w:r w:rsidRPr="003171F5">
              <w:rPr>
                <w:sz w:val="20"/>
                <w:szCs w:val="20"/>
                <w:lang w:val="de-AT" w:eastAsia="sl-SI"/>
              </w:rPr>
              <w:t xml:space="preserve"> </w:t>
            </w:r>
            <w:proofErr w:type="spellStart"/>
            <w:r w:rsidRPr="003171F5">
              <w:rPr>
                <w:sz w:val="20"/>
                <w:szCs w:val="20"/>
                <w:lang w:val="de-AT" w:eastAsia="sl-SI"/>
              </w:rPr>
              <w:t>fascitas</w:t>
            </w:r>
            <w:proofErr w:type="spellEnd"/>
            <w:r w:rsidRPr="003171F5">
              <w:rPr>
                <w:sz w:val="20"/>
                <w:szCs w:val="20"/>
                <w:lang w:val="de-AT" w:eastAsia="sl-SI"/>
              </w:rPr>
              <w:t xml:space="preserve"> (Fournier </w:t>
            </w:r>
            <w:proofErr w:type="spellStart"/>
            <w:proofErr w:type="gramStart"/>
            <w:r w:rsidRPr="003171F5">
              <w:rPr>
                <w:sz w:val="20"/>
                <w:szCs w:val="20"/>
                <w:lang w:val="de-AT" w:eastAsia="sl-SI"/>
              </w:rPr>
              <w:t>gangrena</w:t>
            </w:r>
            <w:proofErr w:type="spellEnd"/>
            <w:r w:rsidRPr="003171F5">
              <w:rPr>
                <w:sz w:val="20"/>
                <w:szCs w:val="20"/>
                <w:lang w:val="de-AT" w:eastAsia="sl-SI"/>
              </w:rPr>
              <w:t>)</w:t>
            </w:r>
            <w:proofErr w:type="spellStart"/>
            <w:r w:rsidRPr="003171F5">
              <w:rPr>
                <w:sz w:val="20"/>
                <w:szCs w:val="20"/>
                <w:vertAlign w:val="superscript"/>
                <w:lang w:val="de-AT" w:eastAsia="sl-SI"/>
              </w:rPr>
              <w:t>b</w:t>
            </w:r>
            <w:proofErr w:type="gramEnd"/>
            <w:r w:rsidRPr="003171F5">
              <w:rPr>
                <w:sz w:val="20"/>
                <w:szCs w:val="20"/>
                <w:vertAlign w:val="superscript"/>
                <w:lang w:val="de-AT" w:eastAsia="sl-SI"/>
              </w:rPr>
              <w:t>,j</w:t>
            </w:r>
            <w:proofErr w:type="spellEnd"/>
          </w:p>
        </w:tc>
      </w:tr>
      <w:tr w:rsidR="00E86446" w14:paraId="5E42D58F" w14:textId="77777777">
        <w:tc>
          <w:tcPr>
            <w:tcW w:w="897" w:type="pct"/>
          </w:tcPr>
          <w:p w14:paraId="6872AAB8" w14:textId="77777777" w:rsidR="00E86446" w:rsidRDefault="00345E63">
            <w:pPr>
              <w:widowControl w:val="0"/>
              <w:tabs>
                <w:tab w:val="center" w:pos="4536"/>
                <w:tab w:val="right" w:pos="9072"/>
              </w:tabs>
              <w:rPr>
                <w:i/>
                <w:iCs/>
                <w:noProof/>
                <w:sz w:val="20"/>
                <w:szCs w:val="20"/>
                <w:lang w:val="en-GB" w:eastAsia="en-US"/>
              </w:rPr>
            </w:pPr>
            <w:r>
              <w:rPr>
                <w:i/>
                <w:iCs/>
                <w:noProof/>
                <w:sz w:val="20"/>
                <w:szCs w:val="20"/>
                <w:lang w:val="en-GB" w:eastAsia="en-US"/>
              </w:rPr>
              <w:t>Metabolizmo ir mitybos sutrikimai</w:t>
            </w:r>
          </w:p>
        </w:tc>
        <w:tc>
          <w:tcPr>
            <w:tcW w:w="821" w:type="pct"/>
          </w:tcPr>
          <w:p w14:paraId="120C4B15" w14:textId="389A36A6" w:rsidR="00E86446" w:rsidRPr="0073443F" w:rsidRDefault="00345E63">
            <w:pPr>
              <w:widowControl w:val="0"/>
              <w:tabs>
                <w:tab w:val="left" w:pos="567"/>
              </w:tabs>
              <w:rPr>
                <w:sz w:val="20"/>
                <w:szCs w:val="20"/>
                <w:lang w:val="pt-PT" w:eastAsia="en-US"/>
              </w:rPr>
            </w:pPr>
            <w:r w:rsidRPr="0073443F">
              <w:rPr>
                <w:sz w:val="20"/>
                <w:szCs w:val="20"/>
                <w:lang w:val="pt-PT" w:eastAsia="sl-SI"/>
              </w:rPr>
              <w:t>Hipoglikemija (kartu vartojant sulfonilkarbamid</w:t>
            </w:r>
            <w:r w:rsidR="002A49CC" w:rsidRPr="0073443F">
              <w:rPr>
                <w:sz w:val="20"/>
                <w:szCs w:val="20"/>
                <w:lang w:val="pt-PT" w:eastAsia="sl-SI"/>
              </w:rPr>
              <w:t>o derinio</w:t>
            </w:r>
            <w:r w:rsidRPr="0073443F">
              <w:rPr>
                <w:sz w:val="20"/>
                <w:szCs w:val="20"/>
                <w:lang w:val="pt-PT" w:eastAsia="sl-SI"/>
              </w:rPr>
              <w:t xml:space="preserve"> ar insulin</w:t>
            </w:r>
            <w:r w:rsidR="002A49CC" w:rsidRPr="0073443F">
              <w:rPr>
                <w:sz w:val="20"/>
                <w:szCs w:val="20"/>
                <w:lang w:val="pt-PT" w:eastAsia="sl-SI"/>
              </w:rPr>
              <w:t>o</w:t>
            </w:r>
            <w:r w:rsidRPr="0073443F">
              <w:rPr>
                <w:sz w:val="20"/>
                <w:szCs w:val="20"/>
                <w:lang w:val="pt-PT" w:eastAsia="sl-SI"/>
              </w:rPr>
              <w:t>)</w:t>
            </w:r>
            <w:r w:rsidRPr="0073443F">
              <w:rPr>
                <w:sz w:val="20"/>
                <w:szCs w:val="20"/>
                <w:vertAlign w:val="superscript"/>
                <w:lang w:val="pt-PT" w:eastAsia="sl-SI"/>
              </w:rPr>
              <w:t>b</w:t>
            </w:r>
          </w:p>
        </w:tc>
        <w:tc>
          <w:tcPr>
            <w:tcW w:w="916" w:type="pct"/>
          </w:tcPr>
          <w:p w14:paraId="7CA9303A" w14:textId="77777777" w:rsidR="00E86446" w:rsidRPr="0073443F" w:rsidRDefault="00345E63">
            <w:pPr>
              <w:widowControl w:val="0"/>
              <w:tabs>
                <w:tab w:val="left" w:pos="567"/>
              </w:tabs>
              <w:rPr>
                <w:sz w:val="20"/>
                <w:szCs w:val="20"/>
                <w:lang w:val="pt-PT" w:eastAsia="en-US"/>
              </w:rPr>
            </w:pPr>
            <w:r w:rsidRPr="0073443F">
              <w:rPr>
                <w:sz w:val="20"/>
                <w:szCs w:val="20"/>
                <w:lang w:val="pt-PT" w:eastAsia="sl-SI"/>
              </w:rPr>
              <w:t>Vitamino B12 koncentracijos sumažėjimas ir (arba) stoka</w:t>
            </w:r>
            <w:r w:rsidRPr="0073443F">
              <w:rPr>
                <w:sz w:val="20"/>
                <w:szCs w:val="20"/>
                <w:vertAlign w:val="superscript"/>
                <w:lang w:val="pt-PT" w:eastAsia="sl-SI"/>
              </w:rPr>
              <w:t>j,§</w:t>
            </w:r>
          </w:p>
        </w:tc>
        <w:tc>
          <w:tcPr>
            <w:tcW w:w="807" w:type="pct"/>
          </w:tcPr>
          <w:p w14:paraId="01AC2BD7" w14:textId="0F2F5347" w:rsidR="00E86446" w:rsidRPr="0073443F" w:rsidRDefault="006C0BB8">
            <w:pPr>
              <w:widowControl w:val="0"/>
              <w:tabs>
                <w:tab w:val="left" w:pos="567"/>
              </w:tabs>
              <w:rPr>
                <w:sz w:val="20"/>
                <w:szCs w:val="20"/>
                <w:lang w:val="pt-PT" w:eastAsia="en-US"/>
              </w:rPr>
            </w:pPr>
            <w:r w:rsidRPr="0073443F">
              <w:rPr>
                <w:sz w:val="20"/>
                <w:szCs w:val="20"/>
                <w:lang w:val="pt-PT" w:eastAsia="sl-SI"/>
              </w:rPr>
              <w:t>Kraujo tūrio sumažėjimas</w:t>
            </w:r>
            <w:r w:rsidR="00345E63" w:rsidRPr="0073443F">
              <w:rPr>
                <w:sz w:val="20"/>
                <w:szCs w:val="20"/>
                <w:vertAlign w:val="superscript"/>
                <w:lang w:val="pt-PT" w:eastAsia="sl-SI"/>
              </w:rPr>
              <w:t>b,e</w:t>
            </w:r>
            <w:r w:rsidR="00345E63" w:rsidRPr="0073443F">
              <w:rPr>
                <w:sz w:val="20"/>
                <w:szCs w:val="20"/>
                <w:lang w:val="pt-PT" w:eastAsia="sl-SI"/>
              </w:rPr>
              <w:t xml:space="preserve"> Troškulys</w:t>
            </w:r>
            <w:r w:rsidR="00345E63" w:rsidRPr="0073443F">
              <w:rPr>
                <w:sz w:val="20"/>
                <w:szCs w:val="20"/>
                <w:vertAlign w:val="superscript"/>
                <w:lang w:val="pt-PT" w:eastAsia="sl-SI"/>
              </w:rPr>
              <w:t>**</w:t>
            </w:r>
          </w:p>
        </w:tc>
        <w:tc>
          <w:tcPr>
            <w:tcW w:w="846" w:type="pct"/>
          </w:tcPr>
          <w:p w14:paraId="451A99DE" w14:textId="77777777" w:rsidR="00E86446" w:rsidRDefault="00345E63">
            <w:pPr>
              <w:widowControl w:val="0"/>
              <w:tabs>
                <w:tab w:val="left" w:pos="567"/>
              </w:tabs>
              <w:rPr>
                <w:sz w:val="20"/>
                <w:szCs w:val="20"/>
                <w:lang w:val="en-GB" w:eastAsia="en-US"/>
              </w:rPr>
            </w:pPr>
            <w:proofErr w:type="spellStart"/>
            <w:r>
              <w:rPr>
                <w:sz w:val="20"/>
                <w:szCs w:val="20"/>
                <w:lang w:val="en-GB" w:eastAsia="sl-SI"/>
              </w:rPr>
              <w:t>Diabetinė</w:t>
            </w:r>
            <w:proofErr w:type="spellEnd"/>
            <w:r>
              <w:rPr>
                <w:sz w:val="20"/>
                <w:szCs w:val="20"/>
                <w:lang w:val="en-GB" w:eastAsia="sl-SI"/>
              </w:rPr>
              <w:t xml:space="preserve"> </w:t>
            </w:r>
            <w:proofErr w:type="spellStart"/>
            <w:proofErr w:type="gramStart"/>
            <w:r>
              <w:rPr>
                <w:sz w:val="20"/>
                <w:szCs w:val="20"/>
                <w:lang w:val="en-GB" w:eastAsia="sl-SI"/>
              </w:rPr>
              <w:t>ketoacidozė</w:t>
            </w:r>
            <w:r>
              <w:rPr>
                <w:sz w:val="20"/>
                <w:szCs w:val="20"/>
                <w:vertAlign w:val="superscript"/>
                <w:lang w:val="en-GB" w:eastAsia="sl-SI"/>
              </w:rPr>
              <w:t>b,j</w:t>
            </w:r>
            <w:proofErr w:type="gramEnd"/>
            <w:r>
              <w:rPr>
                <w:sz w:val="20"/>
                <w:szCs w:val="20"/>
                <w:vertAlign w:val="superscript"/>
                <w:lang w:val="en-GB" w:eastAsia="sl-SI"/>
              </w:rPr>
              <w:t>,k</w:t>
            </w:r>
            <w:proofErr w:type="spellEnd"/>
          </w:p>
        </w:tc>
        <w:tc>
          <w:tcPr>
            <w:tcW w:w="713" w:type="pct"/>
          </w:tcPr>
          <w:p w14:paraId="288DAD6C" w14:textId="77777777" w:rsidR="00E86446" w:rsidRDefault="00345E63">
            <w:pPr>
              <w:widowControl w:val="0"/>
              <w:tabs>
                <w:tab w:val="left" w:pos="567"/>
              </w:tabs>
              <w:rPr>
                <w:sz w:val="20"/>
                <w:szCs w:val="20"/>
                <w:lang w:val="en-GB" w:eastAsia="en-US"/>
              </w:rPr>
            </w:pPr>
            <w:proofErr w:type="spellStart"/>
            <w:r>
              <w:rPr>
                <w:sz w:val="20"/>
                <w:szCs w:val="20"/>
                <w:lang w:val="en-GB" w:eastAsia="sl-SI"/>
              </w:rPr>
              <w:t>Pieno</w:t>
            </w:r>
            <w:proofErr w:type="spellEnd"/>
            <w:r>
              <w:rPr>
                <w:sz w:val="20"/>
                <w:szCs w:val="20"/>
                <w:lang w:val="en-GB" w:eastAsia="sl-SI"/>
              </w:rPr>
              <w:t xml:space="preserve"> </w:t>
            </w:r>
            <w:proofErr w:type="spellStart"/>
            <w:r>
              <w:rPr>
                <w:sz w:val="20"/>
                <w:szCs w:val="20"/>
                <w:lang w:val="en-GB" w:eastAsia="sl-SI"/>
              </w:rPr>
              <w:t>rūgšties</w:t>
            </w:r>
            <w:proofErr w:type="spellEnd"/>
            <w:r>
              <w:rPr>
                <w:sz w:val="20"/>
                <w:szCs w:val="20"/>
                <w:lang w:val="en-GB" w:eastAsia="sl-SI"/>
              </w:rPr>
              <w:t xml:space="preserve"> </w:t>
            </w:r>
            <w:proofErr w:type="spellStart"/>
            <w:r>
              <w:rPr>
                <w:sz w:val="20"/>
                <w:szCs w:val="20"/>
                <w:lang w:val="en-GB" w:eastAsia="sl-SI"/>
              </w:rPr>
              <w:t>acidozė</w:t>
            </w:r>
            <w:proofErr w:type="spellEnd"/>
          </w:p>
        </w:tc>
      </w:tr>
      <w:tr w:rsidR="00E86446" w14:paraId="582E9405" w14:textId="77777777">
        <w:tc>
          <w:tcPr>
            <w:tcW w:w="897" w:type="pct"/>
          </w:tcPr>
          <w:p w14:paraId="4507BA2C" w14:textId="77777777" w:rsidR="00E86446" w:rsidRDefault="00345E63">
            <w:pPr>
              <w:widowControl w:val="0"/>
              <w:rPr>
                <w:i/>
                <w:iCs/>
                <w:noProof/>
                <w:sz w:val="20"/>
                <w:szCs w:val="20"/>
                <w:lang w:val="en-GB" w:eastAsia="en-US"/>
              </w:rPr>
            </w:pPr>
            <w:r>
              <w:rPr>
                <w:i/>
                <w:iCs/>
                <w:noProof/>
                <w:sz w:val="20"/>
                <w:szCs w:val="20"/>
                <w:lang w:val="en-GB" w:eastAsia="en-US"/>
              </w:rPr>
              <w:t>Nervų sistemos sutrikimai</w:t>
            </w:r>
          </w:p>
        </w:tc>
        <w:tc>
          <w:tcPr>
            <w:tcW w:w="821" w:type="pct"/>
          </w:tcPr>
          <w:p w14:paraId="547E010D" w14:textId="77777777" w:rsidR="00E86446" w:rsidRDefault="00E86446">
            <w:pPr>
              <w:widowControl w:val="0"/>
              <w:tabs>
                <w:tab w:val="left" w:pos="567"/>
              </w:tabs>
              <w:rPr>
                <w:sz w:val="20"/>
                <w:szCs w:val="20"/>
                <w:lang w:val="en-GB" w:eastAsia="en-US"/>
              </w:rPr>
            </w:pPr>
          </w:p>
        </w:tc>
        <w:tc>
          <w:tcPr>
            <w:tcW w:w="916" w:type="pct"/>
          </w:tcPr>
          <w:p w14:paraId="00FB2C1D" w14:textId="77777777" w:rsidR="00E86446" w:rsidRDefault="00345E63">
            <w:pPr>
              <w:widowControl w:val="0"/>
              <w:tabs>
                <w:tab w:val="left" w:pos="567"/>
              </w:tabs>
              <w:rPr>
                <w:sz w:val="20"/>
                <w:szCs w:val="20"/>
                <w:lang w:val="en-GB" w:eastAsia="en-US"/>
              </w:rPr>
            </w:pPr>
            <w:proofErr w:type="spellStart"/>
            <w:r>
              <w:rPr>
                <w:sz w:val="20"/>
                <w:szCs w:val="20"/>
                <w:lang w:val="en-GB" w:eastAsia="sl-SI"/>
              </w:rPr>
              <w:t>Pakitęs</w:t>
            </w:r>
            <w:proofErr w:type="spellEnd"/>
            <w:r>
              <w:rPr>
                <w:sz w:val="20"/>
                <w:szCs w:val="20"/>
                <w:lang w:val="en-GB" w:eastAsia="sl-SI"/>
              </w:rPr>
              <w:t xml:space="preserve"> </w:t>
            </w:r>
            <w:proofErr w:type="spellStart"/>
            <w:r>
              <w:rPr>
                <w:sz w:val="20"/>
                <w:szCs w:val="20"/>
                <w:lang w:val="en-GB" w:eastAsia="sl-SI"/>
              </w:rPr>
              <w:t>skonis</w:t>
            </w:r>
            <w:proofErr w:type="spellEnd"/>
            <w:r>
              <w:rPr>
                <w:sz w:val="20"/>
                <w:szCs w:val="20"/>
                <w:vertAlign w:val="superscript"/>
                <w:lang w:val="en-GB" w:eastAsia="sl-SI"/>
              </w:rPr>
              <w:t>§</w:t>
            </w:r>
            <w:r>
              <w:rPr>
                <w:sz w:val="20"/>
                <w:szCs w:val="20"/>
                <w:lang w:val="en-GB" w:eastAsia="sl-SI"/>
              </w:rPr>
              <w:t xml:space="preserve"> </w:t>
            </w:r>
            <w:proofErr w:type="spellStart"/>
            <w:r>
              <w:rPr>
                <w:sz w:val="20"/>
                <w:szCs w:val="20"/>
                <w:lang w:val="en-GB" w:eastAsia="sl-SI"/>
              </w:rPr>
              <w:t>Svaigulys</w:t>
            </w:r>
            <w:proofErr w:type="spellEnd"/>
          </w:p>
        </w:tc>
        <w:tc>
          <w:tcPr>
            <w:tcW w:w="807" w:type="pct"/>
          </w:tcPr>
          <w:p w14:paraId="3ED80696" w14:textId="77777777" w:rsidR="00E86446" w:rsidRDefault="00E86446">
            <w:pPr>
              <w:widowControl w:val="0"/>
              <w:tabs>
                <w:tab w:val="left" w:pos="567"/>
              </w:tabs>
              <w:rPr>
                <w:sz w:val="20"/>
                <w:szCs w:val="20"/>
                <w:lang w:val="en-GB" w:eastAsia="en-US"/>
              </w:rPr>
            </w:pPr>
          </w:p>
        </w:tc>
        <w:tc>
          <w:tcPr>
            <w:tcW w:w="846" w:type="pct"/>
          </w:tcPr>
          <w:p w14:paraId="00818F39" w14:textId="77777777" w:rsidR="00E86446" w:rsidRDefault="00E86446">
            <w:pPr>
              <w:widowControl w:val="0"/>
              <w:tabs>
                <w:tab w:val="left" w:pos="567"/>
              </w:tabs>
              <w:rPr>
                <w:sz w:val="20"/>
                <w:szCs w:val="20"/>
                <w:lang w:val="en-GB" w:eastAsia="en-US"/>
              </w:rPr>
            </w:pPr>
          </w:p>
        </w:tc>
        <w:tc>
          <w:tcPr>
            <w:tcW w:w="713" w:type="pct"/>
          </w:tcPr>
          <w:p w14:paraId="05603DC6" w14:textId="77777777" w:rsidR="00E86446" w:rsidRDefault="00E86446">
            <w:pPr>
              <w:widowControl w:val="0"/>
              <w:tabs>
                <w:tab w:val="left" w:pos="567"/>
              </w:tabs>
              <w:rPr>
                <w:sz w:val="20"/>
                <w:szCs w:val="20"/>
                <w:lang w:val="en-GB" w:eastAsia="en-US"/>
              </w:rPr>
            </w:pPr>
          </w:p>
        </w:tc>
      </w:tr>
      <w:tr w:rsidR="00E86446" w14:paraId="2F17F054" w14:textId="77777777">
        <w:tc>
          <w:tcPr>
            <w:tcW w:w="897" w:type="pct"/>
          </w:tcPr>
          <w:p w14:paraId="0DF166E8" w14:textId="77777777" w:rsidR="00E86446" w:rsidRDefault="00345E63">
            <w:pPr>
              <w:widowControl w:val="0"/>
              <w:tabs>
                <w:tab w:val="center" w:pos="4536"/>
                <w:tab w:val="right" w:pos="9072"/>
              </w:tabs>
              <w:rPr>
                <w:i/>
                <w:iCs/>
                <w:noProof/>
                <w:sz w:val="20"/>
                <w:szCs w:val="20"/>
                <w:lang w:val="en-GB" w:eastAsia="en-US"/>
              </w:rPr>
            </w:pPr>
            <w:r>
              <w:rPr>
                <w:i/>
                <w:iCs/>
                <w:noProof/>
                <w:sz w:val="20"/>
                <w:szCs w:val="20"/>
                <w:lang w:val="en-GB" w:eastAsia="en-US"/>
              </w:rPr>
              <w:t>Virškinimo trakto sutrikimai</w:t>
            </w:r>
          </w:p>
        </w:tc>
        <w:tc>
          <w:tcPr>
            <w:tcW w:w="821" w:type="pct"/>
          </w:tcPr>
          <w:p w14:paraId="010599C4" w14:textId="77777777" w:rsidR="00E86446" w:rsidRDefault="00345E63">
            <w:pPr>
              <w:widowControl w:val="0"/>
              <w:tabs>
                <w:tab w:val="left" w:pos="567"/>
              </w:tabs>
              <w:rPr>
                <w:sz w:val="20"/>
                <w:szCs w:val="20"/>
                <w:lang w:val="en-GB" w:eastAsia="en-US"/>
              </w:rPr>
            </w:pPr>
            <w:proofErr w:type="spellStart"/>
            <w:r>
              <w:rPr>
                <w:sz w:val="20"/>
                <w:szCs w:val="20"/>
                <w:lang w:val="en-GB" w:eastAsia="sl-SI"/>
              </w:rPr>
              <w:t>Virškinimo</w:t>
            </w:r>
            <w:proofErr w:type="spellEnd"/>
            <w:r>
              <w:rPr>
                <w:sz w:val="20"/>
                <w:szCs w:val="20"/>
                <w:lang w:val="en-GB" w:eastAsia="sl-SI"/>
              </w:rPr>
              <w:t xml:space="preserve"> </w:t>
            </w:r>
            <w:proofErr w:type="spellStart"/>
            <w:r>
              <w:rPr>
                <w:sz w:val="20"/>
                <w:szCs w:val="20"/>
                <w:lang w:val="en-GB" w:eastAsia="sl-SI"/>
              </w:rPr>
              <w:t>sutrikimų</w:t>
            </w:r>
            <w:proofErr w:type="spellEnd"/>
            <w:r>
              <w:rPr>
                <w:sz w:val="20"/>
                <w:szCs w:val="20"/>
                <w:lang w:val="en-GB" w:eastAsia="sl-SI"/>
              </w:rPr>
              <w:t xml:space="preserve"> </w:t>
            </w:r>
            <w:proofErr w:type="spellStart"/>
            <w:proofErr w:type="gramStart"/>
            <w:r>
              <w:rPr>
                <w:sz w:val="20"/>
                <w:szCs w:val="20"/>
                <w:lang w:val="en-GB" w:eastAsia="sl-SI"/>
              </w:rPr>
              <w:t>simptomai</w:t>
            </w:r>
            <w:r>
              <w:rPr>
                <w:sz w:val="20"/>
                <w:szCs w:val="20"/>
                <w:vertAlign w:val="superscript"/>
                <w:lang w:val="en-GB" w:eastAsia="sl-SI"/>
              </w:rPr>
              <w:t>h</w:t>
            </w:r>
            <w:proofErr w:type="spellEnd"/>
            <w:r>
              <w:rPr>
                <w:sz w:val="20"/>
                <w:szCs w:val="20"/>
                <w:vertAlign w:val="superscript"/>
                <w:lang w:val="en-GB" w:eastAsia="sl-SI"/>
              </w:rPr>
              <w:t>,§</w:t>
            </w:r>
            <w:proofErr w:type="gramEnd"/>
          </w:p>
        </w:tc>
        <w:tc>
          <w:tcPr>
            <w:tcW w:w="916" w:type="pct"/>
          </w:tcPr>
          <w:p w14:paraId="4EE8B29E" w14:textId="77777777" w:rsidR="00E86446" w:rsidRDefault="00E86446">
            <w:pPr>
              <w:widowControl w:val="0"/>
              <w:tabs>
                <w:tab w:val="left" w:pos="567"/>
              </w:tabs>
              <w:rPr>
                <w:sz w:val="20"/>
                <w:szCs w:val="20"/>
                <w:lang w:val="en-GB" w:eastAsia="en-US"/>
              </w:rPr>
            </w:pPr>
          </w:p>
        </w:tc>
        <w:tc>
          <w:tcPr>
            <w:tcW w:w="807" w:type="pct"/>
          </w:tcPr>
          <w:p w14:paraId="50193D00" w14:textId="77777777" w:rsidR="00E86446" w:rsidRDefault="00345E63">
            <w:pPr>
              <w:widowControl w:val="0"/>
              <w:tabs>
                <w:tab w:val="left" w:pos="567"/>
              </w:tabs>
              <w:rPr>
                <w:sz w:val="20"/>
                <w:szCs w:val="20"/>
                <w:lang w:val="en-GB" w:eastAsia="sl-SI"/>
              </w:rPr>
            </w:pPr>
            <w:proofErr w:type="spellStart"/>
            <w:r>
              <w:rPr>
                <w:sz w:val="20"/>
                <w:szCs w:val="20"/>
                <w:lang w:val="en-GB" w:eastAsia="sl-SI"/>
              </w:rPr>
              <w:t>Vidurių</w:t>
            </w:r>
            <w:proofErr w:type="spellEnd"/>
            <w:r>
              <w:rPr>
                <w:sz w:val="20"/>
                <w:szCs w:val="20"/>
                <w:lang w:val="en-GB" w:eastAsia="sl-SI"/>
              </w:rPr>
              <w:t xml:space="preserve"> </w:t>
            </w:r>
            <w:proofErr w:type="spellStart"/>
            <w:r>
              <w:rPr>
                <w:sz w:val="20"/>
                <w:szCs w:val="20"/>
                <w:lang w:val="en-GB" w:eastAsia="sl-SI"/>
              </w:rPr>
              <w:t>užkietėjimas</w:t>
            </w:r>
            <w:proofErr w:type="spellEnd"/>
            <w:r>
              <w:rPr>
                <w:sz w:val="20"/>
                <w:szCs w:val="20"/>
                <w:vertAlign w:val="superscript"/>
                <w:lang w:val="en-GB" w:eastAsia="sl-SI"/>
              </w:rPr>
              <w:t>**</w:t>
            </w:r>
            <w:r>
              <w:rPr>
                <w:sz w:val="20"/>
                <w:szCs w:val="20"/>
                <w:lang w:val="en-GB" w:eastAsia="sl-SI"/>
              </w:rPr>
              <w:t xml:space="preserve"> </w:t>
            </w:r>
          </w:p>
          <w:p w14:paraId="734619FD" w14:textId="77777777" w:rsidR="00E86446" w:rsidRDefault="00345E63">
            <w:pPr>
              <w:widowControl w:val="0"/>
              <w:tabs>
                <w:tab w:val="left" w:pos="567"/>
              </w:tabs>
              <w:rPr>
                <w:sz w:val="20"/>
                <w:szCs w:val="20"/>
                <w:lang w:val="en-GB" w:eastAsia="en-US"/>
              </w:rPr>
            </w:pPr>
            <w:r>
              <w:rPr>
                <w:sz w:val="20"/>
                <w:szCs w:val="20"/>
                <w:lang w:val="en-GB" w:eastAsia="sl-SI"/>
              </w:rPr>
              <w:t xml:space="preserve">Sausa </w:t>
            </w:r>
            <w:proofErr w:type="spellStart"/>
            <w:r>
              <w:rPr>
                <w:sz w:val="20"/>
                <w:szCs w:val="20"/>
                <w:lang w:val="en-GB" w:eastAsia="sl-SI"/>
              </w:rPr>
              <w:t>burna</w:t>
            </w:r>
            <w:proofErr w:type="spellEnd"/>
            <w:r>
              <w:rPr>
                <w:sz w:val="20"/>
                <w:szCs w:val="20"/>
                <w:vertAlign w:val="superscript"/>
                <w:lang w:val="en-GB" w:eastAsia="sl-SI"/>
              </w:rPr>
              <w:t>**</w:t>
            </w:r>
          </w:p>
        </w:tc>
        <w:tc>
          <w:tcPr>
            <w:tcW w:w="846" w:type="pct"/>
          </w:tcPr>
          <w:p w14:paraId="635FFBD0" w14:textId="77777777" w:rsidR="00E86446" w:rsidRDefault="00E86446">
            <w:pPr>
              <w:widowControl w:val="0"/>
              <w:tabs>
                <w:tab w:val="left" w:pos="567"/>
              </w:tabs>
              <w:rPr>
                <w:sz w:val="20"/>
                <w:szCs w:val="20"/>
                <w:lang w:val="en-GB" w:eastAsia="en-US"/>
              </w:rPr>
            </w:pPr>
          </w:p>
        </w:tc>
        <w:tc>
          <w:tcPr>
            <w:tcW w:w="713" w:type="pct"/>
          </w:tcPr>
          <w:p w14:paraId="744C52F8" w14:textId="77777777" w:rsidR="00E86446" w:rsidRDefault="00E86446">
            <w:pPr>
              <w:widowControl w:val="0"/>
              <w:tabs>
                <w:tab w:val="left" w:pos="567"/>
              </w:tabs>
              <w:rPr>
                <w:sz w:val="20"/>
                <w:szCs w:val="20"/>
                <w:lang w:val="en-GB" w:eastAsia="en-US"/>
              </w:rPr>
            </w:pPr>
          </w:p>
        </w:tc>
      </w:tr>
      <w:tr w:rsidR="00E86446" w14:paraId="5C81AF4D" w14:textId="77777777">
        <w:tc>
          <w:tcPr>
            <w:tcW w:w="897" w:type="pct"/>
          </w:tcPr>
          <w:p w14:paraId="446B8049" w14:textId="77777777" w:rsidR="00E86446" w:rsidRPr="003171F5" w:rsidRDefault="00345E63">
            <w:pPr>
              <w:widowControl w:val="0"/>
              <w:tabs>
                <w:tab w:val="center" w:pos="4536"/>
                <w:tab w:val="right" w:pos="9072"/>
              </w:tabs>
              <w:rPr>
                <w:i/>
                <w:iCs/>
                <w:noProof/>
                <w:sz w:val="20"/>
                <w:szCs w:val="20"/>
                <w:lang w:eastAsia="en-US"/>
              </w:rPr>
            </w:pPr>
            <w:r w:rsidRPr="003171F5">
              <w:rPr>
                <w:i/>
                <w:iCs/>
                <w:noProof/>
                <w:sz w:val="20"/>
                <w:szCs w:val="20"/>
                <w:lang w:eastAsia="en-US"/>
              </w:rPr>
              <w:t>Kepenų, tulžies pūslės ir latakų sutrikimai</w:t>
            </w:r>
          </w:p>
        </w:tc>
        <w:tc>
          <w:tcPr>
            <w:tcW w:w="821" w:type="pct"/>
          </w:tcPr>
          <w:p w14:paraId="6B254C14" w14:textId="77777777" w:rsidR="00E86446" w:rsidRPr="003171F5" w:rsidRDefault="00E86446">
            <w:pPr>
              <w:widowControl w:val="0"/>
              <w:tabs>
                <w:tab w:val="left" w:pos="567"/>
              </w:tabs>
              <w:rPr>
                <w:sz w:val="20"/>
                <w:szCs w:val="20"/>
                <w:lang w:eastAsia="en-US"/>
              </w:rPr>
            </w:pPr>
          </w:p>
        </w:tc>
        <w:tc>
          <w:tcPr>
            <w:tcW w:w="916" w:type="pct"/>
          </w:tcPr>
          <w:p w14:paraId="10E49A1F" w14:textId="77777777" w:rsidR="00E86446" w:rsidRPr="003171F5" w:rsidRDefault="00E86446">
            <w:pPr>
              <w:widowControl w:val="0"/>
              <w:tabs>
                <w:tab w:val="left" w:pos="567"/>
              </w:tabs>
              <w:rPr>
                <w:sz w:val="20"/>
                <w:szCs w:val="20"/>
                <w:lang w:eastAsia="en-US"/>
              </w:rPr>
            </w:pPr>
          </w:p>
        </w:tc>
        <w:tc>
          <w:tcPr>
            <w:tcW w:w="807" w:type="pct"/>
          </w:tcPr>
          <w:p w14:paraId="2CF95EAB" w14:textId="77777777" w:rsidR="00E86446" w:rsidRPr="003171F5" w:rsidRDefault="00E86446">
            <w:pPr>
              <w:widowControl w:val="0"/>
              <w:tabs>
                <w:tab w:val="left" w:pos="567"/>
              </w:tabs>
              <w:rPr>
                <w:sz w:val="20"/>
                <w:szCs w:val="20"/>
                <w:lang w:eastAsia="en-US"/>
              </w:rPr>
            </w:pPr>
          </w:p>
        </w:tc>
        <w:tc>
          <w:tcPr>
            <w:tcW w:w="846" w:type="pct"/>
          </w:tcPr>
          <w:p w14:paraId="75B1A3EE" w14:textId="77777777" w:rsidR="00E86446" w:rsidRPr="003171F5" w:rsidRDefault="00E86446">
            <w:pPr>
              <w:widowControl w:val="0"/>
              <w:tabs>
                <w:tab w:val="left" w:pos="567"/>
              </w:tabs>
              <w:rPr>
                <w:sz w:val="20"/>
                <w:szCs w:val="20"/>
                <w:lang w:eastAsia="en-US"/>
              </w:rPr>
            </w:pPr>
          </w:p>
        </w:tc>
        <w:tc>
          <w:tcPr>
            <w:tcW w:w="713" w:type="pct"/>
          </w:tcPr>
          <w:p w14:paraId="3AEACB2F" w14:textId="77777777" w:rsidR="00E86446" w:rsidRDefault="00345E63">
            <w:pPr>
              <w:widowControl w:val="0"/>
              <w:tabs>
                <w:tab w:val="left" w:pos="567"/>
              </w:tabs>
              <w:rPr>
                <w:sz w:val="20"/>
                <w:szCs w:val="20"/>
                <w:lang w:val="en-GB" w:eastAsia="en-US"/>
              </w:rPr>
            </w:pPr>
            <w:proofErr w:type="spellStart"/>
            <w:r>
              <w:rPr>
                <w:sz w:val="20"/>
                <w:szCs w:val="20"/>
                <w:lang w:val="en-GB" w:eastAsia="sl-SI"/>
              </w:rPr>
              <w:t>Kepenų</w:t>
            </w:r>
            <w:proofErr w:type="spellEnd"/>
            <w:r>
              <w:rPr>
                <w:sz w:val="20"/>
                <w:szCs w:val="20"/>
                <w:lang w:val="en-GB" w:eastAsia="sl-SI"/>
              </w:rPr>
              <w:t xml:space="preserve"> </w:t>
            </w:r>
            <w:proofErr w:type="spellStart"/>
            <w:r>
              <w:rPr>
                <w:sz w:val="20"/>
                <w:szCs w:val="20"/>
                <w:lang w:val="en-GB" w:eastAsia="sl-SI"/>
              </w:rPr>
              <w:t>funkcijos</w:t>
            </w:r>
            <w:proofErr w:type="spellEnd"/>
            <w:r>
              <w:rPr>
                <w:sz w:val="20"/>
                <w:szCs w:val="20"/>
                <w:lang w:val="en-GB" w:eastAsia="sl-SI"/>
              </w:rPr>
              <w:t xml:space="preserve"> </w:t>
            </w:r>
            <w:proofErr w:type="spellStart"/>
            <w:r>
              <w:rPr>
                <w:sz w:val="20"/>
                <w:szCs w:val="20"/>
                <w:lang w:val="en-GB" w:eastAsia="sl-SI"/>
              </w:rPr>
              <w:t>sutrikimai</w:t>
            </w:r>
            <w:proofErr w:type="spellEnd"/>
            <w:r>
              <w:rPr>
                <w:sz w:val="20"/>
                <w:szCs w:val="20"/>
                <w:vertAlign w:val="superscript"/>
                <w:lang w:val="en-GB" w:eastAsia="sl-SI"/>
              </w:rPr>
              <w:t>§</w:t>
            </w:r>
            <w:r>
              <w:rPr>
                <w:sz w:val="20"/>
                <w:szCs w:val="20"/>
                <w:lang w:val="en-GB" w:eastAsia="sl-SI"/>
              </w:rPr>
              <w:t xml:space="preserve"> Hepatitas</w:t>
            </w:r>
            <w:r>
              <w:rPr>
                <w:sz w:val="20"/>
                <w:szCs w:val="20"/>
                <w:vertAlign w:val="superscript"/>
                <w:lang w:val="en-GB" w:eastAsia="sl-SI"/>
              </w:rPr>
              <w:t>§</w:t>
            </w:r>
          </w:p>
        </w:tc>
      </w:tr>
      <w:tr w:rsidR="00E86446" w14:paraId="096F4A49" w14:textId="77777777">
        <w:tc>
          <w:tcPr>
            <w:tcW w:w="897" w:type="pct"/>
          </w:tcPr>
          <w:p w14:paraId="762F0605" w14:textId="77777777" w:rsidR="00E86446" w:rsidRPr="0073443F" w:rsidRDefault="00345E63">
            <w:pPr>
              <w:widowControl w:val="0"/>
              <w:tabs>
                <w:tab w:val="center" w:pos="4536"/>
                <w:tab w:val="right" w:pos="9072"/>
              </w:tabs>
              <w:rPr>
                <w:i/>
                <w:iCs/>
                <w:noProof/>
                <w:sz w:val="20"/>
                <w:szCs w:val="20"/>
                <w:lang w:val="pt-PT" w:eastAsia="en-US"/>
              </w:rPr>
            </w:pPr>
            <w:r w:rsidRPr="0073443F">
              <w:rPr>
                <w:i/>
                <w:iCs/>
                <w:noProof/>
                <w:sz w:val="20"/>
                <w:szCs w:val="20"/>
                <w:lang w:val="pt-PT" w:eastAsia="en-US"/>
              </w:rPr>
              <w:t>Odos ir poodinio audinio sutrikimai</w:t>
            </w:r>
          </w:p>
        </w:tc>
        <w:tc>
          <w:tcPr>
            <w:tcW w:w="821" w:type="pct"/>
          </w:tcPr>
          <w:p w14:paraId="0506E0FC" w14:textId="77777777" w:rsidR="00E86446" w:rsidRPr="0073443F" w:rsidRDefault="00E86446">
            <w:pPr>
              <w:widowControl w:val="0"/>
              <w:tabs>
                <w:tab w:val="left" w:pos="567"/>
              </w:tabs>
              <w:rPr>
                <w:sz w:val="20"/>
                <w:szCs w:val="20"/>
                <w:lang w:val="pt-PT" w:eastAsia="en-US"/>
              </w:rPr>
            </w:pPr>
          </w:p>
        </w:tc>
        <w:tc>
          <w:tcPr>
            <w:tcW w:w="916" w:type="pct"/>
          </w:tcPr>
          <w:p w14:paraId="73F1DE10" w14:textId="77777777" w:rsidR="00E86446" w:rsidRDefault="00345E63">
            <w:pPr>
              <w:widowControl w:val="0"/>
              <w:tabs>
                <w:tab w:val="left" w:pos="567"/>
              </w:tabs>
              <w:rPr>
                <w:sz w:val="20"/>
                <w:szCs w:val="20"/>
                <w:lang w:val="en-GB" w:eastAsia="en-US"/>
              </w:rPr>
            </w:pPr>
            <w:proofErr w:type="spellStart"/>
            <w:r>
              <w:rPr>
                <w:sz w:val="20"/>
                <w:szCs w:val="20"/>
                <w:lang w:val="en-GB" w:eastAsia="sl-SI"/>
              </w:rPr>
              <w:t>Bėrimas</w:t>
            </w:r>
            <w:r>
              <w:rPr>
                <w:sz w:val="20"/>
                <w:szCs w:val="20"/>
                <w:vertAlign w:val="superscript"/>
                <w:lang w:val="en-GB" w:eastAsia="sl-SI"/>
              </w:rPr>
              <w:t>l</w:t>
            </w:r>
            <w:proofErr w:type="spellEnd"/>
          </w:p>
        </w:tc>
        <w:tc>
          <w:tcPr>
            <w:tcW w:w="807" w:type="pct"/>
          </w:tcPr>
          <w:p w14:paraId="20E106B2" w14:textId="77777777" w:rsidR="00E86446" w:rsidRDefault="00E86446">
            <w:pPr>
              <w:widowControl w:val="0"/>
              <w:tabs>
                <w:tab w:val="left" w:pos="567"/>
              </w:tabs>
              <w:rPr>
                <w:sz w:val="20"/>
                <w:szCs w:val="20"/>
                <w:lang w:val="en-GB" w:eastAsia="en-US"/>
              </w:rPr>
            </w:pPr>
          </w:p>
        </w:tc>
        <w:tc>
          <w:tcPr>
            <w:tcW w:w="846" w:type="pct"/>
          </w:tcPr>
          <w:p w14:paraId="73CAB04E" w14:textId="77777777" w:rsidR="00E86446" w:rsidRDefault="00E86446">
            <w:pPr>
              <w:widowControl w:val="0"/>
              <w:tabs>
                <w:tab w:val="left" w:pos="567"/>
              </w:tabs>
              <w:rPr>
                <w:sz w:val="20"/>
                <w:szCs w:val="20"/>
                <w:lang w:val="en-GB" w:eastAsia="en-US"/>
              </w:rPr>
            </w:pPr>
          </w:p>
        </w:tc>
        <w:tc>
          <w:tcPr>
            <w:tcW w:w="713" w:type="pct"/>
          </w:tcPr>
          <w:p w14:paraId="41DA91C7" w14:textId="77777777" w:rsidR="00E86446" w:rsidRDefault="00345E63">
            <w:pPr>
              <w:widowControl w:val="0"/>
              <w:tabs>
                <w:tab w:val="left" w:pos="567"/>
              </w:tabs>
              <w:rPr>
                <w:sz w:val="20"/>
                <w:szCs w:val="20"/>
                <w:lang w:val="en-GB" w:eastAsia="sl-SI"/>
              </w:rPr>
            </w:pPr>
            <w:proofErr w:type="spellStart"/>
            <w:r>
              <w:rPr>
                <w:sz w:val="20"/>
                <w:szCs w:val="20"/>
                <w:lang w:val="en-GB" w:eastAsia="sl-SI"/>
              </w:rPr>
              <w:t>Dilgėlinė</w:t>
            </w:r>
            <w:proofErr w:type="spellEnd"/>
            <w:r>
              <w:rPr>
                <w:sz w:val="20"/>
                <w:szCs w:val="20"/>
                <w:lang w:val="en-GB" w:eastAsia="sl-SI"/>
              </w:rPr>
              <w:t xml:space="preserve"> </w:t>
            </w:r>
            <w:r>
              <w:rPr>
                <w:sz w:val="20"/>
                <w:szCs w:val="20"/>
                <w:vertAlign w:val="superscript"/>
                <w:lang w:val="en-GB" w:eastAsia="sl-SI"/>
              </w:rPr>
              <w:t>§</w:t>
            </w:r>
          </w:p>
          <w:p w14:paraId="7917596E" w14:textId="77777777" w:rsidR="00E86446" w:rsidRDefault="00345E63">
            <w:pPr>
              <w:widowControl w:val="0"/>
              <w:tabs>
                <w:tab w:val="left" w:pos="567"/>
              </w:tabs>
              <w:rPr>
                <w:sz w:val="20"/>
                <w:szCs w:val="20"/>
                <w:lang w:val="en-GB" w:eastAsia="sl-SI"/>
              </w:rPr>
            </w:pPr>
            <w:proofErr w:type="spellStart"/>
            <w:r>
              <w:rPr>
                <w:sz w:val="20"/>
                <w:szCs w:val="20"/>
                <w:lang w:val="en-GB" w:eastAsia="sl-SI"/>
              </w:rPr>
              <w:t>Eritema</w:t>
            </w:r>
            <w:proofErr w:type="spellEnd"/>
            <w:r>
              <w:rPr>
                <w:sz w:val="20"/>
                <w:szCs w:val="20"/>
                <w:lang w:val="en-GB" w:eastAsia="sl-SI"/>
              </w:rPr>
              <w:t xml:space="preserve"> </w:t>
            </w:r>
            <w:r>
              <w:rPr>
                <w:sz w:val="20"/>
                <w:szCs w:val="20"/>
                <w:vertAlign w:val="superscript"/>
                <w:lang w:val="en-GB" w:eastAsia="sl-SI"/>
              </w:rPr>
              <w:t>§</w:t>
            </w:r>
          </w:p>
          <w:p w14:paraId="0FCEBE82" w14:textId="259A7D85" w:rsidR="00E86446" w:rsidRDefault="004339FE">
            <w:pPr>
              <w:widowControl w:val="0"/>
              <w:tabs>
                <w:tab w:val="left" w:pos="567"/>
              </w:tabs>
              <w:rPr>
                <w:sz w:val="20"/>
                <w:szCs w:val="20"/>
                <w:lang w:val="en-GB" w:eastAsia="en-US"/>
              </w:rPr>
            </w:pPr>
            <w:proofErr w:type="spellStart"/>
            <w:r>
              <w:rPr>
                <w:sz w:val="20"/>
                <w:szCs w:val="20"/>
                <w:lang w:val="en-GB" w:eastAsia="sl-SI"/>
              </w:rPr>
              <w:t>Niežėjimas</w:t>
            </w:r>
            <w:proofErr w:type="spellEnd"/>
            <w:r>
              <w:rPr>
                <w:sz w:val="20"/>
                <w:szCs w:val="20"/>
                <w:lang w:val="en-GB" w:eastAsia="sl-SI"/>
              </w:rPr>
              <w:t xml:space="preserve"> </w:t>
            </w:r>
            <w:r w:rsidR="00345E63">
              <w:rPr>
                <w:sz w:val="20"/>
                <w:szCs w:val="20"/>
                <w:vertAlign w:val="superscript"/>
                <w:lang w:val="en-GB" w:eastAsia="sl-SI"/>
              </w:rPr>
              <w:t>§</w:t>
            </w:r>
          </w:p>
        </w:tc>
      </w:tr>
      <w:tr w:rsidR="00E86446" w14:paraId="7F3BFFEA" w14:textId="77777777">
        <w:tc>
          <w:tcPr>
            <w:tcW w:w="897" w:type="pct"/>
          </w:tcPr>
          <w:p w14:paraId="0D8189D2" w14:textId="77777777" w:rsidR="00E86446" w:rsidRPr="003171F5" w:rsidRDefault="00345E63">
            <w:pPr>
              <w:widowControl w:val="0"/>
              <w:tabs>
                <w:tab w:val="center" w:pos="4536"/>
                <w:tab w:val="right" w:pos="9072"/>
              </w:tabs>
              <w:rPr>
                <w:i/>
                <w:iCs/>
                <w:noProof/>
                <w:sz w:val="20"/>
                <w:szCs w:val="20"/>
                <w:lang w:eastAsia="en-US"/>
              </w:rPr>
            </w:pPr>
            <w:r w:rsidRPr="003171F5">
              <w:rPr>
                <w:i/>
                <w:iCs/>
                <w:noProof/>
                <w:sz w:val="20"/>
                <w:szCs w:val="20"/>
                <w:lang w:eastAsia="en-US"/>
              </w:rPr>
              <w:t>Skeleto, raumenų ir jungiamojo audinio sutrikimai</w:t>
            </w:r>
          </w:p>
        </w:tc>
        <w:tc>
          <w:tcPr>
            <w:tcW w:w="821" w:type="pct"/>
          </w:tcPr>
          <w:p w14:paraId="3D90F2B7" w14:textId="77777777" w:rsidR="00E86446" w:rsidRPr="003171F5" w:rsidRDefault="00E86446">
            <w:pPr>
              <w:widowControl w:val="0"/>
              <w:tabs>
                <w:tab w:val="left" w:pos="567"/>
              </w:tabs>
              <w:rPr>
                <w:sz w:val="20"/>
                <w:szCs w:val="20"/>
                <w:lang w:eastAsia="en-US"/>
              </w:rPr>
            </w:pPr>
          </w:p>
        </w:tc>
        <w:tc>
          <w:tcPr>
            <w:tcW w:w="916" w:type="pct"/>
          </w:tcPr>
          <w:p w14:paraId="7CBC1D82" w14:textId="77777777" w:rsidR="00E86446" w:rsidRDefault="00345E63">
            <w:pPr>
              <w:widowControl w:val="0"/>
              <w:tabs>
                <w:tab w:val="left" w:pos="567"/>
              </w:tabs>
              <w:rPr>
                <w:sz w:val="20"/>
                <w:szCs w:val="20"/>
                <w:lang w:val="en-GB" w:eastAsia="en-US"/>
              </w:rPr>
            </w:pPr>
            <w:proofErr w:type="spellStart"/>
            <w:r>
              <w:rPr>
                <w:sz w:val="20"/>
                <w:szCs w:val="20"/>
                <w:lang w:val="en-GB" w:eastAsia="sl-SI"/>
              </w:rPr>
              <w:t>Nugaros</w:t>
            </w:r>
            <w:proofErr w:type="spellEnd"/>
            <w:r>
              <w:rPr>
                <w:sz w:val="20"/>
                <w:szCs w:val="20"/>
                <w:lang w:val="en-GB" w:eastAsia="sl-SI"/>
              </w:rPr>
              <w:t xml:space="preserve"> </w:t>
            </w:r>
            <w:proofErr w:type="spellStart"/>
            <w:r>
              <w:rPr>
                <w:sz w:val="20"/>
                <w:szCs w:val="20"/>
                <w:lang w:val="en-GB" w:eastAsia="sl-SI"/>
              </w:rPr>
              <w:t>skausmas</w:t>
            </w:r>
            <w:proofErr w:type="spellEnd"/>
            <w:r>
              <w:rPr>
                <w:sz w:val="20"/>
                <w:szCs w:val="20"/>
                <w:vertAlign w:val="superscript"/>
                <w:lang w:val="en-GB" w:eastAsia="sl-SI"/>
              </w:rPr>
              <w:t>*</w:t>
            </w:r>
          </w:p>
        </w:tc>
        <w:tc>
          <w:tcPr>
            <w:tcW w:w="807" w:type="pct"/>
          </w:tcPr>
          <w:p w14:paraId="57C50BEC" w14:textId="77777777" w:rsidR="00E86446" w:rsidRDefault="00E86446">
            <w:pPr>
              <w:widowControl w:val="0"/>
              <w:tabs>
                <w:tab w:val="left" w:pos="567"/>
              </w:tabs>
              <w:rPr>
                <w:sz w:val="20"/>
                <w:szCs w:val="20"/>
                <w:lang w:val="en-GB" w:eastAsia="en-US"/>
              </w:rPr>
            </w:pPr>
          </w:p>
        </w:tc>
        <w:tc>
          <w:tcPr>
            <w:tcW w:w="846" w:type="pct"/>
          </w:tcPr>
          <w:p w14:paraId="3D6734C7" w14:textId="77777777" w:rsidR="00E86446" w:rsidRDefault="00E86446">
            <w:pPr>
              <w:widowControl w:val="0"/>
              <w:tabs>
                <w:tab w:val="left" w:pos="567"/>
              </w:tabs>
              <w:rPr>
                <w:sz w:val="20"/>
                <w:szCs w:val="20"/>
                <w:lang w:val="en-GB" w:eastAsia="en-US"/>
              </w:rPr>
            </w:pPr>
          </w:p>
        </w:tc>
        <w:tc>
          <w:tcPr>
            <w:tcW w:w="713" w:type="pct"/>
          </w:tcPr>
          <w:p w14:paraId="3B607A2E" w14:textId="77777777" w:rsidR="00E86446" w:rsidRDefault="00E86446">
            <w:pPr>
              <w:widowControl w:val="0"/>
              <w:tabs>
                <w:tab w:val="left" w:pos="567"/>
              </w:tabs>
              <w:rPr>
                <w:sz w:val="20"/>
                <w:szCs w:val="20"/>
                <w:lang w:val="en-GB" w:eastAsia="en-US"/>
              </w:rPr>
            </w:pPr>
          </w:p>
        </w:tc>
      </w:tr>
      <w:tr w:rsidR="00E86446" w14:paraId="543DDDFB" w14:textId="77777777">
        <w:tc>
          <w:tcPr>
            <w:tcW w:w="897" w:type="pct"/>
          </w:tcPr>
          <w:p w14:paraId="3BD59F9B" w14:textId="77777777" w:rsidR="00E86446" w:rsidRPr="003171F5" w:rsidRDefault="00345E63">
            <w:pPr>
              <w:widowControl w:val="0"/>
              <w:tabs>
                <w:tab w:val="center" w:pos="4536"/>
                <w:tab w:val="right" w:pos="9072"/>
              </w:tabs>
              <w:rPr>
                <w:i/>
                <w:iCs/>
                <w:noProof/>
                <w:sz w:val="20"/>
                <w:szCs w:val="20"/>
                <w:lang w:eastAsia="en-US"/>
              </w:rPr>
            </w:pPr>
            <w:r w:rsidRPr="003171F5">
              <w:rPr>
                <w:i/>
                <w:iCs/>
                <w:noProof/>
                <w:sz w:val="20"/>
                <w:szCs w:val="20"/>
                <w:lang w:eastAsia="en-US"/>
              </w:rPr>
              <w:t>Inkstų ir šlapimo takų sutrikimai</w:t>
            </w:r>
          </w:p>
        </w:tc>
        <w:tc>
          <w:tcPr>
            <w:tcW w:w="821" w:type="pct"/>
          </w:tcPr>
          <w:p w14:paraId="0D58D0DB" w14:textId="77777777" w:rsidR="00E86446" w:rsidRPr="003171F5" w:rsidRDefault="00E86446">
            <w:pPr>
              <w:widowControl w:val="0"/>
              <w:tabs>
                <w:tab w:val="left" w:pos="567"/>
              </w:tabs>
              <w:rPr>
                <w:sz w:val="20"/>
                <w:szCs w:val="20"/>
                <w:lang w:eastAsia="en-US"/>
              </w:rPr>
            </w:pPr>
          </w:p>
        </w:tc>
        <w:tc>
          <w:tcPr>
            <w:tcW w:w="916" w:type="pct"/>
          </w:tcPr>
          <w:p w14:paraId="23512958" w14:textId="77777777" w:rsidR="00E86446" w:rsidRDefault="00345E63">
            <w:pPr>
              <w:widowControl w:val="0"/>
              <w:tabs>
                <w:tab w:val="left" w:pos="567"/>
              </w:tabs>
              <w:rPr>
                <w:sz w:val="20"/>
                <w:szCs w:val="20"/>
                <w:lang w:val="en-GB" w:eastAsia="sl-SI"/>
              </w:rPr>
            </w:pPr>
            <w:proofErr w:type="spellStart"/>
            <w:r>
              <w:rPr>
                <w:sz w:val="20"/>
                <w:szCs w:val="20"/>
                <w:lang w:val="en-GB" w:eastAsia="sl-SI"/>
              </w:rPr>
              <w:t>Dizurija</w:t>
            </w:r>
            <w:proofErr w:type="spellEnd"/>
          </w:p>
          <w:p w14:paraId="7BABC8E4" w14:textId="77777777" w:rsidR="00E86446" w:rsidRDefault="00345E63">
            <w:pPr>
              <w:widowControl w:val="0"/>
              <w:tabs>
                <w:tab w:val="left" w:pos="567"/>
              </w:tabs>
              <w:rPr>
                <w:sz w:val="20"/>
                <w:szCs w:val="20"/>
                <w:lang w:val="en-GB" w:eastAsia="en-US"/>
              </w:rPr>
            </w:pPr>
            <w:proofErr w:type="spellStart"/>
            <w:r>
              <w:rPr>
                <w:sz w:val="20"/>
                <w:szCs w:val="20"/>
                <w:lang w:val="en-GB" w:eastAsia="sl-SI"/>
              </w:rPr>
              <w:t>Poliurija</w:t>
            </w:r>
            <w:proofErr w:type="spellEnd"/>
            <w:proofErr w:type="gramStart"/>
            <w:r>
              <w:rPr>
                <w:sz w:val="20"/>
                <w:szCs w:val="20"/>
                <w:vertAlign w:val="superscript"/>
                <w:lang w:val="en-GB" w:eastAsia="sl-SI"/>
              </w:rPr>
              <w:t>*,f</w:t>
            </w:r>
            <w:proofErr w:type="gramEnd"/>
          </w:p>
        </w:tc>
        <w:tc>
          <w:tcPr>
            <w:tcW w:w="807" w:type="pct"/>
          </w:tcPr>
          <w:p w14:paraId="0846CE50" w14:textId="77777777" w:rsidR="00E86446" w:rsidRDefault="00345E63">
            <w:pPr>
              <w:widowControl w:val="0"/>
              <w:tabs>
                <w:tab w:val="left" w:pos="567"/>
              </w:tabs>
              <w:rPr>
                <w:sz w:val="20"/>
                <w:szCs w:val="20"/>
                <w:lang w:val="en-GB" w:eastAsia="en-US"/>
              </w:rPr>
            </w:pPr>
            <w:proofErr w:type="spellStart"/>
            <w:r>
              <w:rPr>
                <w:sz w:val="20"/>
                <w:szCs w:val="20"/>
                <w:lang w:val="en-GB" w:eastAsia="sl-SI"/>
              </w:rPr>
              <w:t>Nokturija</w:t>
            </w:r>
            <w:proofErr w:type="spellEnd"/>
            <w:r>
              <w:rPr>
                <w:sz w:val="20"/>
                <w:szCs w:val="20"/>
                <w:vertAlign w:val="superscript"/>
                <w:lang w:val="en-GB" w:eastAsia="sl-SI"/>
              </w:rPr>
              <w:t>**</w:t>
            </w:r>
          </w:p>
        </w:tc>
        <w:tc>
          <w:tcPr>
            <w:tcW w:w="846" w:type="pct"/>
          </w:tcPr>
          <w:p w14:paraId="1F6593BA" w14:textId="77777777" w:rsidR="00E86446" w:rsidRDefault="00E86446">
            <w:pPr>
              <w:widowControl w:val="0"/>
              <w:tabs>
                <w:tab w:val="left" w:pos="567"/>
              </w:tabs>
              <w:rPr>
                <w:sz w:val="20"/>
                <w:szCs w:val="20"/>
                <w:lang w:val="en-GB" w:eastAsia="en-US"/>
              </w:rPr>
            </w:pPr>
          </w:p>
        </w:tc>
        <w:tc>
          <w:tcPr>
            <w:tcW w:w="713" w:type="pct"/>
          </w:tcPr>
          <w:p w14:paraId="16E1170C" w14:textId="77777777" w:rsidR="00E86446" w:rsidRPr="0073443F" w:rsidRDefault="00345E63">
            <w:pPr>
              <w:widowControl w:val="0"/>
              <w:tabs>
                <w:tab w:val="left" w:pos="567"/>
              </w:tabs>
              <w:rPr>
                <w:sz w:val="20"/>
                <w:szCs w:val="20"/>
                <w:lang w:val="pt-PT" w:eastAsia="en-US"/>
              </w:rPr>
            </w:pPr>
            <w:r>
              <w:rPr>
                <w:sz w:val="20"/>
                <w:szCs w:val="20"/>
                <w:lang w:val="sl-SI" w:eastAsia="en-US"/>
              </w:rPr>
              <w:t xml:space="preserve">Kanalėlių ir intersticinio </w:t>
            </w:r>
            <w:r>
              <w:rPr>
                <w:sz w:val="20"/>
                <w:szCs w:val="20"/>
                <w:lang w:val="sl-SI" w:eastAsia="en-US"/>
              </w:rPr>
              <w:lastRenderedPageBreak/>
              <w:t>audinio nefritas</w:t>
            </w:r>
          </w:p>
        </w:tc>
      </w:tr>
      <w:tr w:rsidR="00E86446" w14:paraId="5B1D89BB" w14:textId="77777777">
        <w:tc>
          <w:tcPr>
            <w:tcW w:w="897" w:type="pct"/>
          </w:tcPr>
          <w:p w14:paraId="6479CFFB" w14:textId="77777777" w:rsidR="00E86446" w:rsidRPr="0073443F" w:rsidRDefault="00345E63">
            <w:pPr>
              <w:widowControl w:val="0"/>
              <w:tabs>
                <w:tab w:val="center" w:pos="4536"/>
                <w:tab w:val="right" w:pos="9072"/>
              </w:tabs>
              <w:rPr>
                <w:i/>
                <w:iCs/>
                <w:noProof/>
                <w:sz w:val="20"/>
                <w:szCs w:val="20"/>
                <w:lang w:val="pt-PT" w:eastAsia="en-US"/>
              </w:rPr>
            </w:pPr>
            <w:r w:rsidRPr="0073443F">
              <w:rPr>
                <w:i/>
                <w:iCs/>
                <w:noProof/>
                <w:sz w:val="20"/>
                <w:szCs w:val="20"/>
                <w:lang w:val="pt-PT" w:eastAsia="en-US"/>
              </w:rPr>
              <w:lastRenderedPageBreak/>
              <w:t>Lytinės sistemos ir krūties sutrikimai</w:t>
            </w:r>
          </w:p>
        </w:tc>
        <w:tc>
          <w:tcPr>
            <w:tcW w:w="821" w:type="pct"/>
          </w:tcPr>
          <w:p w14:paraId="302CBC4E" w14:textId="77777777" w:rsidR="00E86446" w:rsidRPr="0073443F" w:rsidRDefault="00E86446">
            <w:pPr>
              <w:widowControl w:val="0"/>
              <w:tabs>
                <w:tab w:val="left" w:pos="567"/>
              </w:tabs>
              <w:rPr>
                <w:sz w:val="20"/>
                <w:szCs w:val="20"/>
                <w:lang w:val="pt-PT" w:eastAsia="en-US"/>
              </w:rPr>
            </w:pPr>
          </w:p>
        </w:tc>
        <w:tc>
          <w:tcPr>
            <w:tcW w:w="916" w:type="pct"/>
          </w:tcPr>
          <w:p w14:paraId="3F40DA4C" w14:textId="77777777" w:rsidR="00E86446" w:rsidRPr="0073443F" w:rsidRDefault="00E86446">
            <w:pPr>
              <w:widowControl w:val="0"/>
              <w:tabs>
                <w:tab w:val="left" w:pos="567"/>
              </w:tabs>
              <w:rPr>
                <w:sz w:val="20"/>
                <w:szCs w:val="20"/>
                <w:lang w:val="pt-PT" w:eastAsia="en-US"/>
              </w:rPr>
            </w:pPr>
          </w:p>
        </w:tc>
        <w:tc>
          <w:tcPr>
            <w:tcW w:w="807" w:type="pct"/>
          </w:tcPr>
          <w:p w14:paraId="360366E8" w14:textId="2B157F25" w:rsidR="00E86446" w:rsidRDefault="00345E63">
            <w:pPr>
              <w:widowControl w:val="0"/>
              <w:tabs>
                <w:tab w:val="left" w:pos="567"/>
              </w:tabs>
              <w:rPr>
                <w:b/>
                <w:bCs/>
                <w:sz w:val="20"/>
                <w:szCs w:val="20"/>
                <w:lang w:val="en-GB" w:eastAsia="en-US"/>
              </w:rPr>
            </w:pPr>
            <w:proofErr w:type="spellStart"/>
            <w:r>
              <w:rPr>
                <w:sz w:val="20"/>
                <w:szCs w:val="20"/>
                <w:lang w:val="en-GB" w:eastAsia="sl-SI"/>
              </w:rPr>
              <w:t>Vulvovaginalinis</w:t>
            </w:r>
            <w:proofErr w:type="spellEnd"/>
            <w:r>
              <w:rPr>
                <w:sz w:val="20"/>
                <w:szCs w:val="20"/>
                <w:lang w:val="en-GB" w:eastAsia="sl-SI"/>
              </w:rPr>
              <w:t xml:space="preserve"> </w:t>
            </w:r>
            <w:proofErr w:type="spellStart"/>
            <w:r w:rsidR="00DB1BB3">
              <w:rPr>
                <w:sz w:val="20"/>
                <w:szCs w:val="20"/>
                <w:lang w:val="en-GB" w:eastAsia="sl-SI"/>
              </w:rPr>
              <w:t>niežėjimas</w:t>
            </w:r>
            <w:proofErr w:type="spellEnd"/>
            <w:r>
              <w:rPr>
                <w:sz w:val="20"/>
                <w:szCs w:val="20"/>
                <w:vertAlign w:val="superscript"/>
                <w:lang w:val="en-GB" w:eastAsia="sl-SI"/>
              </w:rPr>
              <w:t>**</w:t>
            </w:r>
            <w:r>
              <w:rPr>
                <w:sz w:val="20"/>
                <w:szCs w:val="20"/>
                <w:lang w:val="en-GB" w:eastAsia="sl-SI"/>
              </w:rPr>
              <w:t xml:space="preserve"> </w:t>
            </w:r>
            <w:proofErr w:type="spellStart"/>
            <w:r>
              <w:rPr>
                <w:sz w:val="20"/>
                <w:szCs w:val="20"/>
                <w:lang w:val="en-GB" w:eastAsia="sl-SI"/>
              </w:rPr>
              <w:t>Genitalijų</w:t>
            </w:r>
            <w:proofErr w:type="spellEnd"/>
            <w:r>
              <w:rPr>
                <w:sz w:val="20"/>
                <w:szCs w:val="20"/>
                <w:lang w:val="en-GB" w:eastAsia="sl-SI"/>
              </w:rPr>
              <w:t xml:space="preserve"> </w:t>
            </w:r>
            <w:proofErr w:type="spellStart"/>
            <w:r w:rsidR="00EA74FE">
              <w:rPr>
                <w:sz w:val="20"/>
                <w:szCs w:val="20"/>
                <w:lang w:val="en-GB" w:eastAsia="sl-SI"/>
              </w:rPr>
              <w:t>niežėjimas</w:t>
            </w:r>
            <w:proofErr w:type="spellEnd"/>
            <w:r>
              <w:rPr>
                <w:sz w:val="20"/>
                <w:szCs w:val="20"/>
                <w:vertAlign w:val="superscript"/>
                <w:lang w:val="en-GB" w:eastAsia="sl-SI"/>
              </w:rPr>
              <w:t>**</w:t>
            </w:r>
          </w:p>
        </w:tc>
        <w:tc>
          <w:tcPr>
            <w:tcW w:w="846" w:type="pct"/>
          </w:tcPr>
          <w:p w14:paraId="3B8FAF31" w14:textId="77777777" w:rsidR="00E86446" w:rsidRDefault="00E86446">
            <w:pPr>
              <w:widowControl w:val="0"/>
              <w:tabs>
                <w:tab w:val="left" w:pos="567"/>
              </w:tabs>
              <w:rPr>
                <w:sz w:val="20"/>
                <w:szCs w:val="20"/>
                <w:lang w:val="en-GB" w:eastAsia="en-US"/>
              </w:rPr>
            </w:pPr>
          </w:p>
        </w:tc>
        <w:tc>
          <w:tcPr>
            <w:tcW w:w="713" w:type="pct"/>
          </w:tcPr>
          <w:p w14:paraId="1240CDA2" w14:textId="77777777" w:rsidR="00E86446" w:rsidRDefault="00E86446">
            <w:pPr>
              <w:widowControl w:val="0"/>
              <w:tabs>
                <w:tab w:val="left" w:pos="567"/>
              </w:tabs>
              <w:rPr>
                <w:sz w:val="20"/>
                <w:szCs w:val="20"/>
                <w:lang w:val="en-GB" w:eastAsia="en-US"/>
              </w:rPr>
            </w:pPr>
          </w:p>
        </w:tc>
      </w:tr>
      <w:tr w:rsidR="00E86446" w14:paraId="3E8F0594" w14:textId="77777777">
        <w:tc>
          <w:tcPr>
            <w:tcW w:w="897" w:type="pct"/>
          </w:tcPr>
          <w:p w14:paraId="1739A886" w14:textId="77777777" w:rsidR="00E86446" w:rsidRDefault="00345E63">
            <w:pPr>
              <w:widowControl w:val="0"/>
              <w:tabs>
                <w:tab w:val="center" w:pos="4536"/>
                <w:tab w:val="right" w:pos="9072"/>
              </w:tabs>
              <w:rPr>
                <w:i/>
                <w:iCs/>
                <w:noProof/>
                <w:sz w:val="20"/>
                <w:szCs w:val="20"/>
                <w:lang w:val="en-GB" w:eastAsia="en-US"/>
              </w:rPr>
            </w:pPr>
            <w:r>
              <w:rPr>
                <w:i/>
                <w:iCs/>
                <w:noProof/>
                <w:sz w:val="20"/>
                <w:szCs w:val="20"/>
                <w:lang w:val="en-GB" w:eastAsia="en-US"/>
              </w:rPr>
              <w:t>Tyrimai</w:t>
            </w:r>
          </w:p>
        </w:tc>
        <w:tc>
          <w:tcPr>
            <w:tcW w:w="821" w:type="pct"/>
          </w:tcPr>
          <w:p w14:paraId="1A02CB23" w14:textId="77777777" w:rsidR="00E86446" w:rsidRDefault="00E86446">
            <w:pPr>
              <w:widowControl w:val="0"/>
              <w:tabs>
                <w:tab w:val="left" w:pos="567"/>
              </w:tabs>
              <w:rPr>
                <w:sz w:val="20"/>
                <w:szCs w:val="20"/>
                <w:lang w:val="en-GB" w:eastAsia="en-US"/>
              </w:rPr>
            </w:pPr>
          </w:p>
        </w:tc>
        <w:tc>
          <w:tcPr>
            <w:tcW w:w="916" w:type="pct"/>
          </w:tcPr>
          <w:p w14:paraId="7837C8DD" w14:textId="77777777" w:rsidR="00E86446" w:rsidRDefault="00345E63">
            <w:pPr>
              <w:widowControl w:val="0"/>
              <w:tabs>
                <w:tab w:val="left" w:pos="567"/>
              </w:tabs>
              <w:rPr>
                <w:sz w:val="20"/>
                <w:szCs w:val="20"/>
                <w:lang w:val="en-GB" w:eastAsia="en-US"/>
              </w:rPr>
            </w:pPr>
            <w:proofErr w:type="spellStart"/>
            <w:r>
              <w:rPr>
                <w:sz w:val="20"/>
                <w:szCs w:val="20"/>
                <w:lang w:val="en-GB" w:eastAsia="sl-SI"/>
              </w:rPr>
              <w:t>Padidėjęs</w:t>
            </w:r>
            <w:proofErr w:type="spellEnd"/>
            <w:r>
              <w:rPr>
                <w:sz w:val="20"/>
                <w:szCs w:val="20"/>
                <w:lang w:val="en-GB" w:eastAsia="sl-SI"/>
              </w:rPr>
              <w:t xml:space="preserve"> </w:t>
            </w:r>
            <w:proofErr w:type="spellStart"/>
            <w:r>
              <w:rPr>
                <w:sz w:val="20"/>
                <w:szCs w:val="20"/>
                <w:lang w:val="en-GB" w:eastAsia="sl-SI"/>
              </w:rPr>
              <w:t>hematokritas</w:t>
            </w:r>
            <w:proofErr w:type="spellEnd"/>
            <w:r>
              <w:rPr>
                <w:sz w:val="20"/>
                <w:szCs w:val="20"/>
                <w:lang w:val="en-GB" w:eastAsia="sl-SI"/>
              </w:rPr>
              <w:t xml:space="preserve"> </w:t>
            </w:r>
            <w:r>
              <w:rPr>
                <w:sz w:val="20"/>
                <w:szCs w:val="20"/>
                <w:vertAlign w:val="superscript"/>
                <w:lang w:val="en-GB" w:eastAsia="sl-SI"/>
              </w:rPr>
              <w:t>g</w:t>
            </w:r>
            <w:r>
              <w:rPr>
                <w:sz w:val="20"/>
                <w:szCs w:val="20"/>
                <w:lang w:val="en-GB" w:eastAsia="sl-SI"/>
              </w:rPr>
              <w:t xml:space="preserve"> </w:t>
            </w:r>
            <w:proofErr w:type="spellStart"/>
            <w:r>
              <w:rPr>
                <w:sz w:val="20"/>
                <w:szCs w:val="20"/>
                <w:lang w:val="en-GB" w:eastAsia="sl-SI"/>
              </w:rPr>
              <w:t>Sumažėjęs</w:t>
            </w:r>
            <w:proofErr w:type="spellEnd"/>
            <w:r>
              <w:rPr>
                <w:sz w:val="20"/>
                <w:szCs w:val="20"/>
                <w:lang w:val="en-GB" w:eastAsia="sl-SI"/>
              </w:rPr>
              <w:t xml:space="preserve"> </w:t>
            </w:r>
            <w:proofErr w:type="spellStart"/>
            <w:r>
              <w:rPr>
                <w:sz w:val="20"/>
                <w:szCs w:val="20"/>
                <w:lang w:val="en-GB" w:eastAsia="sl-SI"/>
              </w:rPr>
              <w:t>kreatinino</w:t>
            </w:r>
            <w:proofErr w:type="spellEnd"/>
            <w:r>
              <w:rPr>
                <w:sz w:val="20"/>
                <w:szCs w:val="20"/>
                <w:lang w:val="en-GB" w:eastAsia="sl-SI"/>
              </w:rPr>
              <w:t xml:space="preserve"> </w:t>
            </w:r>
            <w:proofErr w:type="spellStart"/>
            <w:r>
              <w:rPr>
                <w:sz w:val="20"/>
                <w:szCs w:val="20"/>
                <w:lang w:val="en-GB" w:eastAsia="sl-SI"/>
              </w:rPr>
              <w:t>inkstų</w:t>
            </w:r>
            <w:proofErr w:type="spellEnd"/>
            <w:r>
              <w:rPr>
                <w:sz w:val="20"/>
                <w:szCs w:val="20"/>
                <w:lang w:val="en-GB" w:eastAsia="sl-SI"/>
              </w:rPr>
              <w:t xml:space="preserve"> </w:t>
            </w:r>
            <w:proofErr w:type="spellStart"/>
            <w:r>
              <w:rPr>
                <w:sz w:val="20"/>
                <w:szCs w:val="20"/>
                <w:lang w:val="en-GB" w:eastAsia="sl-SI"/>
              </w:rPr>
              <w:t>klirensas</w:t>
            </w:r>
            <w:proofErr w:type="spellEnd"/>
            <w:r>
              <w:rPr>
                <w:sz w:val="20"/>
                <w:szCs w:val="20"/>
                <w:lang w:val="en-GB" w:eastAsia="sl-SI"/>
              </w:rPr>
              <w:t xml:space="preserve"> (</w:t>
            </w:r>
            <w:proofErr w:type="spellStart"/>
            <w:r>
              <w:rPr>
                <w:sz w:val="20"/>
                <w:szCs w:val="20"/>
                <w:lang w:val="en-GB" w:eastAsia="sl-SI"/>
              </w:rPr>
              <w:t>pradedant</w:t>
            </w:r>
            <w:proofErr w:type="spellEnd"/>
            <w:r>
              <w:rPr>
                <w:sz w:val="20"/>
                <w:szCs w:val="20"/>
                <w:lang w:val="en-GB" w:eastAsia="sl-SI"/>
              </w:rPr>
              <w:t xml:space="preserve"> </w:t>
            </w:r>
            <w:proofErr w:type="spellStart"/>
            <w:r>
              <w:rPr>
                <w:sz w:val="20"/>
                <w:szCs w:val="20"/>
                <w:lang w:val="en-GB" w:eastAsia="sl-SI"/>
              </w:rPr>
              <w:t>gydyti</w:t>
            </w:r>
            <w:proofErr w:type="spellEnd"/>
            <w:r>
              <w:rPr>
                <w:sz w:val="20"/>
                <w:szCs w:val="20"/>
                <w:lang w:val="en-GB" w:eastAsia="sl-SI"/>
              </w:rPr>
              <w:t xml:space="preserve">) </w:t>
            </w:r>
            <w:r>
              <w:rPr>
                <w:sz w:val="20"/>
                <w:szCs w:val="20"/>
                <w:vertAlign w:val="superscript"/>
                <w:lang w:val="en-GB" w:eastAsia="sl-SI"/>
              </w:rPr>
              <w:t>b</w:t>
            </w:r>
            <w:r>
              <w:rPr>
                <w:sz w:val="20"/>
                <w:szCs w:val="20"/>
                <w:lang w:val="en-GB" w:eastAsia="sl-SI"/>
              </w:rPr>
              <w:t xml:space="preserve"> </w:t>
            </w:r>
            <w:proofErr w:type="spellStart"/>
            <w:r>
              <w:rPr>
                <w:sz w:val="20"/>
                <w:szCs w:val="20"/>
                <w:lang w:val="en-GB" w:eastAsia="sl-SI"/>
              </w:rPr>
              <w:t>Dislipidemija</w:t>
            </w:r>
            <w:proofErr w:type="spellEnd"/>
            <w:r>
              <w:rPr>
                <w:sz w:val="20"/>
                <w:szCs w:val="20"/>
                <w:lang w:val="en-GB" w:eastAsia="sl-SI"/>
              </w:rPr>
              <w:t xml:space="preserve"> </w:t>
            </w:r>
            <w:proofErr w:type="spellStart"/>
            <w:r>
              <w:rPr>
                <w:sz w:val="20"/>
                <w:szCs w:val="20"/>
                <w:vertAlign w:val="superscript"/>
                <w:lang w:val="en-GB" w:eastAsia="sl-SI"/>
              </w:rPr>
              <w:t>i</w:t>
            </w:r>
            <w:proofErr w:type="spellEnd"/>
          </w:p>
        </w:tc>
        <w:tc>
          <w:tcPr>
            <w:tcW w:w="807" w:type="pct"/>
          </w:tcPr>
          <w:p w14:paraId="0F21CD9C" w14:textId="77777777" w:rsidR="00E86446" w:rsidRDefault="00345E63">
            <w:pPr>
              <w:widowControl w:val="0"/>
              <w:tabs>
                <w:tab w:val="left" w:pos="567"/>
              </w:tabs>
              <w:rPr>
                <w:sz w:val="20"/>
                <w:szCs w:val="20"/>
                <w:lang w:val="en-GB" w:eastAsia="sl-SI"/>
              </w:rPr>
            </w:pPr>
            <w:proofErr w:type="spellStart"/>
            <w:r>
              <w:rPr>
                <w:sz w:val="20"/>
                <w:szCs w:val="20"/>
                <w:lang w:val="en-GB" w:eastAsia="sl-SI"/>
              </w:rPr>
              <w:t>Padidėjusi</w:t>
            </w:r>
            <w:proofErr w:type="spellEnd"/>
            <w:r>
              <w:rPr>
                <w:sz w:val="20"/>
                <w:szCs w:val="20"/>
                <w:lang w:val="en-GB" w:eastAsia="sl-SI"/>
              </w:rPr>
              <w:t xml:space="preserve"> </w:t>
            </w:r>
            <w:proofErr w:type="spellStart"/>
            <w:r>
              <w:rPr>
                <w:sz w:val="20"/>
                <w:szCs w:val="20"/>
                <w:lang w:val="en-GB" w:eastAsia="sl-SI"/>
              </w:rPr>
              <w:t>kreatinino</w:t>
            </w:r>
            <w:proofErr w:type="spellEnd"/>
            <w:r>
              <w:rPr>
                <w:sz w:val="20"/>
                <w:szCs w:val="20"/>
                <w:lang w:val="en-GB" w:eastAsia="sl-SI"/>
              </w:rPr>
              <w:t xml:space="preserve"> </w:t>
            </w:r>
            <w:proofErr w:type="spellStart"/>
            <w:r>
              <w:rPr>
                <w:sz w:val="20"/>
                <w:szCs w:val="20"/>
                <w:lang w:val="en-GB" w:eastAsia="sl-SI"/>
              </w:rPr>
              <w:t>koncentracija</w:t>
            </w:r>
            <w:proofErr w:type="spellEnd"/>
            <w:r>
              <w:rPr>
                <w:sz w:val="20"/>
                <w:szCs w:val="20"/>
                <w:lang w:val="en-GB" w:eastAsia="sl-SI"/>
              </w:rPr>
              <w:t xml:space="preserve"> </w:t>
            </w:r>
            <w:proofErr w:type="spellStart"/>
            <w:r>
              <w:rPr>
                <w:sz w:val="20"/>
                <w:szCs w:val="20"/>
                <w:lang w:val="en-GB" w:eastAsia="sl-SI"/>
              </w:rPr>
              <w:t>kraujyje</w:t>
            </w:r>
            <w:proofErr w:type="spellEnd"/>
            <w:r>
              <w:rPr>
                <w:sz w:val="20"/>
                <w:szCs w:val="20"/>
                <w:lang w:val="en-GB" w:eastAsia="sl-SI"/>
              </w:rPr>
              <w:t xml:space="preserve"> (</w:t>
            </w:r>
            <w:proofErr w:type="spellStart"/>
            <w:r>
              <w:rPr>
                <w:sz w:val="20"/>
                <w:szCs w:val="20"/>
                <w:lang w:val="en-GB" w:eastAsia="sl-SI"/>
              </w:rPr>
              <w:t>pradedant</w:t>
            </w:r>
            <w:proofErr w:type="spellEnd"/>
            <w:r>
              <w:rPr>
                <w:sz w:val="20"/>
                <w:szCs w:val="20"/>
                <w:lang w:val="en-GB" w:eastAsia="sl-SI"/>
              </w:rPr>
              <w:t xml:space="preserve"> </w:t>
            </w:r>
            <w:proofErr w:type="spellStart"/>
            <w:r>
              <w:rPr>
                <w:sz w:val="20"/>
                <w:szCs w:val="20"/>
                <w:lang w:val="en-GB" w:eastAsia="sl-SI"/>
              </w:rPr>
              <w:t>gydyti</w:t>
            </w:r>
            <w:proofErr w:type="spellEnd"/>
            <w:r>
              <w:rPr>
                <w:sz w:val="20"/>
                <w:szCs w:val="20"/>
                <w:lang w:val="en-GB" w:eastAsia="sl-SI"/>
              </w:rPr>
              <w:t xml:space="preserve">) </w:t>
            </w:r>
            <w:r>
              <w:rPr>
                <w:sz w:val="20"/>
                <w:szCs w:val="20"/>
                <w:vertAlign w:val="superscript"/>
                <w:lang w:val="en-GB" w:eastAsia="sl-SI"/>
              </w:rPr>
              <w:t>*</w:t>
            </w:r>
            <w:proofErr w:type="gramStart"/>
            <w:r>
              <w:rPr>
                <w:sz w:val="20"/>
                <w:szCs w:val="20"/>
                <w:vertAlign w:val="superscript"/>
                <w:lang w:val="en-GB" w:eastAsia="sl-SI"/>
              </w:rPr>
              <w:t>*,b</w:t>
            </w:r>
            <w:proofErr w:type="gramEnd"/>
          </w:p>
          <w:p w14:paraId="1ED98EF3" w14:textId="77777777" w:rsidR="00E86446" w:rsidRDefault="00345E63">
            <w:pPr>
              <w:widowControl w:val="0"/>
              <w:tabs>
                <w:tab w:val="left" w:pos="567"/>
              </w:tabs>
              <w:rPr>
                <w:sz w:val="20"/>
                <w:szCs w:val="20"/>
                <w:lang w:val="en-GB" w:eastAsia="sl-SI"/>
              </w:rPr>
            </w:pPr>
            <w:proofErr w:type="spellStart"/>
            <w:r>
              <w:rPr>
                <w:sz w:val="20"/>
                <w:szCs w:val="20"/>
                <w:lang w:val="en-GB" w:eastAsia="sl-SI"/>
              </w:rPr>
              <w:t>Padidėjusi</w:t>
            </w:r>
            <w:proofErr w:type="spellEnd"/>
            <w:r>
              <w:rPr>
                <w:sz w:val="20"/>
                <w:szCs w:val="20"/>
                <w:lang w:val="en-GB" w:eastAsia="sl-SI"/>
              </w:rPr>
              <w:t xml:space="preserve"> </w:t>
            </w:r>
            <w:proofErr w:type="spellStart"/>
            <w:r>
              <w:rPr>
                <w:sz w:val="20"/>
                <w:szCs w:val="20"/>
                <w:lang w:val="en-GB" w:eastAsia="sl-SI"/>
              </w:rPr>
              <w:t>šlapalo</w:t>
            </w:r>
            <w:proofErr w:type="spellEnd"/>
            <w:r>
              <w:rPr>
                <w:sz w:val="20"/>
                <w:szCs w:val="20"/>
                <w:lang w:val="en-GB" w:eastAsia="sl-SI"/>
              </w:rPr>
              <w:t xml:space="preserve"> </w:t>
            </w:r>
            <w:proofErr w:type="spellStart"/>
            <w:r>
              <w:rPr>
                <w:sz w:val="20"/>
                <w:szCs w:val="20"/>
                <w:lang w:val="en-GB" w:eastAsia="sl-SI"/>
              </w:rPr>
              <w:t>koncentracija</w:t>
            </w:r>
            <w:proofErr w:type="spellEnd"/>
            <w:r>
              <w:rPr>
                <w:sz w:val="20"/>
                <w:szCs w:val="20"/>
                <w:lang w:val="en-GB" w:eastAsia="sl-SI"/>
              </w:rPr>
              <w:t xml:space="preserve"> </w:t>
            </w:r>
            <w:proofErr w:type="spellStart"/>
            <w:r>
              <w:rPr>
                <w:sz w:val="20"/>
                <w:szCs w:val="20"/>
                <w:lang w:val="en-GB" w:eastAsia="sl-SI"/>
              </w:rPr>
              <w:t>kraujyje</w:t>
            </w:r>
            <w:proofErr w:type="spellEnd"/>
            <w:r>
              <w:rPr>
                <w:sz w:val="20"/>
                <w:szCs w:val="20"/>
                <w:lang w:val="en-GB" w:eastAsia="sl-SI"/>
              </w:rPr>
              <w:t xml:space="preserve"> </w:t>
            </w:r>
            <w:r>
              <w:rPr>
                <w:sz w:val="20"/>
                <w:szCs w:val="20"/>
                <w:vertAlign w:val="superscript"/>
                <w:lang w:val="en-GB" w:eastAsia="sl-SI"/>
              </w:rPr>
              <w:t>**</w:t>
            </w:r>
          </w:p>
          <w:p w14:paraId="1B4DB960" w14:textId="77777777" w:rsidR="00E86446" w:rsidRDefault="00345E63">
            <w:pPr>
              <w:widowControl w:val="0"/>
              <w:tabs>
                <w:tab w:val="left" w:pos="567"/>
              </w:tabs>
              <w:rPr>
                <w:sz w:val="20"/>
                <w:szCs w:val="20"/>
                <w:lang w:val="en-GB" w:eastAsia="en-US"/>
              </w:rPr>
            </w:pPr>
            <w:proofErr w:type="spellStart"/>
            <w:r>
              <w:rPr>
                <w:sz w:val="20"/>
                <w:szCs w:val="20"/>
                <w:lang w:val="en-GB" w:eastAsia="sl-SI"/>
              </w:rPr>
              <w:t>Sumažėjęs</w:t>
            </w:r>
            <w:proofErr w:type="spellEnd"/>
            <w:r>
              <w:rPr>
                <w:sz w:val="20"/>
                <w:szCs w:val="20"/>
                <w:lang w:val="en-GB" w:eastAsia="sl-SI"/>
              </w:rPr>
              <w:t xml:space="preserve"> </w:t>
            </w:r>
            <w:proofErr w:type="spellStart"/>
            <w:r>
              <w:rPr>
                <w:sz w:val="20"/>
                <w:szCs w:val="20"/>
                <w:lang w:val="en-GB" w:eastAsia="sl-SI"/>
              </w:rPr>
              <w:t>kūno</w:t>
            </w:r>
            <w:proofErr w:type="spellEnd"/>
            <w:r>
              <w:rPr>
                <w:sz w:val="20"/>
                <w:szCs w:val="20"/>
                <w:lang w:val="en-GB" w:eastAsia="sl-SI"/>
              </w:rPr>
              <w:t xml:space="preserve"> </w:t>
            </w:r>
            <w:proofErr w:type="spellStart"/>
            <w:r>
              <w:rPr>
                <w:sz w:val="20"/>
                <w:szCs w:val="20"/>
                <w:lang w:val="en-GB" w:eastAsia="sl-SI"/>
              </w:rPr>
              <w:t>svoris</w:t>
            </w:r>
            <w:proofErr w:type="spellEnd"/>
            <w:r>
              <w:rPr>
                <w:sz w:val="20"/>
                <w:szCs w:val="20"/>
                <w:lang w:val="en-GB" w:eastAsia="sl-SI"/>
              </w:rPr>
              <w:t xml:space="preserve"> </w:t>
            </w:r>
            <w:r>
              <w:rPr>
                <w:sz w:val="20"/>
                <w:szCs w:val="20"/>
                <w:vertAlign w:val="superscript"/>
                <w:lang w:val="en-GB" w:eastAsia="sl-SI"/>
              </w:rPr>
              <w:t>**</w:t>
            </w:r>
          </w:p>
        </w:tc>
        <w:tc>
          <w:tcPr>
            <w:tcW w:w="846" w:type="pct"/>
          </w:tcPr>
          <w:p w14:paraId="0FCD5B17" w14:textId="77777777" w:rsidR="00E86446" w:rsidRDefault="00E86446">
            <w:pPr>
              <w:widowControl w:val="0"/>
              <w:tabs>
                <w:tab w:val="left" w:pos="567"/>
              </w:tabs>
              <w:rPr>
                <w:sz w:val="20"/>
                <w:szCs w:val="20"/>
                <w:lang w:val="en-GB" w:eastAsia="en-US"/>
              </w:rPr>
            </w:pPr>
          </w:p>
        </w:tc>
        <w:tc>
          <w:tcPr>
            <w:tcW w:w="713" w:type="pct"/>
          </w:tcPr>
          <w:p w14:paraId="542C3235" w14:textId="77777777" w:rsidR="00E86446" w:rsidRDefault="00E86446">
            <w:pPr>
              <w:widowControl w:val="0"/>
              <w:tabs>
                <w:tab w:val="left" w:pos="567"/>
              </w:tabs>
              <w:rPr>
                <w:sz w:val="20"/>
                <w:szCs w:val="20"/>
                <w:lang w:val="en-GB" w:eastAsia="en-US"/>
              </w:rPr>
            </w:pPr>
          </w:p>
        </w:tc>
      </w:tr>
    </w:tbl>
    <w:p w14:paraId="0FD5CEF1" w14:textId="77777777"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a</w:t>
      </w:r>
      <w:r>
        <w:rPr>
          <w:rFonts w:eastAsiaTheme="minorHAnsi"/>
          <w:color w:val="000000"/>
          <w:sz w:val="18"/>
          <w:szCs w:val="18"/>
          <w:lang w:eastAsia="en-US"/>
        </w:rPr>
        <w:t xml:space="preserve"> Lentelėje pateikiamos nepageidaujamos reakcijos, nustatytos iki 24 savaičių trukmės (trumpalaikių) tyrimų metu nepriklausomai nuo neatidėliotinos pagalbos </w:t>
      </w:r>
      <w:proofErr w:type="spellStart"/>
      <w:r>
        <w:rPr>
          <w:rFonts w:eastAsiaTheme="minorHAnsi"/>
          <w:color w:val="000000"/>
          <w:sz w:val="18"/>
          <w:szCs w:val="18"/>
          <w:lang w:eastAsia="en-US"/>
        </w:rPr>
        <w:t>glikemijai</w:t>
      </w:r>
      <w:proofErr w:type="spellEnd"/>
      <w:r>
        <w:rPr>
          <w:rFonts w:eastAsiaTheme="minorHAnsi"/>
          <w:color w:val="000000"/>
          <w:sz w:val="18"/>
          <w:szCs w:val="18"/>
          <w:lang w:eastAsia="en-US"/>
        </w:rPr>
        <w:t xml:space="preserve"> koreguoti taikymo, išskyrus pažymėtas § (žr. toliau). </w:t>
      </w:r>
    </w:p>
    <w:p w14:paraId="1870B4AB" w14:textId="77777777"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b</w:t>
      </w:r>
      <w:r>
        <w:rPr>
          <w:rFonts w:eastAsiaTheme="minorHAnsi"/>
          <w:color w:val="000000"/>
          <w:sz w:val="18"/>
          <w:szCs w:val="18"/>
          <w:lang w:eastAsia="en-US"/>
        </w:rPr>
        <w:t xml:space="preserve"> Papildoma informacija pateikiama atitinkamoje skyriaus dalyje žemiau. </w:t>
      </w:r>
    </w:p>
    <w:p w14:paraId="36CFB1AE" w14:textId="35C910D9"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c</w:t>
      </w:r>
      <w:r>
        <w:rPr>
          <w:rFonts w:eastAsiaTheme="minorHAnsi"/>
          <w:color w:val="000000"/>
          <w:sz w:val="18"/>
          <w:szCs w:val="18"/>
          <w:lang w:eastAsia="en-US"/>
        </w:rPr>
        <w:t xml:space="preserve"> </w:t>
      </w:r>
      <w:proofErr w:type="spellStart"/>
      <w:r>
        <w:rPr>
          <w:rFonts w:eastAsiaTheme="minorHAnsi"/>
          <w:color w:val="000000"/>
          <w:sz w:val="18"/>
          <w:szCs w:val="18"/>
          <w:lang w:eastAsia="en-US"/>
        </w:rPr>
        <w:t>Vulvovaginitas</w:t>
      </w:r>
      <w:proofErr w:type="spellEnd"/>
      <w:r>
        <w:rPr>
          <w:rFonts w:eastAsiaTheme="minorHAnsi"/>
          <w:color w:val="000000"/>
          <w:sz w:val="18"/>
          <w:szCs w:val="18"/>
          <w:lang w:eastAsia="en-US"/>
        </w:rPr>
        <w:t xml:space="preserve">, balanitas ir susijusios genitalijų infekcijos apima, pvz., šiuos iš anksto numatytus pasirinktinius terminus: </w:t>
      </w:r>
      <w:proofErr w:type="spellStart"/>
      <w:r>
        <w:rPr>
          <w:rFonts w:eastAsiaTheme="minorHAnsi"/>
          <w:color w:val="000000"/>
          <w:sz w:val="18"/>
          <w:szCs w:val="18"/>
          <w:lang w:eastAsia="en-US"/>
        </w:rPr>
        <w:t>vulvovaginalinė</w:t>
      </w:r>
      <w:proofErr w:type="spellEnd"/>
      <w:r>
        <w:rPr>
          <w:rFonts w:eastAsiaTheme="minorHAnsi"/>
          <w:color w:val="000000"/>
          <w:sz w:val="18"/>
          <w:szCs w:val="18"/>
          <w:lang w:eastAsia="en-US"/>
        </w:rPr>
        <w:t xml:space="preserve"> grybelių infekcija, makšties infekcija, balanitas, grybelinė genitalijų infekcija, </w:t>
      </w:r>
      <w:proofErr w:type="spellStart"/>
      <w:r>
        <w:rPr>
          <w:rFonts w:eastAsiaTheme="minorHAnsi"/>
          <w:color w:val="000000"/>
          <w:sz w:val="18"/>
          <w:szCs w:val="18"/>
          <w:lang w:eastAsia="en-US"/>
        </w:rPr>
        <w:t>vulvovaginalinė</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kandidozė</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vulvovaginitas</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kandidozinis</w:t>
      </w:r>
      <w:proofErr w:type="spellEnd"/>
      <w:r>
        <w:rPr>
          <w:rFonts w:eastAsiaTheme="minorHAnsi"/>
          <w:color w:val="000000"/>
          <w:sz w:val="18"/>
          <w:szCs w:val="18"/>
          <w:lang w:eastAsia="en-US"/>
        </w:rPr>
        <w:t xml:space="preserve"> balanitas, genitalijų </w:t>
      </w:r>
      <w:proofErr w:type="spellStart"/>
      <w:r>
        <w:rPr>
          <w:rFonts w:eastAsiaTheme="minorHAnsi"/>
          <w:color w:val="000000"/>
          <w:sz w:val="18"/>
          <w:szCs w:val="18"/>
          <w:lang w:eastAsia="en-US"/>
        </w:rPr>
        <w:t>kandidozė</w:t>
      </w:r>
      <w:proofErr w:type="spellEnd"/>
      <w:r>
        <w:rPr>
          <w:rFonts w:eastAsiaTheme="minorHAnsi"/>
          <w:color w:val="000000"/>
          <w:sz w:val="18"/>
          <w:szCs w:val="18"/>
          <w:lang w:eastAsia="en-US"/>
        </w:rPr>
        <w:t xml:space="preserve">, genitalijų infekcija, vyrų genitalijų infekcijos, varpos infekcija, </w:t>
      </w:r>
      <w:proofErr w:type="spellStart"/>
      <w:r>
        <w:rPr>
          <w:rFonts w:eastAsiaTheme="minorHAnsi"/>
          <w:color w:val="000000"/>
          <w:sz w:val="18"/>
          <w:szCs w:val="18"/>
          <w:lang w:eastAsia="en-US"/>
        </w:rPr>
        <w:t>vulvitas</w:t>
      </w:r>
      <w:proofErr w:type="spellEnd"/>
      <w:r>
        <w:rPr>
          <w:rFonts w:eastAsiaTheme="minorHAnsi"/>
          <w:color w:val="000000"/>
          <w:sz w:val="18"/>
          <w:szCs w:val="18"/>
          <w:lang w:eastAsia="en-US"/>
        </w:rPr>
        <w:t xml:space="preserve">, bakterinis vaginitas, </w:t>
      </w:r>
      <w:proofErr w:type="spellStart"/>
      <w:r>
        <w:rPr>
          <w:rFonts w:eastAsiaTheme="minorHAnsi"/>
          <w:color w:val="000000"/>
          <w:sz w:val="18"/>
          <w:szCs w:val="18"/>
          <w:lang w:eastAsia="en-US"/>
        </w:rPr>
        <w:t>vulvos</w:t>
      </w:r>
      <w:proofErr w:type="spellEnd"/>
      <w:r>
        <w:rPr>
          <w:rFonts w:eastAsiaTheme="minorHAnsi"/>
          <w:color w:val="000000"/>
          <w:sz w:val="18"/>
          <w:szCs w:val="18"/>
          <w:lang w:eastAsia="en-US"/>
        </w:rPr>
        <w:t xml:space="preserve"> </w:t>
      </w:r>
      <w:proofErr w:type="spellStart"/>
      <w:r w:rsidR="00F31837">
        <w:rPr>
          <w:rFonts w:eastAsiaTheme="minorHAnsi"/>
          <w:color w:val="000000"/>
          <w:sz w:val="18"/>
          <w:szCs w:val="18"/>
          <w:lang w:eastAsia="en-US"/>
        </w:rPr>
        <w:t>abscesas</w:t>
      </w:r>
      <w:proofErr w:type="spellEnd"/>
      <w:r w:rsidR="00F31837">
        <w:rPr>
          <w:rFonts w:eastAsiaTheme="minorHAnsi"/>
          <w:color w:val="000000"/>
          <w:sz w:val="18"/>
          <w:szCs w:val="18"/>
          <w:lang w:eastAsia="en-US"/>
        </w:rPr>
        <w:t xml:space="preserve"> (</w:t>
      </w:r>
      <w:r>
        <w:rPr>
          <w:rFonts w:eastAsiaTheme="minorHAnsi"/>
          <w:color w:val="000000"/>
          <w:sz w:val="18"/>
          <w:szCs w:val="18"/>
          <w:lang w:eastAsia="en-US"/>
        </w:rPr>
        <w:t>pūlinys</w:t>
      </w:r>
      <w:r w:rsidR="00F31837">
        <w:rPr>
          <w:rFonts w:eastAsiaTheme="minorHAnsi"/>
          <w:color w:val="000000"/>
          <w:sz w:val="18"/>
          <w:szCs w:val="18"/>
          <w:lang w:eastAsia="en-US"/>
        </w:rPr>
        <w:t>)</w:t>
      </w:r>
      <w:r>
        <w:rPr>
          <w:rFonts w:eastAsiaTheme="minorHAnsi"/>
          <w:color w:val="000000"/>
          <w:sz w:val="18"/>
          <w:szCs w:val="18"/>
          <w:lang w:eastAsia="en-US"/>
        </w:rPr>
        <w:t xml:space="preserve">. </w:t>
      </w:r>
    </w:p>
    <w:p w14:paraId="58E02478" w14:textId="77777777"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d</w:t>
      </w:r>
      <w:r>
        <w:rPr>
          <w:rFonts w:eastAsiaTheme="minorHAnsi"/>
          <w:color w:val="000000"/>
          <w:sz w:val="18"/>
          <w:szCs w:val="18"/>
          <w:lang w:eastAsia="en-US"/>
        </w:rPr>
        <w:t xml:space="preserve"> Šlapimo takų infekcija apima šiuos pirmiausiai pasirenkamus terminus, išvardytus pagal užprotokoluotą dažnį: šlapimo takų infekcija, cistitas, </w:t>
      </w:r>
      <w:proofErr w:type="spellStart"/>
      <w:r>
        <w:rPr>
          <w:rFonts w:eastAsiaTheme="minorHAnsi"/>
          <w:i/>
          <w:iCs/>
          <w:color w:val="000000"/>
          <w:sz w:val="18"/>
          <w:szCs w:val="18"/>
          <w:lang w:eastAsia="en-US"/>
        </w:rPr>
        <w:t>Escherichia</w:t>
      </w:r>
      <w:proofErr w:type="spellEnd"/>
      <w:r>
        <w:rPr>
          <w:rFonts w:eastAsiaTheme="minorHAnsi"/>
          <w:i/>
          <w:iCs/>
          <w:color w:val="000000"/>
          <w:sz w:val="18"/>
          <w:szCs w:val="18"/>
          <w:lang w:eastAsia="en-US"/>
        </w:rPr>
        <w:t xml:space="preserve"> </w:t>
      </w:r>
      <w:r>
        <w:rPr>
          <w:rFonts w:eastAsiaTheme="minorHAnsi"/>
          <w:color w:val="000000"/>
          <w:sz w:val="18"/>
          <w:szCs w:val="18"/>
          <w:lang w:eastAsia="en-US"/>
        </w:rPr>
        <w:t xml:space="preserve">sukelta šlapimo takų infekcija, lytinių ir šlapimo takų infekcija, </w:t>
      </w:r>
      <w:proofErr w:type="spellStart"/>
      <w:r>
        <w:rPr>
          <w:rFonts w:eastAsiaTheme="minorHAnsi"/>
          <w:color w:val="000000"/>
          <w:sz w:val="18"/>
          <w:szCs w:val="18"/>
          <w:lang w:eastAsia="en-US"/>
        </w:rPr>
        <w:t>pielonefritas</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trigonitas</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uretritas</w:t>
      </w:r>
      <w:proofErr w:type="spellEnd"/>
      <w:r>
        <w:rPr>
          <w:rFonts w:eastAsiaTheme="minorHAnsi"/>
          <w:color w:val="000000"/>
          <w:sz w:val="18"/>
          <w:szCs w:val="18"/>
          <w:lang w:eastAsia="en-US"/>
        </w:rPr>
        <w:t xml:space="preserve">, inkstų infekcija ir prostatitas. </w:t>
      </w:r>
    </w:p>
    <w:p w14:paraId="29E3FBA4" w14:textId="77777777"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e</w:t>
      </w:r>
      <w:r>
        <w:rPr>
          <w:rFonts w:eastAsiaTheme="minorHAnsi"/>
          <w:color w:val="000000"/>
          <w:sz w:val="18"/>
          <w:szCs w:val="18"/>
          <w:lang w:eastAsia="en-US"/>
        </w:rPr>
        <w:t xml:space="preserve"> Kraujo tūrio sumažėjimas apima, pvz., šiuos iš anksto numatytus pasirinktinius terminus: dehidratacija, </w:t>
      </w:r>
      <w:proofErr w:type="spellStart"/>
      <w:r>
        <w:rPr>
          <w:rFonts w:eastAsiaTheme="minorHAnsi"/>
          <w:color w:val="000000"/>
          <w:sz w:val="18"/>
          <w:szCs w:val="18"/>
          <w:lang w:eastAsia="en-US"/>
        </w:rPr>
        <w:t>hipovolemija</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hipotenzija</w:t>
      </w:r>
      <w:proofErr w:type="spellEnd"/>
      <w:r>
        <w:rPr>
          <w:rFonts w:eastAsiaTheme="minorHAnsi"/>
          <w:color w:val="000000"/>
          <w:sz w:val="18"/>
          <w:szCs w:val="18"/>
          <w:lang w:eastAsia="en-US"/>
        </w:rPr>
        <w:t xml:space="preserve">. </w:t>
      </w:r>
    </w:p>
    <w:p w14:paraId="2A399992" w14:textId="72BB78EB"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f</w:t>
      </w:r>
      <w:r>
        <w:rPr>
          <w:rFonts w:eastAsiaTheme="minorHAnsi"/>
          <w:color w:val="000000"/>
          <w:sz w:val="18"/>
          <w:szCs w:val="18"/>
          <w:lang w:eastAsia="en-US"/>
        </w:rPr>
        <w:t xml:space="preserve"> </w:t>
      </w:r>
      <w:proofErr w:type="spellStart"/>
      <w:r>
        <w:rPr>
          <w:rFonts w:eastAsiaTheme="minorHAnsi"/>
          <w:color w:val="000000"/>
          <w:sz w:val="18"/>
          <w:szCs w:val="18"/>
          <w:lang w:eastAsia="en-US"/>
        </w:rPr>
        <w:t>Poliurija</w:t>
      </w:r>
      <w:proofErr w:type="spellEnd"/>
      <w:r>
        <w:rPr>
          <w:rFonts w:eastAsiaTheme="minorHAnsi"/>
          <w:color w:val="000000"/>
          <w:sz w:val="18"/>
          <w:szCs w:val="18"/>
          <w:lang w:eastAsia="en-US"/>
        </w:rPr>
        <w:t xml:space="preserve"> apima šiuos pirmiausiai pasirenkamus terminus: </w:t>
      </w:r>
      <w:proofErr w:type="spellStart"/>
      <w:r>
        <w:rPr>
          <w:rFonts w:eastAsiaTheme="minorHAnsi"/>
          <w:color w:val="000000"/>
          <w:sz w:val="18"/>
          <w:szCs w:val="18"/>
          <w:lang w:eastAsia="en-US"/>
        </w:rPr>
        <w:t>polakiurija</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poliurija</w:t>
      </w:r>
      <w:proofErr w:type="spellEnd"/>
      <w:r>
        <w:rPr>
          <w:rFonts w:eastAsiaTheme="minorHAnsi"/>
          <w:color w:val="000000"/>
          <w:sz w:val="18"/>
          <w:szCs w:val="18"/>
          <w:lang w:eastAsia="en-US"/>
        </w:rPr>
        <w:t xml:space="preserve">, padidėjęs šlapimo </w:t>
      </w:r>
      <w:r w:rsidR="00C04967">
        <w:rPr>
          <w:rFonts w:eastAsiaTheme="minorHAnsi"/>
          <w:color w:val="000000"/>
          <w:sz w:val="18"/>
          <w:szCs w:val="18"/>
          <w:lang w:eastAsia="en-US"/>
        </w:rPr>
        <w:t>išsiskyrimas</w:t>
      </w:r>
      <w:r>
        <w:rPr>
          <w:rFonts w:eastAsiaTheme="minorHAnsi"/>
          <w:color w:val="000000"/>
          <w:sz w:val="18"/>
          <w:szCs w:val="18"/>
          <w:lang w:eastAsia="en-US"/>
        </w:rPr>
        <w:t xml:space="preserve">. </w:t>
      </w:r>
    </w:p>
    <w:p w14:paraId="7EC54B74" w14:textId="4BBD7CBA"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g</w:t>
      </w:r>
      <w:r>
        <w:rPr>
          <w:rFonts w:eastAsiaTheme="minorHAnsi"/>
          <w:color w:val="000000"/>
          <w:sz w:val="18"/>
          <w:szCs w:val="18"/>
          <w:lang w:eastAsia="en-US"/>
        </w:rPr>
        <w:t xml:space="preserve"> Vidutinis </w:t>
      </w:r>
      <w:proofErr w:type="spellStart"/>
      <w:r>
        <w:rPr>
          <w:rFonts w:eastAsiaTheme="minorHAnsi"/>
          <w:color w:val="000000"/>
          <w:sz w:val="18"/>
          <w:szCs w:val="18"/>
          <w:lang w:eastAsia="en-US"/>
        </w:rPr>
        <w:t>hematokrito</w:t>
      </w:r>
      <w:proofErr w:type="spellEnd"/>
      <w:r>
        <w:rPr>
          <w:rFonts w:eastAsiaTheme="minorHAnsi"/>
          <w:color w:val="000000"/>
          <w:sz w:val="18"/>
          <w:szCs w:val="18"/>
          <w:lang w:eastAsia="en-US"/>
        </w:rPr>
        <w:t xml:space="preserve"> pokytis, palyginus su buvusiu iki tyrimo, vartojus 10 mg dapagliflozino buvo 2,30 %, vartojus placeb</w:t>
      </w:r>
      <w:r w:rsidR="00C34830">
        <w:rPr>
          <w:rFonts w:eastAsiaTheme="minorHAnsi"/>
          <w:color w:val="000000"/>
          <w:sz w:val="18"/>
          <w:szCs w:val="18"/>
          <w:lang w:eastAsia="en-US"/>
        </w:rPr>
        <w:t>o</w:t>
      </w:r>
      <w:r>
        <w:rPr>
          <w:rFonts w:eastAsiaTheme="minorHAnsi"/>
          <w:color w:val="000000"/>
          <w:sz w:val="18"/>
          <w:szCs w:val="18"/>
          <w:lang w:eastAsia="en-US"/>
        </w:rPr>
        <w:t xml:space="preserve"> – minus0,33 %. </w:t>
      </w:r>
      <w:proofErr w:type="spellStart"/>
      <w:r>
        <w:rPr>
          <w:rFonts w:eastAsiaTheme="minorHAnsi"/>
          <w:color w:val="000000"/>
          <w:sz w:val="18"/>
          <w:szCs w:val="18"/>
          <w:lang w:eastAsia="en-US"/>
        </w:rPr>
        <w:t>Hematokrito</w:t>
      </w:r>
      <w:proofErr w:type="spellEnd"/>
      <w:r>
        <w:rPr>
          <w:rFonts w:eastAsiaTheme="minorHAnsi"/>
          <w:color w:val="000000"/>
          <w:sz w:val="18"/>
          <w:szCs w:val="18"/>
          <w:lang w:eastAsia="en-US"/>
        </w:rPr>
        <w:t xml:space="preserve"> rodiklis &gt;</w:t>
      </w:r>
      <w:r w:rsidR="00114BD6">
        <w:rPr>
          <w:rFonts w:eastAsiaTheme="minorHAnsi"/>
          <w:color w:val="000000"/>
          <w:sz w:val="18"/>
          <w:szCs w:val="18"/>
          <w:lang w:eastAsia="en-US"/>
        </w:rPr>
        <w:t> </w:t>
      </w:r>
      <w:r>
        <w:rPr>
          <w:rFonts w:eastAsiaTheme="minorHAnsi"/>
          <w:color w:val="000000"/>
          <w:sz w:val="18"/>
          <w:szCs w:val="18"/>
          <w:lang w:eastAsia="en-US"/>
        </w:rPr>
        <w:t xml:space="preserve">55 % </w:t>
      </w:r>
      <w:r w:rsidR="00114BD6">
        <w:rPr>
          <w:rFonts w:eastAsiaTheme="minorHAnsi"/>
          <w:color w:val="000000"/>
          <w:sz w:val="18"/>
          <w:szCs w:val="18"/>
          <w:lang w:eastAsia="en-US"/>
        </w:rPr>
        <w:t xml:space="preserve">nustatytas </w:t>
      </w:r>
      <w:r>
        <w:rPr>
          <w:rFonts w:eastAsiaTheme="minorHAnsi"/>
          <w:color w:val="000000"/>
          <w:sz w:val="18"/>
          <w:szCs w:val="18"/>
          <w:lang w:eastAsia="en-US"/>
        </w:rPr>
        <w:t>1,3 % 10 mg dapagliflozino ir 0,4 % placebo vartojusių žmonių.</w:t>
      </w:r>
    </w:p>
    <w:p w14:paraId="71ECA40A" w14:textId="77777777"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h</w:t>
      </w:r>
      <w:r>
        <w:rPr>
          <w:rFonts w:eastAsiaTheme="minorHAnsi"/>
          <w:color w:val="000000"/>
          <w:sz w:val="18"/>
          <w:szCs w:val="18"/>
          <w:lang w:eastAsia="en-US"/>
        </w:rPr>
        <w:t xml:space="preserve"> Virškinimo sutrikimų (pvz., pykinimas, vėmimas, viduriavimas, pilvo skausmas ir apetito stoka) dažniausiai pasireiškia pradedant gydymą. Dauguma atvejų jie praeina savaime.</w:t>
      </w:r>
    </w:p>
    <w:p w14:paraId="1E5DFA10" w14:textId="3F66BC0B"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i</w:t>
      </w:r>
      <w:r>
        <w:rPr>
          <w:rFonts w:eastAsiaTheme="minorHAnsi"/>
          <w:color w:val="000000"/>
          <w:sz w:val="18"/>
          <w:szCs w:val="18"/>
          <w:lang w:eastAsia="en-US"/>
        </w:rPr>
        <w:t xml:space="preserve"> Vidutiniai pokyčiai procentais, palyginus su pradiniais rodikliais, vartojus 10 mg dapagliflozino ir placeb</w:t>
      </w:r>
      <w:r w:rsidR="008D1A0C">
        <w:rPr>
          <w:rFonts w:eastAsiaTheme="minorHAnsi"/>
          <w:color w:val="000000"/>
          <w:sz w:val="18"/>
          <w:szCs w:val="18"/>
          <w:lang w:eastAsia="en-US"/>
        </w:rPr>
        <w:t>o</w:t>
      </w:r>
      <w:r>
        <w:rPr>
          <w:rFonts w:eastAsiaTheme="minorHAnsi"/>
          <w:color w:val="000000"/>
          <w:sz w:val="18"/>
          <w:szCs w:val="18"/>
          <w:lang w:eastAsia="en-US"/>
        </w:rPr>
        <w:t>, buvo: bendrojo cholesterolio – atitinkamai 2,5 % ir 0,0 %, DTL cholesterolio 6,0 % ir 2,7 %, MTL cholesterolio 2,9 % ir -1,0 %, trigliceridų -2,7 % ir -0,7 %.</w:t>
      </w:r>
    </w:p>
    <w:p w14:paraId="164EF6FB" w14:textId="77777777"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j</w:t>
      </w:r>
      <w:r>
        <w:rPr>
          <w:rFonts w:eastAsiaTheme="minorHAnsi"/>
          <w:color w:val="000000"/>
          <w:sz w:val="18"/>
          <w:szCs w:val="18"/>
          <w:lang w:eastAsia="en-US"/>
        </w:rPr>
        <w:t xml:space="preserve"> Žr. 4.4 skyrių.</w:t>
      </w:r>
    </w:p>
    <w:p w14:paraId="6E65B361" w14:textId="7B395CFB"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k</w:t>
      </w:r>
      <w:r>
        <w:rPr>
          <w:rFonts w:eastAsiaTheme="minorHAnsi"/>
          <w:color w:val="000000"/>
          <w:sz w:val="18"/>
          <w:szCs w:val="18"/>
          <w:lang w:eastAsia="en-US"/>
        </w:rPr>
        <w:t xml:space="preserve"> </w:t>
      </w:r>
      <w:r w:rsidR="006671EC">
        <w:rPr>
          <w:rFonts w:eastAsiaTheme="minorHAnsi"/>
          <w:color w:val="000000"/>
          <w:sz w:val="18"/>
          <w:szCs w:val="18"/>
          <w:lang w:eastAsia="en-US"/>
        </w:rPr>
        <w:t xml:space="preserve">Pranešta apie </w:t>
      </w:r>
      <w:r>
        <w:rPr>
          <w:rFonts w:eastAsiaTheme="minorHAnsi"/>
          <w:color w:val="000000"/>
          <w:sz w:val="18"/>
          <w:szCs w:val="18"/>
          <w:lang w:eastAsia="en-US"/>
        </w:rPr>
        <w:t>poveik</w:t>
      </w:r>
      <w:r w:rsidR="006671EC">
        <w:rPr>
          <w:rFonts w:eastAsiaTheme="minorHAnsi"/>
          <w:color w:val="000000"/>
          <w:sz w:val="18"/>
          <w:szCs w:val="18"/>
          <w:lang w:eastAsia="en-US"/>
        </w:rPr>
        <w:t>į</w:t>
      </w:r>
      <w:r>
        <w:rPr>
          <w:rFonts w:eastAsiaTheme="minorHAnsi"/>
          <w:color w:val="000000"/>
          <w:sz w:val="18"/>
          <w:szCs w:val="18"/>
          <w:lang w:eastAsia="en-US"/>
        </w:rPr>
        <w:t xml:space="preserve"> kardiovaskulinėms komplikacijoms 2 tipo diabetu sergantiems pacientams tyrimo (DECLARE) metu. Nurodytas dažnis per metus.</w:t>
      </w:r>
    </w:p>
    <w:p w14:paraId="4E9F72EB" w14:textId="6B92C448" w:rsidR="00E86446" w:rsidRDefault="00345E63">
      <w:pPr>
        <w:rPr>
          <w:rFonts w:eastAsiaTheme="minorHAnsi"/>
          <w:color w:val="000000"/>
          <w:sz w:val="18"/>
          <w:szCs w:val="18"/>
          <w:lang w:eastAsia="en-US"/>
        </w:rPr>
      </w:pPr>
      <w:r>
        <w:rPr>
          <w:rFonts w:eastAsiaTheme="minorHAnsi"/>
          <w:color w:val="000000"/>
          <w:sz w:val="18"/>
          <w:szCs w:val="18"/>
          <w:vertAlign w:val="superscript"/>
          <w:lang w:eastAsia="en-US"/>
        </w:rPr>
        <w:t>l</w:t>
      </w:r>
      <w:r>
        <w:rPr>
          <w:rFonts w:eastAsiaTheme="minorHAnsi"/>
          <w:color w:val="000000"/>
          <w:sz w:val="18"/>
          <w:szCs w:val="18"/>
          <w:lang w:eastAsia="en-US"/>
        </w:rPr>
        <w:t xml:space="preserve"> Ši nepageidaujama reakcija identifikuota stebint į rinką pateikto dapagliflozino veikimą. </w:t>
      </w:r>
      <w:r w:rsidR="002B0484">
        <w:rPr>
          <w:rFonts w:eastAsiaTheme="minorHAnsi"/>
          <w:color w:val="000000"/>
          <w:sz w:val="18"/>
          <w:szCs w:val="18"/>
          <w:lang w:eastAsia="en-US"/>
        </w:rPr>
        <w:t>B</w:t>
      </w:r>
      <w:r>
        <w:rPr>
          <w:rFonts w:eastAsiaTheme="minorHAnsi"/>
          <w:color w:val="000000"/>
          <w:sz w:val="18"/>
          <w:szCs w:val="18"/>
          <w:lang w:eastAsia="en-US"/>
        </w:rPr>
        <w:t xml:space="preserve">ėrimo sąvoka apima šiuos pasirinktinius terminus, išvardytus pagal dažnį klinikinių tyrimų metu: bėrimas, išplitęs bėrimas, niežtintis bėrimas, </w:t>
      </w:r>
      <w:proofErr w:type="spellStart"/>
      <w:r w:rsidR="00147616">
        <w:rPr>
          <w:rFonts w:eastAsiaTheme="minorHAnsi"/>
          <w:color w:val="000000"/>
          <w:sz w:val="18"/>
          <w:szCs w:val="18"/>
          <w:lang w:eastAsia="en-US"/>
        </w:rPr>
        <w:t>makulinis</w:t>
      </w:r>
      <w:proofErr w:type="spellEnd"/>
      <w:r w:rsidR="00147616">
        <w:rPr>
          <w:rFonts w:eastAsiaTheme="minorHAnsi"/>
          <w:color w:val="000000"/>
          <w:sz w:val="18"/>
          <w:szCs w:val="18"/>
          <w:lang w:eastAsia="en-US"/>
        </w:rPr>
        <w:t xml:space="preserve"> </w:t>
      </w:r>
      <w:r>
        <w:rPr>
          <w:rFonts w:eastAsiaTheme="minorHAnsi"/>
          <w:color w:val="000000"/>
          <w:sz w:val="18"/>
          <w:szCs w:val="18"/>
          <w:lang w:eastAsia="en-US"/>
        </w:rPr>
        <w:t xml:space="preserve">bėrimas, </w:t>
      </w:r>
      <w:proofErr w:type="spellStart"/>
      <w:r w:rsidR="00147616">
        <w:rPr>
          <w:rFonts w:eastAsiaTheme="minorHAnsi"/>
          <w:color w:val="000000"/>
          <w:sz w:val="18"/>
          <w:szCs w:val="18"/>
          <w:lang w:eastAsia="en-US"/>
        </w:rPr>
        <w:t>makulopapulinis</w:t>
      </w:r>
      <w:proofErr w:type="spellEnd"/>
      <w:r w:rsidR="00147616">
        <w:rPr>
          <w:rFonts w:eastAsiaTheme="minorHAnsi"/>
          <w:color w:val="000000"/>
          <w:sz w:val="18"/>
          <w:szCs w:val="18"/>
          <w:lang w:eastAsia="en-US"/>
        </w:rPr>
        <w:t xml:space="preserve"> </w:t>
      </w:r>
      <w:r>
        <w:rPr>
          <w:rFonts w:eastAsiaTheme="minorHAnsi"/>
          <w:color w:val="000000"/>
          <w:sz w:val="18"/>
          <w:szCs w:val="18"/>
          <w:lang w:eastAsia="en-US"/>
        </w:rPr>
        <w:t xml:space="preserve">bėrimas, </w:t>
      </w:r>
      <w:proofErr w:type="spellStart"/>
      <w:r w:rsidR="00EF2AD7">
        <w:rPr>
          <w:rFonts w:eastAsiaTheme="minorHAnsi"/>
          <w:color w:val="000000"/>
          <w:sz w:val="18"/>
          <w:szCs w:val="18"/>
          <w:lang w:eastAsia="en-US"/>
        </w:rPr>
        <w:t>pustulinis</w:t>
      </w:r>
      <w:proofErr w:type="spellEnd"/>
      <w:r w:rsidR="00EF2AD7">
        <w:rPr>
          <w:rFonts w:eastAsiaTheme="minorHAnsi"/>
          <w:color w:val="000000"/>
          <w:sz w:val="18"/>
          <w:szCs w:val="18"/>
          <w:lang w:eastAsia="en-US"/>
        </w:rPr>
        <w:t xml:space="preserve"> </w:t>
      </w:r>
      <w:r>
        <w:rPr>
          <w:rFonts w:eastAsiaTheme="minorHAnsi"/>
          <w:color w:val="000000"/>
          <w:sz w:val="18"/>
          <w:szCs w:val="18"/>
          <w:lang w:eastAsia="en-US"/>
        </w:rPr>
        <w:t xml:space="preserve">bėrimas, </w:t>
      </w:r>
      <w:r w:rsidR="00EF2AD7">
        <w:rPr>
          <w:rFonts w:eastAsiaTheme="minorHAnsi"/>
          <w:color w:val="000000"/>
          <w:sz w:val="18"/>
          <w:szCs w:val="18"/>
          <w:lang w:eastAsia="en-US"/>
        </w:rPr>
        <w:t xml:space="preserve">pūslelinis </w:t>
      </w:r>
      <w:r>
        <w:rPr>
          <w:rFonts w:eastAsiaTheme="minorHAnsi"/>
          <w:color w:val="000000"/>
          <w:sz w:val="18"/>
          <w:szCs w:val="18"/>
          <w:lang w:eastAsia="en-US"/>
        </w:rPr>
        <w:t xml:space="preserve">bėrimas ir </w:t>
      </w:r>
      <w:proofErr w:type="spellStart"/>
      <w:r>
        <w:rPr>
          <w:rFonts w:eastAsiaTheme="minorHAnsi"/>
          <w:color w:val="000000"/>
          <w:sz w:val="18"/>
          <w:szCs w:val="18"/>
          <w:lang w:eastAsia="en-US"/>
        </w:rPr>
        <w:t>eriteminis</w:t>
      </w:r>
      <w:proofErr w:type="spellEnd"/>
      <w:r>
        <w:rPr>
          <w:rFonts w:eastAsiaTheme="minorHAnsi"/>
          <w:color w:val="000000"/>
          <w:sz w:val="18"/>
          <w:szCs w:val="18"/>
          <w:lang w:eastAsia="en-US"/>
        </w:rPr>
        <w:t xml:space="preserve"> bėrimas. Aktyviai ir placebu kontroliuojamų klinikinių tyrimų metu (dapagliflozinas: N</w:t>
      </w:r>
      <w:r w:rsidR="007B151C">
        <w:rPr>
          <w:rFonts w:eastAsiaTheme="minorHAnsi"/>
          <w:color w:val="000000"/>
          <w:sz w:val="18"/>
          <w:szCs w:val="18"/>
          <w:lang w:eastAsia="en-US"/>
        </w:rPr>
        <w:t> </w:t>
      </w:r>
      <w:r>
        <w:rPr>
          <w:rFonts w:eastAsiaTheme="minorHAnsi"/>
          <w:color w:val="000000"/>
          <w:sz w:val="18"/>
          <w:szCs w:val="18"/>
          <w:lang w:eastAsia="en-US"/>
        </w:rPr>
        <w:t>=</w:t>
      </w:r>
      <w:r w:rsidR="007B151C">
        <w:rPr>
          <w:rFonts w:eastAsiaTheme="minorHAnsi"/>
          <w:color w:val="000000"/>
          <w:sz w:val="18"/>
          <w:szCs w:val="18"/>
          <w:lang w:eastAsia="en-US"/>
        </w:rPr>
        <w:t> </w:t>
      </w:r>
      <w:r>
        <w:rPr>
          <w:rFonts w:eastAsiaTheme="minorHAnsi"/>
          <w:color w:val="000000"/>
          <w:sz w:val="18"/>
          <w:szCs w:val="18"/>
          <w:lang w:eastAsia="en-US"/>
        </w:rPr>
        <w:t>5 936, visi kontroliniai vaistiniai preparatai – N</w:t>
      </w:r>
      <w:r w:rsidR="007B151C">
        <w:rPr>
          <w:rFonts w:eastAsiaTheme="minorHAnsi"/>
          <w:color w:val="000000"/>
          <w:sz w:val="18"/>
          <w:szCs w:val="18"/>
          <w:lang w:eastAsia="en-US"/>
        </w:rPr>
        <w:t> </w:t>
      </w:r>
      <w:r>
        <w:rPr>
          <w:rFonts w:eastAsiaTheme="minorHAnsi"/>
          <w:color w:val="000000"/>
          <w:sz w:val="18"/>
          <w:szCs w:val="18"/>
          <w:lang w:eastAsia="en-US"/>
        </w:rPr>
        <w:t>=</w:t>
      </w:r>
      <w:r w:rsidR="007B151C">
        <w:rPr>
          <w:rFonts w:eastAsiaTheme="minorHAnsi"/>
          <w:color w:val="000000"/>
          <w:sz w:val="18"/>
          <w:szCs w:val="18"/>
          <w:lang w:eastAsia="en-US"/>
        </w:rPr>
        <w:t> </w:t>
      </w:r>
      <w:r>
        <w:rPr>
          <w:rFonts w:eastAsiaTheme="minorHAnsi"/>
          <w:color w:val="000000"/>
          <w:sz w:val="18"/>
          <w:szCs w:val="18"/>
          <w:lang w:eastAsia="en-US"/>
        </w:rPr>
        <w:t>3 403) bėrimo atsiradimo dažnis vartojant dapagliflozin</w:t>
      </w:r>
      <w:r w:rsidR="007B151C">
        <w:rPr>
          <w:rFonts w:eastAsiaTheme="minorHAnsi"/>
          <w:color w:val="000000"/>
          <w:sz w:val="18"/>
          <w:szCs w:val="18"/>
          <w:lang w:eastAsia="en-US"/>
        </w:rPr>
        <w:t>o</w:t>
      </w:r>
      <w:r>
        <w:rPr>
          <w:rFonts w:eastAsiaTheme="minorHAnsi"/>
          <w:color w:val="000000"/>
          <w:sz w:val="18"/>
          <w:szCs w:val="18"/>
          <w:lang w:eastAsia="en-US"/>
        </w:rPr>
        <w:t xml:space="preserve"> ir vis</w:t>
      </w:r>
      <w:r w:rsidR="0023664E">
        <w:rPr>
          <w:rFonts w:eastAsiaTheme="minorHAnsi"/>
          <w:color w:val="000000"/>
          <w:sz w:val="18"/>
          <w:szCs w:val="18"/>
          <w:lang w:eastAsia="en-US"/>
        </w:rPr>
        <w:t>ų</w:t>
      </w:r>
      <w:r>
        <w:rPr>
          <w:rFonts w:eastAsiaTheme="minorHAnsi"/>
          <w:color w:val="000000"/>
          <w:sz w:val="18"/>
          <w:szCs w:val="18"/>
          <w:lang w:eastAsia="en-US"/>
        </w:rPr>
        <w:t xml:space="preserve"> kontrolini</w:t>
      </w:r>
      <w:r w:rsidR="0023664E">
        <w:rPr>
          <w:rFonts w:eastAsiaTheme="minorHAnsi"/>
          <w:color w:val="000000"/>
          <w:sz w:val="18"/>
          <w:szCs w:val="18"/>
          <w:lang w:eastAsia="en-US"/>
        </w:rPr>
        <w:t>ų</w:t>
      </w:r>
      <w:r>
        <w:rPr>
          <w:rFonts w:eastAsiaTheme="minorHAnsi"/>
          <w:color w:val="000000"/>
          <w:sz w:val="18"/>
          <w:szCs w:val="18"/>
          <w:lang w:eastAsia="en-US"/>
        </w:rPr>
        <w:t xml:space="preserve"> vaistini</w:t>
      </w:r>
      <w:r w:rsidR="0023664E">
        <w:rPr>
          <w:rFonts w:eastAsiaTheme="minorHAnsi"/>
          <w:color w:val="000000"/>
          <w:sz w:val="18"/>
          <w:szCs w:val="18"/>
          <w:lang w:eastAsia="en-US"/>
        </w:rPr>
        <w:t>ų</w:t>
      </w:r>
      <w:r>
        <w:rPr>
          <w:rFonts w:eastAsiaTheme="minorHAnsi"/>
          <w:color w:val="000000"/>
          <w:sz w:val="18"/>
          <w:szCs w:val="18"/>
          <w:lang w:eastAsia="en-US"/>
        </w:rPr>
        <w:t xml:space="preserve"> preparat</w:t>
      </w:r>
      <w:r w:rsidR="0023664E">
        <w:rPr>
          <w:rFonts w:eastAsiaTheme="minorHAnsi"/>
          <w:color w:val="000000"/>
          <w:sz w:val="18"/>
          <w:szCs w:val="18"/>
          <w:lang w:eastAsia="en-US"/>
        </w:rPr>
        <w:t>ų</w:t>
      </w:r>
      <w:r>
        <w:rPr>
          <w:rFonts w:eastAsiaTheme="minorHAnsi"/>
          <w:color w:val="000000"/>
          <w:sz w:val="18"/>
          <w:szCs w:val="18"/>
          <w:lang w:eastAsia="en-US"/>
        </w:rPr>
        <w:t xml:space="preserve"> buvo panašus (po 1,4 %).</w:t>
      </w:r>
    </w:p>
    <w:p w14:paraId="560883C0" w14:textId="7880DFC9"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w:t>
      </w:r>
      <w:r>
        <w:rPr>
          <w:rFonts w:eastAsiaTheme="minorHAnsi"/>
          <w:color w:val="000000"/>
          <w:sz w:val="18"/>
          <w:szCs w:val="18"/>
          <w:lang w:eastAsia="en-US"/>
        </w:rPr>
        <w:t xml:space="preserve"> Pasireiškė ≥ 2 % žmonių ir ≥ 1 % (bent 3 žmonėmis) daugiau vartojant 10 mg dapagliflozino, negu vartojant placeb</w:t>
      </w:r>
      <w:r w:rsidR="0023664E">
        <w:rPr>
          <w:rFonts w:eastAsiaTheme="minorHAnsi"/>
          <w:color w:val="000000"/>
          <w:sz w:val="18"/>
          <w:szCs w:val="18"/>
          <w:lang w:eastAsia="en-US"/>
        </w:rPr>
        <w:t>o</w:t>
      </w:r>
      <w:r>
        <w:rPr>
          <w:rFonts w:eastAsiaTheme="minorHAnsi"/>
          <w:color w:val="000000"/>
          <w:sz w:val="18"/>
          <w:szCs w:val="18"/>
          <w:lang w:eastAsia="en-US"/>
        </w:rPr>
        <w:t>.</w:t>
      </w:r>
    </w:p>
    <w:p w14:paraId="1FB3498C" w14:textId="031615F0"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vertAlign w:val="superscript"/>
          <w:lang w:eastAsia="en-US"/>
        </w:rPr>
        <w:t>**</w:t>
      </w:r>
      <w:r>
        <w:rPr>
          <w:rFonts w:eastAsiaTheme="minorHAnsi"/>
          <w:color w:val="000000"/>
          <w:sz w:val="18"/>
          <w:szCs w:val="18"/>
          <w:lang w:eastAsia="en-US"/>
        </w:rPr>
        <w:t xml:space="preserve"> Tyrėjo nuomone, galimai susiję, tikriausiai susiję arba susiję su tiriamuoju vaistiniu preparatu. Pasireiškė ≥ 0,2 % žmonių ir ≥ 0,1 % (bent 3 žmonėmis) daugiau vartojant 10 mg dapagliflozino, negu vartojant placeb</w:t>
      </w:r>
      <w:r w:rsidR="00061D33">
        <w:rPr>
          <w:rFonts w:eastAsiaTheme="minorHAnsi"/>
          <w:color w:val="000000"/>
          <w:sz w:val="18"/>
          <w:szCs w:val="18"/>
          <w:lang w:eastAsia="en-US"/>
        </w:rPr>
        <w:t>o</w:t>
      </w:r>
      <w:r>
        <w:rPr>
          <w:rFonts w:eastAsiaTheme="minorHAnsi"/>
          <w:color w:val="000000"/>
          <w:sz w:val="18"/>
          <w:szCs w:val="18"/>
          <w:lang w:eastAsia="en-US"/>
        </w:rPr>
        <w:t xml:space="preserve">. </w:t>
      </w:r>
    </w:p>
    <w:p w14:paraId="3C194FCF" w14:textId="77777777" w:rsidR="00E86446" w:rsidRDefault="00345E63">
      <w:pPr>
        <w:rPr>
          <w:sz w:val="18"/>
          <w:szCs w:val="18"/>
        </w:rPr>
      </w:pPr>
      <w:r>
        <w:rPr>
          <w:rFonts w:eastAsiaTheme="minorHAnsi"/>
          <w:color w:val="000000"/>
          <w:sz w:val="18"/>
          <w:szCs w:val="18"/>
          <w:vertAlign w:val="superscript"/>
          <w:lang w:eastAsia="en-US"/>
        </w:rPr>
        <w:t>§</w:t>
      </w:r>
      <w:r>
        <w:rPr>
          <w:rFonts w:eastAsiaTheme="minorHAnsi"/>
          <w:color w:val="000000"/>
          <w:sz w:val="18"/>
          <w:szCs w:val="18"/>
          <w:lang w:eastAsia="en-US"/>
        </w:rPr>
        <w:t xml:space="preserve"> Duomenys apie nepageidaujamas reakcijas į </w:t>
      </w:r>
      <w:proofErr w:type="spellStart"/>
      <w:r>
        <w:rPr>
          <w:rFonts w:eastAsiaTheme="minorHAnsi"/>
          <w:color w:val="000000"/>
          <w:sz w:val="18"/>
          <w:szCs w:val="18"/>
          <w:lang w:eastAsia="en-US"/>
        </w:rPr>
        <w:t>metforminą</w:t>
      </w:r>
      <w:proofErr w:type="spellEnd"/>
      <w:r>
        <w:rPr>
          <w:rFonts w:eastAsiaTheme="minorHAnsi"/>
          <w:color w:val="000000"/>
          <w:sz w:val="18"/>
          <w:szCs w:val="18"/>
          <w:lang w:eastAsia="en-US"/>
        </w:rPr>
        <w:t xml:space="preserve"> ir jų dažnio kategorijas yra pagrįsti informacija, esančia Europos Sąjungos </w:t>
      </w:r>
      <w:proofErr w:type="spellStart"/>
      <w:r>
        <w:rPr>
          <w:rFonts w:eastAsiaTheme="minorHAnsi"/>
          <w:color w:val="000000"/>
          <w:sz w:val="18"/>
          <w:szCs w:val="18"/>
          <w:lang w:eastAsia="en-US"/>
        </w:rPr>
        <w:t>metformino</w:t>
      </w:r>
      <w:proofErr w:type="spellEnd"/>
      <w:r>
        <w:rPr>
          <w:rFonts w:eastAsiaTheme="minorHAnsi"/>
          <w:color w:val="000000"/>
          <w:sz w:val="18"/>
          <w:szCs w:val="18"/>
          <w:lang w:eastAsia="en-US"/>
        </w:rPr>
        <w:t xml:space="preserve"> preparato charakteristikų santraukoje.</w:t>
      </w:r>
    </w:p>
    <w:p w14:paraId="32178AC5" w14:textId="77777777" w:rsidR="00E86446" w:rsidRDefault="00E86446">
      <w:pPr>
        <w:rPr>
          <w:sz w:val="22"/>
          <w:szCs w:val="22"/>
        </w:rPr>
      </w:pPr>
    </w:p>
    <w:p w14:paraId="4C3387D9" w14:textId="77777777" w:rsidR="00E86446" w:rsidRDefault="00345E63">
      <w:pPr>
        <w:rPr>
          <w:sz w:val="22"/>
          <w:szCs w:val="22"/>
          <w:u w:val="single"/>
        </w:rPr>
      </w:pPr>
      <w:r>
        <w:rPr>
          <w:sz w:val="22"/>
          <w:szCs w:val="22"/>
          <w:u w:val="single"/>
        </w:rPr>
        <w:t>Atrinktų nepageidaujamų reakcijų apibūdinimas</w:t>
      </w:r>
    </w:p>
    <w:p w14:paraId="6FEF7954" w14:textId="77777777" w:rsidR="00E86446" w:rsidRDefault="00345E63">
      <w:pPr>
        <w:rPr>
          <w:i/>
          <w:iCs/>
          <w:sz w:val="22"/>
          <w:szCs w:val="22"/>
          <w:u w:val="single"/>
        </w:rPr>
      </w:pPr>
      <w:r>
        <w:rPr>
          <w:i/>
          <w:iCs/>
          <w:sz w:val="22"/>
          <w:szCs w:val="22"/>
          <w:u w:val="single"/>
        </w:rPr>
        <w:t xml:space="preserve">Dapagliflozino ir </w:t>
      </w:r>
      <w:proofErr w:type="spellStart"/>
      <w:r>
        <w:rPr>
          <w:i/>
          <w:iCs/>
          <w:sz w:val="22"/>
          <w:szCs w:val="22"/>
          <w:u w:val="single"/>
        </w:rPr>
        <w:t>metformino</w:t>
      </w:r>
      <w:proofErr w:type="spellEnd"/>
      <w:r>
        <w:rPr>
          <w:i/>
          <w:iCs/>
          <w:sz w:val="22"/>
          <w:szCs w:val="22"/>
          <w:u w:val="single"/>
        </w:rPr>
        <w:t xml:space="preserve"> derinys</w:t>
      </w:r>
    </w:p>
    <w:p w14:paraId="510E8220" w14:textId="77777777" w:rsidR="00E86446" w:rsidRDefault="00345E63">
      <w:pPr>
        <w:rPr>
          <w:i/>
          <w:iCs/>
          <w:sz w:val="22"/>
          <w:szCs w:val="22"/>
        </w:rPr>
      </w:pPr>
      <w:r>
        <w:rPr>
          <w:i/>
          <w:iCs/>
          <w:sz w:val="22"/>
          <w:szCs w:val="22"/>
        </w:rPr>
        <w:t>Hipoglikemija</w:t>
      </w:r>
    </w:p>
    <w:p w14:paraId="34A2F425" w14:textId="01544BAB" w:rsidR="00E86446" w:rsidRDefault="00345E63">
      <w:pPr>
        <w:rPr>
          <w:sz w:val="22"/>
          <w:szCs w:val="22"/>
        </w:rPr>
      </w:pPr>
      <w:r>
        <w:rPr>
          <w:sz w:val="22"/>
          <w:szCs w:val="22"/>
        </w:rPr>
        <w:t xml:space="preserve">Dapagliflozino vartojimo papildomam kombinuotam gydymui kartu su </w:t>
      </w:r>
      <w:proofErr w:type="spellStart"/>
      <w:r>
        <w:rPr>
          <w:sz w:val="22"/>
          <w:szCs w:val="22"/>
        </w:rPr>
        <w:t>metforminu</w:t>
      </w:r>
      <w:proofErr w:type="spellEnd"/>
      <w:r>
        <w:rPr>
          <w:sz w:val="22"/>
          <w:szCs w:val="22"/>
        </w:rPr>
        <w:t xml:space="preserve"> tyrimų metu lengvos hipoglikemijos epizodų dažnis 10 mg dapagliflozino ir </w:t>
      </w:r>
      <w:proofErr w:type="spellStart"/>
      <w:r>
        <w:rPr>
          <w:sz w:val="22"/>
          <w:szCs w:val="22"/>
        </w:rPr>
        <w:t>metformino</w:t>
      </w:r>
      <w:proofErr w:type="spellEnd"/>
      <w:r>
        <w:rPr>
          <w:sz w:val="22"/>
          <w:szCs w:val="22"/>
        </w:rPr>
        <w:t xml:space="preserve"> derinio grupės pacientams (6,9 %) buvo panašus kaip placebo ir </w:t>
      </w:r>
      <w:proofErr w:type="spellStart"/>
      <w:r>
        <w:rPr>
          <w:sz w:val="22"/>
          <w:szCs w:val="22"/>
        </w:rPr>
        <w:t>metformino</w:t>
      </w:r>
      <w:proofErr w:type="spellEnd"/>
      <w:r>
        <w:rPr>
          <w:sz w:val="22"/>
          <w:szCs w:val="22"/>
        </w:rPr>
        <w:t xml:space="preserve"> derinio (5,5 %). Stipriai išreikštos hipoglikemijos epizodų neužfiksuota. Dapagliflozino ir </w:t>
      </w:r>
      <w:proofErr w:type="spellStart"/>
      <w:r>
        <w:rPr>
          <w:sz w:val="22"/>
          <w:szCs w:val="22"/>
        </w:rPr>
        <w:t>metformino</w:t>
      </w:r>
      <w:proofErr w:type="spellEnd"/>
      <w:r>
        <w:rPr>
          <w:sz w:val="22"/>
          <w:szCs w:val="22"/>
        </w:rPr>
        <w:t xml:space="preserve"> derin</w:t>
      </w:r>
      <w:r w:rsidR="00662C9E">
        <w:rPr>
          <w:sz w:val="22"/>
          <w:szCs w:val="22"/>
        </w:rPr>
        <w:t>io</w:t>
      </w:r>
      <w:r>
        <w:rPr>
          <w:sz w:val="22"/>
          <w:szCs w:val="22"/>
        </w:rPr>
        <w:t xml:space="preserve"> vartojant anksčiau negydytiems pacientams, gauti panašūs duomenys.</w:t>
      </w:r>
    </w:p>
    <w:p w14:paraId="6A7D0635" w14:textId="77777777" w:rsidR="00E86446" w:rsidRDefault="00E86446">
      <w:pPr>
        <w:rPr>
          <w:sz w:val="22"/>
          <w:szCs w:val="22"/>
        </w:rPr>
      </w:pPr>
    </w:p>
    <w:p w14:paraId="59640621" w14:textId="62B68E59" w:rsidR="00E86446" w:rsidRDefault="00345E63">
      <w:pPr>
        <w:rPr>
          <w:sz w:val="22"/>
          <w:szCs w:val="22"/>
        </w:rPr>
      </w:pPr>
      <w:r>
        <w:rPr>
          <w:sz w:val="22"/>
          <w:szCs w:val="22"/>
        </w:rPr>
        <w:t xml:space="preserve">Dapagliflozino vartojimo papildomam kombinuotam gydymui kartu su </w:t>
      </w:r>
      <w:proofErr w:type="spellStart"/>
      <w:r>
        <w:rPr>
          <w:sz w:val="22"/>
          <w:szCs w:val="22"/>
        </w:rPr>
        <w:t>metforminu</w:t>
      </w:r>
      <w:proofErr w:type="spellEnd"/>
      <w:r>
        <w:rPr>
          <w:sz w:val="22"/>
          <w:szCs w:val="22"/>
        </w:rPr>
        <w:t xml:space="preserve"> ir </w:t>
      </w:r>
      <w:proofErr w:type="spellStart"/>
      <w:r>
        <w:rPr>
          <w:sz w:val="22"/>
          <w:szCs w:val="22"/>
        </w:rPr>
        <w:t>sulfonilkarbamidu</w:t>
      </w:r>
      <w:proofErr w:type="spellEnd"/>
      <w:r>
        <w:rPr>
          <w:sz w:val="22"/>
          <w:szCs w:val="22"/>
        </w:rPr>
        <w:t xml:space="preserve"> tyrimo metu per iki 24 savaičių laikotarpį lengvos hipoglikemijos epizodų pasireiškė 12,8 % pacientų, vartojusių 10 mg dapagliflozino kartu su </w:t>
      </w:r>
      <w:proofErr w:type="spellStart"/>
      <w:r>
        <w:rPr>
          <w:sz w:val="22"/>
          <w:szCs w:val="22"/>
        </w:rPr>
        <w:t>metforminu</w:t>
      </w:r>
      <w:proofErr w:type="spellEnd"/>
      <w:r>
        <w:rPr>
          <w:sz w:val="22"/>
          <w:szCs w:val="22"/>
        </w:rPr>
        <w:t xml:space="preserve"> ir </w:t>
      </w:r>
      <w:proofErr w:type="spellStart"/>
      <w:r>
        <w:rPr>
          <w:sz w:val="22"/>
          <w:szCs w:val="22"/>
        </w:rPr>
        <w:t>sulfonilkarbamid</w:t>
      </w:r>
      <w:r w:rsidR="00662C9E">
        <w:rPr>
          <w:sz w:val="22"/>
          <w:szCs w:val="22"/>
        </w:rPr>
        <w:t>o</w:t>
      </w:r>
      <w:proofErr w:type="spellEnd"/>
      <w:r w:rsidR="00662C9E">
        <w:rPr>
          <w:sz w:val="22"/>
          <w:szCs w:val="22"/>
        </w:rPr>
        <w:t xml:space="preserve"> </w:t>
      </w:r>
      <w:r w:rsidR="000D49CA">
        <w:rPr>
          <w:sz w:val="22"/>
          <w:szCs w:val="22"/>
        </w:rPr>
        <w:t>dariniu</w:t>
      </w:r>
      <w:r>
        <w:rPr>
          <w:sz w:val="22"/>
          <w:szCs w:val="22"/>
        </w:rPr>
        <w:t xml:space="preserve">, bei 3,7 % vartojusių placebo su </w:t>
      </w:r>
      <w:proofErr w:type="spellStart"/>
      <w:r>
        <w:rPr>
          <w:sz w:val="22"/>
          <w:szCs w:val="22"/>
        </w:rPr>
        <w:t>metforminu</w:t>
      </w:r>
      <w:proofErr w:type="spellEnd"/>
      <w:r>
        <w:rPr>
          <w:sz w:val="22"/>
          <w:szCs w:val="22"/>
        </w:rPr>
        <w:t xml:space="preserve"> ir </w:t>
      </w:r>
      <w:proofErr w:type="spellStart"/>
      <w:r>
        <w:rPr>
          <w:sz w:val="22"/>
          <w:szCs w:val="22"/>
        </w:rPr>
        <w:t>sulfonilkarbamid</w:t>
      </w:r>
      <w:r w:rsidR="000D49CA">
        <w:rPr>
          <w:sz w:val="22"/>
          <w:szCs w:val="22"/>
        </w:rPr>
        <w:t>o</w:t>
      </w:r>
      <w:proofErr w:type="spellEnd"/>
      <w:r w:rsidR="000D49CA">
        <w:rPr>
          <w:sz w:val="22"/>
          <w:szCs w:val="22"/>
        </w:rPr>
        <w:t xml:space="preserve"> dariniu</w:t>
      </w:r>
      <w:r>
        <w:rPr>
          <w:sz w:val="22"/>
          <w:szCs w:val="22"/>
        </w:rPr>
        <w:t>. Stipriai išreikštos hipoglikemijos epizodų neužfiksuota.</w:t>
      </w:r>
    </w:p>
    <w:p w14:paraId="6D4C08E3" w14:textId="77777777" w:rsidR="00E86446" w:rsidRDefault="00E86446">
      <w:pPr>
        <w:rPr>
          <w:sz w:val="22"/>
          <w:szCs w:val="22"/>
        </w:rPr>
      </w:pPr>
    </w:p>
    <w:p w14:paraId="18FDD1B2" w14:textId="77777777" w:rsidR="00E86446" w:rsidRDefault="00345E63">
      <w:pPr>
        <w:rPr>
          <w:sz w:val="22"/>
          <w:szCs w:val="22"/>
          <w:u w:val="single"/>
        </w:rPr>
      </w:pPr>
      <w:r>
        <w:rPr>
          <w:sz w:val="22"/>
          <w:szCs w:val="22"/>
          <w:u w:val="single"/>
        </w:rPr>
        <w:lastRenderedPageBreak/>
        <w:t>Dapagliflozinas</w:t>
      </w:r>
    </w:p>
    <w:p w14:paraId="5C625C6C" w14:textId="77777777" w:rsidR="00E86446" w:rsidRDefault="00345E63">
      <w:pPr>
        <w:rPr>
          <w:i/>
          <w:iCs/>
          <w:sz w:val="22"/>
          <w:szCs w:val="22"/>
        </w:rPr>
      </w:pPr>
      <w:proofErr w:type="spellStart"/>
      <w:r>
        <w:rPr>
          <w:i/>
          <w:iCs/>
          <w:sz w:val="22"/>
          <w:szCs w:val="22"/>
        </w:rPr>
        <w:t>Vulvovaginitas</w:t>
      </w:r>
      <w:proofErr w:type="spellEnd"/>
      <w:r>
        <w:rPr>
          <w:i/>
          <w:iCs/>
          <w:sz w:val="22"/>
          <w:szCs w:val="22"/>
        </w:rPr>
        <w:t>, balanitas ir susijusios genitalijų infekcijos</w:t>
      </w:r>
    </w:p>
    <w:p w14:paraId="4480955E" w14:textId="3EE05175" w:rsidR="00E86446" w:rsidRDefault="00E20F94">
      <w:pPr>
        <w:rPr>
          <w:sz w:val="22"/>
          <w:szCs w:val="22"/>
        </w:rPr>
      </w:pPr>
      <w:r>
        <w:rPr>
          <w:sz w:val="22"/>
          <w:szCs w:val="22"/>
        </w:rPr>
        <w:t xml:space="preserve">Apibendrinus </w:t>
      </w:r>
      <w:r w:rsidR="00345E63">
        <w:rPr>
          <w:sz w:val="22"/>
          <w:szCs w:val="22"/>
        </w:rPr>
        <w:t xml:space="preserve">13 tyrimų saugumo populiaciją nustatyta, kad </w:t>
      </w:r>
      <w:proofErr w:type="spellStart"/>
      <w:r w:rsidR="00345E63">
        <w:rPr>
          <w:sz w:val="22"/>
          <w:szCs w:val="22"/>
        </w:rPr>
        <w:t>vulvovaginitas</w:t>
      </w:r>
      <w:proofErr w:type="spellEnd"/>
      <w:r w:rsidR="00345E63">
        <w:rPr>
          <w:sz w:val="22"/>
          <w:szCs w:val="22"/>
        </w:rPr>
        <w:t>, balanitas ir susijusi</w:t>
      </w:r>
      <w:r w:rsidR="00D016E8">
        <w:rPr>
          <w:sz w:val="22"/>
          <w:szCs w:val="22"/>
        </w:rPr>
        <w:t>os</w:t>
      </w:r>
      <w:r w:rsidR="00345E63">
        <w:rPr>
          <w:sz w:val="22"/>
          <w:szCs w:val="22"/>
        </w:rPr>
        <w:t xml:space="preserve"> genitalijų infekcij</w:t>
      </w:r>
      <w:r w:rsidR="00D016E8">
        <w:rPr>
          <w:sz w:val="22"/>
          <w:szCs w:val="22"/>
        </w:rPr>
        <w:t>os</w:t>
      </w:r>
      <w:r w:rsidR="00345E63">
        <w:rPr>
          <w:sz w:val="22"/>
          <w:szCs w:val="22"/>
        </w:rPr>
        <w:t xml:space="preserve"> pasireiškė 5,5 % 10 mg dapagliflozino ir 0,6 % placeb</w:t>
      </w:r>
      <w:r w:rsidR="00D016E8">
        <w:rPr>
          <w:sz w:val="22"/>
          <w:szCs w:val="22"/>
        </w:rPr>
        <w:t>o</w:t>
      </w:r>
      <w:r w:rsidR="00345E63">
        <w:rPr>
          <w:sz w:val="22"/>
          <w:szCs w:val="22"/>
        </w:rPr>
        <w:t xml:space="preserve"> vartojusi</w:t>
      </w:r>
      <w:r w:rsidR="00D016E8">
        <w:rPr>
          <w:sz w:val="22"/>
          <w:szCs w:val="22"/>
        </w:rPr>
        <w:t>ems</w:t>
      </w:r>
      <w:r w:rsidR="00345E63">
        <w:rPr>
          <w:sz w:val="22"/>
          <w:szCs w:val="22"/>
        </w:rPr>
        <w:t xml:space="preserve"> asmen</w:t>
      </w:r>
      <w:r w:rsidR="00D016E8">
        <w:rPr>
          <w:sz w:val="22"/>
          <w:szCs w:val="22"/>
        </w:rPr>
        <w:t>ims</w:t>
      </w:r>
      <w:r w:rsidR="00345E63">
        <w:rPr>
          <w:sz w:val="22"/>
          <w:szCs w:val="22"/>
        </w:rPr>
        <w:t xml:space="preserve">. Dauguma šių infekcijų buvo lengvo ar vidutinio sunkumo, jas patyrusiems asmenims </w:t>
      </w:r>
      <w:r w:rsidR="00AB70F6">
        <w:rPr>
          <w:sz w:val="22"/>
          <w:szCs w:val="22"/>
        </w:rPr>
        <w:t xml:space="preserve">buvo </w:t>
      </w:r>
      <w:r w:rsidR="00345E63">
        <w:rPr>
          <w:sz w:val="22"/>
          <w:szCs w:val="22"/>
        </w:rPr>
        <w:t>veiksmingas pradinis įprastinio gydymo kursas, dapagliflozino vartojimą dėl jų tekdavo nutraukti retai. Tokių infekcijų dažniau pasireiškė moterims (8,4 % vartojant dapagliflozin</w:t>
      </w:r>
      <w:r w:rsidR="00AB70F6">
        <w:rPr>
          <w:sz w:val="22"/>
          <w:szCs w:val="22"/>
        </w:rPr>
        <w:t>o</w:t>
      </w:r>
      <w:r w:rsidR="00345E63">
        <w:rPr>
          <w:sz w:val="22"/>
          <w:szCs w:val="22"/>
        </w:rPr>
        <w:t xml:space="preserve"> ir 1,2 % vartojant placeb</w:t>
      </w:r>
      <w:r w:rsidR="00AB70F6">
        <w:rPr>
          <w:sz w:val="22"/>
          <w:szCs w:val="22"/>
        </w:rPr>
        <w:t>o</w:t>
      </w:r>
      <w:r w:rsidR="00345E63">
        <w:rPr>
          <w:sz w:val="22"/>
          <w:szCs w:val="22"/>
        </w:rPr>
        <w:t xml:space="preserve">), </w:t>
      </w:r>
      <w:r w:rsidR="000A49ED">
        <w:rPr>
          <w:sz w:val="22"/>
          <w:szCs w:val="22"/>
        </w:rPr>
        <w:t xml:space="preserve">o tiriamiesiems, kuriems anksčiau buvo pasireiškusios infekcijos, buvo didesnė </w:t>
      </w:r>
      <w:r w:rsidR="00345E63">
        <w:rPr>
          <w:sz w:val="22"/>
          <w:szCs w:val="22"/>
        </w:rPr>
        <w:t>infekcijos pasikartojimo tikimybė</w:t>
      </w:r>
      <w:r w:rsidR="000A49ED">
        <w:rPr>
          <w:sz w:val="22"/>
          <w:szCs w:val="22"/>
        </w:rPr>
        <w:t>.</w:t>
      </w:r>
    </w:p>
    <w:p w14:paraId="13EF13D6" w14:textId="77777777" w:rsidR="00E86446" w:rsidRDefault="00E86446">
      <w:pPr>
        <w:rPr>
          <w:sz w:val="22"/>
          <w:szCs w:val="22"/>
        </w:rPr>
      </w:pPr>
    </w:p>
    <w:p w14:paraId="55D8C6AB" w14:textId="77777777" w:rsidR="00E86446" w:rsidRDefault="00345E63">
      <w:pPr>
        <w:rPr>
          <w:sz w:val="22"/>
          <w:szCs w:val="22"/>
        </w:rPr>
      </w:pPr>
      <w:r>
        <w:rPr>
          <w:sz w:val="22"/>
          <w:szCs w:val="22"/>
        </w:rPr>
        <w:t>DECLARE tyrimo metu genitalijų infekcijų kaip sunkių nepageidaujamų reiškinių užfiksuota nedaugeliui pacientų. Jų skaičius dapagliflozino ir placebo grupėse nesiskyrė (buvo po 2).</w:t>
      </w:r>
    </w:p>
    <w:p w14:paraId="784A645C" w14:textId="77777777" w:rsidR="00E86446" w:rsidRDefault="00E86446">
      <w:pPr>
        <w:rPr>
          <w:sz w:val="22"/>
          <w:szCs w:val="22"/>
        </w:rPr>
      </w:pPr>
    </w:p>
    <w:p w14:paraId="58F9203F" w14:textId="3EA1D8A2" w:rsidR="00E86446" w:rsidRDefault="00D47129">
      <w:pPr>
        <w:rPr>
          <w:sz w:val="22"/>
          <w:szCs w:val="22"/>
        </w:rPr>
      </w:pPr>
      <w:r>
        <w:rPr>
          <w:sz w:val="22"/>
          <w:szCs w:val="22"/>
        </w:rPr>
        <w:t>Vartojant dapagliflozino, g</w:t>
      </w:r>
      <w:r w:rsidR="00345E63">
        <w:rPr>
          <w:sz w:val="22"/>
          <w:szCs w:val="22"/>
        </w:rPr>
        <w:t xml:space="preserve">auta pranešimų apie kartu su genitalijų infekcijomis nustatytus </w:t>
      </w:r>
      <w:proofErr w:type="spellStart"/>
      <w:r w:rsidR="00345E63">
        <w:rPr>
          <w:sz w:val="22"/>
          <w:szCs w:val="22"/>
        </w:rPr>
        <w:t>fimozės</w:t>
      </w:r>
      <w:proofErr w:type="spellEnd"/>
      <w:r w:rsidR="00345E63">
        <w:rPr>
          <w:sz w:val="22"/>
          <w:szCs w:val="22"/>
        </w:rPr>
        <w:t xml:space="preserve"> ir (arba) įgytos </w:t>
      </w:r>
      <w:proofErr w:type="spellStart"/>
      <w:r w:rsidR="00345E63">
        <w:rPr>
          <w:sz w:val="22"/>
          <w:szCs w:val="22"/>
        </w:rPr>
        <w:t>fimozės</w:t>
      </w:r>
      <w:proofErr w:type="spellEnd"/>
      <w:r w:rsidR="00345E63">
        <w:rPr>
          <w:sz w:val="22"/>
          <w:szCs w:val="22"/>
        </w:rPr>
        <w:t xml:space="preserve"> atvejus; kai kuriais atvejais buvo reikalingas apipjaustymas.</w:t>
      </w:r>
    </w:p>
    <w:p w14:paraId="6856F06B" w14:textId="77777777" w:rsidR="00E86446" w:rsidRDefault="00E86446">
      <w:pPr>
        <w:rPr>
          <w:sz w:val="22"/>
          <w:szCs w:val="22"/>
        </w:rPr>
      </w:pPr>
    </w:p>
    <w:p w14:paraId="6A522969" w14:textId="77777777" w:rsidR="00E86446" w:rsidRDefault="00345E63">
      <w:pPr>
        <w:rPr>
          <w:i/>
          <w:iCs/>
          <w:sz w:val="22"/>
          <w:szCs w:val="22"/>
        </w:rPr>
      </w:pPr>
      <w:proofErr w:type="spellStart"/>
      <w:r>
        <w:rPr>
          <w:i/>
          <w:iCs/>
          <w:sz w:val="22"/>
          <w:szCs w:val="22"/>
        </w:rPr>
        <w:t>Tarpvietės</w:t>
      </w:r>
      <w:proofErr w:type="spellEnd"/>
      <w:r>
        <w:rPr>
          <w:i/>
          <w:iCs/>
          <w:sz w:val="22"/>
          <w:szCs w:val="22"/>
        </w:rPr>
        <w:t xml:space="preserve"> </w:t>
      </w:r>
      <w:proofErr w:type="spellStart"/>
      <w:r>
        <w:rPr>
          <w:i/>
          <w:iCs/>
          <w:sz w:val="22"/>
          <w:szCs w:val="22"/>
        </w:rPr>
        <w:t>nekrozuojantis</w:t>
      </w:r>
      <w:proofErr w:type="spellEnd"/>
      <w:r>
        <w:rPr>
          <w:i/>
          <w:iCs/>
          <w:sz w:val="22"/>
          <w:szCs w:val="22"/>
        </w:rPr>
        <w:t xml:space="preserve"> </w:t>
      </w:r>
      <w:proofErr w:type="spellStart"/>
      <w:r>
        <w:rPr>
          <w:i/>
          <w:iCs/>
          <w:sz w:val="22"/>
          <w:szCs w:val="22"/>
        </w:rPr>
        <w:t>fascitas</w:t>
      </w:r>
      <w:proofErr w:type="spellEnd"/>
      <w:r>
        <w:rPr>
          <w:i/>
          <w:iCs/>
          <w:sz w:val="22"/>
          <w:szCs w:val="22"/>
        </w:rPr>
        <w:t xml:space="preserve"> (</w:t>
      </w:r>
      <w:proofErr w:type="spellStart"/>
      <w:r>
        <w:rPr>
          <w:i/>
          <w:iCs/>
          <w:sz w:val="22"/>
          <w:szCs w:val="22"/>
        </w:rPr>
        <w:t>Fournier</w:t>
      </w:r>
      <w:proofErr w:type="spellEnd"/>
      <w:r>
        <w:rPr>
          <w:i/>
          <w:iCs/>
          <w:sz w:val="22"/>
          <w:szCs w:val="22"/>
        </w:rPr>
        <w:t xml:space="preserve"> gangrena)</w:t>
      </w:r>
    </w:p>
    <w:p w14:paraId="6D0B9A9A" w14:textId="6200A49A" w:rsidR="00E86446" w:rsidRDefault="00345E63">
      <w:pPr>
        <w:rPr>
          <w:sz w:val="22"/>
          <w:szCs w:val="22"/>
        </w:rPr>
      </w:pPr>
      <w:r>
        <w:rPr>
          <w:sz w:val="22"/>
          <w:szCs w:val="22"/>
        </w:rPr>
        <w:t>Vartojant į rinką SGLT2 pateiktų inhibitorių, įskaitant dapagliflozin</w:t>
      </w:r>
      <w:r w:rsidR="00841510">
        <w:rPr>
          <w:sz w:val="22"/>
          <w:szCs w:val="22"/>
        </w:rPr>
        <w:t>o</w:t>
      </w:r>
      <w:r>
        <w:rPr>
          <w:sz w:val="22"/>
          <w:szCs w:val="22"/>
        </w:rPr>
        <w:t xml:space="preserve">, gauta pranešimų apie </w:t>
      </w:r>
      <w:proofErr w:type="spellStart"/>
      <w:r>
        <w:rPr>
          <w:sz w:val="22"/>
          <w:szCs w:val="22"/>
        </w:rPr>
        <w:t>tarpvietės</w:t>
      </w:r>
      <w:proofErr w:type="spellEnd"/>
      <w:r>
        <w:rPr>
          <w:sz w:val="22"/>
          <w:szCs w:val="22"/>
        </w:rPr>
        <w:t xml:space="preserve"> </w:t>
      </w:r>
      <w:proofErr w:type="spellStart"/>
      <w:r>
        <w:rPr>
          <w:sz w:val="22"/>
          <w:szCs w:val="22"/>
        </w:rPr>
        <w:t>nekrozuojančio</w:t>
      </w:r>
      <w:proofErr w:type="spellEnd"/>
      <w:r>
        <w:rPr>
          <w:sz w:val="22"/>
          <w:szCs w:val="22"/>
        </w:rPr>
        <w:t xml:space="preserve"> </w:t>
      </w:r>
      <w:proofErr w:type="spellStart"/>
      <w:r>
        <w:rPr>
          <w:sz w:val="22"/>
          <w:szCs w:val="22"/>
        </w:rPr>
        <w:t>fascito</w:t>
      </w:r>
      <w:proofErr w:type="spellEnd"/>
      <w:r>
        <w:rPr>
          <w:sz w:val="22"/>
          <w:szCs w:val="22"/>
        </w:rPr>
        <w:t xml:space="preserve"> (dar vadinamo </w:t>
      </w:r>
      <w:proofErr w:type="spellStart"/>
      <w:r>
        <w:rPr>
          <w:sz w:val="22"/>
          <w:szCs w:val="22"/>
        </w:rPr>
        <w:t>Fournier</w:t>
      </w:r>
      <w:proofErr w:type="spellEnd"/>
      <w:r>
        <w:rPr>
          <w:sz w:val="22"/>
          <w:szCs w:val="22"/>
        </w:rPr>
        <w:t xml:space="preserve"> gangrena) atvejus (žr. 4.4 skyrių).</w:t>
      </w:r>
    </w:p>
    <w:p w14:paraId="7136F0A4" w14:textId="77777777" w:rsidR="00E86446" w:rsidRDefault="00E86446">
      <w:pPr>
        <w:rPr>
          <w:sz w:val="22"/>
          <w:szCs w:val="22"/>
        </w:rPr>
      </w:pPr>
    </w:p>
    <w:p w14:paraId="63BAB697" w14:textId="4DB79B69" w:rsidR="00E86446" w:rsidRDefault="00345E63">
      <w:pPr>
        <w:rPr>
          <w:sz w:val="22"/>
          <w:szCs w:val="22"/>
        </w:rPr>
      </w:pPr>
      <w:r>
        <w:rPr>
          <w:sz w:val="22"/>
          <w:szCs w:val="22"/>
        </w:rPr>
        <w:t>DECLARE tyrime dalyvavo 17 160 pacientų, sirgusių 2 tipo cukriniu diabetu. Ekspozicijos trukmės mediana buvo 48 mėn</w:t>
      </w:r>
      <w:r w:rsidR="00841510">
        <w:rPr>
          <w:sz w:val="22"/>
          <w:szCs w:val="22"/>
        </w:rPr>
        <w:t>esiai</w:t>
      </w:r>
      <w:r>
        <w:rPr>
          <w:sz w:val="22"/>
          <w:szCs w:val="22"/>
        </w:rPr>
        <w:t xml:space="preserve">, iš viso užfiksuoti 6 </w:t>
      </w:r>
      <w:proofErr w:type="spellStart"/>
      <w:r>
        <w:rPr>
          <w:sz w:val="22"/>
          <w:szCs w:val="22"/>
        </w:rPr>
        <w:t>Fournier</w:t>
      </w:r>
      <w:proofErr w:type="spellEnd"/>
      <w:r>
        <w:rPr>
          <w:sz w:val="22"/>
          <w:szCs w:val="22"/>
        </w:rPr>
        <w:t xml:space="preserve"> gangrenos atvejai (1 dapagliflozino grupėje ir 5 – placebo).</w:t>
      </w:r>
    </w:p>
    <w:p w14:paraId="0CFBB82B" w14:textId="77777777" w:rsidR="00E86446" w:rsidRDefault="00E86446">
      <w:pPr>
        <w:rPr>
          <w:sz w:val="22"/>
          <w:szCs w:val="22"/>
        </w:rPr>
      </w:pPr>
    </w:p>
    <w:p w14:paraId="2FD50005" w14:textId="77777777" w:rsidR="00E86446" w:rsidRDefault="00345E63">
      <w:pPr>
        <w:rPr>
          <w:i/>
          <w:iCs/>
          <w:sz w:val="22"/>
          <w:szCs w:val="22"/>
        </w:rPr>
      </w:pPr>
      <w:r>
        <w:rPr>
          <w:i/>
          <w:iCs/>
          <w:sz w:val="22"/>
          <w:szCs w:val="22"/>
        </w:rPr>
        <w:t>Hipoglikemija</w:t>
      </w:r>
    </w:p>
    <w:p w14:paraId="196E94B6" w14:textId="77777777" w:rsidR="00E86446" w:rsidRDefault="00345E63">
      <w:pPr>
        <w:rPr>
          <w:sz w:val="22"/>
          <w:szCs w:val="22"/>
        </w:rPr>
      </w:pPr>
      <w:r>
        <w:rPr>
          <w:sz w:val="22"/>
          <w:szCs w:val="22"/>
        </w:rPr>
        <w:t>Hipoglikemijos pasireiškimo dažnis priklausė nuo kitų vaistinių preparatų, vartotų kiekvieno tyrimo metu.</w:t>
      </w:r>
    </w:p>
    <w:p w14:paraId="424BDC3D" w14:textId="77777777" w:rsidR="00E86446" w:rsidRDefault="00E86446">
      <w:pPr>
        <w:rPr>
          <w:sz w:val="22"/>
          <w:szCs w:val="22"/>
        </w:rPr>
      </w:pPr>
    </w:p>
    <w:p w14:paraId="734CECFE" w14:textId="17D1E177" w:rsidR="00E86446" w:rsidRDefault="00345E63">
      <w:pPr>
        <w:rPr>
          <w:sz w:val="22"/>
          <w:szCs w:val="22"/>
        </w:rPr>
      </w:pPr>
      <w:r>
        <w:rPr>
          <w:sz w:val="22"/>
          <w:szCs w:val="22"/>
        </w:rPr>
        <w:t xml:space="preserve">Per 102 dapagliflozino vartojimo papildomam kombinuotam gydymui su </w:t>
      </w:r>
      <w:proofErr w:type="spellStart"/>
      <w:r>
        <w:rPr>
          <w:sz w:val="22"/>
          <w:szCs w:val="22"/>
        </w:rPr>
        <w:t>metforminu</w:t>
      </w:r>
      <w:proofErr w:type="spellEnd"/>
      <w:r>
        <w:rPr>
          <w:sz w:val="22"/>
          <w:szCs w:val="22"/>
        </w:rPr>
        <w:t xml:space="preserve"> arba papildomam kombinuotam gydymui su </w:t>
      </w:r>
      <w:proofErr w:type="spellStart"/>
      <w:r>
        <w:rPr>
          <w:sz w:val="22"/>
          <w:szCs w:val="22"/>
        </w:rPr>
        <w:t>sitagliptinu</w:t>
      </w:r>
      <w:proofErr w:type="spellEnd"/>
      <w:r>
        <w:rPr>
          <w:sz w:val="22"/>
          <w:szCs w:val="22"/>
        </w:rPr>
        <w:t xml:space="preserve"> (kartu dar vartojant </w:t>
      </w:r>
      <w:proofErr w:type="spellStart"/>
      <w:r>
        <w:rPr>
          <w:sz w:val="22"/>
          <w:szCs w:val="22"/>
        </w:rPr>
        <w:t>metformino</w:t>
      </w:r>
      <w:proofErr w:type="spellEnd"/>
      <w:r>
        <w:rPr>
          <w:sz w:val="22"/>
          <w:szCs w:val="22"/>
        </w:rPr>
        <w:t xml:space="preserve"> arba jo nevartojant) savaites lengvų hipoglikemijos epizodų dažnis visų gydymo grupių, įskaitant placebo, pacientams buvo panašus (&lt;</w:t>
      </w:r>
      <w:r w:rsidR="007C4AD3">
        <w:rPr>
          <w:sz w:val="22"/>
          <w:szCs w:val="22"/>
        </w:rPr>
        <w:t> </w:t>
      </w:r>
      <w:r>
        <w:rPr>
          <w:sz w:val="22"/>
          <w:szCs w:val="22"/>
        </w:rPr>
        <w:t>5 %). Visų tyrimų metu stipriai išreikštos hipoglikemijos reiškinių buvo nedažnai, jų dažnis dapagliflozino ir placebo grupių pacientams buvo panašus. Tiriant papildomą kombinuotą gydymą su insulinu, hipoglikemija pasireiškė dažniau (žr. 4.5 skyrių).</w:t>
      </w:r>
    </w:p>
    <w:p w14:paraId="692CCE7F" w14:textId="77777777" w:rsidR="00E86446" w:rsidRDefault="00E86446">
      <w:pPr>
        <w:rPr>
          <w:sz w:val="22"/>
          <w:szCs w:val="22"/>
        </w:rPr>
      </w:pPr>
    </w:p>
    <w:p w14:paraId="76FAD2A6" w14:textId="77777777" w:rsidR="00E86446" w:rsidRDefault="00345E63">
      <w:pPr>
        <w:rPr>
          <w:sz w:val="22"/>
          <w:szCs w:val="22"/>
        </w:rPr>
      </w:pPr>
      <w:r>
        <w:rPr>
          <w:sz w:val="22"/>
          <w:szCs w:val="22"/>
        </w:rPr>
        <w:t>Tyrimo insulino poveikiui papildyti metu stipriai išreikštos hipoglikemijos epizodų per 24 savaites patyrė 0,5 %, o per 104 savaites – 1 % 10 mg dapagliflozino ir insulino derinio grupės pacientų; placebo ir insulino derinio grupėje tokių pacientų buvo po 0,5 %. Lengvos hipoglikemijos epizodų per 24 savaites patyrė 40,3 %, o per 104 savaites – 53,1 % 10 mg dapagliflozino ir insulino derinio grupės pacientų; placebo ir insulino derinio grupėje tokių pacientų buvo atitinkamai 34,0 % ir 41,6 %.</w:t>
      </w:r>
    </w:p>
    <w:p w14:paraId="0F701575" w14:textId="77777777" w:rsidR="00E86446" w:rsidRDefault="00E86446">
      <w:pPr>
        <w:rPr>
          <w:sz w:val="22"/>
          <w:szCs w:val="22"/>
        </w:rPr>
      </w:pPr>
    </w:p>
    <w:p w14:paraId="59F3D363" w14:textId="25F0FAB2"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DECLARE tyrimo metu </w:t>
      </w:r>
      <w:r w:rsidR="004558DA">
        <w:rPr>
          <w:rFonts w:eastAsiaTheme="minorHAnsi"/>
          <w:color w:val="000000"/>
          <w:sz w:val="22"/>
          <w:szCs w:val="22"/>
          <w:lang w:eastAsia="en-US"/>
        </w:rPr>
        <w:t xml:space="preserve">sunkios </w:t>
      </w:r>
      <w:r>
        <w:rPr>
          <w:rFonts w:eastAsiaTheme="minorHAnsi"/>
          <w:color w:val="000000"/>
          <w:sz w:val="22"/>
          <w:szCs w:val="22"/>
          <w:lang w:eastAsia="en-US"/>
        </w:rPr>
        <w:t>hipoglikemijos rizikos padidėjimo vartojant dapagliflozin</w:t>
      </w:r>
      <w:r w:rsidR="004558DA">
        <w:rPr>
          <w:rFonts w:eastAsiaTheme="minorHAnsi"/>
          <w:color w:val="000000"/>
          <w:sz w:val="22"/>
          <w:szCs w:val="22"/>
          <w:lang w:eastAsia="en-US"/>
        </w:rPr>
        <w:t>o</w:t>
      </w:r>
      <w:r>
        <w:rPr>
          <w:rFonts w:eastAsiaTheme="minorHAnsi"/>
          <w:color w:val="000000"/>
          <w:sz w:val="22"/>
          <w:szCs w:val="22"/>
          <w:lang w:eastAsia="en-US"/>
        </w:rPr>
        <w:t xml:space="preserve"> (palyginus su placebu) nenustatyta. </w:t>
      </w:r>
      <w:r w:rsidR="004558DA">
        <w:rPr>
          <w:rFonts w:eastAsiaTheme="minorHAnsi"/>
          <w:color w:val="000000"/>
          <w:sz w:val="22"/>
          <w:szCs w:val="22"/>
          <w:lang w:eastAsia="en-US"/>
        </w:rPr>
        <w:t xml:space="preserve">Sunkios </w:t>
      </w:r>
      <w:r>
        <w:rPr>
          <w:rFonts w:eastAsiaTheme="minorHAnsi"/>
          <w:color w:val="000000"/>
          <w:sz w:val="22"/>
          <w:szCs w:val="22"/>
          <w:lang w:eastAsia="en-US"/>
        </w:rPr>
        <w:t>hipoglikemijos atvejų užfiksuota 58 (0,7</w:t>
      </w:r>
      <w:r w:rsidR="004558DA">
        <w:rPr>
          <w:rFonts w:eastAsiaTheme="minorHAnsi"/>
          <w:color w:val="000000"/>
          <w:sz w:val="22"/>
          <w:szCs w:val="22"/>
          <w:lang w:eastAsia="en-US"/>
        </w:rPr>
        <w:t> </w:t>
      </w:r>
      <w:r>
        <w:rPr>
          <w:rFonts w:eastAsiaTheme="minorHAnsi"/>
          <w:color w:val="000000"/>
          <w:sz w:val="22"/>
          <w:szCs w:val="22"/>
          <w:lang w:eastAsia="en-US"/>
        </w:rPr>
        <w:t>%) dapagliflozin</w:t>
      </w:r>
      <w:r w:rsidR="004558DA">
        <w:rPr>
          <w:rFonts w:eastAsiaTheme="minorHAnsi"/>
          <w:color w:val="000000"/>
          <w:sz w:val="22"/>
          <w:szCs w:val="22"/>
          <w:lang w:eastAsia="en-US"/>
        </w:rPr>
        <w:t>o</w:t>
      </w:r>
      <w:r>
        <w:rPr>
          <w:rFonts w:eastAsiaTheme="minorHAnsi"/>
          <w:color w:val="000000"/>
          <w:sz w:val="22"/>
          <w:szCs w:val="22"/>
          <w:lang w:eastAsia="en-US"/>
        </w:rPr>
        <w:t xml:space="preserve"> ir 83 (1,0</w:t>
      </w:r>
      <w:r w:rsidR="004558DA">
        <w:rPr>
          <w:rFonts w:eastAsiaTheme="minorHAnsi"/>
          <w:color w:val="000000"/>
          <w:sz w:val="22"/>
          <w:szCs w:val="22"/>
          <w:lang w:eastAsia="en-US"/>
        </w:rPr>
        <w:t> </w:t>
      </w:r>
      <w:r>
        <w:rPr>
          <w:rFonts w:eastAsiaTheme="minorHAnsi"/>
          <w:color w:val="000000"/>
          <w:sz w:val="22"/>
          <w:szCs w:val="22"/>
          <w:lang w:eastAsia="en-US"/>
        </w:rPr>
        <w:t>%) placeb</w:t>
      </w:r>
      <w:r w:rsidR="004558DA">
        <w:rPr>
          <w:rFonts w:eastAsiaTheme="minorHAnsi"/>
          <w:color w:val="000000"/>
          <w:sz w:val="22"/>
          <w:szCs w:val="22"/>
          <w:lang w:eastAsia="en-US"/>
        </w:rPr>
        <w:t>o</w:t>
      </w:r>
      <w:r>
        <w:rPr>
          <w:rFonts w:eastAsiaTheme="minorHAnsi"/>
          <w:color w:val="000000"/>
          <w:sz w:val="22"/>
          <w:szCs w:val="22"/>
          <w:lang w:eastAsia="en-US"/>
        </w:rPr>
        <w:t xml:space="preserve"> vartojusiems pacientams.</w:t>
      </w:r>
    </w:p>
    <w:p w14:paraId="7A016B68" w14:textId="77777777" w:rsidR="00E86446" w:rsidRDefault="00E86446">
      <w:pPr>
        <w:autoSpaceDE w:val="0"/>
        <w:autoSpaceDN w:val="0"/>
        <w:adjustRightInd w:val="0"/>
        <w:rPr>
          <w:rFonts w:eastAsiaTheme="minorHAnsi"/>
          <w:color w:val="000000"/>
          <w:sz w:val="22"/>
          <w:szCs w:val="22"/>
          <w:lang w:eastAsia="en-US"/>
        </w:rPr>
      </w:pPr>
    </w:p>
    <w:p w14:paraId="23826AF2" w14:textId="28CE366A" w:rsidR="00E86446" w:rsidRDefault="005C730A">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Kraujo tūrio sumažėjimas</w:t>
      </w:r>
    </w:p>
    <w:p w14:paraId="5D4D8A9F" w14:textId="454812E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13 tyrimų saugumo populiacijoje sumažėjusiam </w:t>
      </w:r>
      <w:r w:rsidR="00C738FA">
        <w:rPr>
          <w:rFonts w:eastAsiaTheme="minorHAnsi"/>
          <w:color w:val="000000"/>
          <w:sz w:val="22"/>
          <w:szCs w:val="22"/>
          <w:lang w:eastAsia="en-US"/>
        </w:rPr>
        <w:t xml:space="preserve">kraujo </w:t>
      </w:r>
      <w:r>
        <w:rPr>
          <w:rFonts w:eastAsiaTheme="minorHAnsi"/>
          <w:color w:val="000000"/>
          <w:sz w:val="22"/>
          <w:szCs w:val="22"/>
          <w:lang w:eastAsia="en-US"/>
        </w:rPr>
        <w:t xml:space="preserve">tūriui būdingų reakcijų (dehidratacija, </w:t>
      </w:r>
      <w:proofErr w:type="spellStart"/>
      <w:r>
        <w:rPr>
          <w:rFonts w:eastAsiaTheme="minorHAnsi"/>
          <w:color w:val="000000"/>
          <w:sz w:val="22"/>
          <w:szCs w:val="22"/>
          <w:lang w:eastAsia="en-US"/>
        </w:rPr>
        <w:t>hipovolemija</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 užfiksuota 1,1 % 10 mg dapagliflozino ir 0,7 % placebo vartojusių asmenų. Sunkių reakcijų pasireiškė &lt; 0,2 % asmenų, jų dažnis 10 mg dapagliflozino ir placeb</w:t>
      </w:r>
      <w:r w:rsidR="00037F10">
        <w:rPr>
          <w:rFonts w:eastAsiaTheme="minorHAnsi"/>
          <w:color w:val="000000"/>
          <w:sz w:val="22"/>
          <w:szCs w:val="22"/>
          <w:lang w:eastAsia="en-US"/>
        </w:rPr>
        <w:t>o</w:t>
      </w:r>
      <w:r>
        <w:rPr>
          <w:rFonts w:eastAsiaTheme="minorHAnsi"/>
          <w:color w:val="000000"/>
          <w:sz w:val="22"/>
          <w:szCs w:val="22"/>
          <w:lang w:eastAsia="en-US"/>
        </w:rPr>
        <w:t xml:space="preserve"> vartojusiems pacientams buvo panašus (žr. 4.4 skyrių).</w:t>
      </w:r>
    </w:p>
    <w:p w14:paraId="02CBE542" w14:textId="77777777" w:rsidR="00E86446" w:rsidRDefault="00E86446">
      <w:pPr>
        <w:autoSpaceDE w:val="0"/>
        <w:autoSpaceDN w:val="0"/>
        <w:adjustRightInd w:val="0"/>
        <w:rPr>
          <w:rFonts w:eastAsiaTheme="minorHAnsi"/>
          <w:color w:val="000000"/>
          <w:sz w:val="22"/>
          <w:szCs w:val="22"/>
          <w:lang w:eastAsia="en-US"/>
        </w:rPr>
      </w:pPr>
    </w:p>
    <w:p w14:paraId="6326D33D" w14:textId="60D0E6F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DECLARE tyrimo metu sumažėjusiam </w:t>
      </w:r>
      <w:r w:rsidR="00037F10">
        <w:rPr>
          <w:rFonts w:eastAsiaTheme="minorHAnsi"/>
          <w:color w:val="000000"/>
          <w:sz w:val="22"/>
          <w:szCs w:val="22"/>
          <w:lang w:eastAsia="en-US"/>
        </w:rPr>
        <w:t xml:space="preserve">kraujo </w:t>
      </w:r>
      <w:r>
        <w:rPr>
          <w:rFonts w:eastAsiaTheme="minorHAnsi"/>
          <w:color w:val="000000"/>
          <w:sz w:val="22"/>
          <w:szCs w:val="22"/>
          <w:lang w:eastAsia="en-US"/>
        </w:rPr>
        <w:t>tūri</w:t>
      </w:r>
      <w:r w:rsidR="00037F10">
        <w:rPr>
          <w:rFonts w:eastAsiaTheme="minorHAnsi"/>
          <w:color w:val="000000"/>
          <w:sz w:val="22"/>
          <w:szCs w:val="22"/>
          <w:lang w:eastAsia="en-US"/>
        </w:rPr>
        <w:t>ui</w:t>
      </w:r>
      <w:r>
        <w:rPr>
          <w:rFonts w:eastAsiaTheme="minorHAnsi"/>
          <w:color w:val="000000"/>
          <w:sz w:val="22"/>
          <w:szCs w:val="22"/>
          <w:lang w:eastAsia="en-US"/>
        </w:rPr>
        <w:t xml:space="preserve"> būdingų reiškinių skaičius gydymo grupėse buvo panašus: jų patyrė atitinkamai 213 (2,5 %) dapagliflozino ir 207 (2,4 %) placebo grupės pacientai. Sunkių nepageidaujamų reiškinių užfiksuota atitinkamai 81 (0,9 %) ir 70 (0,8 %) dapagliflozino ir placebo grupės pacientų. Šių reiškinių skaičius gydymo grupėse pagal amžių, diuretikų vartojimą, kraujospūdį bei AKFI/ARB vartojimą sudarytuose pogrupiuose buvo iš esmės panašus. Pacientams, kurių pradinis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buvo &lt; 60 ml/min./1,73 m</w:t>
      </w:r>
      <w:r>
        <w:rPr>
          <w:rFonts w:eastAsiaTheme="minorHAnsi"/>
          <w:color w:val="000000"/>
          <w:sz w:val="14"/>
          <w:szCs w:val="14"/>
          <w:vertAlign w:val="superscript"/>
          <w:lang w:eastAsia="en-US"/>
        </w:rPr>
        <w:t>2</w:t>
      </w:r>
      <w:r>
        <w:rPr>
          <w:rFonts w:eastAsiaTheme="minorHAnsi"/>
          <w:color w:val="000000"/>
          <w:sz w:val="22"/>
          <w:szCs w:val="22"/>
          <w:lang w:eastAsia="en-US"/>
        </w:rPr>
        <w:t xml:space="preserve">, </w:t>
      </w:r>
      <w:r w:rsidR="006E0AFB">
        <w:rPr>
          <w:rFonts w:eastAsiaTheme="minorHAnsi"/>
          <w:color w:val="000000"/>
          <w:sz w:val="22"/>
          <w:szCs w:val="22"/>
          <w:lang w:eastAsia="en-US"/>
        </w:rPr>
        <w:t xml:space="preserve">kraujo </w:t>
      </w:r>
      <w:r>
        <w:rPr>
          <w:rFonts w:eastAsiaTheme="minorHAnsi"/>
          <w:color w:val="000000"/>
          <w:sz w:val="22"/>
          <w:szCs w:val="22"/>
          <w:lang w:eastAsia="en-US"/>
        </w:rPr>
        <w:t xml:space="preserve">tūrio sumažėjimui būdingų sunkių nepageidaujamų reiškinių dapagliflozino grupėje užfiksuota 19, placebo – 13 </w:t>
      </w:r>
      <w:r w:rsidR="006E0AFB">
        <w:rPr>
          <w:rFonts w:eastAsiaTheme="minorHAnsi"/>
          <w:color w:val="000000"/>
          <w:sz w:val="22"/>
          <w:szCs w:val="22"/>
          <w:lang w:eastAsia="en-US"/>
        </w:rPr>
        <w:t>atvejų</w:t>
      </w:r>
      <w:r>
        <w:rPr>
          <w:rFonts w:eastAsiaTheme="minorHAnsi"/>
          <w:color w:val="000000"/>
          <w:sz w:val="22"/>
          <w:szCs w:val="22"/>
          <w:lang w:eastAsia="en-US"/>
        </w:rPr>
        <w:t>.</w:t>
      </w:r>
    </w:p>
    <w:p w14:paraId="6382C931" w14:textId="77777777" w:rsidR="00E86446" w:rsidRDefault="00E86446">
      <w:pPr>
        <w:autoSpaceDE w:val="0"/>
        <w:autoSpaceDN w:val="0"/>
        <w:adjustRightInd w:val="0"/>
        <w:rPr>
          <w:rFonts w:eastAsiaTheme="minorHAnsi"/>
          <w:i/>
          <w:iCs/>
          <w:color w:val="000000"/>
          <w:sz w:val="22"/>
          <w:szCs w:val="22"/>
          <w:lang w:eastAsia="en-US"/>
        </w:rPr>
      </w:pPr>
    </w:p>
    <w:p w14:paraId="2B6D3B36"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Diabetinė </w:t>
      </w:r>
      <w:proofErr w:type="spellStart"/>
      <w:r>
        <w:rPr>
          <w:rFonts w:eastAsiaTheme="minorHAnsi"/>
          <w:i/>
          <w:iCs/>
          <w:color w:val="000000"/>
          <w:sz w:val="22"/>
          <w:szCs w:val="22"/>
          <w:lang w:eastAsia="en-US"/>
        </w:rPr>
        <w:t>ketoacidozė</w:t>
      </w:r>
      <w:proofErr w:type="spellEnd"/>
      <w:r>
        <w:rPr>
          <w:rFonts w:eastAsiaTheme="minorHAnsi"/>
          <w:i/>
          <w:iCs/>
          <w:color w:val="000000"/>
          <w:sz w:val="22"/>
          <w:szCs w:val="22"/>
          <w:lang w:eastAsia="en-US"/>
        </w:rPr>
        <w:t xml:space="preserve"> </w:t>
      </w:r>
    </w:p>
    <w:p w14:paraId="18855B5D" w14:textId="0E9CD8F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DECLARE tyrimo metu (vartojimo laikotarpio mediana buvo 48 mėn</w:t>
      </w:r>
      <w:r w:rsidR="00F24892">
        <w:rPr>
          <w:rFonts w:eastAsiaTheme="minorHAnsi"/>
          <w:color w:val="000000"/>
          <w:sz w:val="22"/>
          <w:szCs w:val="22"/>
          <w:lang w:eastAsia="en-US"/>
        </w:rPr>
        <w:t>esiai</w:t>
      </w:r>
      <w:r>
        <w:rPr>
          <w:rFonts w:eastAsiaTheme="minorHAnsi"/>
          <w:color w:val="000000"/>
          <w:sz w:val="22"/>
          <w:szCs w:val="22"/>
          <w:lang w:eastAsia="en-US"/>
        </w:rPr>
        <w:t>) DKA reiškinių užfiksuota 27 dapagliflozino 10 mg ir 12 placebo grupės pacientų. Užfiksuoti reiškiniai tolygiai pasiskirstė tyrimo laikotarpiu. 22 iš 27 dapagliflozino grupės pacientų, patyrusių DKA reiškinių, tuo metu vartojo insulin</w:t>
      </w:r>
      <w:r w:rsidR="00F24892">
        <w:rPr>
          <w:rFonts w:eastAsiaTheme="minorHAnsi"/>
          <w:color w:val="000000"/>
          <w:sz w:val="22"/>
          <w:szCs w:val="22"/>
          <w:lang w:eastAsia="en-US"/>
        </w:rPr>
        <w:t>o</w:t>
      </w:r>
      <w:r>
        <w:rPr>
          <w:rFonts w:eastAsiaTheme="minorHAnsi"/>
          <w:color w:val="000000"/>
          <w:sz w:val="22"/>
          <w:szCs w:val="22"/>
          <w:lang w:eastAsia="en-US"/>
        </w:rPr>
        <w:t xml:space="preserve">. DKA pasireiškimą skatino tokie faktoriai, kokių ir </w:t>
      </w:r>
      <w:r w:rsidR="00F24892">
        <w:rPr>
          <w:rFonts w:eastAsiaTheme="minorHAnsi"/>
          <w:color w:val="000000"/>
          <w:sz w:val="22"/>
          <w:szCs w:val="22"/>
          <w:lang w:eastAsia="en-US"/>
        </w:rPr>
        <w:t xml:space="preserve">reikia </w:t>
      </w:r>
      <w:r>
        <w:rPr>
          <w:rFonts w:eastAsiaTheme="minorHAnsi"/>
          <w:color w:val="000000"/>
          <w:sz w:val="22"/>
          <w:szCs w:val="22"/>
          <w:lang w:eastAsia="en-US"/>
        </w:rPr>
        <w:t>tikėtis 2 cukriniu diabetu sergantiems pacientams (žr. 4.4 skyrių).</w:t>
      </w:r>
    </w:p>
    <w:p w14:paraId="4F0EC2F8" w14:textId="77777777" w:rsidR="00E86446" w:rsidRDefault="00E86446">
      <w:pPr>
        <w:autoSpaceDE w:val="0"/>
        <w:autoSpaceDN w:val="0"/>
        <w:adjustRightInd w:val="0"/>
        <w:rPr>
          <w:rFonts w:eastAsiaTheme="minorHAnsi"/>
          <w:color w:val="000000"/>
          <w:sz w:val="22"/>
          <w:szCs w:val="22"/>
          <w:lang w:eastAsia="en-US"/>
        </w:rPr>
      </w:pPr>
    </w:p>
    <w:p w14:paraId="045A892D"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Šlapimo takų infekcijos</w:t>
      </w:r>
    </w:p>
    <w:p w14:paraId="204D3819" w14:textId="047CC814"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13 tyrimų saugumo populiacijos pacientams, vartojusiems10 mg dapagliflozino, šlapimo takų infekcij</w:t>
      </w:r>
      <w:r w:rsidR="00B40509">
        <w:rPr>
          <w:rFonts w:eastAsiaTheme="minorHAnsi"/>
          <w:color w:val="000000"/>
          <w:sz w:val="22"/>
          <w:szCs w:val="22"/>
          <w:lang w:eastAsia="en-US"/>
        </w:rPr>
        <w:t>os</w:t>
      </w:r>
      <w:r>
        <w:rPr>
          <w:rFonts w:eastAsiaTheme="minorHAnsi"/>
          <w:color w:val="000000"/>
          <w:sz w:val="22"/>
          <w:szCs w:val="22"/>
          <w:lang w:eastAsia="en-US"/>
        </w:rPr>
        <w:t xml:space="preserve"> pasireiškė dažniau negu vartojusiems placeb</w:t>
      </w:r>
      <w:r w:rsidR="00B40509">
        <w:rPr>
          <w:rFonts w:eastAsiaTheme="minorHAnsi"/>
          <w:color w:val="000000"/>
          <w:sz w:val="22"/>
          <w:szCs w:val="22"/>
          <w:lang w:eastAsia="en-US"/>
        </w:rPr>
        <w:t>o</w:t>
      </w:r>
      <w:r>
        <w:rPr>
          <w:rFonts w:eastAsiaTheme="minorHAnsi"/>
          <w:color w:val="000000"/>
          <w:sz w:val="22"/>
          <w:szCs w:val="22"/>
          <w:lang w:eastAsia="en-US"/>
        </w:rPr>
        <w:t xml:space="preserve"> (jų dažnis buvo atitinkamai 4,7 % ir 3,5 %, žr. 4.4 skyrių). Dauguma šių infekcijų buvo lengvo ar vidutinio sunkumo, jas patyrusiems asmenims </w:t>
      </w:r>
      <w:r w:rsidR="003561FB">
        <w:rPr>
          <w:rFonts w:eastAsiaTheme="minorHAnsi"/>
          <w:color w:val="000000"/>
          <w:sz w:val="22"/>
          <w:szCs w:val="22"/>
          <w:lang w:eastAsia="en-US"/>
        </w:rPr>
        <w:t xml:space="preserve">buvo </w:t>
      </w:r>
      <w:r>
        <w:rPr>
          <w:rFonts w:eastAsiaTheme="minorHAnsi"/>
          <w:color w:val="000000"/>
          <w:sz w:val="22"/>
          <w:szCs w:val="22"/>
          <w:lang w:eastAsia="en-US"/>
        </w:rPr>
        <w:t>veiksmingas pradinis įprastinio gydymo kursas, dapagliflozino vartojimą dėl jų tekdavo nutraukti retai. Tokių infekcijų dažniau pasirei</w:t>
      </w:r>
      <w:r w:rsidR="003561FB">
        <w:rPr>
          <w:rFonts w:eastAsiaTheme="minorHAnsi"/>
          <w:color w:val="000000"/>
          <w:sz w:val="22"/>
          <w:szCs w:val="22"/>
          <w:lang w:eastAsia="en-US"/>
        </w:rPr>
        <w:t>škė</w:t>
      </w:r>
      <w:r>
        <w:rPr>
          <w:rFonts w:eastAsiaTheme="minorHAnsi"/>
          <w:color w:val="000000"/>
          <w:sz w:val="22"/>
          <w:szCs w:val="22"/>
          <w:lang w:eastAsia="en-US"/>
        </w:rPr>
        <w:t xml:space="preserve"> moterims, infekcijos pasikartojimo tikimybė taip pat buvo didesnė anksčiau jomis sirgusiems asmenims.</w:t>
      </w:r>
    </w:p>
    <w:p w14:paraId="4D6DEC20" w14:textId="77777777" w:rsidR="00E86446" w:rsidRDefault="00E86446">
      <w:pPr>
        <w:autoSpaceDE w:val="0"/>
        <w:autoSpaceDN w:val="0"/>
        <w:adjustRightInd w:val="0"/>
        <w:rPr>
          <w:rFonts w:eastAsiaTheme="minorHAnsi"/>
          <w:color w:val="000000"/>
          <w:sz w:val="22"/>
          <w:szCs w:val="22"/>
          <w:lang w:eastAsia="en-US"/>
        </w:rPr>
      </w:pPr>
    </w:p>
    <w:p w14:paraId="0D0867B0" w14:textId="42146C9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DECLARE tyrimo metu sunkių šlapimo takų infekcijų reiškinių 10 mg dapagliflozino vartojusiems pacientams pasireiškė rečiau negu vartojusiems placeb</w:t>
      </w:r>
      <w:r w:rsidR="003561FB">
        <w:rPr>
          <w:rFonts w:eastAsiaTheme="minorHAnsi"/>
          <w:color w:val="000000"/>
          <w:sz w:val="22"/>
          <w:szCs w:val="22"/>
          <w:lang w:eastAsia="en-US"/>
        </w:rPr>
        <w:t>o</w:t>
      </w:r>
      <w:r>
        <w:rPr>
          <w:rFonts w:eastAsiaTheme="minorHAnsi"/>
          <w:color w:val="000000"/>
          <w:sz w:val="22"/>
          <w:szCs w:val="22"/>
          <w:lang w:eastAsia="en-US"/>
        </w:rPr>
        <w:t xml:space="preserve"> – užfiksuoti atitinkamai 79 (0,9 %) ir 109 (1,3 %) jų atvejai.</w:t>
      </w:r>
    </w:p>
    <w:p w14:paraId="167E792C" w14:textId="77777777" w:rsidR="00E86446" w:rsidRDefault="00E86446">
      <w:pPr>
        <w:autoSpaceDE w:val="0"/>
        <w:autoSpaceDN w:val="0"/>
        <w:adjustRightInd w:val="0"/>
        <w:rPr>
          <w:rFonts w:eastAsiaTheme="minorHAnsi"/>
          <w:color w:val="000000"/>
          <w:sz w:val="22"/>
          <w:szCs w:val="22"/>
          <w:lang w:eastAsia="en-US"/>
        </w:rPr>
      </w:pPr>
    </w:p>
    <w:p w14:paraId="0CFB433C" w14:textId="24961DEB" w:rsidR="00E86446" w:rsidRDefault="00E52B34">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Padidėjusi kreatinino koncentracija</w:t>
      </w:r>
    </w:p>
    <w:p w14:paraId="1E4F1BC2" w14:textId="20F18C9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Nepageidaujamos reakcijos į vaist</w:t>
      </w:r>
      <w:r w:rsidR="00E52B34">
        <w:rPr>
          <w:rFonts w:eastAsiaTheme="minorHAnsi"/>
          <w:color w:val="000000"/>
          <w:sz w:val="22"/>
          <w:szCs w:val="22"/>
          <w:lang w:eastAsia="en-US"/>
        </w:rPr>
        <w:t>inį preparatą</w:t>
      </w:r>
      <w:r>
        <w:rPr>
          <w:rFonts w:eastAsiaTheme="minorHAnsi"/>
          <w:color w:val="000000"/>
          <w:sz w:val="22"/>
          <w:szCs w:val="22"/>
          <w:lang w:eastAsia="en-US"/>
        </w:rPr>
        <w:t xml:space="preserve">, susijusios su kreatinino </w:t>
      </w:r>
      <w:r w:rsidR="00E52B34">
        <w:rPr>
          <w:rFonts w:eastAsiaTheme="minorHAnsi"/>
          <w:color w:val="000000"/>
          <w:sz w:val="22"/>
          <w:szCs w:val="22"/>
          <w:lang w:eastAsia="en-US"/>
        </w:rPr>
        <w:t xml:space="preserve">koncentracijos padidėjimu </w:t>
      </w:r>
      <w:r>
        <w:rPr>
          <w:rFonts w:eastAsiaTheme="minorHAnsi"/>
          <w:color w:val="000000"/>
          <w:sz w:val="22"/>
          <w:szCs w:val="22"/>
          <w:lang w:eastAsia="en-US"/>
        </w:rPr>
        <w:t>(pvz., sumažėjęs kreatinino inkstų klirensas, sutrikusi inkstų funkcija, padidėj</w:t>
      </w:r>
      <w:r w:rsidR="00E52B34">
        <w:rPr>
          <w:rFonts w:eastAsiaTheme="minorHAnsi"/>
          <w:color w:val="000000"/>
          <w:sz w:val="22"/>
          <w:szCs w:val="22"/>
          <w:lang w:eastAsia="en-US"/>
        </w:rPr>
        <w:t>usi</w:t>
      </w:r>
      <w:r>
        <w:rPr>
          <w:rFonts w:eastAsiaTheme="minorHAnsi"/>
          <w:color w:val="000000"/>
          <w:sz w:val="22"/>
          <w:szCs w:val="22"/>
          <w:lang w:eastAsia="en-US"/>
        </w:rPr>
        <w:t xml:space="preserve"> kreatinino </w:t>
      </w:r>
      <w:r w:rsidR="00E52B34">
        <w:rPr>
          <w:rFonts w:eastAsiaTheme="minorHAnsi"/>
          <w:color w:val="000000"/>
          <w:sz w:val="22"/>
          <w:szCs w:val="22"/>
          <w:lang w:eastAsia="en-US"/>
        </w:rPr>
        <w:t xml:space="preserve">koncentracija </w:t>
      </w:r>
      <w:r>
        <w:rPr>
          <w:rFonts w:eastAsiaTheme="minorHAnsi"/>
          <w:color w:val="000000"/>
          <w:sz w:val="22"/>
          <w:szCs w:val="22"/>
          <w:lang w:eastAsia="en-US"/>
        </w:rPr>
        <w:t xml:space="preserve">kraujyje ir sumažėjęs </w:t>
      </w:r>
      <w:proofErr w:type="spellStart"/>
      <w:r>
        <w:rPr>
          <w:rFonts w:eastAsiaTheme="minorHAnsi"/>
          <w:color w:val="000000"/>
          <w:sz w:val="22"/>
          <w:szCs w:val="22"/>
          <w:lang w:eastAsia="en-US"/>
        </w:rPr>
        <w:t>glomerulų</w:t>
      </w:r>
      <w:proofErr w:type="spellEnd"/>
      <w:r>
        <w:rPr>
          <w:rFonts w:eastAsiaTheme="minorHAnsi"/>
          <w:color w:val="000000"/>
          <w:sz w:val="22"/>
          <w:szCs w:val="22"/>
          <w:lang w:eastAsia="en-US"/>
        </w:rPr>
        <w:t xml:space="preserve"> filtracijos greitis) pasirei</w:t>
      </w:r>
      <w:r w:rsidR="00E52B34">
        <w:rPr>
          <w:rFonts w:eastAsiaTheme="minorHAnsi"/>
          <w:color w:val="000000"/>
          <w:sz w:val="22"/>
          <w:szCs w:val="22"/>
          <w:lang w:eastAsia="en-US"/>
        </w:rPr>
        <w:t>škė</w:t>
      </w:r>
      <w:r>
        <w:rPr>
          <w:rFonts w:eastAsiaTheme="minorHAnsi"/>
          <w:color w:val="000000"/>
          <w:sz w:val="22"/>
          <w:szCs w:val="22"/>
          <w:lang w:eastAsia="en-US"/>
        </w:rPr>
        <w:t xml:space="preserve"> grupėmis – </w:t>
      </w:r>
      <w:r w:rsidR="00E52B34">
        <w:rPr>
          <w:rFonts w:eastAsiaTheme="minorHAnsi"/>
          <w:color w:val="000000"/>
          <w:sz w:val="22"/>
          <w:szCs w:val="22"/>
          <w:lang w:eastAsia="en-US"/>
        </w:rPr>
        <w:t>atitinkamai</w:t>
      </w:r>
      <w:r>
        <w:rPr>
          <w:rFonts w:eastAsiaTheme="minorHAnsi"/>
          <w:color w:val="000000"/>
          <w:sz w:val="22"/>
          <w:szCs w:val="22"/>
          <w:lang w:eastAsia="en-US"/>
        </w:rPr>
        <w:t xml:space="preserve"> 3,2 % 10 mg dapagliflozino ir 1,8 % placebo vartojusių pacientų. </w:t>
      </w:r>
      <w:r w:rsidR="00734087">
        <w:rPr>
          <w:rFonts w:eastAsiaTheme="minorHAnsi"/>
          <w:color w:val="000000"/>
          <w:sz w:val="22"/>
          <w:szCs w:val="22"/>
          <w:lang w:eastAsia="en-US"/>
        </w:rPr>
        <w:t>Jie pasireiškė</w:t>
      </w:r>
      <w:r>
        <w:rPr>
          <w:rFonts w:eastAsiaTheme="minorHAnsi"/>
          <w:color w:val="000000"/>
          <w:sz w:val="22"/>
          <w:szCs w:val="22"/>
          <w:lang w:eastAsia="en-US"/>
        </w:rPr>
        <w:t xml:space="preserve"> 1,3 % 10 mg dapagliflozino ir 0,8 % placebo vartojusių pacientų, kurių inkstų funkcija buvo normali arba nesmarkiai sutrikusi (pradinis apskaičiuotas </w:t>
      </w:r>
      <w:proofErr w:type="spellStart"/>
      <w:r>
        <w:rPr>
          <w:rFonts w:eastAsiaTheme="minorHAnsi"/>
          <w:color w:val="000000"/>
          <w:sz w:val="22"/>
          <w:szCs w:val="22"/>
          <w:lang w:eastAsia="en-US"/>
        </w:rPr>
        <w:t>glomerulų</w:t>
      </w:r>
      <w:proofErr w:type="spellEnd"/>
      <w:r>
        <w:rPr>
          <w:rFonts w:eastAsiaTheme="minorHAnsi"/>
          <w:color w:val="000000"/>
          <w:sz w:val="22"/>
          <w:szCs w:val="22"/>
          <w:lang w:eastAsia="en-US"/>
        </w:rPr>
        <w:t xml:space="preserve"> filtracijos greitis ≥</w:t>
      </w:r>
      <w:r w:rsidR="00734087">
        <w:rPr>
          <w:rFonts w:eastAsiaTheme="minorHAnsi"/>
          <w:color w:val="000000"/>
          <w:sz w:val="22"/>
          <w:szCs w:val="22"/>
          <w:lang w:eastAsia="en-US"/>
        </w:rPr>
        <w:t> </w:t>
      </w:r>
      <w:r>
        <w:rPr>
          <w:rFonts w:eastAsiaTheme="minorHAnsi"/>
          <w:color w:val="000000"/>
          <w:sz w:val="22"/>
          <w:szCs w:val="22"/>
          <w:lang w:eastAsia="en-US"/>
        </w:rPr>
        <w:t>60 ml/min./1,73 m</w:t>
      </w:r>
      <w:r>
        <w:rPr>
          <w:rFonts w:eastAsiaTheme="minorHAnsi"/>
          <w:color w:val="000000"/>
          <w:sz w:val="14"/>
          <w:szCs w:val="14"/>
          <w:vertAlign w:val="superscript"/>
          <w:lang w:eastAsia="en-US"/>
        </w:rPr>
        <w:t>2</w:t>
      </w:r>
      <w:r>
        <w:rPr>
          <w:rFonts w:eastAsiaTheme="minorHAnsi"/>
          <w:color w:val="000000"/>
          <w:sz w:val="22"/>
          <w:szCs w:val="22"/>
          <w:lang w:eastAsia="en-US"/>
        </w:rPr>
        <w:t xml:space="preserve">). Šios reakcijos buvo dažnesnės (18,5 % vartojusių 10 mg dapagliflozino ir 9,3 % vartojusių placebo) pacientams, kurių pradinis apskaičiuotas </w:t>
      </w:r>
      <w:proofErr w:type="spellStart"/>
      <w:r>
        <w:rPr>
          <w:rFonts w:eastAsiaTheme="minorHAnsi"/>
          <w:color w:val="000000"/>
          <w:sz w:val="22"/>
          <w:szCs w:val="22"/>
          <w:lang w:eastAsia="en-US"/>
        </w:rPr>
        <w:t>glomerulų</w:t>
      </w:r>
      <w:proofErr w:type="spellEnd"/>
      <w:r>
        <w:rPr>
          <w:rFonts w:eastAsiaTheme="minorHAnsi"/>
          <w:color w:val="000000"/>
          <w:sz w:val="22"/>
          <w:szCs w:val="22"/>
          <w:lang w:eastAsia="en-US"/>
        </w:rPr>
        <w:t xml:space="preserve"> filtracijos greitis buvo nuo ≥ 30 iki &lt; 60 ml/min./1,73 m</w:t>
      </w:r>
      <w:r>
        <w:rPr>
          <w:rFonts w:eastAsiaTheme="minorHAnsi"/>
          <w:color w:val="000000"/>
          <w:sz w:val="14"/>
          <w:szCs w:val="14"/>
          <w:vertAlign w:val="superscript"/>
          <w:lang w:eastAsia="en-US"/>
        </w:rPr>
        <w:t>2</w:t>
      </w:r>
      <w:r>
        <w:rPr>
          <w:rFonts w:eastAsiaTheme="minorHAnsi"/>
          <w:color w:val="000000"/>
          <w:sz w:val="22"/>
          <w:szCs w:val="22"/>
          <w:lang w:eastAsia="en-US"/>
        </w:rPr>
        <w:t>.</w:t>
      </w:r>
    </w:p>
    <w:p w14:paraId="5BE8957A" w14:textId="77777777" w:rsidR="00E86446" w:rsidRDefault="00E86446">
      <w:pPr>
        <w:autoSpaceDE w:val="0"/>
        <w:autoSpaceDN w:val="0"/>
        <w:adjustRightInd w:val="0"/>
        <w:rPr>
          <w:rFonts w:eastAsiaTheme="minorHAnsi"/>
          <w:color w:val="000000"/>
          <w:sz w:val="22"/>
          <w:szCs w:val="22"/>
          <w:lang w:eastAsia="en-US"/>
        </w:rPr>
      </w:pPr>
    </w:p>
    <w:p w14:paraId="04BB4569" w14:textId="43FF6DD4"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Tolesnis su inkst</w:t>
      </w:r>
      <w:r w:rsidR="00734087">
        <w:rPr>
          <w:rFonts w:eastAsiaTheme="minorHAnsi"/>
          <w:color w:val="000000"/>
          <w:sz w:val="22"/>
          <w:szCs w:val="22"/>
          <w:lang w:eastAsia="en-US"/>
        </w:rPr>
        <w:t>ų funkcija</w:t>
      </w:r>
      <w:r>
        <w:rPr>
          <w:rFonts w:eastAsiaTheme="minorHAnsi"/>
          <w:color w:val="000000"/>
          <w:sz w:val="22"/>
          <w:szCs w:val="22"/>
          <w:lang w:eastAsia="en-US"/>
        </w:rPr>
        <w:t xml:space="preserve"> susijusių nepageidaujamų reiškinių patyrusių pacientų vertinimas parodė, kad kreatinino </w:t>
      </w:r>
      <w:r w:rsidR="00734087">
        <w:rPr>
          <w:rFonts w:eastAsiaTheme="minorHAnsi"/>
          <w:color w:val="000000"/>
          <w:sz w:val="22"/>
          <w:szCs w:val="22"/>
          <w:lang w:eastAsia="en-US"/>
        </w:rPr>
        <w:t xml:space="preserve">koncentracijos </w:t>
      </w:r>
      <w:r>
        <w:rPr>
          <w:rFonts w:eastAsiaTheme="minorHAnsi"/>
          <w:color w:val="000000"/>
          <w:sz w:val="22"/>
          <w:szCs w:val="22"/>
          <w:lang w:eastAsia="en-US"/>
        </w:rPr>
        <w:t>pokytis daugumos jų serume, palyginus su pradiniu, buvo ≤</w:t>
      </w:r>
      <w:r w:rsidR="00734087">
        <w:rPr>
          <w:rFonts w:eastAsiaTheme="minorHAnsi"/>
          <w:color w:val="000000"/>
          <w:sz w:val="22"/>
          <w:szCs w:val="22"/>
          <w:lang w:eastAsia="en-US"/>
        </w:rPr>
        <w:t> </w:t>
      </w:r>
      <w:r>
        <w:rPr>
          <w:rFonts w:eastAsiaTheme="minorHAnsi"/>
          <w:color w:val="000000"/>
          <w:sz w:val="22"/>
          <w:szCs w:val="22"/>
          <w:lang w:eastAsia="en-US"/>
        </w:rPr>
        <w:t>44 </w:t>
      </w:r>
      <w:proofErr w:type="spellStart"/>
      <w:r>
        <w:rPr>
          <w:rFonts w:eastAsiaTheme="minorHAnsi"/>
          <w:color w:val="000000"/>
          <w:sz w:val="22"/>
          <w:szCs w:val="22"/>
          <w:lang w:eastAsia="en-US"/>
        </w:rPr>
        <w:t>mikromolių</w:t>
      </w:r>
      <w:proofErr w:type="spellEnd"/>
      <w:r>
        <w:rPr>
          <w:rFonts w:eastAsiaTheme="minorHAnsi"/>
          <w:color w:val="000000"/>
          <w:sz w:val="22"/>
          <w:szCs w:val="22"/>
          <w:lang w:eastAsia="en-US"/>
        </w:rPr>
        <w:t>/l (≤</w:t>
      </w:r>
      <w:r w:rsidR="00734087">
        <w:rPr>
          <w:rFonts w:eastAsiaTheme="minorHAnsi"/>
          <w:color w:val="000000"/>
          <w:sz w:val="22"/>
          <w:szCs w:val="22"/>
          <w:lang w:eastAsia="en-US"/>
        </w:rPr>
        <w:t> </w:t>
      </w:r>
      <w:r>
        <w:rPr>
          <w:rFonts w:eastAsiaTheme="minorHAnsi"/>
          <w:color w:val="000000"/>
          <w:sz w:val="22"/>
          <w:szCs w:val="22"/>
          <w:lang w:eastAsia="en-US"/>
        </w:rPr>
        <w:t xml:space="preserve">0,5 mg/dl). Kreatinino </w:t>
      </w:r>
      <w:r w:rsidR="00734087">
        <w:rPr>
          <w:rFonts w:eastAsiaTheme="minorHAnsi"/>
          <w:color w:val="000000"/>
          <w:sz w:val="22"/>
          <w:szCs w:val="22"/>
          <w:lang w:eastAsia="en-US"/>
        </w:rPr>
        <w:t>koncentracijos padidėjimas</w:t>
      </w:r>
      <w:r>
        <w:rPr>
          <w:rFonts w:eastAsiaTheme="minorHAnsi"/>
          <w:color w:val="000000"/>
          <w:sz w:val="22"/>
          <w:szCs w:val="22"/>
          <w:lang w:eastAsia="en-US"/>
        </w:rPr>
        <w:t xml:space="preserve"> nepertraukiamo gydymo metu dažniausiai b</w:t>
      </w:r>
      <w:r w:rsidR="00734087">
        <w:rPr>
          <w:rFonts w:eastAsiaTheme="minorHAnsi"/>
          <w:color w:val="000000"/>
          <w:sz w:val="22"/>
          <w:szCs w:val="22"/>
          <w:lang w:eastAsia="en-US"/>
        </w:rPr>
        <w:t>uvo</w:t>
      </w:r>
      <w:r>
        <w:rPr>
          <w:rFonts w:eastAsiaTheme="minorHAnsi"/>
          <w:color w:val="000000"/>
          <w:sz w:val="22"/>
          <w:szCs w:val="22"/>
          <w:lang w:eastAsia="en-US"/>
        </w:rPr>
        <w:t xml:space="preserve"> trumpalaikis arba </w:t>
      </w:r>
      <w:proofErr w:type="spellStart"/>
      <w:r w:rsidR="00734087">
        <w:rPr>
          <w:rFonts w:eastAsiaTheme="minorHAnsi"/>
          <w:color w:val="000000"/>
          <w:sz w:val="22"/>
          <w:szCs w:val="22"/>
          <w:lang w:eastAsia="en-US"/>
        </w:rPr>
        <w:t>išbyko</w:t>
      </w:r>
      <w:proofErr w:type="spellEnd"/>
      <w:r w:rsidR="00734087">
        <w:rPr>
          <w:rFonts w:eastAsiaTheme="minorHAnsi"/>
          <w:color w:val="000000"/>
          <w:sz w:val="22"/>
          <w:szCs w:val="22"/>
          <w:lang w:eastAsia="en-US"/>
        </w:rPr>
        <w:t xml:space="preserve"> </w:t>
      </w:r>
      <w:r>
        <w:rPr>
          <w:rFonts w:eastAsiaTheme="minorHAnsi"/>
          <w:color w:val="000000"/>
          <w:sz w:val="22"/>
          <w:szCs w:val="22"/>
          <w:lang w:eastAsia="en-US"/>
        </w:rPr>
        <w:t>nutraukus</w:t>
      </w:r>
      <w:r w:rsidR="00734087">
        <w:rPr>
          <w:rFonts w:eastAsiaTheme="minorHAnsi"/>
          <w:color w:val="000000"/>
          <w:sz w:val="22"/>
          <w:szCs w:val="22"/>
          <w:lang w:eastAsia="en-US"/>
        </w:rPr>
        <w:t xml:space="preserve"> gydymą</w:t>
      </w:r>
      <w:r>
        <w:rPr>
          <w:rFonts w:eastAsiaTheme="minorHAnsi"/>
          <w:color w:val="000000"/>
          <w:sz w:val="22"/>
          <w:szCs w:val="22"/>
          <w:lang w:eastAsia="en-US"/>
        </w:rPr>
        <w:t>.</w:t>
      </w:r>
    </w:p>
    <w:p w14:paraId="1F6289B0" w14:textId="77777777" w:rsidR="00E86446" w:rsidRDefault="00E86446">
      <w:pPr>
        <w:autoSpaceDE w:val="0"/>
        <w:autoSpaceDN w:val="0"/>
        <w:adjustRightInd w:val="0"/>
        <w:rPr>
          <w:rFonts w:eastAsiaTheme="minorHAnsi"/>
          <w:color w:val="000000"/>
          <w:sz w:val="22"/>
          <w:szCs w:val="22"/>
          <w:lang w:eastAsia="en-US"/>
        </w:rPr>
      </w:pPr>
    </w:p>
    <w:p w14:paraId="2248F5CA" w14:textId="48D0EE1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DECLARE tyrimo, kuriame dalyvavo senyvi ir sutrikusią inkstų funkciją (</w:t>
      </w:r>
      <w:proofErr w:type="spellStart"/>
      <w:r>
        <w:rPr>
          <w:rFonts w:eastAsiaTheme="minorHAnsi"/>
          <w:color w:val="000000"/>
          <w:sz w:val="22"/>
          <w:szCs w:val="22"/>
          <w:lang w:eastAsia="en-US"/>
        </w:rPr>
        <w:t>aGFG</w:t>
      </w:r>
      <w:proofErr w:type="spellEnd"/>
      <w:r w:rsidR="00734087">
        <w:rPr>
          <w:rFonts w:eastAsiaTheme="minorHAnsi"/>
          <w:color w:val="000000"/>
          <w:sz w:val="22"/>
          <w:szCs w:val="22"/>
          <w:lang w:eastAsia="en-US"/>
        </w:rPr>
        <w:t> </w:t>
      </w:r>
      <w:r>
        <w:rPr>
          <w:rFonts w:eastAsiaTheme="minorHAnsi"/>
          <w:color w:val="000000"/>
          <w:sz w:val="22"/>
          <w:szCs w:val="22"/>
          <w:lang w:eastAsia="en-US"/>
        </w:rPr>
        <w:t>&lt;</w:t>
      </w:r>
      <w:r w:rsidR="00734087">
        <w:rPr>
          <w:rFonts w:eastAsiaTheme="minorHAnsi"/>
          <w:color w:val="000000"/>
          <w:sz w:val="22"/>
          <w:szCs w:val="22"/>
          <w:lang w:eastAsia="en-US"/>
        </w:rPr>
        <w:t> </w:t>
      </w:r>
      <w:r>
        <w:rPr>
          <w:rFonts w:eastAsiaTheme="minorHAnsi"/>
          <w:color w:val="000000"/>
          <w:sz w:val="22"/>
          <w:szCs w:val="22"/>
          <w:lang w:eastAsia="en-US"/>
        </w:rPr>
        <w:t>60 ml/min./1,73 m</w:t>
      </w:r>
      <w:r>
        <w:rPr>
          <w:rFonts w:eastAsiaTheme="minorHAnsi"/>
          <w:color w:val="000000"/>
          <w:sz w:val="14"/>
          <w:szCs w:val="14"/>
          <w:vertAlign w:val="superscript"/>
          <w:lang w:eastAsia="en-US"/>
        </w:rPr>
        <w:t>2</w:t>
      </w:r>
      <w:r>
        <w:rPr>
          <w:rFonts w:eastAsiaTheme="minorHAnsi"/>
          <w:color w:val="000000"/>
          <w:sz w:val="22"/>
          <w:szCs w:val="22"/>
          <w:lang w:eastAsia="en-US"/>
        </w:rPr>
        <w:t>) tur</w:t>
      </w:r>
      <w:r w:rsidR="00E94861">
        <w:rPr>
          <w:rFonts w:eastAsiaTheme="minorHAnsi"/>
          <w:color w:val="000000"/>
          <w:sz w:val="22"/>
          <w:szCs w:val="22"/>
          <w:lang w:eastAsia="en-US"/>
        </w:rPr>
        <w:t>intys</w:t>
      </w:r>
      <w:r>
        <w:rPr>
          <w:rFonts w:eastAsiaTheme="minorHAnsi"/>
          <w:color w:val="000000"/>
          <w:sz w:val="22"/>
          <w:szCs w:val="22"/>
          <w:lang w:eastAsia="en-US"/>
        </w:rPr>
        <w:t xml:space="preserve"> pacientai, metu laikui bėgant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mažėjo abejose grupėse. Dapagliflozino grupės pacientų vidutinis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po 1 metų buvo šiek tiek mažesnis, o po 4 metų – šiek tiek didesnis negu placebo.</w:t>
      </w:r>
    </w:p>
    <w:p w14:paraId="6409F97B" w14:textId="77777777" w:rsidR="00E86446" w:rsidRDefault="00E86446">
      <w:pPr>
        <w:rPr>
          <w:sz w:val="22"/>
          <w:szCs w:val="22"/>
        </w:rPr>
      </w:pPr>
    </w:p>
    <w:p w14:paraId="6DB4DF3D" w14:textId="77777777" w:rsidR="00E86446" w:rsidRDefault="00345E63">
      <w:pPr>
        <w:widowControl w:val="0"/>
        <w:tabs>
          <w:tab w:val="left" w:pos="567"/>
        </w:tabs>
        <w:spacing w:line="260" w:lineRule="exact"/>
        <w:jc w:val="both"/>
        <w:rPr>
          <w:sz w:val="22"/>
          <w:szCs w:val="22"/>
          <w:u w:val="single"/>
          <w:lang w:eastAsia="en-US"/>
        </w:rPr>
      </w:pPr>
      <w:r>
        <w:rPr>
          <w:sz w:val="22"/>
          <w:szCs w:val="22"/>
          <w:u w:val="single"/>
          <w:lang w:eastAsia="en-US"/>
        </w:rPr>
        <w:t>Pranešimas apie įtariamas nepageidaujamas reakcijas</w:t>
      </w:r>
    </w:p>
    <w:p w14:paraId="4EE51528" w14:textId="77777777" w:rsidR="00E86446" w:rsidRDefault="00345E63">
      <w:pPr>
        <w:widowControl w:val="0"/>
        <w:tabs>
          <w:tab w:val="left" w:pos="567"/>
        </w:tabs>
        <w:spacing w:line="260" w:lineRule="exact"/>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eastAsia="en-US"/>
        </w:rPr>
        <w:t>https://vvkt.lrv.lt/lt/</w:t>
      </w:r>
      <w:r>
        <w:rPr>
          <w:sz w:val="22"/>
          <w:szCs w:val="22"/>
          <w:lang w:eastAsia="en-US"/>
        </w:rPr>
        <w:t xml:space="preserve"> nurodytais būdais.</w:t>
      </w:r>
    </w:p>
    <w:p w14:paraId="45696BE2" w14:textId="77777777" w:rsidR="00E86446" w:rsidRDefault="00E86446">
      <w:pPr>
        <w:rPr>
          <w:sz w:val="22"/>
          <w:szCs w:val="22"/>
        </w:rPr>
      </w:pPr>
    </w:p>
    <w:p w14:paraId="785C9A76" w14:textId="77777777" w:rsidR="00E86446" w:rsidRDefault="00345E63">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139E8726" w14:textId="77777777" w:rsidR="00E86446" w:rsidRDefault="00E86446">
      <w:pPr>
        <w:rPr>
          <w:sz w:val="22"/>
          <w:szCs w:val="22"/>
        </w:rPr>
      </w:pPr>
    </w:p>
    <w:p w14:paraId="43B36E08" w14:textId="77777777" w:rsidR="00E86446" w:rsidRDefault="00345E63">
      <w:pPr>
        <w:rPr>
          <w:sz w:val="22"/>
          <w:szCs w:val="22"/>
        </w:rPr>
      </w:pPr>
      <w:r>
        <w:rPr>
          <w:sz w:val="22"/>
          <w:szCs w:val="22"/>
        </w:rPr>
        <w:t xml:space="preserve">Dapagliflozino šalinimas hemodializės būdu netirtas. Veiksmingiausias būdas laktatui ir </w:t>
      </w:r>
      <w:proofErr w:type="spellStart"/>
      <w:r>
        <w:rPr>
          <w:sz w:val="22"/>
          <w:szCs w:val="22"/>
        </w:rPr>
        <w:t>metforminui</w:t>
      </w:r>
      <w:proofErr w:type="spellEnd"/>
      <w:r>
        <w:rPr>
          <w:sz w:val="22"/>
          <w:szCs w:val="22"/>
        </w:rPr>
        <w:t xml:space="preserve"> šalinti yra hemodializė.</w:t>
      </w:r>
    </w:p>
    <w:p w14:paraId="55910FB5" w14:textId="77777777" w:rsidR="00E86446" w:rsidRDefault="00E86446">
      <w:pPr>
        <w:rPr>
          <w:sz w:val="22"/>
          <w:szCs w:val="22"/>
        </w:rPr>
      </w:pPr>
    </w:p>
    <w:p w14:paraId="391474B0" w14:textId="77777777" w:rsidR="00E86446" w:rsidRDefault="00345E63">
      <w:pPr>
        <w:rPr>
          <w:sz w:val="22"/>
          <w:szCs w:val="22"/>
          <w:u w:val="single"/>
        </w:rPr>
      </w:pPr>
      <w:r>
        <w:rPr>
          <w:sz w:val="22"/>
          <w:szCs w:val="22"/>
          <w:u w:val="single"/>
        </w:rPr>
        <w:t>Dapagliflozinas</w:t>
      </w:r>
    </w:p>
    <w:p w14:paraId="60CD46EC" w14:textId="1BFE87FE" w:rsidR="00E86446" w:rsidRDefault="00345E63">
      <w:pPr>
        <w:rPr>
          <w:sz w:val="22"/>
          <w:szCs w:val="22"/>
        </w:rPr>
      </w:pPr>
      <w:r>
        <w:rPr>
          <w:sz w:val="22"/>
          <w:szCs w:val="22"/>
        </w:rPr>
        <w:t>Vienkartinės iki 500</w:t>
      </w:r>
      <w:r w:rsidR="0049571C">
        <w:rPr>
          <w:sz w:val="22"/>
          <w:szCs w:val="22"/>
        </w:rPr>
        <w:t> </w:t>
      </w:r>
      <w:r>
        <w:rPr>
          <w:sz w:val="22"/>
          <w:szCs w:val="22"/>
        </w:rPr>
        <w:t xml:space="preserve">mg dapagliflozino dozės per burną (pastaroji yra 50 kartų didesnė už didžiausią rekomenduojamą žmogui) toksinio poveikio sveikiems žmonėms nesukėlė. Su doze susijusį laikotarpį (pavartojus 500 mg – bent 5 paras) jų šlapime buvo randama gliukozės, pranešimų apie dehidrataciją, </w:t>
      </w:r>
      <w:proofErr w:type="spellStart"/>
      <w:r>
        <w:rPr>
          <w:sz w:val="22"/>
          <w:szCs w:val="22"/>
        </w:rPr>
        <w:t>hipotenziją</w:t>
      </w:r>
      <w:proofErr w:type="spellEnd"/>
      <w:r>
        <w:rPr>
          <w:sz w:val="22"/>
          <w:szCs w:val="22"/>
        </w:rPr>
        <w:t xml:space="preserve"> ar sutrikusią elektrolitų pusiausvyrą negauta, klini</w:t>
      </w:r>
      <w:r w:rsidR="0049571C">
        <w:rPr>
          <w:sz w:val="22"/>
          <w:szCs w:val="22"/>
        </w:rPr>
        <w:t>š</w:t>
      </w:r>
      <w:r>
        <w:rPr>
          <w:sz w:val="22"/>
          <w:szCs w:val="22"/>
        </w:rPr>
        <w:t>kai reikšmingo poveikio koreguotam QT intervalui nebuvo. Hipoglikemijos pasireiškimo dažnis buvo panašus kaip vartojant placeb</w:t>
      </w:r>
      <w:r w:rsidR="00FA562A">
        <w:rPr>
          <w:sz w:val="22"/>
          <w:szCs w:val="22"/>
        </w:rPr>
        <w:t>o</w:t>
      </w:r>
      <w:r>
        <w:rPr>
          <w:sz w:val="22"/>
          <w:szCs w:val="22"/>
        </w:rPr>
        <w:t>. Klinikinių tyrimų metu sveikiems ir 2 tipo cukriniu diabetu sergantiems asmenims 2 savaites vartojus vienkartines iki 100</w:t>
      </w:r>
      <w:r w:rsidR="00F32145">
        <w:rPr>
          <w:sz w:val="22"/>
          <w:szCs w:val="22"/>
        </w:rPr>
        <w:t> </w:t>
      </w:r>
      <w:r>
        <w:rPr>
          <w:sz w:val="22"/>
          <w:szCs w:val="22"/>
        </w:rPr>
        <w:t xml:space="preserve">mg dozes (pastaroji yra 10 kartų didesnė už didžiausią rekomenduojamą žmogui), hipoglikemija </w:t>
      </w:r>
      <w:r>
        <w:rPr>
          <w:sz w:val="22"/>
          <w:szCs w:val="22"/>
        </w:rPr>
        <w:lastRenderedPageBreak/>
        <w:t>pasireiškė šiek tiek dažniau negu vartojant placeb</w:t>
      </w:r>
      <w:r w:rsidR="00F32145">
        <w:rPr>
          <w:sz w:val="22"/>
          <w:szCs w:val="22"/>
        </w:rPr>
        <w:t>o</w:t>
      </w:r>
      <w:r>
        <w:rPr>
          <w:sz w:val="22"/>
          <w:szCs w:val="22"/>
        </w:rPr>
        <w:t xml:space="preserve"> ir neturėjo ryšio su doze. Nepageidaujamų reiškinių, įskaitant dehidrataciją ir </w:t>
      </w:r>
      <w:proofErr w:type="spellStart"/>
      <w:r>
        <w:rPr>
          <w:sz w:val="22"/>
          <w:szCs w:val="22"/>
        </w:rPr>
        <w:t>hipotenziją</w:t>
      </w:r>
      <w:proofErr w:type="spellEnd"/>
      <w:r>
        <w:rPr>
          <w:sz w:val="22"/>
          <w:szCs w:val="22"/>
        </w:rPr>
        <w:t>, dažniai buvo panašūs kaip vartojant placeb</w:t>
      </w:r>
      <w:r w:rsidR="00F32145">
        <w:rPr>
          <w:sz w:val="22"/>
          <w:szCs w:val="22"/>
        </w:rPr>
        <w:t>o</w:t>
      </w:r>
      <w:r>
        <w:rPr>
          <w:sz w:val="22"/>
          <w:szCs w:val="22"/>
        </w:rPr>
        <w:t>, klini</w:t>
      </w:r>
      <w:r w:rsidR="00F32145">
        <w:rPr>
          <w:sz w:val="22"/>
          <w:szCs w:val="22"/>
        </w:rPr>
        <w:t>š</w:t>
      </w:r>
      <w:r>
        <w:rPr>
          <w:sz w:val="22"/>
          <w:szCs w:val="22"/>
        </w:rPr>
        <w:t>kai reikšmingų su doze susijusių laboratorinių rodiklių (elektrolitų koncentracijos serume ir biologinių inkstų funkcijos rodiklių) pokyčių nebuvo.</w:t>
      </w:r>
    </w:p>
    <w:p w14:paraId="3E26B469" w14:textId="77777777" w:rsidR="00E86446" w:rsidRDefault="00E86446">
      <w:pPr>
        <w:rPr>
          <w:sz w:val="22"/>
          <w:szCs w:val="22"/>
        </w:rPr>
      </w:pPr>
    </w:p>
    <w:p w14:paraId="6DE3F077" w14:textId="77777777" w:rsidR="00E86446" w:rsidRDefault="00345E63">
      <w:pPr>
        <w:rPr>
          <w:sz w:val="22"/>
          <w:szCs w:val="22"/>
        </w:rPr>
      </w:pPr>
      <w:r>
        <w:rPr>
          <w:sz w:val="22"/>
          <w:szCs w:val="22"/>
        </w:rPr>
        <w:t>Perdozavusiam pacientui reikia taikyti atitinkamą palaikomąjį gydymą atsižvelgiant į jo klinikinę būklę.</w:t>
      </w:r>
    </w:p>
    <w:p w14:paraId="5C8CFAA4" w14:textId="77777777" w:rsidR="00E86446" w:rsidRDefault="00E86446">
      <w:pPr>
        <w:rPr>
          <w:sz w:val="22"/>
          <w:szCs w:val="22"/>
        </w:rPr>
      </w:pPr>
    </w:p>
    <w:p w14:paraId="277857B2" w14:textId="77777777" w:rsidR="00E86446" w:rsidRDefault="00345E63">
      <w:pPr>
        <w:rPr>
          <w:sz w:val="22"/>
          <w:szCs w:val="22"/>
          <w:u w:val="single"/>
        </w:rPr>
      </w:pPr>
      <w:r>
        <w:rPr>
          <w:sz w:val="22"/>
          <w:szCs w:val="22"/>
          <w:u w:val="single"/>
        </w:rPr>
        <w:t>Metforminas</w:t>
      </w:r>
    </w:p>
    <w:p w14:paraId="4EC913A4" w14:textId="77777777" w:rsidR="00E86446" w:rsidRDefault="00345E63">
      <w:pPr>
        <w:rPr>
          <w:sz w:val="22"/>
          <w:szCs w:val="22"/>
        </w:rPr>
      </w:pPr>
      <w:r>
        <w:rPr>
          <w:sz w:val="22"/>
          <w:szCs w:val="22"/>
        </w:rPr>
        <w:t xml:space="preserve">Didelis </w:t>
      </w:r>
      <w:proofErr w:type="spellStart"/>
      <w:r>
        <w:rPr>
          <w:sz w:val="22"/>
          <w:szCs w:val="22"/>
        </w:rPr>
        <w:t>metformino</w:t>
      </w:r>
      <w:proofErr w:type="spellEnd"/>
      <w:r>
        <w:rPr>
          <w:sz w:val="22"/>
          <w:szCs w:val="22"/>
        </w:rPr>
        <w:t xml:space="preserve"> perdozavimas ar su juo susiję sutrikimai gali sukelti pieno rūgšties </w:t>
      </w:r>
      <w:proofErr w:type="spellStart"/>
      <w:r>
        <w:rPr>
          <w:sz w:val="22"/>
          <w:szCs w:val="22"/>
        </w:rPr>
        <w:t>acidozę</w:t>
      </w:r>
      <w:proofErr w:type="spellEnd"/>
      <w:r>
        <w:rPr>
          <w:sz w:val="22"/>
          <w:szCs w:val="22"/>
        </w:rPr>
        <w:t xml:space="preserve">. Pieno rūgšties </w:t>
      </w:r>
      <w:proofErr w:type="spellStart"/>
      <w:r>
        <w:rPr>
          <w:sz w:val="22"/>
          <w:szCs w:val="22"/>
        </w:rPr>
        <w:t>acidozė</w:t>
      </w:r>
      <w:proofErr w:type="spellEnd"/>
      <w:r>
        <w:rPr>
          <w:sz w:val="22"/>
          <w:szCs w:val="22"/>
        </w:rPr>
        <w:t xml:space="preserve"> yra skubios medicininės pagalbos reikalaujanti būklė, kurią reikia gydyti ligoninėje.</w:t>
      </w:r>
      <w:r>
        <w:rPr>
          <w:sz w:val="22"/>
          <w:szCs w:val="22"/>
        </w:rPr>
        <w:cr/>
      </w:r>
    </w:p>
    <w:p w14:paraId="13035B77" w14:textId="77777777" w:rsidR="00E86446" w:rsidRDefault="00E86446">
      <w:pPr>
        <w:rPr>
          <w:sz w:val="22"/>
          <w:szCs w:val="22"/>
        </w:rPr>
      </w:pPr>
    </w:p>
    <w:p w14:paraId="02D89264" w14:textId="77777777" w:rsidR="00E86446" w:rsidRDefault="00345E63">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4974B59C" w14:textId="77777777" w:rsidR="00E86446" w:rsidRDefault="00E86446">
      <w:pPr>
        <w:widowControl w:val="0"/>
        <w:ind w:left="567" w:hanging="567"/>
        <w:rPr>
          <w:sz w:val="22"/>
          <w:szCs w:val="22"/>
          <w:lang w:eastAsia="en-US"/>
        </w:rPr>
      </w:pPr>
    </w:p>
    <w:p w14:paraId="1D67ECC1" w14:textId="77777777" w:rsidR="00E86446" w:rsidRDefault="00345E63">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36F272BE" w14:textId="77777777" w:rsidR="00E86446" w:rsidRDefault="00E86446">
      <w:pPr>
        <w:widowControl w:val="0"/>
        <w:ind w:left="567" w:hanging="567"/>
        <w:rPr>
          <w:sz w:val="22"/>
          <w:szCs w:val="22"/>
          <w:lang w:eastAsia="en-US"/>
        </w:rPr>
      </w:pPr>
    </w:p>
    <w:p w14:paraId="0E28B992" w14:textId="724E6E61" w:rsidR="00E86446" w:rsidRDefault="00345E63">
      <w:pPr>
        <w:widowControl w:val="0"/>
        <w:autoSpaceDE w:val="0"/>
        <w:autoSpaceDN w:val="0"/>
        <w:adjustRightInd w:val="0"/>
        <w:rPr>
          <w:sz w:val="22"/>
          <w:szCs w:val="22"/>
        </w:rPr>
      </w:pPr>
      <w:proofErr w:type="spellStart"/>
      <w:r>
        <w:rPr>
          <w:sz w:val="22"/>
          <w:szCs w:val="22"/>
        </w:rPr>
        <w:t>Farmakoterapinė</w:t>
      </w:r>
      <w:proofErr w:type="spellEnd"/>
      <w:r>
        <w:rPr>
          <w:sz w:val="22"/>
          <w:szCs w:val="22"/>
        </w:rPr>
        <w:t xml:space="preserve"> grupė – vaist</w:t>
      </w:r>
      <w:r w:rsidR="00502654">
        <w:rPr>
          <w:sz w:val="22"/>
          <w:szCs w:val="22"/>
        </w:rPr>
        <w:t>iniai preparatai</w:t>
      </w:r>
      <w:r>
        <w:rPr>
          <w:sz w:val="22"/>
          <w:szCs w:val="22"/>
        </w:rPr>
        <w:t xml:space="preserve"> cukrinio diabeto</w:t>
      </w:r>
      <w:r w:rsidR="00502654">
        <w:rPr>
          <w:sz w:val="22"/>
          <w:szCs w:val="22"/>
        </w:rPr>
        <w:t xml:space="preserve"> gydymui</w:t>
      </w:r>
      <w:r>
        <w:rPr>
          <w:sz w:val="22"/>
          <w:szCs w:val="22"/>
        </w:rPr>
        <w:t>, geriamųjų gliukozės koncentraciją kraujyje mažinančių vaist</w:t>
      </w:r>
      <w:r w:rsidR="00502654">
        <w:rPr>
          <w:sz w:val="22"/>
          <w:szCs w:val="22"/>
        </w:rPr>
        <w:t>inių preparatų</w:t>
      </w:r>
      <w:r>
        <w:rPr>
          <w:sz w:val="22"/>
          <w:szCs w:val="22"/>
        </w:rPr>
        <w:t xml:space="preserve"> deriniai, ATC kodas – A10BD15.</w:t>
      </w:r>
    </w:p>
    <w:p w14:paraId="4B63C1A6" w14:textId="77777777" w:rsidR="00E86446" w:rsidRDefault="00E86446">
      <w:pPr>
        <w:widowControl w:val="0"/>
        <w:autoSpaceDE w:val="0"/>
        <w:autoSpaceDN w:val="0"/>
        <w:adjustRightInd w:val="0"/>
        <w:rPr>
          <w:sz w:val="22"/>
          <w:szCs w:val="22"/>
        </w:rPr>
      </w:pPr>
    </w:p>
    <w:p w14:paraId="3657875C" w14:textId="2DED99AC" w:rsidR="00EA5AFC" w:rsidRDefault="00EA5AFC">
      <w:pPr>
        <w:widowControl w:val="0"/>
        <w:autoSpaceDE w:val="0"/>
        <w:autoSpaceDN w:val="0"/>
        <w:adjustRightInd w:val="0"/>
        <w:rPr>
          <w:sz w:val="22"/>
          <w:szCs w:val="22"/>
          <w:u w:val="single"/>
        </w:rPr>
      </w:pPr>
      <w:r>
        <w:rPr>
          <w:sz w:val="22"/>
          <w:szCs w:val="22"/>
          <w:u w:val="single"/>
        </w:rPr>
        <w:t>Veikimo mechanizmas</w:t>
      </w:r>
    </w:p>
    <w:p w14:paraId="33D73B25" w14:textId="45ED6909" w:rsidR="00EA5AFC" w:rsidRDefault="0062090D">
      <w:pPr>
        <w:widowControl w:val="0"/>
        <w:autoSpaceDE w:val="0"/>
        <w:autoSpaceDN w:val="0"/>
        <w:adjustRightInd w:val="0"/>
        <w:rPr>
          <w:sz w:val="22"/>
          <w:szCs w:val="22"/>
        </w:rPr>
      </w:pPr>
      <w:proofErr w:type="spellStart"/>
      <w:r w:rsidRPr="0073443F">
        <w:rPr>
          <w:sz w:val="22"/>
          <w:szCs w:val="22"/>
        </w:rPr>
        <w:t>Mexdagry</w:t>
      </w:r>
      <w:proofErr w:type="spellEnd"/>
      <w:r>
        <w:rPr>
          <w:sz w:val="22"/>
          <w:szCs w:val="22"/>
        </w:rPr>
        <w:t xml:space="preserve"> sudėtyje yra du </w:t>
      </w:r>
      <w:proofErr w:type="spellStart"/>
      <w:r w:rsidR="005D6309">
        <w:rPr>
          <w:sz w:val="22"/>
          <w:szCs w:val="22"/>
        </w:rPr>
        <w:t>hipohlikeminiai</w:t>
      </w:r>
      <w:proofErr w:type="spellEnd"/>
      <w:r w:rsidR="005D6309">
        <w:rPr>
          <w:sz w:val="22"/>
          <w:szCs w:val="22"/>
        </w:rPr>
        <w:t xml:space="preserve"> vaistiniai preparatai, pasižymintys skirtingais vieną kitą papildančiais veikimo mechanizmais, siekiant gerinti </w:t>
      </w:r>
      <w:proofErr w:type="spellStart"/>
      <w:r w:rsidR="005D6309">
        <w:rPr>
          <w:sz w:val="22"/>
          <w:szCs w:val="22"/>
        </w:rPr>
        <w:t>glikemijos</w:t>
      </w:r>
      <w:proofErr w:type="spellEnd"/>
      <w:r w:rsidR="005D6309">
        <w:rPr>
          <w:sz w:val="22"/>
          <w:szCs w:val="22"/>
        </w:rPr>
        <w:t xml:space="preserve"> kontrolę pacientams, sergantiems 2 tipo cukriniu diabetu: </w:t>
      </w:r>
      <w:r w:rsidR="00203DED">
        <w:rPr>
          <w:sz w:val="22"/>
          <w:szCs w:val="22"/>
        </w:rPr>
        <w:t xml:space="preserve">dapagliflozinas, SGLT2 inhibitorius ir </w:t>
      </w:r>
      <w:proofErr w:type="spellStart"/>
      <w:r w:rsidR="00203DED">
        <w:rPr>
          <w:sz w:val="22"/>
          <w:szCs w:val="22"/>
        </w:rPr>
        <w:t>metformino</w:t>
      </w:r>
      <w:proofErr w:type="spellEnd"/>
      <w:r w:rsidR="00203DED">
        <w:rPr>
          <w:sz w:val="22"/>
          <w:szCs w:val="22"/>
        </w:rPr>
        <w:t xml:space="preserve"> hidrochloridas, </w:t>
      </w:r>
      <w:proofErr w:type="spellStart"/>
      <w:r w:rsidR="00203DED">
        <w:rPr>
          <w:sz w:val="22"/>
          <w:szCs w:val="22"/>
        </w:rPr>
        <w:t>biguanidų</w:t>
      </w:r>
      <w:proofErr w:type="spellEnd"/>
      <w:r w:rsidR="00203DED">
        <w:rPr>
          <w:sz w:val="22"/>
          <w:szCs w:val="22"/>
        </w:rPr>
        <w:t xml:space="preserve"> klasės vaistinis preparatas</w:t>
      </w:r>
      <w:r w:rsidR="005F4E23">
        <w:rPr>
          <w:sz w:val="22"/>
          <w:szCs w:val="22"/>
        </w:rPr>
        <w:t>.</w:t>
      </w:r>
      <w:r w:rsidR="00203DED">
        <w:rPr>
          <w:sz w:val="22"/>
          <w:szCs w:val="22"/>
        </w:rPr>
        <w:t xml:space="preserve"> </w:t>
      </w:r>
    </w:p>
    <w:p w14:paraId="5E08B336" w14:textId="1FE57E12" w:rsidR="00203DED" w:rsidRPr="0062090D" w:rsidRDefault="00203DED">
      <w:pPr>
        <w:widowControl w:val="0"/>
        <w:autoSpaceDE w:val="0"/>
        <w:autoSpaceDN w:val="0"/>
        <w:adjustRightInd w:val="0"/>
        <w:rPr>
          <w:sz w:val="22"/>
          <w:szCs w:val="22"/>
        </w:rPr>
      </w:pPr>
    </w:p>
    <w:p w14:paraId="4D08CC34" w14:textId="77777777" w:rsidR="00E86446" w:rsidRDefault="00345E63">
      <w:pPr>
        <w:widowControl w:val="0"/>
        <w:autoSpaceDE w:val="0"/>
        <w:autoSpaceDN w:val="0"/>
        <w:adjustRightInd w:val="0"/>
        <w:rPr>
          <w:i/>
          <w:iCs/>
          <w:sz w:val="22"/>
          <w:szCs w:val="22"/>
          <w:u w:val="single"/>
        </w:rPr>
      </w:pPr>
      <w:r>
        <w:rPr>
          <w:i/>
          <w:iCs/>
          <w:sz w:val="22"/>
          <w:szCs w:val="22"/>
          <w:u w:val="single"/>
        </w:rPr>
        <w:t>Dapagliflozinas</w:t>
      </w:r>
    </w:p>
    <w:p w14:paraId="658ECAFE" w14:textId="3FE36A64" w:rsidR="00E86446" w:rsidRDefault="00345E63">
      <w:pPr>
        <w:widowControl w:val="0"/>
        <w:autoSpaceDE w:val="0"/>
        <w:autoSpaceDN w:val="0"/>
        <w:adjustRightInd w:val="0"/>
        <w:rPr>
          <w:sz w:val="22"/>
          <w:szCs w:val="22"/>
        </w:rPr>
      </w:pPr>
      <w:r>
        <w:rPr>
          <w:sz w:val="22"/>
          <w:szCs w:val="22"/>
        </w:rPr>
        <w:t>Dapagliflozinas yra labai stipraus (</w:t>
      </w:r>
      <w:proofErr w:type="spellStart"/>
      <w:r>
        <w:rPr>
          <w:sz w:val="22"/>
          <w:szCs w:val="22"/>
        </w:rPr>
        <w:t>Ki</w:t>
      </w:r>
      <w:proofErr w:type="spellEnd"/>
      <w:r>
        <w:rPr>
          <w:sz w:val="22"/>
          <w:szCs w:val="22"/>
        </w:rPr>
        <w:t xml:space="preserve"> – 0,55</w:t>
      </w:r>
      <w:r w:rsidR="003B25BD">
        <w:rPr>
          <w:sz w:val="22"/>
          <w:szCs w:val="22"/>
        </w:rPr>
        <w:t> </w:t>
      </w:r>
      <w:proofErr w:type="spellStart"/>
      <w:r>
        <w:rPr>
          <w:sz w:val="22"/>
          <w:szCs w:val="22"/>
        </w:rPr>
        <w:t>nM</w:t>
      </w:r>
      <w:proofErr w:type="spellEnd"/>
      <w:r>
        <w:rPr>
          <w:sz w:val="22"/>
          <w:szCs w:val="22"/>
        </w:rPr>
        <w:t>), selektyvaus ir laikino veikimo SGLT2 inhibitorius.</w:t>
      </w:r>
    </w:p>
    <w:p w14:paraId="320E65E4" w14:textId="77777777" w:rsidR="00E86446" w:rsidRDefault="00E86446">
      <w:pPr>
        <w:widowControl w:val="0"/>
        <w:autoSpaceDE w:val="0"/>
        <w:autoSpaceDN w:val="0"/>
        <w:adjustRightInd w:val="0"/>
        <w:rPr>
          <w:sz w:val="22"/>
          <w:szCs w:val="22"/>
        </w:rPr>
      </w:pPr>
    </w:p>
    <w:p w14:paraId="6D6799B7" w14:textId="77777777" w:rsidR="00E86446" w:rsidRDefault="00345E63">
      <w:pPr>
        <w:widowControl w:val="0"/>
        <w:autoSpaceDE w:val="0"/>
        <w:autoSpaceDN w:val="0"/>
        <w:adjustRightInd w:val="0"/>
        <w:rPr>
          <w:sz w:val="22"/>
          <w:szCs w:val="22"/>
        </w:rPr>
      </w:pPr>
      <w:r>
        <w:rPr>
          <w:sz w:val="22"/>
          <w:szCs w:val="22"/>
        </w:rPr>
        <w:t xml:space="preserve">Dapagliflozinui slopinant SGLT2, iš </w:t>
      </w:r>
      <w:proofErr w:type="spellStart"/>
      <w:r>
        <w:rPr>
          <w:sz w:val="22"/>
          <w:szCs w:val="22"/>
        </w:rPr>
        <w:t>glomerulų</w:t>
      </w:r>
      <w:proofErr w:type="spellEnd"/>
      <w:r>
        <w:rPr>
          <w:sz w:val="22"/>
          <w:szCs w:val="22"/>
        </w:rPr>
        <w:t xml:space="preserve"> filtrato proksimaliniuose inkstų kanalėliuose </w:t>
      </w:r>
      <w:proofErr w:type="spellStart"/>
      <w:r>
        <w:rPr>
          <w:sz w:val="22"/>
          <w:szCs w:val="22"/>
        </w:rPr>
        <w:t>reabsorbuojama</w:t>
      </w:r>
      <w:proofErr w:type="spellEnd"/>
      <w:r>
        <w:rPr>
          <w:sz w:val="22"/>
          <w:szCs w:val="22"/>
        </w:rPr>
        <w:t xml:space="preserve"> mažiau gliukozės. Kartu sumažėja natrio reabsorbcija, todėl gliukozė šalinama su šlapimu ir pasireiškia osmosinė diurezė. Tuomet veikiant dapagliflozinui daugiau natrio patenka į distalinius kanalėlius, sustiprėja </w:t>
      </w:r>
      <w:proofErr w:type="spellStart"/>
      <w:r>
        <w:rPr>
          <w:sz w:val="22"/>
          <w:szCs w:val="22"/>
        </w:rPr>
        <w:t>tubuloglomerulinis</w:t>
      </w:r>
      <w:proofErr w:type="spellEnd"/>
      <w:r>
        <w:rPr>
          <w:sz w:val="22"/>
          <w:szCs w:val="22"/>
        </w:rPr>
        <w:t xml:space="preserve"> grįžtamasis ryšys ir sumažėja slėgis </w:t>
      </w:r>
      <w:proofErr w:type="spellStart"/>
      <w:r>
        <w:rPr>
          <w:sz w:val="22"/>
          <w:szCs w:val="22"/>
        </w:rPr>
        <w:t>glomeruluose</w:t>
      </w:r>
      <w:proofErr w:type="spellEnd"/>
      <w:r>
        <w:rPr>
          <w:sz w:val="22"/>
          <w:szCs w:val="22"/>
        </w:rPr>
        <w:t>.</w:t>
      </w:r>
    </w:p>
    <w:p w14:paraId="3A810308" w14:textId="3ABE0DC3" w:rsidR="00E86446" w:rsidRDefault="00345E63">
      <w:pPr>
        <w:widowControl w:val="0"/>
        <w:autoSpaceDE w:val="0"/>
        <w:autoSpaceDN w:val="0"/>
        <w:adjustRightInd w:val="0"/>
        <w:rPr>
          <w:sz w:val="22"/>
          <w:szCs w:val="22"/>
        </w:rPr>
      </w:pPr>
      <w:r>
        <w:rPr>
          <w:sz w:val="22"/>
          <w:szCs w:val="22"/>
        </w:rPr>
        <w:t xml:space="preserve">Dėl šios priežasties ir osmosinės diurezės sumažėja perkrova tūriu, kraujospūdis, </w:t>
      </w:r>
      <w:proofErr w:type="spellStart"/>
      <w:r>
        <w:rPr>
          <w:sz w:val="22"/>
          <w:szCs w:val="22"/>
        </w:rPr>
        <w:t>prieškrūvis</w:t>
      </w:r>
      <w:proofErr w:type="spellEnd"/>
      <w:r>
        <w:rPr>
          <w:sz w:val="22"/>
          <w:szCs w:val="22"/>
        </w:rPr>
        <w:t xml:space="preserve"> ir </w:t>
      </w:r>
      <w:proofErr w:type="spellStart"/>
      <w:r>
        <w:rPr>
          <w:sz w:val="22"/>
          <w:szCs w:val="22"/>
        </w:rPr>
        <w:t>pokrūvis</w:t>
      </w:r>
      <w:proofErr w:type="spellEnd"/>
      <w:r>
        <w:rPr>
          <w:sz w:val="22"/>
          <w:szCs w:val="22"/>
        </w:rPr>
        <w:t xml:space="preserve">, o tai gali palankiai veikti širdies </w:t>
      </w:r>
      <w:proofErr w:type="spellStart"/>
      <w:r>
        <w:rPr>
          <w:sz w:val="22"/>
          <w:szCs w:val="22"/>
        </w:rPr>
        <w:t>remodeliavimą</w:t>
      </w:r>
      <w:proofErr w:type="spellEnd"/>
      <w:r>
        <w:rPr>
          <w:sz w:val="22"/>
          <w:szCs w:val="22"/>
        </w:rPr>
        <w:t xml:space="preserve"> ir </w:t>
      </w:r>
      <w:proofErr w:type="spellStart"/>
      <w:r>
        <w:rPr>
          <w:sz w:val="22"/>
          <w:szCs w:val="22"/>
        </w:rPr>
        <w:t>diastolinę</w:t>
      </w:r>
      <w:proofErr w:type="spellEnd"/>
      <w:r>
        <w:rPr>
          <w:sz w:val="22"/>
          <w:szCs w:val="22"/>
        </w:rPr>
        <w:t xml:space="preserve"> funkciją bei apsaugoti inkstų funkciją. Taigi, dapagliflozino palankų poveikį širdžiai ir inkstams nulemia ne vien gliukozės koncentracijos </w:t>
      </w:r>
      <w:r w:rsidR="00FF3863">
        <w:rPr>
          <w:sz w:val="22"/>
          <w:szCs w:val="22"/>
        </w:rPr>
        <w:t xml:space="preserve">kraujyje </w:t>
      </w:r>
      <w:r>
        <w:rPr>
          <w:sz w:val="22"/>
          <w:szCs w:val="22"/>
        </w:rPr>
        <w:t xml:space="preserve">mažinimas. Be to, padidėja </w:t>
      </w:r>
      <w:proofErr w:type="spellStart"/>
      <w:r>
        <w:rPr>
          <w:sz w:val="22"/>
          <w:szCs w:val="22"/>
        </w:rPr>
        <w:t>hematokritas</w:t>
      </w:r>
      <w:proofErr w:type="spellEnd"/>
      <w:r>
        <w:rPr>
          <w:sz w:val="22"/>
          <w:szCs w:val="22"/>
        </w:rPr>
        <w:t xml:space="preserve"> ir sumažėja kūno svoris.</w:t>
      </w:r>
    </w:p>
    <w:p w14:paraId="025E25FF" w14:textId="77777777" w:rsidR="00E86446" w:rsidRDefault="00E86446">
      <w:pPr>
        <w:widowControl w:val="0"/>
        <w:autoSpaceDE w:val="0"/>
        <w:autoSpaceDN w:val="0"/>
        <w:adjustRightInd w:val="0"/>
        <w:rPr>
          <w:sz w:val="22"/>
          <w:szCs w:val="22"/>
        </w:rPr>
      </w:pPr>
    </w:p>
    <w:p w14:paraId="70E4642D" w14:textId="12755C4B" w:rsidR="00E86446" w:rsidRDefault="00345E63">
      <w:pPr>
        <w:widowControl w:val="0"/>
        <w:autoSpaceDE w:val="0"/>
        <w:autoSpaceDN w:val="0"/>
        <w:adjustRightInd w:val="0"/>
        <w:rPr>
          <w:sz w:val="22"/>
          <w:szCs w:val="22"/>
        </w:rPr>
      </w:pPr>
      <w:r>
        <w:rPr>
          <w:sz w:val="22"/>
          <w:szCs w:val="22"/>
        </w:rPr>
        <w:t>Dapagliflozinas mažina gliukozės reabsorbciją inkstuose ir nulemia jos išskyrimą su šlapimu, todėl mažina gliukozės koncentraciją plazmoje nevalgius ir po valgio. Šis gliukozės išskyrimas (</w:t>
      </w:r>
      <w:proofErr w:type="spellStart"/>
      <w:r>
        <w:rPr>
          <w:sz w:val="22"/>
          <w:szCs w:val="22"/>
        </w:rPr>
        <w:t>gliukurezinis</w:t>
      </w:r>
      <w:proofErr w:type="spellEnd"/>
      <w:r>
        <w:rPr>
          <w:sz w:val="22"/>
          <w:szCs w:val="22"/>
        </w:rPr>
        <w:t xml:space="preserve"> poveikis) pastebimas po pirmos dozės, tęsiasi visą 24 val</w:t>
      </w:r>
      <w:r w:rsidR="00472E3E">
        <w:rPr>
          <w:sz w:val="22"/>
          <w:szCs w:val="22"/>
        </w:rPr>
        <w:t>andų</w:t>
      </w:r>
      <w:r>
        <w:rPr>
          <w:sz w:val="22"/>
          <w:szCs w:val="22"/>
        </w:rPr>
        <w:t xml:space="preserve"> vartojimo intervalą ir išlieka</w:t>
      </w:r>
      <w:r w:rsidR="00EE23B6">
        <w:rPr>
          <w:sz w:val="22"/>
          <w:szCs w:val="22"/>
        </w:rPr>
        <w:t>,</w:t>
      </w:r>
      <w:r>
        <w:rPr>
          <w:sz w:val="22"/>
          <w:szCs w:val="22"/>
        </w:rPr>
        <w:t xml:space="preserve"> kol taikomas gydymas. Tokiu būdu inkstų pašalinamas gliukozės kiekis priklauso nuo jos koncentracijos kraujyje ir </w:t>
      </w:r>
      <w:proofErr w:type="spellStart"/>
      <w:r>
        <w:rPr>
          <w:sz w:val="22"/>
          <w:szCs w:val="22"/>
        </w:rPr>
        <w:t>glomerulų</w:t>
      </w:r>
      <w:proofErr w:type="spellEnd"/>
      <w:r>
        <w:rPr>
          <w:sz w:val="22"/>
          <w:szCs w:val="22"/>
        </w:rPr>
        <w:t xml:space="preserve"> filtracijos greičio. Dėl to žmonėms, kurių kraujyje gliukozės koncentracija normali, dapagliflozino sukeliamos hipoglikemijos tikimybė yra maža. Dapagliflozinas netrikdo normalios endogeninės gliukozės gamybos reaguojant į hipoglikemiją, jo poveikis nepriklauso nuo insulino sekrecijos ir insulino veikimo. Dapagliflozino klinikinių tyrimų metu pagerėjimas taip pat nustatytas tiriant beta ląstelių funkcijos homeostazės vertinimo modeliu (beta ląstelių HOMA).</w:t>
      </w:r>
    </w:p>
    <w:p w14:paraId="04E40991" w14:textId="3B62542E" w:rsidR="00E86446" w:rsidRDefault="00345E63">
      <w:pPr>
        <w:widowControl w:val="0"/>
        <w:autoSpaceDE w:val="0"/>
        <w:autoSpaceDN w:val="0"/>
        <w:adjustRightInd w:val="0"/>
        <w:rPr>
          <w:sz w:val="22"/>
          <w:szCs w:val="22"/>
        </w:rPr>
      </w:pPr>
      <w:r>
        <w:rPr>
          <w:sz w:val="22"/>
          <w:szCs w:val="22"/>
        </w:rPr>
        <w:t xml:space="preserve">SGLT2 yra selektyviai </w:t>
      </w:r>
      <w:proofErr w:type="spellStart"/>
      <w:r w:rsidR="008722DD">
        <w:rPr>
          <w:sz w:val="22"/>
          <w:szCs w:val="22"/>
        </w:rPr>
        <w:t>ekspresuojamas</w:t>
      </w:r>
      <w:proofErr w:type="spellEnd"/>
      <w:r w:rsidR="008722DD">
        <w:rPr>
          <w:sz w:val="22"/>
          <w:szCs w:val="22"/>
        </w:rPr>
        <w:t xml:space="preserve"> </w:t>
      </w:r>
      <w:r>
        <w:rPr>
          <w:sz w:val="22"/>
          <w:szCs w:val="22"/>
        </w:rPr>
        <w:t>inkstuose. Kitų gliukozės nešiklių, svarbių jos pernešimui į periferinius audinius, dapagliflozinas neslopina. Jo poveikis SGLT2 yra daugiau kaip 1 400 kartų selektyvesnis už poveikį pagrindiniam gliukozės absorbcijos nešikliui žarnose – SGLT1.</w:t>
      </w:r>
    </w:p>
    <w:p w14:paraId="3B4FA36B" w14:textId="77777777" w:rsidR="00E86446" w:rsidRDefault="00E86446">
      <w:pPr>
        <w:widowControl w:val="0"/>
        <w:autoSpaceDE w:val="0"/>
        <w:autoSpaceDN w:val="0"/>
        <w:adjustRightInd w:val="0"/>
        <w:rPr>
          <w:sz w:val="22"/>
          <w:szCs w:val="22"/>
        </w:rPr>
      </w:pPr>
    </w:p>
    <w:p w14:paraId="793D0BFF" w14:textId="77777777" w:rsidR="00E86446" w:rsidRDefault="00345E63">
      <w:pPr>
        <w:widowControl w:val="0"/>
        <w:autoSpaceDE w:val="0"/>
        <w:autoSpaceDN w:val="0"/>
        <w:adjustRightInd w:val="0"/>
        <w:rPr>
          <w:sz w:val="22"/>
          <w:szCs w:val="22"/>
          <w:u w:val="single"/>
        </w:rPr>
      </w:pPr>
      <w:r>
        <w:rPr>
          <w:sz w:val="22"/>
          <w:szCs w:val="22"/>
          <w:u w:val="single"/>
        </w:rPr>
        <w:t>Metforminas</w:t>
      </w:r>
    </w:p>
    <w:p w14:paraId="36022475" w14:textId="77777777" w:rsidR="00E86446" w:rsidRDefault="00345E63">
      <w:pPr>
        <w:widowControl w:val="0"/>
        <w:autoSpaceDE w:val="0"/>
        <w:autoSpaceDN w:val="0"/>
        <w:adjustRightInd w:val="0"/>
        <w:rPr>
          <w:sz w:val="22"/>
          <w:szCs w:val="22"/>
        </w:rPr>
      </w:pPr>
      <w:r>
        <w:rPr>
          <w:sz w:val="22"/>
          <w:szCs w:val="22"/>
        </w:rPr>
        <w:t xml:space="preserve">Metforminas yra </w:t>
      </w:r>
      <w:proofErr w:type="spellStart"/>
      <w:r>
        <w:rPr>
          <w:sz w:val="22"/>
          <w:szCs w:val="22"/>
        </w:rPr>
        <w:t>antihiperglikeminį</w:t>
      </w:r>
      <w:proofErr w:type="spellEnd"/>
      <w:r>
        <w:rPr>
          <w:sz w:val="22"/>
          <w:szCs w:val="22"/>
        </w:rPr>
        <w:t xml:space="preserve"> poveikį sukeliantis </w:t>
      </w:r>
      <w:proofErr w:type="spellStart"/>
      <w:r>
        <w:rPr>
          <w:sz w:val="22"/>
          <w:szCs w:val="22"/>
        </w:rPr>
        <w:t>biguanidas</w:t>
      </w:r>
      <w:proofErr w:type="spellEnd"/>
      <w:r>
        <w:rPr>
          <w:sz w:val="22"/>
          <w:szCs w:val="22"/>
        </w:rPr>
        <w:t>, kuris mažina gliukozės koncentraciją plazmoje (tiek bazinę, tiek po valgio). Jis nestimuliuoja insulino sekrecijos ir todėl nesukelia hipoglikemijos.</w:t>
      </w:r>
    </w:p>
    <w:p w14:paraId="0B3D68DC" w14:textId="77777777" w:rsidR="00E86446" w:rsidRDefault="00E86446">
      <w:pPr>
        <w:widowControl w:val="0"/>
        <w:autoSpaceDE w:val="0"/>
        <w:autoSpaceDN w:val="0"/>
        <w:adjustRightInd w:val="0"/>
        <w:rPr>
          <w:sz w:val="22"/>
          <w:szCs w:val="22"/>
        </w:rPr>
      </w:pPr>
    </w:p>
    <w:p w14:paraId="4DEC76EB" w14:textId="77777777" w:rsidR="00E86446" w:rsidRDefault="00345E63">
      <w:pPr>
        <w:widowControl w:val="0"/>
        <w:autoSpaceDE w:val="0"/>
        <w:autoSpaceDN w:val="0"/>
        <w:adjustRightInd w:val="0"/>
        <w:rPr>
          <w:sz w:val="22"/>
          <w:szCs w:val="22"/>
        </w:rPr>
      </w:pPr>
      <w:r>
        <w:rPr>
          <w:sz w:val="22"/>
          <w:szCs w:val="22"/>
        </w:rPr>
        <w:t>Metforminas gali veikti trimis mechanizmais:</w:t>
      </w:r>
    </w:p>
    <w:p w14:paraId="039AFBA7" w14:textId="77777777" w:rsidR="00E86446" w:rsidRPr="003171F5" w:rsidRDefault="00345E63">
      <w:pPr>
        <w:widowControl w:val="0"/>
        <w:numPr>
          <w:ilvl w:val="0"/>
          <w:numId w:val="23"/>
        </w:numPr>
        <w:tabs>
          <w:tab w:val="left" w:pos="567"/>
        </w:tabs>
        <w:contextualSpacing/>
        <w:rPr>
          <w:sz w:val="22"/>
          <w:szCs w:val="22"/>
          <w:lang w:eastAsia="en-US"/>
        </w:rPr>
      </w:pPr>
      <w:r>
        <w:rPr>
          <w:sz w:val="22"/>
          <w:szCs w:val="22"/>
        </w:rPr>
        <w:t>slopinti gliukozės gamybą kepenyse (</w:t>
      </w:r>
      <w:proofErr w:type="spellStart"/>
      <w:r>
        <w:rPr>
          <w:sz w:val="22"/>
          <w:szCs w:val="22"/>
        </w:rPr>
        <w:t>gliukoneogenezę</w:t>
      </w:r>
      <w:proofErr w:type="spellEnd"/>
      <w:r>
        <w:rPr>
          <w:sz w:val="22"/>
          <w:szCs w:val="22"/>
        </w:rPr>
        <w:t xml:space="preserve"> ir </w:t>
      </w:r>
      <w:proofErr w:type="spellStart"/>
      <w:r>
        <w:rPr>
          <w:sz w:val="22"/>
          <w:szCs w:val="22"/>
        </w:rPr>
        <w:t>glikogenolizę</w:t>
      </w:r>
      <w:proofErr w:type="spellEnd"/>
      <w:r>
        <w:rPr>
          <w:sz w:val="22"/>
          <w:szCs w:val="22"/>
        </w:rPr>
        <w:t>);</w:t>
      </w:r>
    </w:p>
    <w:p w14:paraId="6BB4E6D2" w14:textId="77777777" w:rsidR="00E86446" w:rsidRPr="003171F5" w:rsidRDefault="00345E63">
      <w:pPr>
        <w:widowControl w:val="0"/>
        <w:numPr>
          <w:ilvl w:val="0"/>
          <w:numId w:val="23"/>
        </w:numPr>
        <w:tabs>
          <w:tab w:val="left" w:pos="567"/>
        </w:tabs>
        <w:contextualSpacing/>
        <w:rPr>
          <w:sz w:val="22"/>
          <w:szCs w:val="22"/>
          <w:lang w:eastAsia="en-US"/>
        </w:rPr>
      </w:pPr>
      <w:r>
        <w:rPr>
          <w:sz w:val="22"/>
          <w:szCs w:val="22"/>
        </w:rPr>
        <w:t xml:space="preserve">šiek tiek didinti jautrumą insulinui, gerinti gliukozės pasisavinimą periferijoje ir jos panaudojimą </w:t>
      </w:r>
      <w:r>
        <w:rPr>
          <w:sz w:val="22"/>
          <w:szCs w:val="22"/>
        </w:rPr>
        <w:lastRenderedPageBreak/>
        <w:t>raumenyse;</w:t>
      </w:r>
    </w:p>
    <w:p w14:paraId="1607E620" w14:textId="4644459F" w:rsidR="00E86446" w:rsidRDefault="00345E63">
      <w:pPr>
        <w:widowControl w:val="0"/>
        <w:numPr>
          <w:ilvl w:val="0"/>
          <w:numId w:val="23"/>
        </w:numPr>
        <w:tabs>
          <w:tab w:val="left" w:pos="567"/>
        </w:tabs>
        <w:contextualSpacing/>
        <w:rPr>
          <w:sz w:val="22"/>
          <w:szCs w:val="22"/>
          <w:lang w:val="en-GB" w:eastAsia="en-US"/>
        </w:rPr>
      </w:pPr>
      <w:r>
        <w:rPr>
          <w:sz w:val="22"/>
          <w:szCs w:val="22"/>
        </w:rPr>
        <w:t xml:space="preserve">lėtinti gliukozės absorbciją </w:t>
      </w:r>
      <w:r w:rsidR="00AD7EB1">
        <w:rPr>
          <w:sz w:val="22"/>
          <w:szCs w:val="22"/>
        </w:rPr>
        <w:t>žarnyne</w:t>
      </w:r>
      <w:r>
        <w:rPr>
          <w:sz w:val="22"/>
          <w:szCs w:val="22"/>
        </w:rPr>
        <w:t>.</w:t>
      </w:r>
    </w:p>
    <w:p w14:paraId="48141964" w14:textId="77777777" w:rsidR="00E86446" w:rsidRDefault="00E86446">
      <w:pPr>
        <w:widowControl w:val="0"/>
        <w:autoSpaceDE w:val="0"/>
        <w:autoSpaceDN w:val="0"/>
        <w:adjustRightInd w:val="0"/>
        <w:rPr>
          <w:sz w:val="22"/>
          <w:szCs w:val="22"/>
        </w:rPr>
      </w:pPr>
    </w:p>
    <w:p w14:paraId="461EDAE8" w14:textId="77777777" w:rsidR="00E86446" w:rsidRDefault="00345E63">
      <w:pPr>
        <w:widowControl w:val="0"/>
        <w:autoSpaceDE w:val="0"/>
        <w:autoSpaceDN w:val="0"/>
        <w:adjustRightInd w:val="0"/>
        <w:rPr>
          <w:sz w:val="22"/>
          <w:szCs w:val="22"/>
        </w:rPr>
      </w:pPr>
      <w:r>
        <w:rPr>
          <w:sz w:val="22"/>
          <w:szCs w:val="22"/>
        </w:rPr>
        <w:t xml:space="preserve">Metforminas, veikdamas glikogeno </w:t>
      </w:r>
      <w:proofErr w:type="spellStart"/>
      <w:r>
        <w:rPr>
          <w:sz w:val="22"/>
          <w:szCs w:val="22"/>
        </w:rPr>
        <w:t>sintazę</w:t>
      </w:r>
      <w:proofErr w:type="spellEnd"/>
      <w:r>
        <w:rPr>
          <w:sz w:val="22"/>
          <w:szCs w:val="22"/>
        </w:rPr>
        <w:t>, stimuliuoja glikogeno sintezę ląstelėse. Metforminas didina tam tikrų membraninių gliukozės nešiklių (GLUT-1 ir GLUT-4) pernešimo pajėgumą.</w:t>
      </w:r>
    </w:p>
    <w:p w14:paraId="28C0DE5C" w14:textId="77777777" w:rsidR="00E86446" w:rsidRDefault="00E86446">
      <w:pPr>
        <w:widowControl w:val="0"/>
        <w:autoSpaceDE w:val="0"/>
        <w:autoSpaceDN w:val="0"/>
        <w:adjustRightInd w:val="0"/>
        <w:rPr>
          <w:sz w:val="22"/>
          <w:szCs w:val="22"/>
        </w:rPr>
      </w:pPr>
    </w:p>
    <w:p w14:paraId="0A1F2E5E" w14:textId="77777777" w:rsidR="00E86446" w:rsidRDefault="00345E63">
      <w:pPr>
        <w:widowControl w:val="0"/>
        <w:autoSpaceDE w:val="0"/>
        <w:autoSpaceDN w:val="0"/>
        <w:adjustRightInd w:val="0"/>
        <w:rPr>
          <w:sz w:val="22"/>
          <w:szCs w:val="22"/>
          <w:u w:val="single"/>
        </w:rPr>
      </w:pPr>
      <w:proofErr w:type="spellStart"/>
      <w:r>
        <w:rPr>
          <w:sz w:val="22"/>
          <w:szCs w:val="22"/>
          <w:u w:val="single"/>
        </w:rPr>
        <w:t>Farmakodinaminis</w:t>
      </w:r>
      <w:proofErr w:type="spellEnd"/>
      <w:r>
        <w:rPr>
          <w:sz w:val="22"/>
          <w:szCs w:val="22"/>
          <w:u w:val="single"/>
        </w:rPr>
        <w:t xml:space="preserve"> poveikis</w:t>
      </w:r>
    </w:p>
    <w:p w14:paraId="69426F70" w14:textId="77777777" w:rsidR="00E86446" w:rsidRDefault="00345E63">
      <w:pPr>
        <w:widowControl w:val="0"/>
        <w:autoSpaceDE w:val="0"/>
        <w:autoSpaceDN w:val="0"/>
        <w:adjustRightInd w:val="0"/>
        <w:rPr>
          <w:i/>
          <w:iCs/>
          <w:sz w:val="22"/>
          <w:szCs w:val="22"/>
          <w:u w:val="single"/>
        </w:rPr>
      </w:pPr>
      <w:r>
        <w:rPr>
          <w:i/>
          <w:iCs/>
          <w:sz w:val="22"/>
          <w:szCs w:val="22"/>
          <w:u w:val="single"/>
        </w:rPr>
        <w:t>Dapagliflozinas</w:t>
      </w:r>
    </w:p>
    <w:p w14:paraId="34BA0ABB" w14:textId="77777777" w:rsidR="00E86446" w:rsidRDefault="00345E63">
      <w:pPr>
        <w:widowControl w:val="0"/>
        <w:autoSpaceDE w:val="0"/>
        <w:autoSpaceDN w:val="0"/>
        <w:adjustRightInd w:val="0"/>
        <w:rPr>
          <w:sz w:val="22"/>
          <w:szCs w:val="22"/>
        </w:rPr>
      </w:pPr>
      <w:r>
        <w:rPr>
          <w:sz w:val="22"/>
          <w:szCs w:val="22"/>
        </w:rPr>
        <w:t>Padidėjęs gliukozės kiekis rastas sveikų asmenų ir 2 tipo cukriniu diabetu sergančių pacientų, vartojusių dapaglifloziną, šlapime. 2 tipo cukriniu diabetu sergantiems asmenims 12 savaičių kasdien vartojus po 10 mg dapagliflozino, su šlapimu buvo išskiriama maždaug 70 g gliukozės (atitinka 280 kcal) per parą. Įrodytas ilgalaikis gliukozės išskyrimas su 2 tipo cukriniu diabetu sergančių žmonių šlapimu vartojant 10 mg dapagliflozino per parą iki 2 metų.</w:t>
      </w:r>
    </w:p>
    <w:p w14:paraId="603A891D" w14:textId="77777777" w:rsidR="00E86446" w:rsidRDefault="00E86446">
      <w:pPr>
        <w:widowControl w:val="0"/>
        <w:autoSpaceDE w:val="0"/>
        <w:autoSpaceDN w:val="0"/>
        <w:adjustRightInd w:val="0"/>
        <w:rPr>
          <w:sz w:val="22"/>
          <w:szCs w:val="22"/>
        </w:rPr>
      </w:pPr>
    </w:p>
    <w:p w14:paraId="40AB0DEE" w14:textId="442FC798" w:rsidR="00E86446" w:rsidRDefault="00345E63">
      <w:pPr>
        <w:widowControl w:val="0"/>
        <w:autoSpaceDE w:val="0"/>
        <w:autoSpaceDN w:val="0"/>
        <w:adjustRightInd w:val="0"/>
        <w:rPr>
          <w:sz w:val="22"/>
          <w:szCs w:val="22"/>
        </w:rPr>
      </w:pPr>
      <w:r>
        <w:rPr>
          <w:sz w:val="22"/>
          <w:szCs w:val="22"/>
        </w:rPr>
        <w:t xml:space="preserve">Gliukozės išskyrimas su šlapimu veikiant dapagliflozinui taip pat didina 2 tipo cukriniu diabetu sergančių asmenų </w:t>
      </w:r>
      <w:r w:rsidR="008C2F93">
        <w:rPr>
          <w:sz w:val="22"/>
          <w:szCs w:val="22"/>
        </w:rPr>
        <w:t xml:space="preserve">išskiriamo </w:t>
      </w:r>
      <w:r>
        <w:rPr>
          <w:sz w:val="22"/>
          <w:szCs w:val="22"/>
        </w:rPr>
        <w:t>šlapimo tūrį – sukelia osmosinę diurezę. 2 tipo cukriniu diabetu sergančių asmenų, vartojusių 10 mg dapagliflozino, šlapimo tūris po 12 savaičių išliko padidėjęs (apie 375</w:t>
      </w:r>
      <w:r w:rsidR="008C2F93">
        <w:rPr>
          <w:sz w:val="22"/>
          <w:szCs w:val="22"/>
        </w:rPr>
        <w:t> </w:t>
      </w:r>
      <w:r>
        <w:rPr>
          <w:sz w:val="22"/>
          <w:szCs w:val="22"/>
        </w:rPr>
        <w:t>ml per parą). Šlapimo tūrio padidėjimas buvo susijęs su nežymiu ir trumpalaikiu natrio išskyrimo su šlapimu padidėjimu, kuris natrio koncentracijos serume pokyčių nesukėlė.</w:t>
      </w:r>
    </w:p>
    <w:p w14:paraId="7D42289E" w14:textId="77777777" w:rsidR="00E86446" w:rsidRDefault="00E86446">
      <w:pPr>
        <w:widowControl w:val="0"/>
        <w:autoSpaceDE w:val="0"/>
        <w:autoSpaceDN w:val="0"/>
        <w:adjustRightInd w:val="0"/>
        <w:rPr>
          <w:sz w:val="22"/>
          <w:szCs w:val="22"/>
        </w:rPr>
      </w:pPr>
    </w:p>
    <w:p w14:paraId="6E1D2856" w14:textId="580D88DC" w:rsidR="00E86446" w:rsidRDefault="00345E63">
      <w:pPr>
        <w:widowControl w:val="0"/>
        <w:autoSpaceDE w:val="0"/>
        <w:autoSpaceDN w:val="0"/>
        <w:adjustRightInd w:val="0"/>
        <w:rPr>
          <w:sz w:val="22"/>
          <w:szCs w:val="22"/>
        </w:rPr>
      </w:pPr>
      <w:r>
        <w:rPr>
          <w:sz w:val="22"/>
          <w:szCs w:val="22"/>
        </w:rPr>
        <w:t>Be to, trumpam (3-7 paroms) padidėjo šlapimo rūgšties išskyrimas</w:t>
      </w:r>
      <w:r w:rsidR="002F0896">
        <w:rPr>
          <w:sz w:val="22"/>
          <w:szCs w:val="22"/>
        </w:rPr>
        <w:t xml:space="preserve"> su šlapimu</w:t>
      </w:r>
      <w:r>
        <w:rPr>
          <w:sz w:val="22"/>
          <w:szCs w:val="22"/>
        </w:rPr>
        <w:t xml:space="preserve"> ir ilgam sumažėjo jos koncentracija serume. Po 24 savaičių šlapimo rūgšties koncentracija serume buvo sumažėjusi nuo </w:t>
      </w:r>
      <w:r w:rsidR="002F0896">
        <w:rPr>
          <w:sz w:val="22"/>
          <w:szCs w:val="22"/>
        </w:rPr>
        <w:t>- </w:t>
      </w:r>
      <w:r>
        <w:rPr>
          <w:sz w:val="22"/>
          <w:szCs w:val="22"/>
        </w:rPr>
        <w:t xml:space="preserve">48,3 iki </w:t>
      </w:r>
      <w:r w:rsidR="002F0896">
        <w:rPr>
          <w:sz w:val="22"/>
          <w:szCs w:val="22"/>
        </w:rPr>
        <w:t>- </w:t>
      </w:r>
      <w:r>
        <w:rPr>
          <w:sz w:val="22"/>
          <w:szCs w:val="22"/>
        </w:rPr>
        <w:t xml:space="preserve">18,3 </w:t>
      </w:r>
      <w:proofErr w:type="spellStart"/>
      <w:r>
        <w:rPr>
          <w:sz w:val="22"/>
          <w:szCs w:val="22"/>
        </w:rPr>
        <w:t>mikromolių</w:t>
      </w:r>
      <w:proofErr w:type="spellEnd"/>
      <w:r>
        <w:rPr>
          <w:sz w:val="22"/>
          <w:szCs w:val="22"/>
        </w:rPr>
        <w:t xml:space="preserve"> litre (atitinka nuo </w:t>
      </w:r>
      <w:r w:rsidR="007A7D2C">
        <w:rPr>
          <w:sz w:val="22"/>
          <w:szCs w:val="22"/>
        </w:rPr>
        <w:t>- </w:t>
      </w:r>
      <w:r>
        <w:rPr>
          <w:sz w:val="22"/>
          <w:szCs w:val="22"/>
        </w:rPr>
        <w:t xml:space="preserve">0,87 iki </w:t>
      </w:r>
      <w:r w:rsidR="007A7D2C">
        <w:rPr>
          <w:sz w:val="22"/>
          <w:szCs w:val="22"/>
        </w:rPr>
        <w:t>- </w:t>
      </w:r>
      <w:r>
        <w:rPr>
          <w:sz w:val="22"/>
          <w:szCs w:val="22"/>
        </w:rPr>
        <w:t>0,33 mg/dl).</w:t>
      </w:r>
    </w:p>
    <w:p w14:paraId="6FA15DA8" w14:textId="77777777" w:rsidR="00E86446" w:rsidRDefault="00E86446">
      <w:pPr>
        <w:widowControl w:val="0"/>
        <w:autoSpaceDE w:val="0"/>
        <w:autoSpaceDN w:val="0"/>
        <w:adjustRightInd w:val="0"/>
        <w:rPr>
          <w:sz w:val="22"/>
          <w:szCs w:val="22"/>
        </w:rPr>
      </w:pPr>
    </w:p>
    <w:p w14:paraId="1C92DDF6" w14:textId="06F088AC" w:rsidR="00E86446" w:rsidRDefault="00345E63">
      <w:pPr>
        <w:widowControl w:val="0"/>
        <w:autoSpaceDE w:val="0"/>
        <w:autoSpaceDN w:val="0"/>
        <w:adjustRightInd w:val="0"/>
        <w:rPr>
          <w:sz w:val="22"/>
          <w:szCs w:val="22"/>
        </w:rPr>
      </w:pPr>
      <w:r>
        <w:rPr>
          <w:sz w:val="22"/>
          <w:szCs w:val="22"/>
        </w:rPr>
        <w:t>Palyginus 5</w:t>
      </w:r>
      <w:r w:rsidR="0041741D">
        <w:rPr>
          <w:sz w:val="22"/>
          <w:szCs w:val="22"/>
        </w:rPr>
        <w:t> </w:t>
      </w:r>
      <w:r>
        <w:rPr>
          <w:sz w:val="22"/>
          <w:szCs w:val="22"/>
        </w:rPr>
        <w:t xml:space="preserve">mg dapagliflozino 2 kartus per parą ir 10 mg dapagliflozino 1 kartą per parą farmakodinamiką sveikų žmonių organizme nustatyta, kad </w:t>
      </w:r>
      <w:proofErr w:type="spellStart"/>
      <w:r>
        <w:rPr>
          <w:sz w:val="22"/>
          <w:szCs w:val="22"/>
        </w:rPr>
        <w:t>pusiausvyrinis</w:t>
      </w:r>
      <w:proofErr w:type="spellEnd"/>
      <w:r>
        <w:rPr>
          <w:sz w:val="22"/>
          <w:szCs w:val="22"/>
        </w:rPr>
        <w:t xml:space="preserve"> gliukozės reabsorbcijos inkstuose slopinimas ir per 24</w:t>
      </w:r>
      <w:r w:rsidR="0041741D">
        <w:rPr>
          <w:sz w:val="22"/>
          <w:szCs w:val="22"/>
        </w:rPr>
        <w:t> </w:t>
      </w:r>
      <w:r>
        <w:rPr>
          <w:sz w:val="22"/>
          <w:szCs w:val="22"/>
        </w:rPr>
        <w:t>val. su šlapimu išskiriamas gliukozės kiekis taikant abu dozavimo režimus yra toks pat.</w:t>
      </w:r>
    </w:p>
    <w:p w14:paraId="4959D772" w14:textId="77777777" w:rsidR="00E86446" w:rsidRDefault="00E86446">
      <w:pPr>
        <w:widowControl w:val="0"/>
        <w:autoSpaceDE w:val="0"/>
        <w:autoSpaceDN w:val="0"/>
        <w:adjustRightInd w:val="0"/>
        <w:rPr>
          <w:sz w:val="22"/>
          <w:szCs w:val="22"/>
        </w:rPr>
      </w:pPr>
    </w:p>
    <w:p w14:paraId="16AB0948" w14:textId="77777777" w:rsidR="00E86446" w:rsidRDefault="00345E63">
      <w:pPr>
        <w:widowControl w:val="0"/>
        <w:autoSpaceDE w:val="0"/>
        <w:autoSpaceDN w:val="0"/>
        <w:adjustRightInd w:val="0"/>
        <w:rPr>
          <w:i/>
          <w:iCs/>
          <w:sz w:val="22"/>
          <w:szCs w:val="22"/>
          <w:u w:val="single"/>
        </w:rPr>
      </w:pPr>
      <w:r>
        <w:rPr>
          <w:i/>
          <w:iCs/>
          <w:sz w:val="22"/>
          <w:szCs w:val="22"/>
          <w:u w:val="single"/>
        </w:rPr>
        <w:t>Metforminas</w:t>
      </w:r>
    </w:p>
    <w:p w14:paraId="3A8FD2F8" w14:textId="77777777" w:rsidR="00E86446" w:rsidRDefault="00345E63">
      <w:pPr>
        <w:widowControl w:val="0"/>
        <w:autoSpaceDE w:val="0"/>
        <w:autoSpaceDN w:val="0"/>
        <w:adjustRightInd w:val="0"/>
        <w:rPr>
          <w:sz w:val="22"/>
          <w:szCs w:val="22"/>
        </w:rPr>
      </w:pPr>
      <w:r>
        <w:rPr>
          <w:sz w:val="22"/>
          <w:szCs w:val="22"/>
        </w:rPr>
        <w:t xml:space="preserve">Nepriklausomai nuo poveikio </w:t>
      </w:r>
      <w:proofErr w:type="spellStart"/>
      <w:r>
        <w:rPr>
          <w:sz w:val="22"/>
          <w:szCs w:val="22"/>
        </w:rPr>
        <w:t>glikemijai</w:t>
      </w:r>
      <w:proofErr w:type="spellEnd"/>
      <w:r>
        <w:rPr>
          <w:sz w:val="22"/>
          <w:szCs w:val="22"/>
        </w:rPr>
        <w:t xml:space="preserve">, </w:t>
      </w:r>
      <w:proofErr w:type="spellStart"/>
      <w:r>
        <w:rPr>
          <w:sz w:val="22"/>
          <w:szCs w:val="22"/>
        </w:rPr>
        <w:t>metforminas</w:t>
      </w:r>
      <w:proofErr w:type="spellEnd"/>
      <w:r>
        <w:rPr>
          <w:sz w:val="22"/>
          <w:szCs w:val="22"/>
        </w:rPr>
        <w:t xml:space="preserve"> palankai veikia lipidų metabolizmą žmogaus organizme. Šis terapinių dozių poveikis nustatytas kontroliuojamų vidutinės ir ilgos trukmės klinikinių tyrimų metu (</w:t>
      </w:r>
      <w:proofErr w:type="spellStart"/>
      <w:r>
        <w:rPr>
          <w:sz w:val="22"/>
          <w:szCs w:val="22"/>
        </w:rPr>
        <w:t>metforminas</w:t>
      </w:r>
      <w:proofErr w:type="spellEnd"/>
      <w:r>
        <w:rPr>
          <w:sz w:val="22"/>
          <w:szCs w:val="22"/>
        </w:rPr>
        <w:t xml:space="preserve"> mažina bendro cholesterolio, MTL cholesterolio ir trigliceridų koncentracijas).</w:t>
      </w:r>
    </w:p>
    <w:p w14:paraId="3A9D3655" w14:textId="77777777" w:rsidR="00E86446" w:rsidRDefault="00E86446">
      <w:pPr>
        <w:widowControl w:val="0"/>
        <w:autoSpaceDE w:val="0"/>
        <w:autoSpaceDN w:val="0"/>
        <w:adjustRightInd w:val="0"/>
        <w:rPr>
          <w:sz w:val="22"/>
          <w:szCs w:val="22"/>
        </w:rPr>
      </w:pPr>
    </w:p>
    <w:p w14:paraId="3C3A243C" w14:textId="54B7DD04" w:rsidR="00E86446" w:rsidRDefault="00345E63">
      <w:pPr>
        <w:widowControl w:val="0"/>
        <w:autoSpaceDE w:val="0"/>
        <w:autoSpaceDN w:val="0"/>
        <w:adjustRightInd w:val="0"/>
        <w:rPr>
          <w:sz w:val="22"/>
          <w:szCs w:val="22"/>
        </w:rPr>
      </w:pPr>
      <w:r>
        <w:rPr>
          <w:sz w:val="22"/>
          <w:szCs w:val="22"/>
        </w:rPr>
        <w:t xml:space="preserve">Klinikinių tyrimų metu </w:t>
      </w:r>
      <w:proofErr w:type="spellStart"/>
      <w:r>
        <w:rPr>
          <w:sz w:val="22"/>
          <w:szCs w:val="22"/>
        </w:rPr>
        <w:t>metformin</w:t>
      </w:r>
      <w:r w:rsidR="00701DFE">
        <w:rPr>
          <w:sz w:val="22"/>
          <w:szCs w:val="22"/>
        </w:rPr>
        <w:t>o</w:t>
      </w:r>
      <w:proofErr w:type="spellEnd"/>
      <w:r>
        <w:rPr>
          <w:sz w:val="22"/>
          <w:szCs w:val="22"/>
        </w:rPr>
        <w:t xml:space="preserve"> vartojusių pacientų svoris nepakito arba truputį sumažėjo.</w:t>
      </w:r>
    </w:p>
    <w:p w14:paraId="1D8CE4F8" w14:textId="77777777" w:rsidR="00E86446" w:rsidRDefault="00E86446">
      <w:pPr>
        <w:widowControl w:val="0"/>
        <w:autoSpaceDE w:val="0"/>
        <w:autoSpaceDN w:val="0"/>
        <w:adjustRightInd w:val="0"/>
        <w:rPr>
          <w:sz w:val="22"/>
          <w:szCs w:val="22"/>
        </w:rPr>
      </w:pPr>
    </w:p>
    <w:p w14:paraId="4138C966" w14:textId="77777777" w:rsidR="00E86446" w:rsidRDefault="00345E63">
      <w:pPr>
        <w:widowControl w:val="0"/>
        <w:autoSpaceDE w:val="0"/>
        <w:autoSpaceDN w:val="0"/>
        <w:adjustRightInd w:val="0"/>
        <w:rPr>
          <w:sz w:val="22"/>
          <w:szCs w:val="22"/>
          <w:u w:val="single"/>
        </w:rPr>
      </w:pPr>
      <w:r>
        <w:rPr>
          <w:sz w:val="22"/>
          <w:szCs w:val="22"/>
          <w:u w:val="single"/>
        </w:rPr>
        <w:t>Klinikinis veiksmingumas ir saugumas</w:t>
      </w:r>
    </w:p>
    <w:p w14:paraId="3A931696" w14:textId="27A31946" w:rsidR="00E86446" w:rsidRDefault="00345E63">
      <w:pPr>
        <w:widowControl w:val="0"/>
        <w:autoSpaceDE w:val="0"/>
        <w:autoSpaceDN w:val="0"/>
        <w:adjustRightInd w:val="0"/>
        <w:rPr>
          <w:sz w:val="22"/>
          <w:szCs w:val="22"/>
        </w:rPr>
      </w:pPr>
      <w:proofErr w:type="spellStart"/>
      <w:r>
        <w:rPr>
          <w:sz w:val="22"/>
          <w:szCs w:val="22"/>
        </w:rPr>
        <w:t>Glikemijos</w:t>
      </w:r>
      <w:proofErr w:type="spellEnd"/>
      <w:r>
        <w:rPr>
          <w:sz w:val="22"/>
          <w:szCs w:val="22"/>
        </w:rPr>
        <w:t xml:space="preserve"> kontrolė bei kardiovaskulinio sergamumo ir mirštamumo mažinimas yra 2 tipo diabeto gydymo </w:t>
      </w:r>
      <w:r w:rsidR="00497CDD">
        <w:rPr>
          <w:sz w:val="22"/>
          <w:szCs w:val="22"/>
        </w:rPr>
        <w:t xml:space="preserve">neatsiejamos </w:t>
      </w:r>
      <w:r>
        <w:rPr>
          <w:sz w:val="22"/>
          <w:szCs w:val="22"/>
        </w:rPr>
        <w:t>sudėtinės dalys.</w:t>
      </w:r>
    </w:p>
    <w:p w14:paraId="37D64BBD" w14:textId="77777777" w:rsidR="00E86446" w:rsidRDefault="00E86446">
      <w:pPr>
        <w:widowControl w:val="0"/>
        <w:autoSpaceDE w:val="0"/>
        <w:autoSpaceDN w:val="0"/>
        <w:adjustRightInd w:val="0"/>
        <w:rPr>
          <w:sz w:val="22"/>
          <w:szCs w:val="22"/>
        </w:rPr>
      </w:pPr>
    </w:p>
    <w:p w14:paraId="332463EF" w14:textId="12622806" w:rsidR="00E86446" w:rsidRDefault="00345E63">
      <w:pPr>
        <w:widowControl w:val="0"/>
        <w:autoSpaceDE w:val="0"/>
        <w:autoSpaceDN w:val="0"/>
        <w:adjustRightInd w:val="0"/>
        <w:rPr>
          <w:sz w:val="22"/>
          <w:szCs w:val="22"/>
        </w:rPr>
      </w:pPr>
      <w:r>
        <w:rPr>
          <w:sz w:val="22"/>
          <w:szCs w:val="22"/>
        </w:rPr>
        <w:t xml:space="preserve">Tirtas kartu vartojamų dapagliflozino ir </w:t>
      </w:r>
      <w:proofErr w:type="spellStart"/>
      <w:r>
        <w:rPr>
          <w:sz w:val="22"/>
          <w:szCs w:val="22"/>
        </w:rPr>
        <w:t>metformino</w:t>
      </w:r>
      <w:proofErr w:type="spellEnd"/>
      <w:r>
        <w:rPr>
          <w:sz w:val="22"/>
          <w:szCs w:val="22"/>
        </w:rPr>
        <w:t xml:space="preserve"> poveikis 2 tipo diabetu sergantiems žmonėms, kuriems reikiamos kontrolės neužtikrino vien dieta ar fizinis krūvis ir žmonėms, kuriems reikiamos kontrolės neužtikrino vien </w:t>
      </w:r>
      <w:proofErr w:type="spellStart"/>
      <w:r>
        <w:rPr>
          <w:sz w:val="22"/>
          <w:szCs w:val="22"/>
        </w:rPr>
        <w:t>metforminas</w:t>
      </w:r>
      <w:proofErr w:type="spellEnd"/>
      <w:r>
        <w:rPr>
          <w:sz w:val="22"/>
          <w:szCs w:val="22"/>
        </w:rPr>
        <w:t xml:space="preserve"> arba jo derinys su DPP-4 inhibitoriumi (</w:t>
      </w:r>
      <w:proofErr w:type="spellStart"/>
      <w:r>
        <w:rPr>
          <w:sz w:val="22"/>
          <w:szCs w:val="22"/>
        </w:rPr>
        <w:t>sitagliptinu</w:t>
      </w:r>
      <w:proofErr w:type="spellEnd"/>
      <w:r>
        <w:rPr>
          <w:sz w:val="22"/>
          <w:szCs w:val="22"/>
        </w:rPr>
        <w:t xml:space="preserve">), </w:t>
      </w:r>
      <w:proofErr w:type="spellStart"/>
      <w:r>
        <w:rPr>
          <w:sz w:val="22"/>
          <w:szCs w:val="22"/>
        </w:rPr>
        <w:t>sulfonilkarbamid</w:t>
      </w:r>
      <w:r w:rsidR="006A3CF0">
        <w:rPr>
          <w:sz w:val="22"/>
          <w:szCs w:val="22"/>
        </w:rPr>
        <w:t>o</w:t>
      </w:r>
      <w:proofErr w:type="spellEnd"/>
      <w:r w:rsidR="006A3CF0">
        <w:rPr>
          <w:sz w:val="22"/>
          <w:szCs w:val="22"/>
        </w:rPr>
        <w:t xml:space="preserve"> dariniu</w:t>
      </w:r>
      <w:r>
        <w:rPr>
          <w:sz w:val="22"/>
          <w:szCs w:val="22"/>
        </w:rPr>
        <w:t xml:space="preserve"> arba insulinu. Visos dapagliflozino ir </w:t>
      </w:r>
      <w:proofErr w:type="spellStart"/>
      <w:r>
        <w:rPr>
          <w:sz w:val="22"/>
          <w:szCs w:val="22"/>
        </w:rPr>
        <w:t>metformino</w:t>
      </w:r>
      <w:proofErr w:type="spellEnd"/>
      <w:r>
        <w:rPr>
          <w:sz w:val="22"/>
          <w:szCs w:val="22"/>
        </w:rPr>
        <w:t xml:space="preserve"> derinio dozės, palyginus su kontrol</w:t>
      </w:r>
      <w:r w:rsidR="00BA555F">
        <w:rPr>
          <w:sz w:val="22"/>
          <w:szCs w:val="22"/>
        </w:rPr>
        <w:t>ine grupe</w:t>
      </w:r>
      <w:r>
        <w:rPr>
          <w:sz w:val="22"/>
          <w:szCs w:val="22"/>
        </w:rPr>
        <w:t>, sukėlė klini</w:t>
      </w:r>
      <w:r w:rsidR="00BA555F">
        <w:rPr>
          <w:sz w:val="22"/>
          <w:szCs w:val="22"/>
        </w:rPr>
        <w:t>š</w:t>
      </w:r>
      <w:r>
        <w:rPr>
          <w:sz w:val="22"/>
          <w:szCs w:val="22"/>
        </w:rPr>
        <w:t>kai svarbų ir statisti</w:t>
      </w:r>
      <w:r w:rsidR="00BA555F">
        <w:rPr>
          <w:sz w:val="22"/>
          <w:szCs w:val="22"/>
        </w:rPr>
        <w:t>š</w:t>
      </w:r>
      <w:r>
        <w:rPr>
          <w:sz w:val="22"/>
          <w:szCs w:val="22"/>
        </w:rPr>
        <w:t>kai reikšmingą HbA1c ir gliukozės koncentracijos plazmoje nevalgius sumažėjimą.</w:t>
      </w:r>
    </w:p>
    <w:p w14:paraId="161A8C3D" w14:textId="365F8DEC" w:rsidR="00E86446" w:rsidRDefault="00345E63">
      <w:pPr>
        <w:widowControl w:val="0"/>
        <w:autoSpaceDE w:val="0"/>
        <w:autoSpaceDN w:val="0"/>
        <w:adjustRightInd w:val="0"/>
        <w:rPr>
          <w:sz w:val="22"/>
          <w:szCs w:val="22"/>
        </w:rPr>
      </w:pPr>
      <w:r>
        <w:rPr>
          <w:sz w:val="22"/>
          <w:szCs w:val="22"/>
        </w:rPr>
        <w:t>Klini</w:t>
      </w:r>
      <w:r w:rsidR="00C54652">
        <w:rPr>
          <w:sz w:val="22"/>
          <w:szCs w:val="22"/>
        </w:rPr>
        <w:t>š</w:t>
      </w:r>
      <w:r>
        <w:rPr>
          <w:sz w:val="22"/>
          <w:szCs w:val="22"/>
        </w:rPr>
        <w:t xml:space="preserve">kai </w:t>
      </w:r>
      <w:r w:rsidR="00C54652">
        <w:rPr>
          <w:sz w:val="22"/>
          <w:szCs w:val="22"/>
        </w:rPr>
        <w:t xml:space="preserve">reikšmingas </w:t>
      </w:r>
      <w:r>
        <w:rPr>
          <w:sz w:val="22"/>
          <w:szCs w:val="22"/>
        </w:rPr>
        <w:t xml:space="preserve">poveikis </w:t>
      </w:r>
      <w:proofErr w:type="spellStart"/>
      <w:r>
        <w:rPr>
          <w:sz w:val="22"/>
          <w:szCs w:val="22"/>
        </w:rPr>
        <w:t>glikemijai</w:t>
      </w:r>
      <w:proofErr w:type="spellEnd"/>
      <w:r>
        <w:rPr>
          <w:sz w:val="22"/>
          <w:szCs w:val="22"/>
        </w:rPr>
        <w:t xml:space="preserve"> išliko ir ilgalaikių, iki 104 savaičių trukmės tyrimų tęsinių metu. Sumažėjo visų pogrupių, sudarytų pagal lytį, amžių, rasę, ligos trukmę ir pradinį kūno masės indeksą (KMI), pacientų HbA1c koncentracija. Be to, po 24 savaičių nustatytas klini</w:t>
      </w:r>
      <w:r w:rsidR="00B162AA">
        <w:rPr>
          <w:sz w:val="22"/>
          <w:szCs w:val="22"/>
        </w:rPr>
        <w:t>š</w:t>
      </w:r>
      <w:r>
        <w:rPr>
          <w:sz w:val="22"/>
          <w:szCs w:val="22"/>
        </w:rPr>
        <w:t xml:space="preserve">kai </w:t>
      </w:r>
      <w:r w:rsidR="00B162AA">
        <w:rPr>
          <w:sz w:val="22"/>
          <w:szCs w:val="22"/>
        </w:rPr>
        <w:t xml:space="preserve">reikšmingas </w:t>
      </w:r>
      <w:r>
        <w:rPr>
          <w:sz w:val="22"/>
          <w:szCs w:val="22"/>
        </w:rPr>
        <w:t>ir statisti</w:t>
      </w:r>
      <w:r w:rsidR="00B162AA">
        <w:rPr>
          <w:sz w:val="22"/>
          <w:szCs w:val="22"/>
        </w:rPr>
        <w:t>š</w:t>
      </w:r>
      <w:r>
        <w:rPr>
          <w:sz w:val="22"/>
          <w:szCs w:val="22"/>
        </w:rPr>
        <w:t xml:space="preserve">kai reikšmingas dapagliflozino ir </w:t>
      </w:r>
      <w:proofErr w:type="spellStart"/>
      <w:r>
        <w:rPr>
          <w:sz w:val="22"/>
          <w:szCs w:val="22"/>
        </w:rPr>
        <w:t>metformino</w:t>
      </w:r>
      <w:proofErr w:type="spellEnd"/>
      <w:r>
        <w:rPr>
          <w:sz w:val="22"/>
          <w:szCs w:val="22"/>
        </w:rPr>
        <w:t xml:space="preserve"> derinio grupės pacientų, palyginus su kontroline grupe, vidutinio kūno svorio sumažėjimas, palyginus su pradiniu</w:t>
      </w:r>
      <w:r w:rsidR="00B162AA">
        <w:rPr>
          <w:sz w:val="22"/>
          <w:szCs w:val="22"/>
        </w:rPr>
        <w:t xml:space="preserve"> svoriu</w:t>
      </w:r>
      <w:r>
        <w:rPr>
          <w:sz w:val="22"/>
          <w:szCs w:val="22"/>
        </w:rPr>
        <w:t xml:space="preserve">. Kūno svoris išliko sumažėjęs ir ilgalaikių, iki 208 savaičių trukmės tyrimų tęsinių metu. Taip pat nustatyta, kad dapagliflozinas, vartojamas 2 kartus per parą kartu su </w:t>
      </w:r>
      <w:proofErr w:type="spellStart"/>
      <w:r>
        <w:rPr>
          <w:sz w:val="22"/>
          <w:szCs w:val="22"/>
        </w:rPr>
        <w:t>metforminu</w:t>
      </w:r>
      <w:proofErr w:type="spellEnd"/>
      <w:r>
        <w:rPr>
          <w:sz w:val="22"/>
          <w:szCs w:val="22"/>
        </w:rPr>
        <w:t>, 2 diabetu sergantiems pacientams yra saugus ir veiksmingas. Be to, atlikti du 12 savaičių trukmės placebu kontroliuojami tyrimai, kuriuose dalyvavusiems pacientams buvo tinkamai nekontroliuojamas 2 tipo diabetas ir hipertenzija.</w:t>
      </w:r>
    </w:p>
    <w:p w14:paraId="1382AD6B" w14:textId="77777777" w:rsidR="00E86446" w:rsidRDefault="00E86446">
      <w:pPr>
        <w:widowControl w:val="0"/>
        <w:autoSpaceDE w:val="0"/>
        <w:autoSpaceDN w:val="0"/>
        <w:adjustRightInd w:val="0"/>
        <w:rPr>
          <w:sz w:val="22"/>
          <w:szCs w:val="22"/>
        </w:rPr>
      </w:pPr>
    </w:p>
    <w:p w14:paraId="1743B0A0" w14:textId="77777777" w:rsidR="00E86446" w:rsidRDefault="00345E63">
      <w:pPr>
        <w:widowControl w:val="0"/>
        <w:autoSpaceDE w:val="0"/>
        <w:autoSpaceDN w:val="0"/>
        <w:adjustRightInd w:val="0"/>
        <w:rPr>
          <w:sz w:val="22"/>
          <w:szCs w:val="22"/>
        </w:rPr>
      </w:pPr>
      <w:r>
        <w:rPr>
          <w:sz w:val="22"/>
          <w:szCs w:val="22"/>
        </w:rPr>
        <w:t>DECLARE tyrimo metu dapagliflozinas, vartotas įprastinio gydymo poveikiui papildyti, sumažino kardiovaskulinių ir inkstų komplikacijų skaičių 2 tipo cukriniu diabetu sirgusiems pacientams.</w:t>
      </w:r>
    </w:p>
    <w:p w14:paraId="1ADB99EF" w14:textId="77777777" w:rsidR="00E86446" w:rsidRDefault="00E86446">
      <w:pPr>
        <w:widowControl w:val="0"/>
        <w:autoSpaceDE w:val="0"/>
        <w:autoSpaceDN w:val="0"/>
        <w:adjustRightInd w:val="0"/>
        <w:rPr>
          <w:sz w:val="22"/>
          <w:szCs w:val="22"/>
        </w:rPr>
      </w:pPr>
    </w:p>
    <w:p w14:paraId="75AD14F3" w14:textId="77777777" w:rsidR="00E86446" w:rsidRDefault="00345E63">
      <w:pPr>
        <w:widowControl w:val="0"/>
        <w:autoSpaceDE w:val="0"/>
        <w:autoSpaceDN w:val="0"/>
        <w:adjustRightInd w:val="0"/>
        <w:rPr>
          <w:i/>
          <w:iCs/>
          <w:sz w:val="22"/>
          <w:szCs w:val="22"/>
          <w:u w:val="single"/>
        </w:rPr>
      </w:pPr>
      <w:proofErr w:type="spellStart"/>
      <w:r>
        <w:rPr>
          <w:i/>
          <w:iCs/>
          <w:sz w:val="22"/>
          <w:szCs w:val="22"/>
          <w:u w:val="single"/>
        </w:rPr>
        <w:t>Glikemijos</w:t>
      </w:r>
      <w:proofErr w:type="spellEnd"/>
      <w:r>
        <w:rPr>
          <w:i/>
          <w:iCs/>
          <w:sz w:val="22"/>
          <w:szCs w:val="22"/>
          <w:u w:val="single"/>
        </w:rPr>
        <w:t xml:space="preserve"> kontrolė</w:t>
      </w:r>
    </w:p>
    <w:p w14:paraId="0C09B826" w14:textId="77777777" w:rsidR="00E86446" w:rsidRDefault="00345E63">
      <w:pPr>
        <w:widowControl w:val="0"/>
        <w:autoSpaceDE w:val="0"/>
        <w:autoSpaceDN w:val="0"/>
        <w:adjustRightInd w:val="0"/>
        <w:rPr>
          <w:i/>
          <w:iCs/>
          <w:sz w:val="22"/>
          <w:szCs w:val="22"/>
        </w:rPr>
      </w:pPr>
      <w:r>
        <w:rPr>
          <w:i/>
          <w:iCs/>
          <w:sz w:val="22"/>
          <w:szCs w:val="22"/>
        </w:rPr>
        <w:t>Vartojimas kitų vaistinių preparatų poveikiui papildyti</w:t>
      </w:r>
    </w:p>
    <w:p w14:paraId="6BEA45AC" w14:textId="6CEA317A" w:rsidR="00E86446" w:rsidRDefault="00345E63">
      <w:pPr>
        <w:widowControl w:val="0"/>
        <w:autoSpaceDE w:val="0"/>
        <w:autoSpaceDN w:val="0"/>
        <w:adjustRightInd w:val="0"/>
        <w:rPr>
          <w:sz w:val="22"/>
          <w:szCs w:val="22"/>
        </w:rPr>
      </w:pPr>
      <w:r>
        <w:rPr>
          <w:sz w:val="22"/>
          <w:szCs w:val="22"/>
        </w:rPr>
        <w:t xml:space="preserve">Atliktas 52 savaičių aktyvios kontrolės ne blogesnio poveikio tyrimas, turėjęs 52 ir 104 savaičių tęsinius. Jo metu lyginta, kaip 10 mg dapagliflozino ir </w:t>
      </w:r>
      <w:proofErr w:type="spellStart"/>
      <w:r>
        <w:rPr>
          <w:sz w:val="22"/>
          <w:szCs w:val="22"/>
        </w:rPr>
        <w:t>sulfonilkarbamido</w:t>
      </w:r>
      <w:proofErr w:type="spellEnd"/>
      <w:r>
        <w:rPr>
          <w:sz w:val="22"/>
          <w:szCs w:val="22"/>
        </w:rPr>
        <w:t xml:space="preserve"> </w:t>
      </w:r>
      <w:r w:rsidR="00431CA3">
        <w:rPr>
          <w:sz w:val="22"/>
          <w:szCs w:val="22"/>
        </w:rPr>
        <w:t xml:space="preserve">darinio </w:t>
      </w:r>
      <w:r>
        <w:rPr>
          <w:sz w:val="22"/>
          <w:szCs w:val="22"/>
        </w:rPr>
        <w:t>(</w:t>
      </w:r>
      <w:proofErr w:type="spellStart"/>
      <w:r>
        <w:rPr>
          <w:sz w:val="22"/>
          <w:szCs w:val="22"/>
        </w:rPr>
        <w:t>glipizido</w:t>
      </w:r>
      <w:proofErr w:type="spellEnd"/>
      <w:r>
        <w:rPr>
          <w:sz w:val="22"/>
          <w:szCs w:val="22"/>
        </w:rPr>
        <w:t xml:space="preserve">) papildo </w:t>
      </w:r>
      <w:proofErr w:type="spellStart"/>
      <w:r>
        <w:rPr>
          <w:sz w:val="22"/>
          <w:szCs w:val="22"/>
        </w:rPr>
        <w:t>metformino</w:t>
      </w:r>
      <w:proofErr w:type="spellEnd"/>
      <w:r>
        <w:rPr>
          <w:sz w:val="22"/>
          <w:szCs w:val="22"/>
        </w:rPr>
        <w:t xml:space="preserve"> poveikį žmonėms, kurių </w:t>
      </w:r>
      <w:proofErr w:type="spellStart"/>
      <w:r>
        <w:rPr>
          <w:sz w:val="22"/>
          <w:szCs w:val="22"/>
        </w:rPr>
        <w:t>glikemijos</w:t>
      </w:r>
      <w:proofErr w:type="spellEnd"/>
      <w:r>
        <w:rPr>
          <w:sz w:val="22"/>
          <w:szCs w:val="22"/>
        </w:rPr>
        <w:t xml:space="preserve"> kontrolė nepakankama (HbA1c</w:t>
      </w:r>
      <w:r w:rsidR="00697531">
        <w:rPr>
          <w:sz w:val="22"/>
          <w:szCs w:val="22"/>
        </w:rPr>
        <w:t> </w:t>
      </w:r>
      <w:r>
        <w:rPr>
          <w:sz w:val="22"/>
          <w:szCs w:val="22"/>
        </w:rPr>
        <w:t>&gt;</w:t>
      </w:r>
      <w:r w:rsidR="00697531">
        <w:rPr>
          <w:sz w:val="22"/>
          <w:szCs w:val="22"/>
        </w:rPr>
        <w:t> </w:t>
      </w:r>
      <w:r>
        <w:rPr>
          <w:sz w:val="22"/>
          <w:szCs w:val="22"/>
        </w:rPr>
        <w:t>6,5 % ir ≤ 10</w:t>
      </w:r>
      <w:r w:rsidR="00697531">
        <w:rPr>
          <w:sz w:val="22"/>
          <w:szCs w:val="22"/>
        </w:rPr>
        <w:t> </w:t>
      </w:r>
      <w:r>
        <w:rPr>
          <w:sz w:val="22"/>
          <w:szCs w:val="22"/>
        </w:rPr>
        <w:t xml:space="preserve">%). Nustatytas panašus vidutinis HbA1c koncentracijos, palyginus su pradine, sumažėjimas per 52 savaites ir tokiu būdu įrodyta, kad dapagliflozinas veikia ne blogiau už </w:t>
      </w:r>
      <w:proofErr w:type="spellStart"/>
      <w:r>
        <w:rPr>
          <w:sz w:val="22"/>
          <w:szCs w:val="22"/>
        </w:rPr>
        <w:t>glipizidą</w:t>
      </w:r>
      <w:proofErr w:type="spellEnd"/>
      <w:r>
        <w:rPr>
          <w:sz w:val="22"/>
          <w:szCs w:val="22"/>
        </w:rPr>
        <w:t xml:space="preserve"> (3 lentelė). Po 104 savaičių dapagliflozino grupės pacientų koreguota vidutinė HbA1c koncentracija buvo 0,32 %, o </w:t>
      </w:r>
      <w:proofErr w:type="spellStart"/>
      <w:r>
        <w:rPr>
          <w:sz w:val="22"/>
          <w:szCs w:val="22"/>
        </w:rPr>
        <w:t>glipizido</w:t>
      </w:r>
      <w:proofErr w:type="spellEnd"/>
      <w:r>
        <w:rPr>
          <w:sz w:val="22"/>
          <w:szCs w:val="22"/>
        </w:rPr>
        <w:t xml:space="preserve"> – 0,14 % mažesnė už pradinę. Po 208 savaičių dapagliflozino grupės pacientų koreguota vidutinė HbA1c koncentracija buvo 0,10 % mažesnė už pradinę, o </w:t>
      </w:r>
      <w:proofErr w:type="spellStart"/>
      <w:r>
        <w:rPr>
          <w:sz w:val="22"/>
          <w:szCs w:val="22"/>
        </w:rPr>
        <w:t>glipizido</w:t>
      </w:r>
      <w:proofErr w:type="spellEnd"/>
      <w:r>
        <w:rPr>
          <w:sz w:val="22"/>
          <w:szCs w:val="22"/>
        </w:rPr>
        <w:t xml:space="preserve"> – 0,20 % už ją didesnė. Per 52, 104 ir 208 savaites bent vieną hipoglikemijos reiškinį patyrė reikšmingai mažiau dapagliflozino grupės pacientų (atitinkamai 3,5 %, 4,3 % ir 5,0 %) negu </w:t>
      </w:r>
      <w:proofErr w:type="spellStart"/>
      <w:r>
        <w:rPr>
          <w:sz w:val="22"/>
          <w:szCs w:val="22"/>
        </w:rPr>
        <w:t>glipizido</w:t>
      </w:r>
      <w:proofErr w:type="spellEnd"/>
      <w:r>
        <w:rPr>
          <w:sz w:val="22"/>
          <w:szCs w:val="22"/>
        </w:rPr>
        <w:t xml:space="preserve"> (atitinkamai 40,8 %, 47 % ir 50,0 %). Po 104 ir 208 savaičių tyrime toliau atitinkamai dalyvavo 56,2 % ir 39,7 % dapagliflozino bei 50 % ir 34,6 % </w:t>
      </w:r>
      <w:proofErr w:type="spellStart"/>
      <w:r>
        <w:rPr>
          <w:sz w:val="22"/>
          <w:szCs w:val="22"/>
        </w:rPr>
        <w:t>glipizido</w:t>
      </w:r>
      <w:proofErr w:type="spellEnd"/>
      <w:r>
        <w:rPr>
          <w:sz w:val="22"/>
          <w:szCs w:val="22"/>
        </w:rPr>
        <w:t xml:space="preserve"> grupės pacientų.</w:t>
      </w:r>
    </w:p>
    <w:p w14:paraId="157FB659" w14:textId="77777777" w:rsidR="00E86446" w:rsidRDefault="00E86446">
      <w:pPr>
        <w:widowControl w:val="0"/>
        <w:autoSpaceDE w:val="0"/>
        <w:autoSpaceDN w:val="0"/>
        <w:adjustRightInd w:val="0"/>
        <w:rPr>
          <w:rFonts w:eastAsia="TimesNewRoman"/>
          <w:sz w:val="22"/>
          <w:szCs w:val="22"/>
          <w:lang w:eastAsia="en-US"/>
        </w:rPr>
      </w:pPr>
    </w:p>
    <w:p w14:paraId="5F83264F" w14:textId="77777777" w:rsidR="00E86446" w:rsidRDefault="00345E63">
      <w:pPr>
        <w:widowControl w:val="0"/>
        <w:autoSpaceDE w:val="0"/>
        <w:autoSpaceDN w:val="0"/>
        <w:adjustRightInd w:val="0"/>
        <w:rPr>
          <w:b/>
          <w:bCs/>
          <w:sz w:val="22"/>
          <w:szCs w:val="22"/>
        </w:rPr>
      </w:pPr>
      <w:r>
        <w:rPr>
          <w:b/>
          <w:bCs/>
          <w:sz w:val="22"/>
          <w:szCs w:val="22"/>
        </w:rPr>
        <w:t>3 lentelė. Duomenys po 52 savaičių (</w:t>
      </w:r>
      <w:proofErr w:type="spellStart"/>
      <w:r>
        <w:rPr>
          <w:b/>
          <w:bCs/>
          <w:sz w:val="22"/>
          <w:szCs w:val="22"/>
        </w:rPr>
        <w:t>LOCF</w:t>
      </w:r>
      <w:r>
        <w:rPr>
          <w:b/>
          <w:bCs/>
          <w:sz w:val="22"/>
          <w:szCs w:val="22"/>
          <w:vertAlign w:val="superscript"/>
        </w:rPr>
        <w:t>a</w:t>
      </w:r>
      <w:proofErr w:type="spellEnd"/>
      <w:r>
        <w:rPr>
          <w:b/>
          <w:bCs/>
          <w:sz w:val="22"/>
          <w:szCs w:val="22"/>
        </w:rPr>
        <w:t xml:space="preserve">) aktyvios kontrolės tyrimo metu lyginus kaip dapagliflozinas ir </w:t>
      </w:r>
      <w:proofErr w:type="spellStart"/>
      <w:r>
        <w:rPr>
          <w:b/>
          <w:bCs/>
          <w:sz w:val="22"/>
          <w:szCs w:val="22"/>
        </w:rPr>
        <w:t>glipizidas</w:t>
      </w:r>
      <w:proofErr w:type="spellEnd"/>
      <w:r>
        <w:rPr>
          <w:b/>
          <w:bCs/>
          <w:sz w:val="22"/>
          <w:szCs w:val="22"/>
        </w:rPr>
        <w:t xml:space="preserve"> papildo </w:t>
      </w:r>
      <w:proofErr w:type="spellStart"/>
      <w:r>
        <w:rPr>
          <w:b/>
          <w:bCs/>
          <w:sz w:val="22"/>
          <w:szCs w:val="22"/>
        </w:rPr>
        <w:t>metformino</w:t>
      </w:r>
      <w:proofErr w:type="spellEnd"/>
      <w:r>
        <w:rPr>
          <w:b/>
          <w:bCs/>
          <w:sz w:val="22"/>
          <w:szCs w:val="22"/>
        </w:rPr>
        <w:t xml:space="preserve"> poveikį</w:t>
      </w:r>
    </w:p>
    <w:p w14:paraId="45618475" w14:textId="77777777" w:rsidR="00E86446" w:rsidRDefault="00E86446">
      <w:pPr>
        <w:widowControl w:val="0"/>
        <w:autoSpaceDE w:val="0"/>
        <w:autoSpaceDN w:val="0"/>
        <w:adjustRightInd w:val="0"/>
        <w:rPr>
          <w:rFonts w:eastAsia="TimesNewRoman"/>
          <w:sz w:val="22"/>
          <w:szCs w:val="22"/>
          <w:lang w:eastAsia="en-US"/>
        </w:rPr>
      </w:pPr>
    </w:p>
    <w:tbl>
      <w:tblPr>
        <w:tblStyle w:val="TableNormal1"/>
        <w:tblW w:w="9093" w:type="dxa"/>
        <w:tblLayout w:type="fixed"/>
        <w:tblLook w:val="01E0" w:firstRow="1" w:lastRow="1" w:firstColumn="1" w:lastColumn="1" w:noHBand="0" w:noVBand="0"/>
      </w:tblPr>
      <w:tblGrid>
        <w:gridCol w:w="4386"/>
        <w:gridCol w:w="2585"/>
        <w:gridCol w:w="2103"/>
        <w:gridCol w:w="19"/>
      </w:tblGrid>
      <w:tr w:rsidR="00E86446" w14:paraId="10B89997" w14:textId="77777777">
        <w:trPr>
          <w:trHeight w:val="240"/>
        </w:trPr>
        <w:tc>
          <w:tcPr>
            <w:tcW w:w="4386" w:type="dxa"/>
            <w:tcBorders>
              <w:top w:val="single" w:sz="4" w:space="0" w:color="auto"/>
              <w:bottom w:val="single" w:sz="4" w:space="0" w:color="auto"/>
            </w:tcBorders>
          </w:tcPr>
          <w:p w14:paraId="49235B96" w14:textId="77777777" w:rsidR="00E86446" w:rsidRDefault="00345E63">
            <w:pPr>
              <w:spacing w:line="220" w:lineRule="exact"/>
              <w:ind w:left="142" w:right="2686"/>
              <w:rPr>
                <w:rFonts w:eastAsia="Calibri"/>
                <w:b/>
                <w:spacing w:val="-5"/>
                <w:lang w:val="en-GB" w:eastAsia="en-US"/>
              </w:rPr>
            </w:pPr>
            <w:proofErr w:type="spellStart"/>
            <w:r>
              <w:rPr>
                <w:rFonts w:eastAsia="Calibri"/>
                <w:b/>
                <w:spacing w:val="-2"/>
                <w:lang w:val="en-GB" w:eastAsia="en-US"/>
              </w:rPr>
              <w:t>Rodiklis</w:t>
            </w:r>
            <w:proofErr w:type="spellEnd"/>
          </w:p>
        </w:tc>
        <w:tc>
          <w:tcPr>
            <w:tcW w:w="2585" w:type="dxa"/>
            <w:tcBorders>
              <w:top w:val="single" w:sz="4" w:space="0" w:color="auto"/>
              <w:bottom w:val="single" w:sz="4" w:space="0" w:color="auto"/>
            </w:tcBorders>
          </w:tcPr>
          <w:p w14:paraId="6C7D7696" w14:textId="77777777" w:rsidR="00E86446" w:rsidRDefault="00345E63">
            <w:pPr>
              <w:spacing w:line="220" w:lineRule="exact"/>
              <w:ind w:left="156" w:right="921"/>
              <w:rPr>
                <w:rFonts w:eastAsia="Calibri"/>
                <w:spacing w:val="-5"/>
                <w:lang w:val="en-GB" w:eastAsia="en-US"/>
              </w:rPr>
            </w:pPr>
            <w:proofErr w:type="spellStart"/>
            <w:r>
              <w:rPr>
                <w:rFonts w:eastAsia="Calibri"/>
                <w:b/>
                <w:spacing w:val="-2"/>
                <w:lang w:val="en-GB" w:eastAsia="en-US"/>
              </w:rPr>
              <w:t>Dapagliflozinas</w:t>
            </w:r>
            <w:proofErr w:type="spellEnd"/>
            <w:r>
              <w:rPr>
                <w:rFonts w:eastAsia="Calibri"/>
                <w:b/>
                <w:spacing w:val="-2"/>
                <w:lang w:val="en-GB" w:eastAsia="en-US"/>
              </w:rPr>
              <w:t xml:space="preserve"> </w:t>
            </w:r>
            <w:proofErr w:type="spellStart"/>
            <w:r>
              <w:rPr>
                <w:rFonts w:eastAsia="Calibri"/>
                <w:b/>
                <w:spacing w:val="-2"/>
                <w:lang w:val="en-GB" w:eastAsia="en-US"/>
              </w:rPr>
              <w:t>ir</w:t>
            </w:r>
            <w:proofErr w:type="spellEnd"/>
            <w:r>
              <w:rPr>
                <w:rFonts w:eastAsia="Calibri"/>
                <w:b/>
                <w:spacing w:val="-2"/>
                <w:lang w:val="en-GB" w:eastAsia="en-US"/>
              </w:rPr>
              <w:t xml:space="preserve"> </w:t>
            </w:r>
            <w:proofErr w:type="spellStart"/>
            <w:r>
              <w:rPr>
                <w:rFonts w:eastAsia="Calibri"/>
                <w:b/>
                <w:spacing w:val="-2"/>
                <w:lang w:val="en-GB" w:eastAsia="en-US"/>
              </w:rPr>
              <w:t>metforminas</w:t>
            </w:r>
            <w:proofErr w:type="spellEnd"/>
          </w:p>
        </w:tc>
        <w:tc>
          <w:tcPr>
            <w:tcW w:w="2122" w:type="dxa"/>
            <w:gridSpan w:val="2"/>
            <w:tcBorders>
              <w:top w:val="single" w:sz="4" w:space="0" w:color="auto"/>
              <w:bottom w:val="single" w:sz="4" w:space="0" w:color="auto"/>
            </w:tcBorders>
          </w:tcPr>
          <w:p w14:paraId="243B4451" w14:textId="77777777" w:rsidR="00E86446" w:rsidRDefault="00345E63">
            <w:pPr>
              <w:spacing w:line="220" w:lineRule="exact"/>
              <w:ind w:left="128"/>
              <w:rPr>
                <w:rFonts w:eastAsia="Calibri"/>
                <w:spacing w:val="-5"/>
                <w:lang w:val="en-GB" w:eastAsia="en-US"/>
              </w:rPr>
            </w:pPr>
            <w:proofErr w:type="spellStart"/>
            <w:r>
              <w:rPr>
                <w:rFonts w:eastAsia="Calibri"/>
                <w:b/>
                <w:spacing w:val="-2"/>
                <w:lang w:val="en-GB" w:eastAsia="en-US"/>
              </w:rPr>
              <w:t>Glipizidas</w:t>
            </w:r>
            <w:proofErr w:type="spellEnd"/>
            <w:r>
              <w:rPr>
                <w:rFonts w:eastAsia="Calibri"/>
                <w:b/>
                <w:spacing w:val="-2"/>
                <w:lang w:val="en-GB" w:eastAsia="en-US"/>
              </w:rPr>
              <w:t xml:space="preserve"> </w:t>
            </w:r>
            <w:proofErr w:type="spellStart"/>
            <w:r>
              <w:rPr>
                <w:rFonts w:eastAsia="Calibri"/>
                <w:b/>
                <w:spacing w:val="-2"/>
                <w:lang w:val="en-GB" w:eastAsia="en-US"/>
              </w:rPr>
              <w:t>ir</w:t>
            </w:r>
            <w:proofErr w:type="spellEnd"/>
            <w:r>
              <w:rPr>
                <w:rFonts w:eastAsia="Calibri"/>
                <w:b/>
                <w:spacing w:val="-2"/>
                <w:lang w:val="en-GB" w:eastAsia="en-US"/>
              </w:rPr>
              <w:t xml:space="preserve"> </w:t>
            </w:r>
            <w:proofErr w:type="spellStart"/>
            <w:r>
              <w:rPr>
                <w:rFonts w:eastAsia="Calibri"/>
                <w:b/>
                <w:spacing w:val="-2"/>
                <w:lang w:val="en-GB" w:eastAsia="en-US"/>
              </w:rPr>
              <w:t>metforminas</w:t>
            </w:r>
            <w:proofErr w:type="spellEnd"/>
          </w:p>
        </w:tc>
      </w:tr>
      <w:tr w:rsidR="00E86446" w14:paraId="12658A9D" w14:textId="77777777">
        <w:trPr>
          <w:gridAfter w:val="1"/>
          <w:wAfter w:w="19" w:type="dxa"/>
          <w:trHeight w:val="240"/>
        </w:trPr>
        <w:tc>
          <w:tcPr>
            <w:tcW w:w="4386" w:type="dxa"/>
            <w:tcBorders>
              <w:top w:val="single" w:sz="4" w:space="0" w:color="auto"/>
            </w:tcBorders>
          </w:tcPr>
          <w:p w14:paraId="14E8F83F" w14:textId="77777777" w:rsidR="00E86446" w:rsidRDefault="00345E63">
            <w:pPr>
              <w:spacing w:line="220" w:lineRule="exact"/>
              <w:ind w:left="146" w:right="2686"/>
              <w:rPr>
                <w:rFonts w:eastAsia="Calibri"/>
                <w:b/>
                <w:lang w:val="en-GB" w:eastAsia="en-US"/>
              </w:rPr>
            </w:pPr>
            <w:r>
              <w:rPr>
                <w:rFonts w:eastAsia="Calibri"/>
                <w:b/>
                <w:spacing w:val="-5"/>
                <w:lang w:val="en-GB" w:eastAsia="en-US"/>
              </w:rPr>
              <w:t>N</w:t>
            </w:r>
            <w:r>
              <w:rPr>
                <w:rFonts w:eastAsia="Calibri"/>
                <w:spacing w:val="-5"/>
                <w:vertAlign w:val="superscript"/>
                <w:lang w:val="en-GB" w:eastAsia="en-US"/>
              </w:rPr>
              <w:t>b</w:t>
            </w:r>
          </w:p>
        </w:tc>
        <w:tc>
          <w:tcPr>
            <w:tcW w:w="2585" w:type="dxa"/>
            <w:tcBorders>
              <w:top w:val="single" w:sz="4" w:space="0" w:color="auto"/>
            </w:tcBorders>
          </w:tcPr>
          <w:p w14:paraId="488839D1" w14:textId="77777777" w:rsidR="00E86446" w:rsidRDefault="00345E63">
            <w:pPr>
              <w:spacing w:line="220" w:lineRule="exact"/>
              <w:ind w:left="814" w:right="921"/>
              <w:jc w:val="center"/>
              <w:rPr>
                <w:rFonts w:eastAsia="Calibri"/>
                <w:spacing w:val="-4"/>
                <w:lang w:val="en-GB" w:eastAsia="en-US"/>
              </w:rPr>
            </w:pPr>
            <w:r>
              <w:rPr>
                <w:rFonts w:eastAsia="Calibri"/>
                <w:spacing w:val="-5"/>
                <w:lang w:val="en-GB" w:eastAsia="en-US"/>
              </w:rPr>
              <w:t>400</w:t>
            </w:r>
          </w:p>
        </w:tc>
        <w:tc>
          <w:tcPr>
            <w:tcW w:w="2103" w:type="dxa"/>
            <w:tcBorders>
              <w:top w:val="single" w:sz="4" w:space="0" w:color="auto"/>
            </w:tcBorders>
          </w:tcPr>
          <w:p w14:paraId="2D1ED1DB" w14:textId="77777777" w:rsidR="00E86446" w:rsidRDefault="00345E63">
            <w:pPr>
              <w:spacing w:line="220" w:lineRule="exact"/>
              <w:ind w:left="815"/>
              <w:rPr>
                <w:rFonts w:eastAsia="Calibri"/>
                <w:spacing w:val="-4"/>
                <w:lang w:val="en-GB" w:eastAsia="en-US"/>
              </w:rPr>
            </w:pPr>
            <w:r>
              <w:rPr>
                <w:rFonts w:eastAsia="Calibri"/>
                <w:spacing w:val="-5"/>
                <w:lang w:val="en-GB" w:eastAsia="en-US"/>
              </w:rPr>
              <w:t>401</w:t>
            </w:r>
          </w:p>
        </w:tc>
      </w:tr>
      <w:tr w:rsidR="00E86446" w14:paraId="11BBF814" w14:textId="77777777">
        <w:trPr>
          <w:gridAfter w:val="1"/>
          <w:wAfter w:w="19" w:type="dxa"/>
          <w:trHeight w:val="240"/>
        </w:trPr>
        <w:tc>
          <w:tcPr>
            <w:tcW w:w="4386" w:type="dxa"/>
          </w:tcPr>
          <w:p w14:paraId="5C836A85" w14:textId="77777777" w:rsidR="00E86446" w:rsidRDefault="00345E63">
            <w:pPr>
              <w:spacing w:line="220" w:lineRule="exact"/>
              <w:ind w:left="146" w:right="2686"/>
              <w:rPr>
                <w:rFonts w:eastAsia="Calibri"/>
                <w:lang w:val="en-GB" w:eastAsia="en-US"/>
              </w:rPr>
            </w:pPr>
            <w:r>
              <w:rPr>
                <w:rFonts w:eastAsia="Calibri"/>
                <w:b/>
                <w:lang w:val="en-GB" w:eastAsia="en-US"/>
              </w:rPr>
              <w:t>HbA1c (%)</w:t>
            </w:r>
          </w:p>
        </w:tc>
        <w:tc>
          <w:tcPr>
            <w:tcW w:w="2585" w:type="dxa"/>
          </w:tcPr>
          <w:p w14:paraId="389A6714" w14:textId="77777777" w:rsidR="00E86446" w:rsidRDefault="00E86446">
            <w:pPr>
              <w:spacing w:line="220" w:lineRule="exact"/>
              <w:ind w:left="814" w:right="921"/>
              <w:jc w:val="center"/>
              <w:rPr>
                <w:rFonts w:eastAsia="Calibri"/>
                <w:spacing w:val="-4"/>
                <w:lang w:val="en-GB" w:eastAsia="en-US"/>
              </w:rPr>
            </w:pPr>
          </w:p>
        </w:tc>
        <w:tc>
          <w:tcPr>
            <w:tcW w:w="2103" w:type="dxa"/>
          </w:tcPr>
          <w:p w14:paraId="16714049" w14:textId="77777777" w:rsidR="00E86446" w:rsidRDefault="00E86446">
            <w:pPr>
              <w:spacing w:line="220" w:lineRule="exact"/>
              <w:ind w:left="815"/>
              <w:rPr>
                <w:rFonts w:eastAsia="Calibri"/>
                <w:spacing w:val="-4"/>
                <w:lang w:val="en-GB" w:eastAsia="en-US"/>
              </w:rPr>
            </w:pPr>
          </w:p>
        </w:tc>
      </w:tr>
      <w:tr w:rsidR="00E86446" w14:paraId="0B3961A6" w14:textId="77777777">
        <w:trPr>
          <w:trHeight w:val="240"/>
        </w:trPr>
        <w:tc>
          <w:tcPr>
            <w:tcW w:w="4386" w:type="dxa"/>
          </w:tcPr>
          <w:p w14:paraId="7328DCA5" w14:textId="77777777" w:rsidR="00E86446" w:rsidRDefault="00345E63">
            <w:pPr>
              <w:spacing w:line="220" w:lineRule="exact"/>
              <w:ind w:right="2686"/>
              <w:jc w:val="right"/>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585" w:type="dxa"/>
          </w:tcPr>
          <w:p w14:paraId="01A5ADCA" w14:textId="77777777" w:rsidR="00E86446" w:rsidRDefault="00345E63">
            <w:pPr>
              <w:spacing w:line="220" w:lineRule="exact"/>
              <w:ind w:left="814" w:right="921"/>
              <w:jc w:val="center"/>
              <w:rPr>
                <w:rFonts w:eastAsia="Calibri"/>
                <w:lang w:val="en-GB" w:eastAsia="en-US"/>
              </w:rPr>
            </w:pPr>
            <w:r>
              <w:rPr>
                <w:rFonts w:eastAsia="Calibri"/>
                <w:spacing w:val="-4"/>
                <w:lang w:val="en-GB" w:eastAsia="en-US"/>
              </w:rPr>
              <w:t>7,69</w:t>
            </w:r>
          </w:p>
        </w:tc>
        <w:tc>
          <w:tcPr>
            <w:tcW w:w="2122" w:type="dxa"/>
            <w:gridSpan w:val="2"/>
          </w:tcPr>
          <w:p w14:paraId="4C08DDFF" w14:textId="77777777" w:rsidR="00E86446" w:rsidRDefault="00345E63">
            <w:pPr>
              <w:spacing w:line="220" w:lineRule="exact"/>
              <w:ind w:left="815"/>
              <w:rPr>
                <w:rFonts w:eastAsia="Calibri"/>
                <w:lang w:val="en-GB" w:eastAsia="en-US"/>
              </w:rPr>
            </w:pPr>
            <w:r>
              <w:rPr>
                <w:rFonts w:eastAsia="Calibri"/>
                <w:spacing w:val="-4"/>
                <w:lang w:val="en-GB" w:eastAsia="en-US"/>
              </w:rPr>
              <w:t>7,74</w:t>
            </w:r>
          </w:p>
        </w:tc>
      </w:tr>
      <w:tr w:rsidR="00E86446" w14:paraId="73C09735" w14:textId="77777777">
        <w:trPr>
          <w:trHeight w:val="518"/>
        </w:trPr>
        <w:tc>
          <w:tcPr>
            <w:tcW w:w="4386" w:type="dxa"/>
          </w:tcPr>
          <w:p w14:paraId="3363CC5C" w14:textId="77777777" w:rsidR="00E86446" w:rsidRPr="0073443F" w:rsidRDefault="00345E63">
            <w:pPr>
              <w:spacing w:line="245" w:lineRule="exact"/>
              <w:ind w:left="254"/>
              <w:rPr>
                <w:rFonts w:eastAsia="Calibri"/>
                <w:lang w:val="pt-PT" w:eastAsia="en-US"/>
              </w:rPr>
            </w:pPr>
            <w:r w:rsidRPr="0073443F">
              <w:rPr>
                <w:rFonts w:eastAsia="Calibri"/>
                <w:lang w:val="pt-PT" w:eastAsia="en-US"/>
              </w:rPr>
              <w:t>Pokytis palyginus su pradine</w:t>
            </w:r>
            <w:r w:rsidRPr="0073443F">
              <w:rPr>
                <w:rFonts w:eastAsia="Calibri"/>
                <w:spacing w:val="-2"/>
                <w:vertAlign w:val="superscript"/>
                <w:lang w:val="pt-PT" w:eastAsia="en-US"/>
              </w:rPr>
              <w:t>c</w:t>
            </w:r>
          </w:p>
          <w:p w14:paraId="16A3C1F6" w14:textId="77777777" w:rsidR="00E86446" w:rsidRPr="0073443F" w:rsidRDefault="00345E63">
            <w:pPr>
              <w:spacing w:before="1" w:line="251" w:lineRule="exact"/>
              <w:ind w:left="254"/>
              <w:rPr>
                <w:rFonts w:eastAsia="Calibri"/>
                <w:lang w:val="pt-PT" w:eastAsia="en-US"/>
              </w:rPr>
            </w:pPr>
            <w:r w:rsidRPr="0073443F">
              <w:rPr>
                <w:rFonts w:eastAsia="Calibri"/>
                <w:lang w:val="pt-PT" w:eastAsia="en-US"/>
              </w:rPr>
              <w:t>Skirtumas nuo glipizido ir metformino derinio</w:t>
            </w:r>
            <w:r w:rsidRPr="0073443F">
              <w:rPr>
                <w:rFonts w:eastAsia="Calibri"/>
                <w:spacing w:val="-2"/>
                <w:vertAlign w:val="superscript"/>
                <w:lang w:val="pt-PT" w:eastAsia="en-US"/>
              </w:rPr>
              <w:t>c</w:t>
            </w:r>
          </w:p>
        </w:tc>
        <w:tc>
          <w:tcPr>
            <w:tcW w:w="2585" w:type="dxa"/>
          </w:tcPr>
          <w:p w14:paraId="2354BA5C" w14:textId="77777777" w:rsidR="00E86446" w:rsidRDefault="00345E63">
            <w:pPr>
              <w:spacing w:line="242" w:lineRule="auto"/>
              <w:ind w:left="810" w:right="921"/>
              <w:jc w:val="center"/>
              <w:rPr>
                <w:rFonts w:eastAsia="Calibri"/>
                <w:lang w:val="en-GB" w:eastAsia="en-US"/>
              </w:rPr>
            </w:pPr>
            <w:r>
              <w:rPr>
                <w:rFonts w:eastAsia="Calibri"/>
                <w:spacing w:val="-2"/>
                <w:lang w:val="en-GB" w:eastAsia="en-US"/>
              </w:rPr>
              <w:t>-0,52 0,00</w:t>
            </w:r>
            <w:r>
              <w:rPr>
                <w:rFonts w:eastAsia="Calibri"/>
                <w:spacing w:val="-2"/>
                <w:vertAlign w:val="superscript"/>
                <w:lang w:val="en-GB" w:eastAsia="en-US"/>
              </w:rPr>
              <w:t>d</w:t>
            </w:r>
          </w:p>
        </w:tc>
        <w:tc>
          <w:tcPr>
            <w:tcW w:w="2122" w:type="dxa"/>
            <w:gridSpan w:val="2"/>
          </w:tcPr>
          <w:p w14:paraId="047E138C" w14:textId="377A3058" w:rsidR="00E86446" w:rsidRDefault="00345E63">
            <w:pPr>
              <w:spacing w:line="245" w:lineRule="exact"/>
              <w:ind w:left="776"/>
              <w:rPr>
                <w:rFonts w:eastAsia="Calibri"/>
                <w:lang w:val="en-GB" w:eastAsia="en-US"/>
              </w:rPr>
            </w:pPr>
            <w:r>
              <w:rPr>
                <w:rFonts w:eastAsia="Calibri"/>
                <w:spacing w:val="-2"/>
                <w:lang w:val="en-GB" w:eastAsia="en-US"/>
              </w:rPr>
              <w:t>-</w:t>
            </w:r>
            <w:r>
              <w:rPr>
                <w:rFonts w:eastAsia="Calibri"/>
                <w:spacing w:val="-4"/>
                <w:lang w:val="en-GB" w:eastAsia="en-US"/>
              </w:rPr>
              <w:t>0</w:t>
            </w:r>
            <w:r w:rsidR="00675707">
              <w:rPr>
                <w:rFonts w:eastAsia="Calibri"/>
                <w:spacing w:val="-4"/>
                <w:lang w:val="en-GB" w:eastAsia="en-US"/>
              </w:rPr>
              <w:t>,</w:t>
            </w:r>
            <w:r>
              <w:rPr>
                <w:rFonts w:eastAsia="Calibri"/>
                <w:spacing w:val="-4"/>
                <w:lang w:val="en-GB" w:eastAsia="en-US"/>
              </w:rPr>
              <w:t>52</w:t>
            </w:r>
          </w:p>
        </w:tc>
      </w:tr>
      <w:tr w:rsidR="00E86446" w14:paraId="165F4607" w14:textId="77777777">
        <w:trPr>
          <w:trHeight w:val="254"/>
        </w:trPr>
        <w:tc>
          <w:tcPr>
            <w:tcW w:w="4386" w:type="dxa"/>
            <w:tcBorders>
              <w:bottom w:val="single" w:sz="4" w:space="0" w:color="000000"/>
            </w:tcBorders>
          </w:tcPr>
          <w:p w14:paraId="3E75B2AE" w14:textId="77777777" w:rsidR="00E86446" w:rsidRDefault="00345E63">
            <w:pPr>
              <w:spacing w:line="234" w:lineRule="exact"/>
              <w:ind w:left="479"/>
              <w:rPr>
                <w:rFonts w:eastAsia="Calibri"/>
                <w:lang w:val="en-GB" w:eastAsia="en-US"/>
              </w:rPr>
            </w:pPr>
            <w:r>
              <w:rPr>
                <w:rFonts w:eastAsia="Calibri"/>
                <w:lang w:val="en-GB" w:eastAsia="en-US"/>
              </w:rPr>
              <w:t>(95%</w:t>
            </w:r>
            <w:r>
              <w:rPr>
                <w:rFonts w:eastAsia="Calibri"/>
                <w:spacing w:val="-6"/>
                <w:lang w:val="en-GB" w:eastAsia="en-US"/>
              </w:rPr>
              <w:t xml:space="preserve"> </w:t>
            </w:r>
            <w:r>
              <w:rPr>
                <w:rFonts w:eastAsia="Calibri"/>
                <w:spacing w:val="-5"/>
                <w:lang w:val="en-GB" w:eastAsia="en-US"/>
              </w:rPr>
              <w:t>PI)</w:t>
            </w:r>
          </w:p>
        </w:tc>
        <w:tc>
          <w:tcPr>
            <w:tcW w:w="2585" w:type="dxa"/>
            <w:tcBorders>
              <w:bottom w:val="single" w:sz="4" w:space="0" w:color="000000"/>
            </w:tcBorders>
          </w:tcPr>
          <w:p w14:paraId="4454A2BD" w14:textId="77777777" w:rsidR="00E86446" w:rsidRDefault="00345E63">
            <w:pPr>
              <w:spacing w:line="234" w:lineRule="exact"/>
              <w:ind w:right="109"/>
              <w:jc w:val="center"/>
              <w:rPr>
                <w:rFonts w:eastAsia="Calibri"/>
                <w:lang w:val="en-GB" w:eastAsia="en-US"/>
              </w:rPr>
            </w:pPr>
            <w:r>
              <w:rPr>
                <w:rFonts w:eastAsia="Calibri"/>
                <w:lang w:val="en-GB" w:eastAsia="en-US"/>
              </w:rPr>
              <w:t>(-0,11,</w:t>
            </w:r>
            <w:r>
              <w:rPr>
                <w:rFonts w:eastAsia="Calibri"/>
                <w:spacing w:val="-3"/>
                <w:lang w:val="en-GB" w:eastAsia="en-US"/>
              </w:rPr>
              <w:t xml:space="preserve"> </w:t>
            </w:r>
            <w:r>
              <w:rPr>
                <w:rFonts w:eastAsia="Calibri"/>
                <w:spacing w:val="-2"/>
                <w:lang w:val="en-GB" w:eastAsia="en-US"/>
              </w:rPr>
              <w:t>0,11)</w:t>
            </w:r>
          </w:p>
        </w:tc>
        <w:tc>
          <w:tcPr>
            <w:tcW w:w="2122" w:type="dxa"/>
            <w:gridSpan w:val="2"/>
            <w:tcBorders>
              <w:bottom w:val="single" w:sz="4" w:space="0" w:color="000000"/>
            </w:tcBorders>
          </w:tcPr>
          <w:p w14:paraId="7DF40B37" w14:textId="77777777" w:rsidR="00E86446" w:rsidRDefault="00E86446">
            <w:pPr>
              <w:rPr>
                <w:rFonts w:eastAsia="Calibri"/>
                <w:lang w:val="en-GB" w:eastAsia="en-US"/>
              </w:rPr>
            </w:pPr>
          </w:p>
        </w:tc>
      </w:tr>
      <w:tr w:rsidR="00E86446" w14:paraId="6C82C0D0" w14:textId="77777777">
        <w:trPr>
          <w:trHeight w:val="251"/>
        </w:trPr>
        <w:tc>
          <w:tcPr>
            <w:tcW w:w="4386" w:type="dxa"/>
            <w:tcBorders>
              <w:top w:val="single" w:sz="4" w:space="0" w:color="000000"/>
            </w:tcBorders>
          </w:tcPr>
          <w:p w14:paraId="600E368F" w14:textId="77777777" w:rsidR="00E86446" w:rsidRDefault="00345E63">
            <w:pPr>
              <w:spacing w:line="232" w:lineRule="exact"/>
              <w:ind w:left="142" w:right="2662"/>
              <w:rPr>
                <w:rFonts w:eastAsia="Calibri"/>
                <w:b/>
                <w:lang w:val="en-GB" w:eastAsia="en-US"/>
              </w:rPr>
            </w:pPr>
            <w:proofErr w:type="spellStart"/>
            <w:r>
              <w:rPr>
                <w:rFonts w:eastAsia="Calibri"/>
                <w:b/>
                <w:lang w:val="en-GB" w:eastAsia="en-US"/>
              </w:rPr>
              <w:t>Kūno</w:t>
            </w:r>
            <w:proofErr w:type="spellEnd"/>
            <w:r>
              <w:rPr>
                <w:rFonts w:eastAsia="Calibri"/>
                <w:b/>
                <w:lang w:val="en-GB" w:eastAsia="en-US"/>
              </w:rPr>
              <w:t xml:space="preserve"> </w:t>
            </w:r>
            <w:proofErr w:type="spellStart"/>
            <w:r>
              <w:rPr>
                <w:rFonts w:eastAsia="Calibri"/>
                <w:b/>
                <w:lang w:val="en-GB" w:eastAsia="en-US"/>
              </w:rPr>
              <w:t>svoris</w:t>
            </w:r>
            <w:proofErr w:type="spellEnd"/>
            <w:r>
              <w:rPr>
                <w:rFonts w:eastAsia="Calibri"/>
                <w:b/>
                <w:lang w:val="en-GB" w:eastAsia="en-US"/>
              </w:rPr>
              <w:t xml:space="preserve"> (kg)</w:t>
            </w:r>
          </w:p>
        </w:tc>
        <w:tc>
          <w:tcPr>
            <w:tcW w:w="2585" w:type="dxa"/>
            <w:tcBorders>
              <w:top w:val="single" w:sz="4" w:space="0" w:color="000000"/>
            </w:tcBorders>
          </w:tcPr>
          <w:p w14:paraId="1C4FF8BF" w14:textId="77777777" w:rsidR="00E86446" w:rsidRDefault="00E86446">
            <w:pPr>
              <w:spacing w:line="232" w:lineRule="exact"/>
              <w:ind w:right="2662" w:firstLine="276"/>
              <w:rPr>
                <w:rFonts w:eastAsia="Calibri"/>
                <w:b/>
                <w:lang w:val="en-GB" w:eastAsia="en-US"/>
              </w:rPr>
            </w:pPr>
          </w:p>
        </w:tc>
        <w:tc>
          <w:tcPr>
            <w:tcW w:w="2122" w:type="dxa"/>
            <w:gridSpan w:val="2"/>
            <w:tcBorders>
              <w:top w:val="single" w:sz="4" w:space="0" w:color="000000"/>
            </w:tcBorders>
          </w:tcPr>
          <w:p w14:paraId="43068756" w14:textId="77777777" w:rsidR="00E86446" w:rsidRDefault="00E86446">
            <w:pPr>
              <w:spacing w:line="232" w:lineRule="exact"/>
              <w:ind w:right="2662" w:firstLine="276"/>
              <w:rPr>
                <w:rFonts w:eastAsia="Calibri"/>
                <w:b/>
                <w:lang w:val="en-GB" w:eastAsia="en-US"/>
              </w:rPr>
            </w:pPr>
          </w:p>
        </w:tc>
      </w:tr>
      <w:tr w:rsidR="00E86446" w14:paraId="4611C9E3" w14:textId="77777777">
        <w:trPr>
          <w:trHeight w:val="242"/>
        </w:trPr>
        <w:tc>
          <w:tcPr>
            <w:tcW w:w="4386" w:type="dxa"/>
          </w:tcPr>
          <w:p w14:paraId="6F2BCBD8" w14:textId="77777777" w:rsidR="00E86446" w:rsidRDefault="00345E63">
            <w:pPr>
              <w:spacing w:line="223" w:lineRule="exact"/>
              <w:ind w:right="2686"/>
              <w:jc w:val="right"/>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585" w:type="dxa"/>
          </w:tcPr>
          <w:p w14:paraId="7E38070A" w14:textId="77777777" w:rsidR="00E86446" w:rsidRDefault="00345E63">
            <w:pPr>
              <w:spacing w:line="223" w:lineRule="exact"/>
              <w:ind w:left="810" w:right="922"/>
              <w:jc w:val="center"/>
              <w:rPr>
                <w:rFonts w:eastAsia="Calibri"/>
                <w:lang w:val="en-GB" w:eastAsia="en-US"/>
              </w:rPr>
            </w:pPr>
            <w:r>
              <w:rPr>
                <w:rFonts w:eastAsia="Calibri"/>
                <w:spacing w:val="-2"/>
                <w:lang w:val="en-GB" w:eastAsia="en-US"/>
              </w:rPr>
              <w:t>88,44</w:t>
            </w:r>
          </w:p>
        </w:tc>
        <w:tc>
          <w:tcPr>
            <w:tcW w:w="2122" w:type="dxa"/>
            <w:gridSpan w:val="2"/>
          </w:tcPr>
          <w:p w14:paraId="4673084A" w14:textId="77777777" w:rsidR="00E86446" w:rsidRDefault="00345E63">
            <w:pPr>
              <w:spacing w:line="223" w:lineRule="exact"/>
              <w:ind w:left="757"/>
              <w:rPr>
                <w:rFonts w:eastAsia="Calibri"/>
                <w:lang w:val="en-GB" w:eastAsia="en-US"/>
              </w:rPr>
            </w:pPr>
            <w:r>
              <w:rPr>
                <w:rFonts w:eastAsia="Calibri"/>
                <w:spacing w:val="-2"/>
                <w:lang w:val="en-GB" w:eastAsia="en-US"/>
              </w:rPr>
              <w:t>87,60</w:t>
            </w:r>
          </w:p>
        </w:tc>
      </w:tr>
      <w:tr w:rsidR="00E86446" w14:paraId="55B7E3BA" w14:textId="77777777">
        <w:trPr>
          <w:trHeight w:val="513"/>
        </w:trPr>
        <w:tc>
          <w:tcPr>
            <w:tcW w:w="4386" w:type="dxa"/>
          </w:tcPr>
          <w:p w14:paraId="337ADC7D" w14:textId="77777777" w:rsidR="00E86446" w:rsidRPr="0073443F" w:rsidRDefault="00345E63">
            <w:pPr>
              <w:spacing w:line="250" w:lineRule="exact"/>
              <w:ind w:left="254"/>
              <w:rPr>
                <w:rFonts w:eastAsia="Calibri"/>
                <w:lang w:val="pt-PT" w:eastAsia="en-US"/>
              </w:rPr>
            </w:pPr>
            <w:r w:rsidRPr="0073443F">
              <w:rPr>
                <w:rFonts w:eastAsia="Calibri"/>
                <w:lang w:val="pt-PT" w:eastAsia="en-US"/>
              </w:rPr>
              <w:t>Pokytis palyginus su pradine</w:t>
            </w:r>
            <w:r w:rsidRPr="0073443F">
              <w:rPr>
                <w:rFonts w:eastAsia="Calibri"/>
                <w:vertAlign w:val="superscript"/>
                <w:lang w:val="pt-PT" w:eastAsia="en-US"/>
              </w:rPr>
              <w:t>c</w:t>
            </w:r>
          </w:p>
          <w:p w14:paraId="0B6964C8" w14:textId="6F79026A" w:rsidR="00E86446" w:rsidRPr="0073443F" w:rsidRDefault="00345E63">
            <w:pPr>
              <w:spacing w:line="250" w:lineRule="exact"/>
              <w:ind w:left="254"/>
              <w:rPr>
                <w:rFonts w:eastAsia="Calibri"/>
                <w:lang w:val="pt-PT" w:eastAsia="en-US"/>
              </w:rPr>
            </w:pPr>
            <w:r w:rsidRPr="0073443F">
              <w:rPr>
                <w:rFonts w:eastAsia="Calibri"/>
                <w:lang w:val="pt-PT" w:eastAsia="en-US"/>
              </w:rPr>
              <w:t>Skirtumas nuo glipizid</w:t>
            </w:r>
            <w:r w:rsidR="00675707" w:rsidRPr="0073443F">
              <w:rPr>
                <w:rFonts w:eastAsia="Calibri"/>
                <w:lang w:val="pt-PT" w:eastAsia="en-US"/>
              </w:rPr>
              <w:t>o</w:t>
            </w:r>
            <w:r w:rsidRPr="0073443F">
              <w:rPr>
                <w:rFonts w:eastAsia="Calibri"/>
                <w:lang w:val="pt-PT" w:eastAsia="en-US"/>
              </w:rPr>
              <w:t xml:space="preserve"> ir metformino derinio</w:t>
            </w:r>
            <w:r w:rsidRPr="0073443F">
              <w:rPr>
                <w:rFonts w:eastAsia="Calibri"/>
                <w:spacing w:val="-2"/>
                <w:vertAlign w:val="superscript"/>
                <w:lang w:val="pt-PT" w:eastAsia="en-US"/>
              </w:rPr>
              <w:t>c</w:t>
            </w:r>
          </w:p>
        </w:tc>
        <w:tc>
          <w:tcPr>
            <w:tcW w:w="2585" w:type="dxa"/>
          </w:tcPr>
          <w:p w14:paraId="654BF710" w14:textId="77777777" w:rsidR="00E86446" w:rsidRDefault="00345E63">
            <w:pPr>
              <w:spacing w:line="244" w:lineRule="exact"/>
              <w:ind w:left="811" w:right="921"/>
              <w:jc w:val="center"/>
              <w:rPr>
                <w:rFonts w:eastAsia="Calibri"/>
                <w:lang w:val="en-GB" w:eastAsia="en-US"/>
              </w:rPr>
            </w:pPr>
            <w:r>
              <w:rPr>
                <w:rFonts w:eastAsia="Calibri"/>
                <w:spacing w:val="-2"/>
                <w:lang w:val="en-GB" w:eastAsia="en-US"/>
              </w:rPr>
              <w:t>-</w:t>
            </w:r>
            <w:r>
              <w:rPr>
                <w:rFonts w:eastAsia="Calibri"/>
                <w:spacing w:val="-4"/>
                <w:lang w:val="en-GB" w:eastAsia="en-US"/>
              </w:rPr>
              <w:t>3,22</w:t>
            </w:r>
          </w:p>
          <w:p w14:paraId="2E5219AC" w14:textId="77777777" w:rsidR="00E86446" w:rsidRDefault="00345E63">
            <w:pPr>
              <w:spacing w:line="250" w:lineRule="exact"/>
              <w:ind w:left="812" w:right="921"/>
              <w:jc w:val="center"/>
              <w:rPr>
                <w:rFonts w:eastAsia="Calibri"/>
                <w:lang w:val="en-GB" w:eastAsia="en-US"/>
              </w:rPr>
            </w:pPr>
            <w:r>
              <w:rPr>
                <w:rFonts w:eastAsia="Calibri"/>
                <w:spacing w:val="-2"/>
                <w:lang w:val="en-GB" w:eastAsia="en-US"/>
              </w:rPr>
              <w:t>-4,65</w:t>
            </w:r>
            <w:r>
              <w:rPr>
                <w:rFonts w:eastAsia="Calibri"/>
                <w:spacing w:val="-2"/>
                <w:vertAlign w:val="superscript"/>
                <w:lang w:val="en-GB" w:eastAsia="en-US"/>
              </w:rPr>
              <w:t>*</w:t>
            </w:r>
          </w:p>
        </w:tc>
        <w:tc>
          <w:tcPr>
            <w:tcW w:w="2122" w:type="dxa"/>
            <w:gridSpan w:val="2"/>
          </w:tcPr>
          <w:p w14:paraId="1EAFB4CD" w14:textId="77777777" w:rsidR="00E86446" w:rsidRDefault="00345E63">
            <w:pPr>
              <w:spacing w:line="245" w:lineRule="exact"/>
              <w:ind w:left="815"/>
              <w:rPr>
                <w:rFonts w:eastAsia="Calibri"/>
                <w:lang w:val="en-GB" w:eastAsia="en-US"/>
              </w:rPr>
            </w:pPr>
            <w:r>
              <w:rPr>
                <w:rFonts w:eastAsia="Calibri"/>
                <w:spacing w:val="-4"/>
                <w:lang w:val="en-GB" w:eastAsia="en-US"/>
              </w:rPr>
              <w:t>1,44</w:t>
            </w:r>
          </w:p>
        </w:tc>
      </w:tr>
      <w:tr w:rsidR="00E86446" w14:paraId="25CDF280" w14:textId="77777777">
        <w:trPr>
          <w:trHeight w:val="253"/>
        </w:trPr>
        <w:tc>
          <w:tcPr>
            <w:tcW w:w="4386" w:type="dxa"/>
            <w:tcBorders>
              <w:bottom w:val="single" w:sz="12" w:space="0" w:color="000000"/>
            </w:tcBorders>
          </w:tcPr>
          <w:p w14:paraId="0AA84CD0" w14:textId="77777777" w:rsidR="00E86446" w:rsidRDefault="00345E63">
            <w:pPr>
              <w:spacing w:line="234" w:lineRule="exact"/>
              <w:ind w:left="479"/>
              <w:rPr>
                <w:rFonts w:eastAsia="Calibri"/>
                <w:lang w:val="en-GB" w:eastAsia="en-US"/>
              </w:rPr>
            </w:pPr>
            <w:r>
              <w:rPr>
                <w:rFonts w:eastAsia="Calibri"/>
                <w:lang w:val="en-GB" w:eastAsia="en-US"/>
              </w:rPr>
              <w:t>(95%</w:t>
            </w:r>
            <w:r>
              <w:rPr>
                <w:rFonts w:eastAsia="Calibri"/>
                <w:spacing w:val="-6"/>
                <w:lang w:val="en-GB" w:eastAsia="en-US"/>
              </w:rPr>
              <w:t xml:space="preserve"> </w:t>
            </w:r>
            <w:r>
              <w:rPr>
                <w:rFonts w:eastAsia="Calibri"/>
                <w:spacing w:val="-5"/>
                <w:lang w:val="en-GB" w:eastAsia="en-US"/>
              </w:rPr>
              <w:t>PI)</w:t>
            </w:r>
          </w:p>
        </w:tc>
        <w:tc>
          <w:tcPr>
            <w:tcW w:w="2585" w:type="dxa"/>
            <w:tcBorders>
              <w:bottom w:val="single" w:sz="12" w:space="0" w:color="000000"/>
            </w:tcBorders>
          </w:tcPr>
          <w:p w14:paraId="75976CCD" w14:textId="77777777" w:rsidR="00E86446" w:rsidRDefault="00345E63">
            <w:pPr>
              <w:spacing w:line="234" w:lineRule="exact"/>
              <w:ind w:left="4" w:right="109"/>
              <w:jc w:val="center"/>
              <w:rPr>
                <w:rFonts w:eastAsia="Calibri"/>
                <w:lang w:val="en-GB" w:eastAsia="en-US"/>
              </w:rPr>
            </w:pPr>
            <w:r>
              <w:rPr>
                <w:rFonts w:eastAsia="Calibri"/>
                <w:lang w:val="en-GB" w:eastAsia="en-US"/>
              </w:rPr>
              <w:t>(-5,14,</w:t>
            </w:r>
            <w:r>
              <w:rPr>
                <w:rFonts w:eastAsia="Calibri"/>
                <w:spacing w:val="-3"/>
                <w:lang w:val="en-GB" w:eastAsia="en-US"/>
              </w:rPr>
              <w:t xml:space="preserve"> </w:t>
            </w:r>
            <w:r>
              <w:rPr>
                <w:rFonts w:eastAsia="Calibri"/>
                <w:lang w:val="en-GB" w:eastAsia="en-US"/>
              </w:rPr>
              <w:t>-</w:t>
            </w:r>
            <w:r>
              <w:rPr>
                <w:rFonts w:eastAsia="Calibri"/>
                <w:spacing w:val="-2"/>
                <w:lang w:val="en-GB" w:eastAsia="en-US"/>
              </w:rPr>
              <w:t>4,17)</w:t>
            </w:r>
          </w:p>
        </w:tc>
        <w:tc>
          <w:tcPr>
            <w:tcW w:w="2122" w:type="dxa"/>
            <w:gridSpan w:val="2"/>
            <w:tcBorders>
              <w:bottom w:val="single" w:sz="12" w:space="0" w:color="000000"/>
            </w:tcBorders>
          </w:tcPr>
          <w:p w14:paraId="4D35D8E0" w14:textId="77777777" w:rsidR="00E86446" w:rsidRDefault="00E86446">
            <w:pPr>
              <w:rPr>
                <w:rFonts w:eastAsia="Calibri"/>
                <w:lang w:val="en-GB" w:eastAsia="en-US"/>
              </w:rPr>
            </w:pPr>
          </w:p>
        </w:tc>
      </w:tr>
    </w:tbl>
    <w:p w14:paraId="68DCEC45" w14:textId="77777777" w:rsidR="00E86446" w:rsidRDefault="00345E63">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a</w:t>
      </w:r>
      <w:r>
        <w:rPr>
          <w:rFonts w:eastAsiaTheme="minorHAnsi"/>
          <w:color w:val="000000"/>
          <w:sz w:val="20"/>
          <w:szCs w:val="20"/>
          <w:lang w:eastAsia="en-US"/>
        </w:rPr>
        <w:t xml:space="preserve"> LOCF – paskutinė atlikta apžiūra.</w:t>
      </w:r>
    </w:p>
    <w:p w14:paraId="7E60EFC0" w14:textId="77777777" w:rsidR="00E86446" w:rsidRDefault="00345E63">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b</w:t>
      </w:r>
      <w:r>
        <w:rPr>
          <w:rFonts w:eastAsiaTheme="minorHAnsi"/>
          <w:color w:val="000000"/>
          <w:sz w:val="20"/>
          <w:szCs w:val="20"/>
          <w:lang w:eastAsia="en-US"/>
        </w:rPr>
        <w:t xml:space="preserve"> Atsitiktinai atrinkti ir gydyti asmenys, kuriems atliktas pradinis ir bent vienas vėlesnis veiksmingumo vertinimas.</w:t>
      </w:r>
    </w:p>
    <w:p w14:paraId="67DA8D09" w14:textId="77777777" w:rsidR="00E86446" w:rsidRDefault="00345E63">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c</w:t>
      </w:r>
      <w:r>
        <w:rPr>
          <w:rFonts w:eastAsiaTheme="minorHAnsi"/>
          <w:color w:val="000000"/>
          <w:sz w:val="20"/>
          <w:szCs w:val="20"/>
          <w:lang w:eastAsia="en-US"/>
        </w:rPr>
        <w:t xml:space="preserve"> Mažiausių kvadratų metodu apskaičiuotas vidurkis, koreguotas pagal pradinį dydį.</w:t>
      </w:r>
    </w:p>
    <w:p w14:paraId="46618EE0" w14:textId="77777777" w:rsidR="00E86446" w:rsidRDefault="00345E63">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d</w:t>
      </w:r>
      <w:r>
        <w:rPr>
          <w:rFonts w:eastAsiaTheme="minorHAnsi"/>
          <w:color w:val="000000"/>
          <w:sz w:val="20"/>
          <w:szCs w:val="20"/>
          <w:lang w:eastAsia="en-US"/>
        </w:rPr>
        <w:t xml:space="preserve"> Ne blogesnis už </w:t>
      </w:r>
      <w:proofErr w:type="spellStart"/>
      <w:r>
        <w:rPr>
          <w:rFonts w:eastAsiaTheme="minorHAnsi"/>
          <w:color w:val="000000"/>
          <w:sz w:val="20"/>
          <w:szCs w:val="20"/>
          <w:lang w:eastAsia="en-US"/>
        </w:rPr>
        <w:t>glipizido</w:t>
      </w:r>
      <w:proofErr w:type="spellEnd"/>
      <w:r>
        <w:rPr>
          <w:rFonts w:eastAsiaTheme="minorHAnsi"/>
          <w:color w:val="000000"/>
          <w:sz w:val="20"/>
          <w:szCs w:val="20"/>
          <w:lang w:eastAsia="en-US"/>
        </w:rPr>
        <w:t xml:space="preserve"> ir </w:t>
      </w:r>
      <w:proofErr w:type="spellStart"/>
      <w:r>
        <w:rPr>
          <w:rFonts w:eastAsiaTheme="minorHAnsi"/>
          <w:color w:val="000000"/>
          <w:sz w:val="20"/>
          <w:szCs w:val="20"/>
          <w:lang w:eastAsia="en-US"/>
        </w:rPr>
        <w:t>metformino</w:t>
      </w:r>
      <w:proofErr w:type="spellEnd"/>
      <w:r>
        <w:rPr>
          <w:rFonts w:eastAsiaTheme="minorHAnsi"/>
          <w:color w:val="000000"/>
          <w:sz w:val="20"/>
          <w:szCs w:val="20"/>
          <w:lang w:eastAsia="en-US"/>
        </w:rPr>
        <w:t xml:space="preserve"> derinio poveikis.</w:t>
      </w:r>
    </w:p>
    <w:p w14:paraId="27B303D7" w14:textId="105E8855" w:rsidR="00E86446" w:rsidRDefault="00345E63">
      <w:pPr>
        <w:widowControl w:val="0"/>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w:t>
      </w:r>
      <w:r>
        <w:rPr>
          <w:rFonts w:eastAsiaTheme="minorHAnsi"/>
          <w:color w:val="000000"/>
          <w:sz w:val="20"/>
          <w:szCs w:val="20"/>
          <w:lang w:eastAsia="en-US"/>
        </w:rPr>
        <w:t xml:space="preserve"> p</w:t>
      </w:r>
      <w:r w:rsidR="0041151E">
        <w:rPr>
          <w:rFonts w:eastAsiaTheme="minorHAnsi"/>
          <w:color w:val="000000"/>
          <w:sz w:val="20"/>
          <w:szCs w:val="20"/>
          <w:lang w:eastAsia="en-US"/>
        </w:rPr>
        <w:t> </w:t>
      </w:r>
      <w:r>
        <w:rPr>
          <w:rFonts w:eastAsiaTheme="minorHAnsi"/>
          <w:color w:val="000000"/>
          <w:sz w:val="20"/>
          <w:szCs w:val="20"/>
          <w:lang w:eastAsia="en-US"/>
        </w:rPr>
        <w:t>&lt; 0,0001.</w:t>
      </w:r>
    </w:p>
    <w:p w14:paraId="19A70821" w14:textId="77777777" w:rsidR="00E86446" w:rsidRDefault="00E86446">
      <w:pPr>
        <w:widowControl w:val="0"/>
        <w:autoSpaceDE w:val="0"/>
        <w:autoSpaceDN w:val="0"/>
        <w:adjustRightInd w:val="0"/>
        <w:rPr>
          <w:rFonts w:eastAsiaTheme="minorHAnsi"/>
          <w:color w:val="000000"/>
          <w:sz w:val="20"/>
          <w:szCs w:val="20"/>
          <w:lang w:eastAsia="en-US"/>
        </w:rPr>
      </w:pPr>
    </w:p>
    <w:p w14:paraId="37EF963B" w14:textId="08C6F520" w:rsidR="00E86446" w:rsidRDefault="00345E63">
      <w:pPr>
        <w:widowControl w:val="0"/>
        <w:autoSpaceDE w:val="0"/>
        <w:autoSpaceDN w:val="0"/>
        <w:adjustRightInd w:val="0"/>
        <w:rPr>
          <w:rFonts w:eastAsiaTheme="minorHAnsi"/>
          <w:color w:val="000000"/>
          <w:sz w:val="20"/>
          <w:szCs w:val="20"/>
          <w:lang w:eastAsia="en-US"/>
        </w:rPr>
      </w:pPr>
      <w:r>
        <w:rPr>
          <w:sz w:val="22"/>
          <w:szCs w:val="22"/>
        </w:rPr>
        <w:t>Vartojus dapagliflozin</w:t>
      </w:r>
      <w:r w:rsidR="00D3599C">
        <w:rPr>
          <w:sz w:val="22"/>
          <w:szCs w:val="22"/>
        </w:rPr>
        <w:t>o</w:t>
      </w:r>
      <w:r>
        <w:rPr>
          <w:sz w:val="22"/>
          <w:szCs w:val="22"/>
        </w:rPr>
        <w:t xml:space="preserve"> vien</w:t>
      </w:r>
      <w:r w:rsidR="00CB75C0">
        <w:rPr>
          <w:sz w:val="22"/>
          <w:szCs w:val="22"/>
        </w:rPr>
        <w:t>am</w:t>
      </w:r>
      <w:r>
        <w:rPr>
          <w:sz w:val="22"/>
          <w:szCs w:val="22"/>
        </w:rPr>
        <w:t xml:space="preserve"> </w:t>
      </w:r>
      <w:proofErr w:type="spellStart"/>
      <w:r>
        <w:rPr>
          <w:sz w:val="22"/>
          <w:szCs w:val="22"/>
        </w:rPr>
        <w:t>metformino</w:t>
      </w:r>
      <w:proofErr w:type="spellEnd"/>
      <w:r>
        <w:rPr>
          <w:sz w:val="22"/>
          <w:szCs w:val="22"/>
        </w:rPr>
        <w:t xml:space="preserve">, </w:t>
      </w:r>
      <w:proofErr w:type="spellStart"/>
      <w:r>
        <w:rPr>
          <w:sz w:val="22"/>
          <w:szCs w:val="22"/>
        </w:rPr>
        <w:t>metformino</w:t>
      </w:r>
      <w:proofErr w:type="spellEnd"/>
      <w:r>
        <w:rPr>
          <w:sz w:val="22"/>
          <w:szCs w:val="22"/>
        </w:rPr>
        <w:t xml:space="preserve"> derinio su </w:t>
      </w:r>
      <w:proofErr w:type="spellStart"/>
      <w:r>
        <w:rPr>
          <w:sz w:val="22"/>
          <w:szCs w:val="22"/>
        </w:rPr>
        <w:t>sitagliptinu</w:t>
      </w:r>
      <w:proofErr w:type="spellEnd"/>
      <w:r>
        <w:rPr>
          <w:sz w:val="22"/>
          <w:szCs w:val="22"/>
        </w:rPr>
        <w:t xml:space="preserve"> ar </w:t>
      </w:r>
      <w:proofErr w:type="spellStart"/>
      <w:r>
        <w:rPr>
          <w:sz w:val="22"/>
          <w:szCs w:val="22"/>
        </w:rPr>
        <w:t>sulfonilkarbamid</w:t>
      </w:r>
      <w:r w:rsidR="00D3599C">
        <w:rPr>
          <w:sz w:val="22"/>
          <w:szCs w:val="22"/>
        </w:rPr>
        <w:t>o</w:t>
      </w:r>
      <w:proofErr w:type="spellEnd"/>
      <w:r w:rsidR="00D3599C">
        <w:rPr>
          <w:sz w:val="22"/>
          <w:szCs w:val="22"/>
        </w:rPr>
        <w:t xml:space="preserve"> dariniu</w:t>
      </w:r>
      <w:r>
        <w:rPr>
          <w:sz w:val="22"/>
          <w:szCs w:val="22"/>
        </w:rPr>
        <w:t xml:space="preserve"> arba insulino (vieno arba kartu su geriamaisiais gliukozės koncentraciją mažinančiais vaistiniais preparatais, įskaitant </w:t>
      </w:r>
      <w:proofErr w:type="spellStart"/>
      <w:r>
        <w:rPr>
          <w:sz w:val="22"/>
          <w:szCs w:val="22"/>
        </w:rPr>
        <w:t>metforminą</w:t>
      </w:r>
      <w:proofErr w:type="spellEnd"/>
      <w:r>
        <w:rPr>
          <w:sz w:val="22"/>
          <w:szCs w:val="22"/>
        </w:rPr>
        <w:t>) poveikiui papildyti, po 24 savaičių nustatyta statistikai reikšmingai, palyginus su placebo grupe, sumažėjusi HbA1c koncentracija (p</w:t>
      </w:r>
      <w:r w:rsidR="00D3599C">
        <w:rPr>
          <w:sz w:val="22"/>
          <w:szCs w:val="22"/>
        </w:rPr>
        <w:t> </w:t>
      </w:r>
      <w:r>
        <w:rPr>
          <w:sz w:val="22"/>
          <w:szCs w:val="22"/>
        </w:rPr>
        <w:t>&lt; 0,0001, 4, 5 ir 6 lentelės). 16 savaičių vartojus po 5 mg dapagliflozino 2 kartus per parą, nustatyta statistikai reikšmingai, palyginus su placebo grupe, sumažėjusi HbA1c koncentracija (p</w:t>
      </w:r>
      <w:r w:rsidR="00D01FBB">
        <w:rPr>
          <w:sz w:val="22"/>
          <w:szCs w:val="22"/>
        </w:rPr>
        <w:t> </w:t>
      </w:r>
      <w:r>
        <w:rPr>
          <w:sz w:val="22"/>
          <w:szCs w:val="22"/>
        </w:rPr>
        <w:t>&lt; 0,0001, 4 lentelė).</w:t>
      </w:r>
    </w:p>
    <w:p w14:paraId="7D6330C5" w14:textId="77777777" w:rsidR="00E86446" w:rsidRDefault="00E86446">
      <w:pPr>
        <w:widowControl w:val="0"/>
        <w:autoSpaceDE w:val="0"/>
        <w:autoSpaceDN w:val="0"/>
        <w:adjustRightInd w:val="0"/>
        <w:rPr>
          <w:rFonts w:eastAsiaTheme="minorHAnsi"/>
          <w:color w:val="000000"/>
          <w:sz w:val="20"/>
          <w:szCs w:val="20"/>
          <w:lang w:eastAsia="en-US"/>
        </w:rPr>
      </w:pPr>
    </w:p>
    <w:p w14:paraId="6152DF83" w14:textId="7B6666CC"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 24 savaičių nustatytas HbA1c koncentracijos sumažėjimas ilgai išliko papildomo gydymo tyrimų metu. Tiriant dapagliflozino vartojimą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poveikiui papildyti, po 102 savaičių HbA1c koncentracija išliko sumažėjusi (koreguotas vidutinis jos pokytis, palyginus su pradine, 10 mg dapagliflozino grupės pacientams buvo </w:t>
      </w:r>
      <w:r w:rsidR="00FC453C">
        <w:rPr>
          <w:rFonts w:eastAsiaTheme="minorHAnsi"/>
          <w:color w:val="000000"/>
          <w:sz w:val="22"/>
          <w:szCs w:val="22"/>
          <w:lang w:eastAsia="en-US"/>
        </w:rPr>
        <w:t>-</w:t>
      </w:r>
      <w:r>
        <w:rPr>
          <w:rFonts w:eastAsiaTheme="minorHAnsi"/>
          <w:color w:val="000000"/>
          <w:sz w:val="22"/>
          <w:szCs w:val="22"/>
          <w:lang w:eastAsia="en-US"/>
        </w:rPr>
        <w:t xml:space="preserve">0,78 %, placebo –0,02 %). Po 48 savaičių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sitagliptino</w:t>
      </w:r>
      <w:proofErr w:type="spellEnd"/>
      <w:r>
        <w:rPr>
          <w:rFonts w:eastAsiaTheme="minorHAnsi"/>
          <w:color w:val="000000"/>
          <w:sz w:val="22"/>
          <w:szCs w:val="22"/>
          <w:lang w:eastAsia="en-US"/>
        </w:rPr>
        <w:t xml:space="preserve"> derinio grupės pacientų koreguotas vidutinis HbA1c koncentracijos, palyginus su pradine, pokytis papildomai vartojus 10 mg dapagliflozino buvo </w:t>
      </w:r>
      <w:r w:rsidR="00FC453C">
        <w:rPr>
          <w:rFonts w:eastAsiaTheme="minorHAnsi"/>
          <w:color w:val="000000"/>
          <w:sz w:val="22"/>
          <w:szCs w:val="22"/>
          <w:lang w:eastAsia="en-US"/>
        </w:rPr>
        <w:t>-</w:t>
      </w:r>
      <w:r>
        <w:rPr>
          <w:rFonts w:eastAsiaTheme="minorHAnsi"/>
          <w:color w:val="000000"/>
          <w:sz w:val="22"/>
          <w:szCs w:val="22"/>
          <w:lang w:eastAsia="en-US"/>
        </w:rPr>
        <w:t xml:space="preserve">0,44 %, o vartojus placebo –0,15 %. Po 104 savaičių insulino (vieno arba kartu su geriamaisiais gliukozės koncentraciją mažinančiais vaistiniais preparatais, įskaitant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xml:space="preserve">) grupės pacientų koreguota vidutinė HbA1c koncentracija, palyginus su pradine, papildomai vartojus 10 mg dapagliflozino buvo sumažėjusi </w:t>
      </w:r>
      <w:r w:rsidR="006C6CC1">
        <w:rPr>
          <w:rFonts w:eastAsiaTheme="minorHAnsi"/>
          <w:color w:val="000000"/>
          <w:sz w:val="22"/>
          <w:szCs w:val="22"/>
          <w:lang w:eastAsia="en-US"/>
        </w:rPr>
        <w:t>-</w:t>
      </w:r>
      <w:r>
        <w:rPr>
          <w:rFonts w:eastAsiaTheme="minorHAnsi"/>
          <w:color w:val="000000"/>
          <w:sz w:val="22"/>
          <w:szCs w:val="22"/>
          <w:lang w:eastAsia="en-US"/>
        </w:rPr>
        <w:t xml:space="preserve">0,71 %, o vartojus placebo – </w:t>
      </w:r>
      <w:r w:rsidR="006C6CC1">
        <w:rPr>
          <w:rFonts w:eastAsiaTheme="minorHAnsi"/>
          <w:color w:val="000000"/>
          <w:sz w:val="22"/>
          <w:szCs w:val="22"/>
          <w:lang w:eastAsia="en-US"/>
        </w:rPr>
        <w:t>-</w:t>
      </w:r>
      <w:r>
        <w:rPr>
          <w:rFonts w:eastAsiaTheme="minorHAnsi"/>
          <w:color w:val="000000"/>
          <w:sz w:val="22"/>
          <w:szCs w:val="22"/>
          <w:lang w:eastAsia="en-US"/>
        </w:rPr>
        <w:t xml:space="preserve">0,06 %. Po 48 ir 104 savaičių 10 mg dapagliflozino vartojusių pacientų insulino dozė, palyginus su pradine, išliko stabili (vidutiniškai 76 TV per parą). Placebo grupės pacientų insulino paros dozė po 48 ir 104 savaičių buvo atitinkamai 10,5 TV ir </w:t>
      </w:r>
      <w:r>
        <w:rPr>
          <w:rFonts w:eastAsiaTheme="minorHAnsi"/>
          <w:color w:val="000000"/>
          <w:sz w:val="22"/>
          <w:szCs w:val="22"/>
          <w:lang w:eastAsia="en-US"/>
        </w:rPr>
        <w:lastRenderedPageBreak/>
        <w:t xml:space="preserve">18,3 TV didesnė negu iš pradžių – vidutiniškai atitinkamai 84 ir 92 TV per parą. Po 104 savaičių tyrime toliau dalyvavo 72,4 % 10 mg dapagliflozino ir 54,8 % placebo </w:t>
      </w:r>
      <w:r w:rsidR="006E2F0D">
        <w:rPr>
          <w:rFonts w:eastAsiaTheme="minorHAnsi"/>
          <w:color w:val="000000"/>
          <w:sz w:val="22"/>
          <w:szCs w:val="22"/>
          <w:lang w:eastAsia="en-US"/>
        </w:rPr>
        <w:t xml:space="preserve">vartojusių </w:t>
      </w:r>
      <w:r>
        <w:rPr>
          <w:rFonts w:eastAsiaTheme="minorHAnsi"/>
          <w:color w:val="000000"/>
          <w:sz w:val="22"/>
          <w:szCs w:val="22"/>
          <w:lang w:eastAsia="en-US"/>
        </w:rPr>
        <w:t>grupės pacientų.</w:t>
      </w:r>
    </w:p>
    <w:p w14:paraId="43559ECC" w14:textId="77777777" w:rsidR="00E86446" w:rsidRDefault="00E86446">
      <w:pPr>
        <w:autoSpaceDE w:val="0"/>
        <w:autoSpaceDN w:val="0"/>
        <w:adjustRightInd w:val="0"/>
        <w:rPr>
          <w:rFonts w:eastAsiaTheme="minorHAnsi"/>
          <w:color w:val="000000"/>
          <w:sz w:val="22"/>
          <w:szCs w:val="22"/>
          <w:lang w:eastAsia="en-US"/>
        </w:rPr>
      </w:pPr>
    </w:p>
    <w:p w14:paraId="46B9DBC4" w14:textId="058F8E5E" w:rsidR="00E86446" w:rsidRDefault="00345E63">
      <w:pPr>
        <w:widowControl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Dapagliflozin</w:t>
      </w:r>
      <w:r w:rsidR="00905110">
        <w:rPr>
          <w:rFonts w:eastAsiaTheme="minorHAnsi"/>
          <w:color w:val="000000"/>
          <w:sz w:val="22"/>
          <w:szCs w:val="22"/>
          <w:lang w:eastAsia="en-US"/>
        </w:rPr>
        <w:t>o</w:t>
      </w:r>
      <w:r>
        <w:rPr>
          <w:rFonts w:eastAsiaTheme="minorHAnsi"/>
          <w:color w:val="000000"/>
          <w:sz w:val="22"/>
          <w:szCs w:val="22"/>
          <w:lang w:eastAsia="en-US"/>
        </w:rPr>
        <w:t xml:space="preserve"> kartu su insulino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deriniu vartojusių pacientų duomenų atskira analizė parodė panašiai kaip visai tirtai populiacijai sumažėjusią HbA1c koncentraciją. Po 24 savaičių dapagliflozin</w:t>
      </w:r>
      <w:r w:rsidR="00905110">
        <w:rPr>
          <w:rFonts w:eastAsiaTheme="minorHAnsi"/>
          <w:color w:val="000000"/>
          <w:sz w:val="22"/>
          <w:szCs w:val="22"/>
          <w:lang w:eastAsia="en-US"/>
        </w:rPr>
        <w:t>o</w:t>
      </w:r>
      <w:r>
        <w:rPr>
          <w:rFonts w:eastAsiaTheme="minorHAnsi"/>
          <w:color w:val="000000"/>
          <w:sz w:val="22"/>
          <w:szCs w:val="22"/>
          <w:lang w:eastAsia="en-US"/>
        </w:rPr>
        <w:t xml:space="preserve"> kartu su insulino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deriniu vartojusių pacientų HbA1c koncentracija buvo 0,93 % mažesnė negu iš pradžių.</w:t>
      </w:r>
    </w:p>
    <w:p w14:paraId="6330B801" w14:textId="77777777" w:rsidR="00E86446" w:rsidRDefault="00E86446">
      <w:pPr>
        <w:widowControl w:val="0"/>
        <w:autoSpaceDE w:val="0"/>
        <w:autoSpaceDN w:val="0"/>
        <w:adjustRightInd w:val="0"/>
        <w:rPr>
          <w:rFonts w:eastAsiaTheme="minorHAnsi"/>
          <w:color w:val="000000"/>
          <w:sz w:val="22"/>
          <w:szCs w:val="22"/>
          <w:lang w:eastAsia="en-US"/>
        </w:rPr>
      </w:pPr>
    </w:p>
    <w:p w14:paraId="5F0FFB58" w14:textId="77777777" w:rsidR="00E86446" w:rsidRDefault="00345E63">
      <w:pPr>
        <w:widowControl w:val="0"/>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4 lentelė. Iki 24 savaičių trukmės placebu kontroliuojamų tyrimų duomenys (</w:t>
      </w:r>
      <w:proofErr w:type="spellStart"/>
      <w:r>
        <w:rPr>
          <w:rFonts w:eastAsiaTheme="minorHAnsi"/>
          <w:b/>
          <w:bCs/>
          <w:color w:val="000000"/>
          <w:sz w:val="22"/>
          <w:szCs w:val="22"/>
          <w:lang w:eastAsia="en-US"/>
        </w:rPr>
        <w:t>LOCF</w:t>
      </w:r>
      <w:r>
        <w:rPr>
          <w:rFonts w:eastAsiaTheme="minorHAnsi"/>
          <w:b/>
          <w:bCs/>
          <w:color w:val="000000"/>
          <w:sz w:val="22"/>
          <w:szCs w:val="22"/>
          <w:vertAlign w:val="superscript"/>
          <w:lang w:eastAsia="en-US"/>
        </w:rPr>
        <w:t>a</w:t>
      </w:r>
      <w:proofErr w:type="spellEnd"/>
      <w:r>
        <w:rPr>
          <w:rFonts w:eastAsiaTheme="minorHAnsi"/>
          <w:b/>
          <w:bCs/>
          <w:color w:val="000000"/>
          <w:sz w:val="22"/>
          <w:szCs w:val="22"/>
          <w:lang w:eastAsia="en-US"/>
        </w:rPr>
        <w:t xml:space="preserve">) tiriant kaip dapagliflozinas papildo </w:t>
      </w:r>
      <w:proofErr w:type="spellStart"/>
      <w:r>
        <w:rPr>
          <w:rFonts w:eastAsiaTheme="minorHAnsi"/>
          <w:b/>
          <w:bCs/>
          <w:color w:val="000000"/>
          <w:sz w:val="22"/>
          <w:szCs w:val="22"/>
          <w:lang w:eastAsia="en-US"/>
        </w:rPr>
        <w:t>metformino</w:t>
      </w:r>
      <w:proofErr w:type="spellEnd"/>
      <w:r>
        <w:rPr>
          <w:rFonts w:eastAsiaTheme="minorHAnsi"/>
          <w:b/>
          <w:bCs/>
          <w:color w:val="000000"/>
          <w:sz w:val="22"/>
          <w:szCs w:val="22"/>
          <w:lang w:eastAsia="en-US"/>
        </w:rPr>
        <w:t xml:space="preserve"> ar </w:t>
      </w:r>
      <w:proofErr w:type="spellStart"/>
      <w:r>
        <w:rPr>
          <w:rFonts w:eastAsiaTheme="minorHAnsi"/>
          <w:b/>
          <w:bCs/>
          <w:color w:val="000000"/>
          <w:sz w:val="22"/>
          <w:szCs w:val="22"/>
          <w:lang w:eastAsia="en-US"/>
        </w:rPr>
        <w:t>metformino</w:t>
      </w:r>
      <w:proofErr w:type="spellEnd"/>
      <w:r>
        <w:rPr>
          <w:rFonts w:eastAsiaTheme="minorHAnsi"/>
          <w:b/>
          <w:bCs/>
          <w:color w:val="000000"/>
          <w:sz w:val="22"/>
          <w:szCs w:val="22"/>
          <w:lang w:eastAsia="en-US"/>
        </w:rPr>
        <w:t xml:space="preserve"> ir </w:t>
      </w:r>
      <w:proofErr w:type="spellStart"/>
      <w:r>
        <w:rPr>
          <w:rFonts w:eastAsiaTheme="minorHAnsi"/>
          <w:b/>
          <w:bCs/>
          <w:color w:val="000000"/>
          <w:sz w:val="22"/>
          <w:szCs w:val="22"/>
          <w:lang w:eastAsia="en-US"/>
        </w:rPr>
        <w:t>sitagliptino</w:t>
      </w:r>
      <w:proofErr w:type="spellEnd"/>
      <w:r>
        <w:rPr>
          <w:rFonts w:eastAsiaTheme="minorHAnsi"/>
          <w:b/>
          <w:bCs/>
          <w:color w:val="000000"/>
          <w:sz w:val="22"/>
          <w:szCs w:val="22"/>
          <w:lang w:eastAsia="en-US"/>
        </w:rPr>
        <w:t xml:space="preserve"> derinio poveikį</w:t>
      </w:r>
    </w:p>
    <w:tbl>
      <w:tblPr>
        <w:tblStyle w:val="TableNormal1"/>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35"/>
        <w:gridCol w:w="1591"/>
        <w:gridCol w:w="981"/>
        <w:gridCol w:w="1627"/>
        <w:gridCol w:w="1080"/>
        <w:gridCol w:w="1611"/>
        <w:gridCol w:w="1118"/>
      </w:tblGrid>
      <w:tr w:rsidR="00E86446" w14:paraId="4E842998" w14:textId="77777777" w:rsidTr="0073443F">
        <w:trPr>
          <w:trHeight w:val="253"/>
        </w:trPr>
        <w:tc>
          <w:tcPr>
            <w:tcW w:w="1635" w:type="dxa"/>
            <w:vMerge w:val="restart"/>
            <w:tcBorders>
              <w:left w:val="nil"/>
              <w:bottom w:val="single" w:sz="8" w:space="0" w:color="000000"/>
              <w:right w:val="single" w:sz="8" w:space="0" w:color="000000"/>
            </w:tcBorders>
          </w:tcPr>
          <w:p w14:paraId="032A37EA" w14:textId="77777777" w:rsidR="00E86446" w:rsidRPr="003171F5" w:rsidRDefault="00E86446">
            <w:pPr>
              <w:rPr>
                <w:rFonts w:eastAsia="Calibri"/>
                <w:b/>
                <w:lang w:val="lt-LT" w:eastAsia="en-US"/>
              </w:rPr>
            </w:pPr>
          </w:p>
          <w:p w14:paraId="05AFB06D" w14:textId="77777777" w:rsidR="00E86446" w:rsidRPr="003171F5" w:rsidRDefault="00E86446">
            <w:pPr>
              <w:rPr>
                <w:rFonts w:eastAsia="Calibri"/>
                <w:b/>
                <w:lang w:val="lt-LT" w:eastAsia="en-US"/>
              </w:rPr>
            </w:pPr>
          </w:p>
          <w:p w14:paraId="401003B7" w14:textId="77777777" w:rsidR="00E86446" w:rsidRPr="003171F5" w:rsidRDefault="00E86446">
            <w:pPr>
              <w:rPr>
                <w:rFonts w:eastAsia="Calibri"/>
                <w:b/>
                <w:lang w:val="lt-LT" w:eastAsia="en-US"/>
              </w:rPr>
            </w:pPr>
          </w:p>
          <w:p w14:paraId="416B6434" w14:textId="77777777" w:rsidR="00E86446" w:rsidRPr="003171F5" w:rsidRDefault="00E86446">
            <w:pPr>
              <w:rPr>
                <w:rFonts w:eastAsia="Calibri"/>
                <w:b/>
                <w:lang w:val="lt-LT" w:eastAsia="en-US"/>
              </w:rPr>
            </w:pPr>
          </w:p>
          <w:p w14:paraId="4FEFFC8D" w14:textId="77777777" w:rsidR="00E86446" w:rsidRPr="003171F5" w:rsidRDefault="00E86446">
            <w:pPr>
              <w:spacing w:before="76"/>
              <w:rPr>
                <w:rFonts w:eastAsia="Calibri"/>
                <w:b/>
                <w:lang w:val="lt-LT" w:eastAsia="en-US"/>
              </w:rPr>
            </w:pPr>
          </w:p>
          <w:p w14:paraId="47AEC524" w14:textId="77777777" w:rsidR="006E2ED1" w:rsidRPr="0073443F" w:rsidRDefault="006E2ED1">
            <w:pPr>
              <w:spacing w:line="151" w:lineRule="auto"/>
              <w:ind w:left="110"/>
              <w:rPr>
                <w:rFonts w:eastAsia="Calibri"/>
                <w:b/>
                <w:spacing w:val="-5"/>
                <w:position w:val="-8"/>
                <w:lang w:val="lt-LT" w:eastAsia="en-US"/>
              </w:rPr>
            </w:pPr>
          </w:p>
          <w:p w14:paraId="44B88903" w14:textId="1D5B03D5" w:rsidR="00E86446" w:rsidRDefault="00345E63">
            <w:pPr>
              <w:spacing w:line="151" w:lineRule="auto"/>
              <w:ind w:left="110"/>
              <w:rPr>
                <w:rFonts w:eastAsia="Calibri"/>
                <w:lang w:val="en-GB" w:eastAsia="en-US"/>
              </w:rPr>
            </w:pPr>
            <w:r>
              <w:rPr>
                <w:rFonts w:eastAsia="Calibri"/>
                <w:b/>
                <w:spacing w:val="-5"/>
                <w:position w:val="-8"/>
                <w:lang w:val="en-GB" w:eastAsia="en-US"/>
              </w:rPr>
              <w:t>N</w:t>
            </w:r>
            <w:r>
              <w:rPr>
                <w:rFonts w:eastAsia="Calibri"/>
                <w:spacing w:val="-5"/>
                <w:lang w:val="en-GB" w:eastAsia="en-US"/>
              </w:rPr>
              <w:t>c</w:t>
            </w:r>
          </w:p>
        </w:tc>
        <w:tc>
          <w:tcPr>
            <w:tcW w:w="8008" w:type="dxa"/>
            <w:gridSpan w:val="6"/>
            <w:tcBorders>
              <w:left w:val="single" w:sz="8" w:space="0" w:color="000000"/>
              <w:bottom w:val="single" w:sz="8" w:space="0" w:color="000000"/>
              <w:right w:val="nil"/>
            </w:tcBorders>
          </w:tcPr>
          <w:p w14:paraId="766CFF1E" w14:textId="77777777" w:rsidR="00E86446" w:rsidRDefault="00345E63">
            <w:pPr>
              <w:spacing w:line="233" w:lineRule="exact"/>
              <w:ind w:right="5"/>
              <w:jc w:val="center"/>
              <w:rPr>
                <w:rFonts w:eastAsia="Calibri"/>
                <w:b/>
                <w:lang w:val="en-GB" w:eastAsia="en-US"/>
              </w:rPr>
            </w:pPr>
            <w:proofErr w:type="spellStart"/>
            <w:r>
              <w:rPr>
                <w:rFonts w:eastAsia="Calibri"/>
                <w:b/>
                <w:lang w:val="en-GB" w:eastAsia="en-US"/>
              </w:rPr>
              <w:t>Papildomo</w:t>
            </w:r>
            <w:proofErr w:type="spellEnd"/>
            <w:r>
              <w:rPr>
                <w:rFonts w:eastAsia="Calibri"/>
                <w:b/>
                <w:lang w:val="en-GB" w:eastAsia="en-US"/>
              </w:rPr>
              <w:t xml:space="preserve"> </w:t>
            </w:r>
            <w:proofErr w:type="spellStart"/>
            <w:r>
              <w:rPr>
                <w:rFonts w:eastAsia="Calibri"/>
                <w:b/>
                <w:lang w:val="en-GB" w:eastAsia="en-US"/>
              </w:rPr>
              <w:t>gydymo</w:t>
            </w:r>
            <w:proofErr w:type="spellEnd"/>
            <w:r>
              <w:rPr>
                <w:rFonts w:eastAsia="Calibri"/>
                <w:b/>
                <w:lang w:val="en-GB" w:eastAsia="en-US"/>
              </w:rPr>
              <w:t xml:space="preserve"> </w:t>
            </w:r>
            <w:proofErr w:type="spellStart"/>
            <w:r>
              <w:rPr>
                <w:rFonts w:eastAsia="Calibri"/>
                <w:b/>
                <w:lang w:val="en-GB" w:eastAsia="en-US"/>
              </w:rPr>
              <w:t>derinys</w:t>
            </w:r>
            <w:proofErr w:type="spellEnd"/>
          </w:p>
        </w:tc>
      </w:tr>
      <w:tr w:rsidR="006E2ED1" w14:paraId="2CF99917" w14:textId="77777777" w:rsidTr="0073443F">
        <w:trPr>
          <w:trHeight w:val="512"/>
        </w:trPr>
        <w:tc>
          <w:tcPr>
            <w:tcW w:w="1635" w:type="dxa"/>
            <w:vMerge/>
            <w:tcBorders>
              <w:top w:val="nil"/>
              <w:left w:val="nil"/>
              <w:bottom w:val="single" w:sz="8" w:space="0" w:color="000000"/>
              <w:right w:val="single" w:sz="8" w:space="0" w:color="000000"/>
            </w:tcBorders>
          </w:tcPr>
          <w:p w14:paraId="3F3C8443" w14:textId="77777777" w:rsidR="00E86446" w:rsidRDefault="00E86446">
            <w:pPr>
              <w:rPr>
                <w:rFonts w:eastAsia="Calibri"/>
                <w:lang w:val="en-GB" w:eastAsia="en-US"/>
              </w:rPr>
            </w:pPr>
          </w:p>
        </w:tc>
        <w:tc>
          <w:tcPr>
            <w:tcW w:w="2572" w:type="dxa"/>
            <w:gridSpan w:val="2"/>
            <w:tcBorders>
              <w:top w:val="single" w:sz="8" w:space="0" w:color="000000"/>
              <w:left w:val="single" w:sz="8" w:space="0" w:color="000000"/>
              <w:bottom w:val="single" w:sz="8" w:space="0" w:color="000000"/>
              <w:right w:val="single" w:sz="8" w:space="0" w:color="000000"/>
            </w:tcBorders>
          </w:tcPr>
          <w:p w14:paraId="0FAAC23A" w14:textId="77777777" w:rsidR="00E86446" w:rsidRDefault="00345E63">
            <w:pPr>
              <w:spacing w:before="5"/>
              <w:ind w:left="705"/>
              <w:rPr>
                <w:rFonts w:eastAsia="Calibri"/>
                <w:lang w:val="en-GB" w:eastAsia="en-US"/>
              </w:rPr>
            </w:pPr>
            <w:r>
              <w:rPr>
                <w:rFonts w:eastAsia="Calibri"/>
                <w:b/>
                <w:spacing w:val="-2"/>
                <w:lang w:val="en-GB" w:eastAsia="en-US"/>
              </w:rPr>
              <w:t>Metforminas</w:t>
            </w:r>
            <w:r>
              <w:rPr>
                <w:rFonts w:eastAsia="Calibri"/>
                <w:spacing w:val="-2"/>
                <w:vertAlign w:val="superscript"/>
                <w:lang w:val="en-GB" w:eastAsia="en-US"/>
              </w:rPr>
              <w:t>1</w:t>
            </w:r>
          </w:p>
        </w:tc>
        <w:tc>
          <w:tcPr>
            <w:tcW w:w="2707" w:type="dxa"/>
            <w:gridSpan w:val="2"/>
            <w:tcBorders>
              <w:top w:val="single" w:sz="8" w:space="0" w:color="000000"/>
              <w:left w:val="single" w:sz="8" w:space="0" w:color="000000"/>
              <w:bottom w:val="single" w:sz="8" w:space="0" w:color="000000"/>
              <w:right w:val="single" w:sz="8" w:space="0" w:color="000000"/>
            </w:tcBorders>
          </w:tcPr>
          <w:p w14:paraId="24E9F447" w14:textId="77777777" w:rsidR="00E86446" w:rsidRDefault="00345E63">
            <w:pPr>
              <w:spacing w:before="5"/>
              <w:ind w:left="586"/>
              <w:rPr>
                <w:rFonts w:eastAsia="Calibri"/>
                <w:lang w:val="en-GB" w:eastAsia="en-US"/>
              </w:rPr>
            </w:pPr>
            <w:r>
              <w:rPr>
                <w:rFonts w:eastAsia="Calibri"/>
                <w:b/>
                <w:spacing w:val="-2"/>
                <w:lang w:val="en-GB" w:eastAsia="en-US"/>
              </w:rPr>
              <w:t>Metforminas</w:t>
            </w:r>
            <w:r>
              <w:rPr>
                <w:rFonts w:eastAsia="Calibri"/>
                <w:spacing w:val="-2"/>
                <w:vertAlign w:val="superscript"/>
                <w:lang w:val="en-GB" w:eastAsia="en-US"/>
              </w:rPr>
              <w:t>1,</w:t>
            </w:r>
            <w:r>
              <w:rPr>
                <w:rFonts w:eastAsia="Calibri"/>
                <w:spacing w:val="-8"/>
                <w:lang w:val="en-GB" w:eastAsia="en-US"/>
              </w:rPr>
              <w:t xml:space="preserve"> </w:t>
            </w:r>
            <w:r>
              <w:rPr>
                <w:rFonts w:eastAsia="Calibri"/>
                <w:spacing w:val="-10"/>
                <w:vertAlign w:val="superscript"/>
                <w:lang w:val="en-GB" w:eastAsia="en-US"/>
              </w:rPr>
              <w:t>b</w:t>
            </w:r>
          </w:p>
        </w:tc>
        <w:tc>
          <w:tcPr>
            <w:tcW w:w="2729" w:type="dxa"/>
            <w:gridSpan w:val="2"/>
            <w:tcBorders>
              <w:top w:val="single" w:sz="8" w:space="0" w:color="000000"/>
              <w:left w:val="single" w:sz="8" w:space="0" w:color="000000"/>
              <w:bottom w:val="single" w:sz="8" w:space="0" w:color="000000"/>
              <w:right w:val="nil"/>
            </w:tcBorders>
          </w:tcPr>
          <w:p w14:paraId="3E4D0D07" w14:textId="77777777" w:rsidR="00E86446" w:rsidRDefault="00345E63">
            <w:pPr>
              <w:spacing w:before="5"/>
              <w:ind w:left="101"/>
              <w:rPr>
                <w:rFonts w:eastAsia="Calibri"/>
                <w:lang w:val="en-GB" w:eastAsia="en-US"/>
              </w:rPr>
            </w:pPr>
            <w:r>
              <w:rPr>
                <w:rFonts w:eastAsia="Calibri"/>
                <w:b/>
                <w:lang w:val="en-GB" w:eastAsia="en-US"/>
              </w:rPr>
              <w:t>Metforminas</w:t>
            </w:r>
            <w:r>
              <w:rPr>
                <w:rFonts w:eastAsia="Calibri"/>
                <w:vertAlign w:val="superscript"/>
                <w:lang w:val="en-GB" w:eastAsia="en-US"/>
              </w:rPr>
              <w:t>1</w:t>
            </w:r>
            <w:r>
              <w:rPr>
                <w:rFonts w:eastAsia="Calibri"/>
                <w:spacing w:val="-7"/>
                <w:lang w:val="en-GB" w:eastAsia="en-US"/>
              </w:rPr>
              <w:t xml:space="preserve"> </w:t>
            </w:r>
            <w:r>
              <w:rPr>
                <w:rFonts w:eastAsia="Calibri"/>
                <w:b/>
                <w:lang w:val="en-GB" w:eastAsia="en-US"/>
              </w:rPr>
              <w:t>+</w:t>
            </w:r>
            <w:r>
              <w:rPr>
                <w:rFonts w:eastAsia="Calibri"/>
                <w:b/>
                <w:spacing w:val="-5"/>
                <w:lang w:val="en-GB" w:eastAsia="en-US"/>
              </w:rPr>
              <w:t xml:space="preserve"> </w:t>
            </w:r>
            <w:r>
              <w:rPr>
                <w:rFonts w:eastAsia="Calibri"/>
                <w:b/>
                <w:spacing w:val="-2"/>
                <w:lang w:val="en-GB" w:eastAsia="en-US"/>
              </w:rPr>
              <w:t>sitagliptinas</w:t>
            </w:r>
            <w:r>
              <w:rPr>
                <w:rFonts w:eastAsia="Calibri"/>
                <w:spacing w:val="-2"/>
                <w:vertAlign w:val="superscript"/>
                <w:lang w:val="en-GB" w:eastAsia="en-US"/>
              </w:rPr>
              <w:t>2</w:t>
            </w:r>
          </w:p>
        </w:tc>
      </w:tr>
      <w:tr w:rsidR="006E2ED1" w14:paraId="5B159846" w14:textId="77777777" w:rsidTr="0073443F">
        <w:trPr>
          <w:trHeight w:val="703"/>
        </w:trPr>
        <w:tc>
          <w:tcPr>
            <w:tcW w:w="1635" w:type="dxa"/>
            <w:vMerge/>
            <w:tcBorders>
              <w:top w:val="nil"/>
              <w:left w:val="nil"/>
              <w:bottom w:val="single" w:sz="8" w:space="0" w:color="000000"/>
              <w:right w:val="single" w:sz="8" w:space="0" w:color="000000"/>
            </w:tcBorders>
          </w:tcPr>
          <w:p w14:paraId="7E72CF22" w14:textId="77777777" w:rsidR="00E86446" w:rsidRDefault="00E86446">
            <w:pPr>
              <w:rPr>
                <w:rFonts w:eastAsia="Calibri"/>
                <w:lang w:val="en-GB" w:eastAsia="en-US"/>
              </w:rPr>
            </w:pPr>
          </w:p>
        </w:tc>
        <w:tc>
          <w:tcPr>
            <w:tcW w:w="1591" w:type="dxa"/>
            <w:tcBorders>
              <w:top w:val="single" w:sz="8" w:space="0" w:color="000000"/>
              <w:left w:val="single" w:sz="8" w:space="0" w:color="000000"/>
              <w:bottom w:val="single" w:sz="8" w:space="0" w:color="000000"/>
              <w:right w:val="nil"/>
            </w:tcBorders>
          </w:tcPr>
          <w:p w14:paraId="15814C02" w14:textId="77777777" w:rsidR="00E86446" w:rsidRDefault="00345E63">
            <w:pPr>
              <w:spacing w:line="250" w:lineRule="atLeast"/>
              <w:ind w:left="249" w:hanging="149"/>
              <w:rPr>
                <w:rFonts w:eastAsia="Calibri"/>
                <w:b/>
                <w:lang w:val="en-GB" w:eastAsia="en-US"/>
              </w:rPr>
            </w:pPr>
            <w:proofErr w:type="spellStart"/>
            <w:r>
              <w:rPr>
                <w:rFonts w:eastAsia="Calibri"/>
                <w:b/>
                <w:spacing w:val="-2"/>
                <w:lang w:val="en-GB" w:eastAsia="en-US"/>
              </w:rPr>
              <w:t>Dapagliflozinas</w:t>
            </w:r>
            <w:proofErr w:type="spellEnd"/>
            <w:r>
              <w:rPr>
                <w:rFonts w:eastAsia="Calibri"/>
                <w:b/>
                <w:spacing w:val="-2"/>
                <w:lang w:val="en-GB" w:eastAsia="en-US"/>
              </w:rPr>
              <w:t xml:space="preserve"> </w:t>
            </w:r>
            <w:r>
              <w:rPr>
                <w:rFonts w:eastAsia="Calibri"/>
                <w:b/>
                <w:lang w:val="en-GB" w:eastAsia="en-US"/>
              </w:rPr>
              <w:t>10 mg 1 k/d</w:t>
            </w:r>
          </w:p>
        </w:tc>
        <w:tc>
          <w:tcPr>
            <w:tcW w:w="981" w:type="dxa"/>
            <w:tcBorders>
              <w:top w:val="single" w:sz="8" w:space="0" w:color="000000"/>
              <w:left w:val="nil"/>
              <w:bottom w:val="single" w:sz="8" w:space="0" w:color="000000"/>
              <w:right w:val="single" w:sz="8" w:space="0" w:color="000000"/>
            </w:tcBorders>
          </w:tcPr>
          <w:p w14:paraId="1C4D978F" w14:textId="77777777" w:rsidR="00E86446" w:rsidRDefault="00345E63" w:rsidP="0073443F">
            <w:pPr>
              <w:spacing w:line="250" w:lineRule="atLeast"/>
              <w:ind w:right="143"/>
              <w:rPr>
                <w:rFonts w:eastAsia="Calibri"/>
                <w:b/>
                <w:lang w:val="en-GB" w:eastAsia="en-US"/>
              </w:rPr>
            </w:pPr>
            <w:proofErr w:type="spellStart"/>
            <w:r>
              <w:rPr>
                <w:rFonts w:eastAsia="Calibri"/>
                <w:b/>
                <w:spacing w:val="-2"/>
                <w:lang w:val="en-GB" w:eastAsia="en-US"/>
              </w:rPr>
              <w:t>Placebas</w:t>
            </w:r>
            <w:proofErr w:type="spellEnd"/>
            <w:r>
              <w:rPr>
                <w:rFonts w:eastAsia="Calibri"/>
                <w:b/>
                <w:spacing w:val="-2"/>
                <w:lang w:val="en-GB" w:eastAsia="en-US"/>
              </w:rPr>
              <w:t xml:space="preserve"> 1 k/d</w:t>
            </w:r>
          </w:p>
        </w:tc>
        <w:tc>
          <w:tcPr>
            <w:tcW w:w="2707" w:type="dxa"/>
            <w:gridSpan w:val="2"/>
            <w:tcBorders>
              <w:top w:val="single" w:sz="8" w:space="0" w:color="000000"/>
              <w:left w:val="single" w:sz="8" w:space="0" w:color="000000"/>
              <w:bottom w:val="single" w:sz="8" w:space="0" w:color="000000"/>
              <w:right w:val="single" w:sz="8" w:space="0" w:color="000000"/>
            </w:tcBorders>
          </w:tcPr>
          <w:p w14:paraId="67BC1094" w14:textId="77777777" w:rsidR="00E86446" w:rsidRDefault="00345E63">
            <w:pPr>
              <w:tabs>
                <w:tab w:val="left" w:pos="1574"/>
                <w:tab w:val="left" w:pos="1747"/>
              </w:tabs>
              <w:spacing w:line="250" w:lineRule="atLeast"/>
              <w:ind w:left="278" w:right="98" w:hanging="178"/>
              <w:rPr>
                <w:rFonts w:eastAsia="Calibri"/>
                <w:b/>
                <w:lang w:val="en-GB" w:eastAsia="en-US"/>
              </w:rPr>
            </w:pPr>
            <w:proofErr w:type="spellStart"/>
            <w:r>
              <w:rPr>
                <w:rFonts w:eastAsia="Calibri"/>
                <w:b/>
                <w:spacing w:val="-2"/>
                <w:lang w:val="en-GB" w:eastAsia="en-US"/>
              </w:rPr>
              <w:t>Dapagliflozinas</w:t>
            </w:r>
            <w:proofErr w:type="spellEnd"/>
            <w:r>
              <w:rPr>
                <w:rFonts w:eastAsia="Calibri"/>
                <w:b/>
                <w:lang w:val="en-GB" w:eastAsia="en-US"/>
              </w:rPr>
              <w:tab/>
            </w:r>
            <w:proofErr w:type="spellStart"/>
            <w:r>
              <w:rPr>
                <w:rFonts w:eastAsia="Calibri"/>
                <w:b/>
                <w:spacing w:val="-2"/>
                <w:lang w:val="en-GB" w:eastAsia="en-US"/>
              </w:rPr>
              <w:t>Placebass</w:t>
            </w:r>
            <w:proofErr w:type="spellEnd"/>
            <w:r>
              <w:rPr>
                <w:rFonts w:eastAsia="Calibri"/>
                <w:b/>
                <w:spacing w:val="-2"/>
                <w:lang w:val="en-GB" w:eastAsia="en-US"/>
              </w:rPr>
              <w:t xml:space="preserve"> </w:t>
            </w:r>
            <w:r>
              <w:rPr>
                <w:rFonts w:eastAsia="Calibri"/>
                <w:b/>
                <w:lang w:val="en-GB" w:eastAsia="en-US"/>
              </w:rPr>
              <w:t>5 mg 2 k/d</w:t>
            </w:r>
            <w:r>
              <w:rPr>
                <w:rFonts w:eastAsia="Calibri"/>
                <w:b/>
                <w:lang w:val="en-GB" w:eastAsia="en-US"/>
              </w:rPr>
              <w:tab/>
            </w:r>
            <w:r>
              <w:rPr>
                <w:rFonts w:eastAsia="Calibri"/>
                <w:b/>
                <w:lang w:val="en-GB" w:eastAsia="en-US"/>
              </w:rPr>
              <w:tab/>
            </w:r>
            <w:r>
              <w:rPr>
                <w:rFonts w:eastAsia="Calibri"/>
                <w:b/>
                <w:spacing w:val="-4"/>
                <w:lang w:val="en-GB" w:eastAsia="en-US"/>
              </w:rPr>
              <w:t>2 k/d</w:t>
            </w:r>
          </w:p>
        </w:tc>
        <w:tc>
          <w:tcPr>
            <w:tcW w:w="1611" w:type="dxa"/>
            <w:tcBorders>
              <w:top w:val="single" w:sz="8" w:space="0" w:color="000000"/>
              <w:left w:val="single" w:sz="8" w:space="0" w:color="000000"/>
              <w:bottom w:val="single" w:sz="8" w:space="0" w:color="000000"/>
              <w:right w:val="nil"/>
            </w:tcBorders>
          </w:tcPr>
          <w:p w14:paraId="34D4F07B" w14:textId="77777777" w:rsidR="00E86446" w:rsidRDefault="00345E63">
            <w:pPr>
              <w:spacing w:line="250" w:lineRule="atLeast"/>
              <w:ind w:left="269" w:hanging="149"/>
              <w:rPr>
                <w:rFonts w:eastAsia="Calibri"/>
                <w:b/>
                <w:lang w:val="en-GB" w:eastAsia="en-US"/>
              </w:rPr>
            </w:pPr>
            <w:proofErr w:type="spellStart"/>
            <w:r>
              <w:rPr>
                <w:rFonts w:eastAsia="Calibri"/>
                <w:b/>
                <w:spacing w:val="-2"/>
                <w:lang w:val="en-GB" w:eastAsia="en-US"/>
              </w:rPr>
              <w:t>Dapagliflozinas</w:t>
            </w:r>
            <w:proofErr w:type="spellEnd"/>
            <w:r>
              <w:rPr>
                <w:rFonts w:eastAsia="Calibri"/>
                <w:b/>
                <w:spacing w:val="-2"/>
                <w:lang w:val="en-GB" w:eastAsia="en-US"/>
              </w:rPr>
              <w:t xml:space="preserve"> </w:t>
            </w:r>
            <w:r>
              <w:rPr>
                <w:rFonts w:eastAsia="Calibri"/>
                <w:b/>
                <w:lang w:val="en-GB" w:eastAsia="en-US"/>
              </w:rPr>
              <w:t>10 mg 1 k/d</w:t>
            </w:r>
          </w:p>
        </w:tc>
        <w:tc>
          <w:tcPr>
            <w:tcW w:w="1118" w:type="dxa"/>
            <w:tcBorders>
              <w:top w:val="single" w:sz="8" w:space="0" w:color="000000"/>
              <w:left w:val="nil"/>
              <w:bottom w:val="single" w:sz="8" w:space="0" w:color="000000"/>
              <w:right w:val="nil"/>
            </w:tcBorders>
          </w:tcPr>
          <w:p w14:paraId="681A7C0B" w14:textId="77777777" w:rsidR="00E86446" w:rsidRDefault="00345E63">
            <w:pPr>
              <w:spacing w:line="250" w:lineRule="atLeast"/>
              <w:ind w:left="344" w:right="149" w:hanging="202"/>
              <w:rPr>
                <w:rFonts w:eastAsia="Calibri"/>
                <w:b/>
                <w:lang w:val="en-GB" w:eastAsia="en-US"/>
              </w:rPr>
            </w:pPr>
            <w:proofErr w:type="spellStart"/>
            <w:r>
              <w:rPr>
                <w:rFonts w:eastAsia="Calibri"/>
                <w:b/>
                <w:spacing w:val="-2"/>
                <w:lang w:val="en-GB" w:eastAsia="en-US"/>
              </w:rPr>
              <w:t>Placebas</w:t>
            </w:r>
            <w:proofErr w:type="spellEnd"/>
            <w:r>
              <w:rPr>
                <w:rFonts w:eastAsia="Calibri"/>
                <w:b/>
                <w:spacing w:val="-2"/>
                <w:lang w:val="en-GB" w:eastAsia="en-US"/>
              </w:rPr>
              <w:t xml:space="preserve"> </w:t>
            </w:r>
            <w:r>
              <w:rPr>
                <w:rFonts w:eastAsia="Calibri"/>
                <w:b/>
                <w:spacing w:val="-6"/>
                <w:lang w:val="en-GB" w:eastAsia="en-US"/>
              </w:rPr>
              <w:t>1 k/d</w:t>
            </w:r>
          </w:p>
        </w:tc>
      </w:tr>
      <w:tr w:rsidR="006E2ED1" w14:paraId="38374873" w14:textId="77777777" w:rsidTr="0073443F">
        <w:trPr>
          <w:trHeight w:val="253"/>
        </w:trPr>
        <w:tc>
          <w:tcPr>
            <w:tcW w:w="1635" w:type="dxa"/>
            <w:vMerge/>
            <w:tcBorders>
              <w:top w:val="nil"/>
              <w:left w:val="nil"/>
              <w:bottom w:val="single" w:sz="8" w:space="0" w:color="000000"/>
              <w:right w:val="single" w:sz="8" w:space="0" w:color="000000"/>
            </w:tcBorders>
          </w:tcPr>
          <w:p w14:paraId="667F8CF2" w14:textId="77777777" w:rsidR="00E86446" w:rsidRDefault="00E86446">
            <w:pPr>
              <w:rPr>
                <w:rFonts w:eastAsia="Calibri"/>
                <w:lang w:val="en-GB" w:eastAsia="en-US"/>
              </w:rPr>
            </w:pPr>
          </w:p>
        </w:tc>
        <w:tc>
          <w:tcPr>
            <w:tcW w:w="1591" w:type="dxa"/>
            <w:tcBorders>
              <w:top w:val="single" w:sz="8" w:space="0" w:color="000000"/>
              <w:left w:val="single" w:sz="8" w:space="0" w:color="000000"/>
              <w:bottom w:val="single" w:sz="8" w:space="0" w:color="000000"/>
              <w:right w:val="nil"/>
            </w:tcBorders>
          </w:tcPr>
          <w:p w14:paraId="464EFFBF" w14:textId="77777777" w:rsidR="00E86446" w:rsidRDefault="00345E63">
            <w:pPr>
              <w:spacing w:line="234" w:lineRule="exact"/>
              <w:ind w:right="35"/>
              <w:jc w:val="center"/>
              <w:rPr>
                <w:rFonts w:eastAsia="Calibri"/>
                <w:lang w:val="en-GB" w:eastAsia="en-US"/>
              </w:rPr>
            </w:pPr>
            <w:r>
              <w:rPr>
                <w:rFonts w:eastAsia="Calibri"/>
                <w:spacing w:val="-5"/>
                <w:lang w:val="en-GB" w:eastAsia="en-US"/>
              </w:rPr>
              <w:t>135</w:t>
            </w:r>
          </w:p>
        </w:tc>
        <w:tc>
          <w:tcPr>
            <w:tcW w:w="981" w:type="dxa"/>
            <w:tcBorders>
              <w:top w:val="single" w:sz="8" w:space="0" w:color="000000"/>
              <w:left w:val="nil"/>
              <w:bottom w:val="single" w:sz="8" w:space="0" w:color="000000"/>
              <w:right w:val="single" w:sz="8" w:space="0" w:color="000000"/>
            </w:tcBorders>
          </w:tcPr>
          <w:p w14:paraId="5FB62870" w14:textId="77777777" w:rsidR="00E86446" w:rsidRDefault="00345E63">
            <w:pPr>
              <w:spacing w:line="234" w:lineRule="exact"/>
              <w:ind w:right="14"/>
              <w:jc w:val="center"/>
              <w:rPr>
                <w:rFonts w:eastAsia="Calibri"/>
                <w:lang w:val="en-GB" w:eastAsia="en-US"/>
              </w:rPr>
            </w:pPr>
            <w:r>
              <w:rPr>
                <w:rFonts w:eastAsia="Calibri"/>
                <w:spacing w:val="-5"/>
                <w:lang w:val="en-GB" w:eastAsia="en-US"/>
              </w:rPr>
              <w:t>137</w:t>
            </w:r>
          </w:p>
        </w:tc>
        <w:tc>
          <w:tcPr>
            <w:tcW w:w="1627" w:type="dxa"/>
            <w:tcBorders>
              <w:top w:val="single" w:sz="8" w:space="0" w:color="000000"/>
              <w:left w:val="single" w:sz="8" w:space="0" w:color="000000"/>
              <w:bottom w:val="single" w:sz="8" w:space="0" w:color="000000"/>
              <w:right w:val="nil"/>
            </w:tcBorders>
          </w:tcPr>
          <w:p w14:paraId="6A3A39A9" w14:textId="77777777" w:rsidR="00E86446" w:rsidRDefault="00345E63">
            <w:pPr>
              <w:spacing w:line="234" w:lineRule="exact"/>
              <w:ind w:left="1" w:right="9"/>
              <w:jc w:val="center"/>
              <w:rPr>
                <w:rFonts w:eastAsia="Calibri"/>
                <w:lang w:val="en-GB" w:eastAsia="en-US"/>
              </w:rPr>
            </w:pPr>
            <w:r>
              <w:rPr>
                <w:rFonts w:eastAsia="Calibri"/>
                <w:spacing w:val="-5"/>
                <w:lang w:val="en-GB" w:eastAsia="en-US"/>
              </w:rPr>
              <w:t>99</w:t>
            </w:r>
          </w:p>
        </w:tc>
        <w:tc>
          <w:tcPr>
            <w:tcW w:w="1080" w:type="dxa"/>
            <w:tcBorders>
              <w:top w:val="single" w:sz="8" w:space="0" w:color="000000"/>
              <w:left w:val="nil"/>
              <w:bottom w:val="single" w:sz="8" w:space="0" w:color="000000"/>
              <w:right w:val="single" w:sz="8" w:space="0" w:color="000000"/>
            </w:tcBorders>
          </w:tcPr>
          <w:p w14:paraId="56C2F497" w14:textId="77777777" w:rsidR="00E86446" w:rsidRDefault="00345E63">
            <w:pPr>
              <w:spacing w:line="234" w:lineRule="exact"/>
              <w:ind w:left="16" w:right="5"/>
              <w:jc w:val="center"/>
              <w:rPr>
                <w:rFonts w:eastAsia="Calibri"/>
                <w:lang w:val="en-GB" w:eastAsia="en-US"/>
              </w:rPr>
            </w:pPr>
            <w:r>
              <w:rPr>
                <w:rFonts w:eastAsia="Calibri"/>
                <w:spacing w:val="-5"/>
                <w:lang w:val="en-GB" w:eastAsia="en-US"/>
              </w:rPr>
              <w:t>101</w:t>
            </w:r>
          </w:p>
        </w:tc>
        <w:tc>
          <w:tcPr>
            <w:tcW w:w="1611" w:type="dxa"/>
            <w:tcBorders>
              <w:top w:val="single" w:sz="8" w:space="0" w:color="000000"/>
              <w:left w:val="single" w:sz="8" w:space="0" w:color="000000"/>
              <w:bottom w:val="single" w:sz="8" w:space="0" w:color="000000"/>
              <w:right w:val="nil"/>
            </w:tcBorders>
          </w:tcPr>
          <w:p w14:paraId="102E29CA" w14:textId="77777777" w:rsidR="00E86446" w:rsidRDefault="00345E63">
            <w:pPr>
              <w:spacing w:line="234" w:lineRule="exact"/>
              <w:ind w:left="164" w:right="31"/>
              <w:jc w:val="center"/>
              <w:rPr>
                <w:rFonts w:eastAsia="Calibri"/>
                <w:lang w:val="en-GB" w:eastAsia="en-US"/>
              </w:rPr>
            </w:pPr>
            <w:r>
              <w:rPr>
                <w:rFonts w:eastAsia="Calibri"/>
                <w:spacing w:val="-5"/>
                <w:lang w:val="en-GB" w:eastAsia="en-US"/>
              </w:rPr>
              <w:t>113</w:t>
            </w:r>
          </w:p>
        </w:tc>
        <w:tc>
          <w:tcPr>
            <w:tcW w:w="1118" w:type="dxa"/>
            <w:tcBorders>
              <w:top w:val="single" w:sz="8" w:space="0" w:color="000000"/>
              <w:left w:val="nil"/>
              <w:bottom w:val="single" w:sz="8" w:space="0" w:color="000000"/>
              <w:right w:val="nil"/>
            </w:tcBorders>
          </w:tcPr>
          <w:p w14:paraId="5605D132" w14:textId="77777777" w:rsidR="00E86446" w:rsidRDefault="00345E63">
            <w:pPr>
              <w:spacing w:line="234" w:lineRule="exact"/>
              <w:ind w:right="281"/>
              <w:jc w:val="right"/>
              <w:rPr>
                <w:rFonts w:eastAsia="Calibri"/>
                <w:lang w:val="en-GB" w:eastAsia="en-US"/>
              </w:rPr>
            </w:pPr>
            <w:r>
              <w:rPr>
                <w:rFonts w:eastAsia="Calibri"/>
                <w:spacing w:val="-5"/>
                <w:lang w:val="en-GB" w:eastAsia="en-US"/>
              </w:rPr>
              <w:t>113</w:t>
            </w:r>
          </w:p>
        </w:tc>
      </w:tr>
      <w:tr w:rsidR="006E2ED1" w14:paraId="1CA08988" w14:textId="77777777" w:rsidTr="0073443F">
        <w:trPr>
          <w:trHeight w:val="620"/>
        </w:trPr>
        <w:tc>
          <w:tcPr>
            <w:tcW w:w="1635" w:type="dxa"/>
            <w:vMerge w:val="restart"/>
            <w:tcBorders>
              <w:top w:val="single" w:sz="8" w:space="0" w:color="000000"/>
              <w:left w:val="nil"/>
              <w:bottom w:val="single" w:sz="8" w:space="0" w:color="000000"/>
              <w:right w:val="single" w:sz="8" w:space="0" w:color="000000"/>
            </w:tcBorders>
          </w:tcPr>
          <w:p w14:paraId="3BE34316" w14:textId="77777777" w:rsidR="00E86446" w:rsidRPr="003171F5" w:rsidRDefault="00345E63">
            <w:pPr>
              <w:spacing w:line="249" w:lineRule="exact"/>
              <w:ind w:left="110"/>
              <w:rPr>
                <w:rFonts w:eastAsia="Calibri"/>
                <w:b/>
                <w:lang w:val="lt-LT" w:eastAsia="en-US"/>
              </w:rPr>
            </w:pPr>
            <w:r w:rsidRPr="003171F5">
              <w:rPr>
                <w:rFonts w:eastAsia="Calibri"/>
                <w:b/>
                <w:lang w:val="lt-LT" w:eastAsia="en-US"/>
              </w:rPr>
              <w:t>HbA1c</w:t>
            </w:r>
            <w:r w:rsidRPr="003171F5">
              <w:rPr>
                <w:rFonts w:eastAsia="Calibri"/>
                <w:b/>
                <w:spacing w:val="-11"/>
                <w:lang w:val="lt-LT" w:eastAsia="en-US"/>
              </w:rPr>
              <w:t xml:space="preserve"> koncentracija </w:t>
            </w:r>
            <w:r w:rsidRPr="003171F5">
              <w:rPr>
                <w:rFonts w:eastAsia="Calibri"/>
                <w:b/>
                <w:spacing w:val="-5"/>
                <w:lang w:val="lt-LT" w:eastAsia="en-US"/>
              </w:rPr>
              <w:t>(%)</w:t>
            </w:r>
          </w:p>
          <w:p w14:paraId="18917EA2" w14:textId="77777777" w:rsidR="00E86446" w:rsidRPr="003171F5" w:rsidRDefault="00345E63">
            <w:pPr>
              <w:ind w:left="254" w:right="137"/>
              <w:rPr>
                <w:rFonts w:eastAsia="Calibri"/>
                <w:lang w:val="lt-LT" w:eastAsia="en-US"/>
              </w:rPr>
            </w:pPr>
            <w:r w:rsidRPr="003171F5">
              <w:rPr>
                <w:rFonts w:eastAsia="Calibri"/>
                <w:spacing w:val="-2"/>
                <w:lang w:val="lt-LT" w:eastAsia="en-US"/>
              </w:rPr>
              <w:t xml:space="preserve">Pradinė (vidurkis) </w:t>
            </w:r>
            <w:r w:rsidRPr="003171F5">
              <w:rPr>
                <w:rFonts w:eastAsia="Calibri"/>
                <w:lang w:val="lt-LT" w:eastAsia="en-US"/>
              </w:rPr>
              <w:t xml:space="preserve">Pokytis palyginus su </w:t>
            </w:r>
            <w:proofErr w:type="spellStart"/>
            <w:r w:rsidRPr="003171F5">
              <w:rPr>
                <w:rFonts w:eastAsia="Calibri"/>
                <w:lang w:val="lt-LT" w:eastAsia="en-US"/>
              </w:rPr>
              <w:t>pradine</w:t>
            </w:r>
            <w:r w:rsidRPr="003171F5">
              <w:rPr>
                <w:rFonts w:eastAsia="Calibri"/>
                <w:spacing w:val="-2"/>
                <w:vertAlign w:val="superscript"/>
                <w:lang w:val="lt-LT" w:eastAsia="en-US"/>
              </w:rPr>
              <w:t>d</w:t>
            </w:r>
            <w:proofErr w:type="spellEnd"/>
            <w:r w:rsidRPr="003171F5">
              <w:rPr>
                <w:rFonts w:eastAsia="Calibri"/>
                <w:spacing w:val="-2"/>
                <w:lang w:val="lt-LT" w:eastAsia="en-US"/>
              </w:rPr>
              <w:t xml:space="preserve"> Skirtumas nuo </w:t>
            </w:r>
            <w:proofErr w:type="spellStart"/>
            <w:r w:rsidRPr="003171F5">
              <w:rPr>
                <w:rFonts w:eastAsia="Calibri"/>
                <w:spacing w:val="-2"/>
                <w:lang w:val="lt-LT" w:eastAsia="en-US"/>
              </w:rPr>
              <w:t>placebo</w:t>
            </w:r>
            <w:r w:rsidRPr="003171F5">
              <w:rPr>
                <w:rFonts w:eastAsia="Calibri"/>
                <w:spacing w:val="-2"/>
                <w:vertAlign w:val="superscript"/>
                <w:lang w:val="lt-LT" w:eastAsia="en-US"/>
              </w:rPr>
              <w:t>d</w:t>
            </w:r>
            <w:proofErr w:type="spellEnd"/>
          </w:p>
          <w:p w14:paraId="20B3C5F3" w14:textId="77777777" w:rsidR="00E86446" w:rsidRDefault="00345E63">
            <w:pPr>
              <w:spacing w:line="238" w:lineRule="exact"/>
              <w:ind w:left="480"/>
              <w:rPr>
                <w:rFonts w:eastAsia="Calibri"/>
                <w:lang w:val="en-GB" w:eastAsia="en-US"/>
              </w:rPr>
            </w:pPr>
            <w:r>
              <w:rPr>
                <w:rFonts w:eastAsia="Calibri"/>
                <w:lang w:val="en-GB" w:eastAsia="en-US"/>
              </w:rPr>
              <w:t>(95 %</w:t>
            </w:r>
            <w:r>
              <w:rPr>
                <w:rFonts w:eastAsia="Calibri"/>
                <w:spacing w:val="-6"/>
                <w:lang w:val="en-GB" w:eastAsia="en-US"/>
              </w:rPr>
              <w:t xml:space="preserve"> </w:t>
            </w:r>
            <w:r>
              <w:rPr>
                <w:rFonts w:eastAsia="Calibri"/>
                <w:spacing w:val="-5"/>
                <w:lang w:val="en-GB" w:eastAsia="en-US"/>
              </w:rPr>
              <w:t>PI)</w:t>
            </w:r>
          </w:p>
        </w:tc>
        <w:tc>
          <w:tcPr>
            <w:tcW w:w="1591" w:type="dxa"/>
            <w:tcBorders>
              <w:top w:val="single" w:sz="8" w:space="0" w:color="000000"/>
              <w:left w:val="single" w:sz="8" w:space="0" w:color="000000"/>
              <w:bottom w:val="nil"/>
              <w:right w:val="nil"/>
            </w:tcBorders>
          </w:tcPr>
          <w:p w14:paraId="2BBDBE7D" w14:textId="77777777" w:rsidR="00E86446" w:rsidRDefault="00345E63">
            <w:pPr>
              <w:spacing w:before="245"/>
              <w:ind w:left="9" w:right="35"/>
              <w:jc w:val="center"/>
              <w:rPr>
                <w:rFonts w:eastAsia="Calibri"/>
                <w:lang w:val="en-GB" w:eastAsia="en-US"/>
              </w:rPr>
            </w:pPr>
            <w:r>
              <w:rPr>
                <w:rFonts w:eastAsia="Calibri"/>
                <w:spacing w:val="-4"/>
                <w:lang w:val="en-GB" w:eastAsia="en-US"/>
              </w:rPr>
              <w:t>7,92</w:t>
            </w:r>
          </w:p>
        </w:tc>
        <w:tc>
          <w:tcPr>
            <w:tcW w:w="981" w:type="dxa"/>
            <w:tcBorders>
              <w:top w:val="single" w:sz="8" w:space="0" w:color="000000"/>
              <w:left w:val="nil"/>
              <w:bottom w:val="nil"/>
              <w:right w:val="single" w:sz="8" w:space="0" w:color="000000"/>
            </w:tcBorders>
          </w:tcPr>
          <w:p w14:paraId="294198A1" w14:textId="77777777" w:rsidR="00E86446" w:rsidRDefault="00345E63">
            <w:pPr>
              <w:spacing w:before="245"/>
              <w:ind w:left="10" w:right="14"/>
              <w:jc w:val="center"/>
              <w:rPr>
                <w:rFonts w:eastAsia="Calibri"/>
                <w:lang w:val="en-GB" w:eastAsia="en-US"/>
              </w:rPr>
            </w:pPr>
            <w:r>
              <w:rPr>
                <w:rFonts w:eastAsia="Calibri"/>
                <w:spacing w:val="-4"/>
                <w:lang w:val="en-GB" w:eastAsia="en-US"/>
              </w:rPr>
              <w:t>8,11</w:t>
            </w:r>
          </w:p>
        </w:tc>
        <w:tc>
          <w:tcPr>
            <w:tcW w:w="1627" w:type="dxa"/>
            <w:tcBorders>
              <w:top w:val="single" w:sz="8" w:space="0" w:color="000000"/>
              <w:left w:val="single" w:sz="8" w:space="0" w:color="000000"/>
              <w:bottom w:val="nil"/>
              <w:right w:val="nil"/>
            </w:tcBorders>
          </w:tcPr>
          <w:p w14:paraId="54891C73" w14:textId="77777777" w:rsidR="00E86446" w:rsidRDefault="00345E63">
            <w:pPr>
              <w:spacing w:before="245"/>
              <w:ind w:left="8" w:right="9"/>
              <w:jc w:val="center"/>
              <w:rPr>
                <w:rFonts w:eastAsia="Calibri"/>
                <w:lang w:val="en-GB" w:eastAsia="en-US"/>
              </w:rPr>
            </w:pPr>
            <w:r>
              <w:rPr>
                <w:rFonts w:eastAsia="Calibri"/>
                <w:spacing w:val="-4"/>
                <w:lang w:val="en-GB" w:eastAsia="en-US"/>
              </w:rPr>
              <w:t>7,79</w:t>
            </w:r>
          </w:p>
        </w:tc>
        <w:tc>
          <w:tcPr>
            <w:tcW w:w="1080" w:type="dxa"/>
            <w:tcBorders>
              <w:top w:val="single" w:sz="8" w:space="0" w:color="000000"/>
              <w:left w:val="nil"/>
              <w:bottom w:val="nil"/>
              <w:right w:val="single" w:sz="8" w:space="0" w:color="000000"/>
            </w:tcBorders>
          </w:tcPr>
          <w:p w14:paraId="2B1537F4" w14:textId="77777777" w:rsidR="00E86446" w:rsidRDefault="00345E63">
            <w:pPr>
              <w:spacing w:before="245"/>
              <w:ind w:left="16" w:right="5"/>
              <w:jc w:val="center"/>
              <w:rPr>
                <w:rFonts w:eastAsia="Calibri"/>
                <w:lang w:val="en-GB" w:eastAsia="en-US"/>
              </w:rPr>
            </w:pPr>
            <w:r>
              <w:rPr>
                <w:rFonts w:eastAsia="Calibri"/>
                <w:spacing w:val="-4"/>
                <w:lang w:val="en-GB" w:eastAsia="en-US"/>
              </w:rPr>
              <w:t>7,94</w:t>
            </w:r>
          </w:p>
        </w:tc>
        <w:tc>
          <w:tcPr>
            <w:tcW w:w="1611" w:type="dxa"/>
            <w:tcBorders>
              <w:top w:val="single" w:sz="8" w:space="0" w:color="000000"/>
              <w:left w:val="single" w:sz="8" w:space="0" w:color="000000"/>
              <w:bottom w:val="nil"/>
              <w:right w:val="nil"/>
            </w:tcBorders>
          </w:tcPr>
          <w:p w14:paraId="68104CC0" w14:textId="77777777" w:rsidR="00E86446" w:rsidRDefault="00345E63">
            <w:pPr>
              <w:spacing w:before="245"/>
              <w:ind w:left="133" w:right="159"/>
              <w:jc w:val="center"/>
              <w:rPr>
                <w:rFonts w:eastAsia="Calibri"/>
                <w:lang w:val="en-GB" w:eastAsia="en-US"/>
              </w:rPr>
            </w:pPr>
            <w:r>
              <w:rPr>
                <w:rFonts w:eastAsia="Calibri"/>
                <w:spacing w:val="-4"/>
                <w:lang w:val="en-GB" w:eastAsia="en-US"/>
              </w:rPr>
              <w:t>7,80</w:t>
            </w:r>
          </w:p>
        </w:tc>
        <w:tc>
          <w:tcPr>
            <w:tcW w:w="1118" w:type="dxa"/>
            <w:tcBorders>
              <w:top w:val="single" w:sz="8" w:space="0" w:color="000000"/>
              <w:left w:val="nil"/>
              <w:bottom w:val="nil"/>
              <w:right w:val="nil"/>
            </w:tcBorders>
          </w:tcPr>
          <w:p w14:paraId="545D5C08" w14:textId="77777777" w:rsidR="00E86446" w:rsidRDefault="00345E63">
            <w:pPr>
              <w:spacing w:before="245"/>
              <w:ind w:right="357"/>
              <w:jc w:val="right"/>
              <w:rPr>
                <w:rFonts w:eastAsia="Calibri"/>
                <w:lang w:val="en-GB" w:eastAsia="en-US"/>
              </w:rPr>
            </w:pPr>
            <w:r>
              <w:rPr>
                <w:rFonts w:eastAsia="Calibri"/>
                <w:spacing w:val="-4"/>
                <w:lang w:val="en-GB" w:eastAsia="en-US"/>
              </w:rPr>
              <w:t>7,87</w:t>
            </w:r>
          </w:p>
        </w:tc>
      </w:tr>
      <w:tr w:rsidR="006E2ED1" w14:paraId="4187EF42" w14:textId="77777777" w:rsidTr="0073443F">
        <w:trPr>
          <w:trHeight w:val="486"/>
        </w:trPr>
        <w:tc>
          <w:tcPr>
            <w:tcW w:w="1635" w:type="dxa"/>
            <w:vMerge/>
            <w:tcBorders>
              <w:top w:val="nil"/>
              <w:left w:val="nil"/>
              <w:bottom w:val="single" w:sz="8" w:space="0" w:color="000000"/>
              <w:right w:val="single" w:sz="8" w:space="0" w:color="000000"/>
            </w:tcBorders>
          </w:tcPr>
          <w:p w14:paraId="55C8EC17" w14:textId="77777777" w:rsidR="00E86446" w:rsidRDefault="00E86446">
            <w:pPr>
              <w:rPr>
                <w:rFonts w:eastAsia="Calibri"/>
                <w:lang w:val="en-GB" w:eastAsia="en-US"/>
              </w:rPr>
            </w:pPr>
          </w:p>
        </w:tc>
        <w:tc>
          <w:tcPr>
            <w:tcW w:w="1591" w:type="dxa"/>
            <w:tcBorders>
              <w:top w:val="nil"/>
              <w:left w:val="single" w:sz="8" w:space="0" w:color="000000"/>
              <w:bottom w:val="nil"/>
              <w:right w:val="nil"/>
            </w:tcBorders>
          </w:tcPr>
          <w:p w14:paraId="1816055A" w14:textId="77777777" w:rsidR="00E86446" w:rsidRDefault="00345E63">
            <w:pPr>
              <w:spacing w:before="113"/>
              <w:ind w:left="6" w:right="35"/>
              <w:jc w:val="center"/>
              <w:rPr>
                <w:rFonts w:eastAsia="Calibri"/>
                <w:lang w:val="en-GB" w:eastAsia="en-US"/>
              </w:rPr>
            </w:pPr>
            <w:r>
              <w:rPr>
                <w:rFonts w:eastAsia="Calibri"/>
                <w:spacing w:val="-2"/>
                <w:lang w:val="en-GB" w:eastAsia="en-US"/>
              </w:rPr>
              <w:t>-</w:t>
            </w:r>
            <w:r>
              <w:rPr>
                <w:rFonts w:eastAsia="Calibri"/>
                <w:spacing w:val="-4"/>
                <w:lang w:val="en-GB" w:eastAsia="en-US"/>
              </w:rPr>
              <w:t>0,84</w:t>
            </w:r>
          </w:p>
        </w:tc>
        <w:tc>
          <w:tcPr>
            <w:tcW w:w="981" w:type="dxa"/>
            <w:tcBorders>
              <w:top w:val="nil"/>
              <w:left w:val="nil"/>
              <w:bottom w:val="nil"/>
              <w:right w:val="single" w:sz="8" w:space="0" w:color="000000"/>
            </w:tcBorders>
          </w:tcPr>
          <w:p w14:paraId="1FD7FCC1" w14:textId="77777777" w:rsidR="00E86446" w:rsidRDefault="00345E63">
            <w:pPr>
              <w:spacing w:before="113"/>
              <w:ind w:left="4" w:right="14"/>
              <w:jc w:val="center"/>
              <w:rPr>
                <w:rFonts w:eastAsia="Calibri"/>
                <w:lang w:val="en-GB" w:eastAsia="en-US"/>
              </w:rPr>
            </w:pPr>
            <w:r>
              <w:rPr>
                <w:rFonts w:eastAsia="Calibri"/>
                <w:spacing w:val="-2"/>
                <w:lang w:val="en-GB" w:eastAsia="en-US"/>
              </w:rPr>
              <w:t>-</w:t>
            </w:r>
            <w:r>
              <w:rPr>
                <w:rFonts w:eastAsia="Calibri"/>
                <w:spacing w:val="-4"/>
                <w:lang w:val="en-GB" w:eastAsia="en-US"/>
              </w:rPr>
              <w:t>0,30</w:t>
            </w:r>
          </w:p>
        </w:tc>
        <w:tc>
          <w:tcPr>
            <w:tcW w:w="1627" w:type="dxa"/>
            <w:tcBorders>
              <w:top w:val="nil"/>
              <w:left w:val="single" w:sz="8" w:space="0" w:color="000000"/>
              <w:bottom w:val="nil"/>
              <w:right w:val="nil"/>
            </w:tcBorders>
          </w:tcPr>
          <w:p w14:paraId="3C082E49" w14:textId="77777777" w:rsidR="00E86446" w:rsidRDefault="00345E63">
            <w:pPr>
              <w:spacing w:before="113"/>
              <w:ind w:left="3" w:right="9"/>
              <w:jc w:val="center"/>
              <w:rPr>
                <w:rFonts w:eastAsia="Calibri"/>
                <w:lang w:val="en-GB" w:eastAsia="en-US"/>
              </w:rPr>
            </w:pPr>
            <w:r>
              <w:rPr>
                <w:rFonts w:eastAsia="Calibri"/>
                <w:spacing w:val="-2"/>
                <w:lang w:val="en-GB" w:eastAsia="en-US"/>
              </w:rPr>
              <w:t>-</w:t>
            </w:r>
            <w:r>
              <w:rPr>
                <w:rFonts w:eastAsia="Calibri"/>
                <w:spacing w:val="-4"/>
                <w:lang w:val="en-GB" w:eastAsia="en-US"/>
              </w:rPr>
              <w:t>0,65</w:t>
            </w:r>
          </w:p>
        </w:tc>
        <w:tc>
          <w:tcPr>
            <w:tcW w:w="1080" w:type="dxa"/>
            <w:tcBorders>
              <w:top w:val="nil"/>
              <w:left w:val="nil"/>
              <w:bottom w:val="nil"/>
              <w:right w:val="single" w:sz="8" w:space="0" w:color="000000"/>
            </w:tcBorders>
          </w:tcPr>
          <w:p w14:paraId="20E48CE0" w14:textId="77777777" w:rsidR="00E86446" w:rsidRDefault="00345E63">
            <w:pPr>
              <w:spacing w:before="113"/>
              <w:ind w:left="16"/>
              <w:jc w:val="center"/>
              <w:rPr>
                <w:rFonts w:eastAsia="Calibri"/>
                <w:lang w:val="en-GB" w:eastAsia="en-US"/>
              </w:rPr>
            </w:pPr>
            <w:r>
              <w:rPr>
                <w:rFonts w:eastAsia="Calibri"/>
                <w:spacing w:val="-2"/>
                <w:lang w:val="en-GB" w:eastAsia="en-US"/>
              </w:rPr>
              <w:t>-</w:t>
            </w:r>
            <w:r>
              <w:rPr>
                <w:rFonts w:eastAsia="Calibri"/>
                <w:spacing w:val="-4"/>
                <w:lang w:val="en-GB" w:eastAsia="en-US"/>
              </w:rPr>
              <w:t>0,30</w:t>
            </w:r>
          </w:p>
        </w:tc>
        <w:tc>
          <w:tcPr>
            <w:tcW w:w="1611" w:type="dxa"/>
            <w:tcBorders>
              <w:top w:val="nil"/>
              <w:left w:val="single" w:sz="8" w:space="0" w:color="000000"/>
              <w:bottom w:val="nil"/>
              <w:right w:val="nil"/>
            </w:tcBorders>
          </w:tcPr>
          <w:p w14:paraId="7AFD257E" w14:textId="77777777" w:rsidR="00E86446" w:rsidRDefault="00345E63">
            <w:pPr>
              <w:spacing w:before="113"/>
              <w:ind w:left="133" w:right="164"/>
              <w:jc w:val="center"/>
              <w:rPr>
                <w:rFonts w:eastAsia="Calibri"/>
                <w:lang w:val="en-GB" w:eastAsia="en-US"/>
              </w:rPr>
            </w:pPr>
            <w:r>
              <w:rPr>
                <w:rFonts w:eastAsia="Calibri"/>
                <w:spacing w:val="-2"/>
                <w:lang w:val="en-GB" w:eastAsia="en-US"/>
              </w:rPr>
              <w:t>-</w:t>
            </w:r>
            <w:r>
              <w:rPr>
                <w:rFonts w:eastAsia="Calibri"/>
                <w:spacing w:val="-4"/>
                <w:lang w:val="en-GB" w:eastAsia="en-US"/>
              </w:rPr>
              <w:t>0,43</w:t>
            </w:r>
          </w:p>
        </w:tc>
        <w:tc>
          <w:tcPr>
            <w:tcW w:w="1118" w:type="dxa"/>
            <w:tcBorders>
              <w:top w:val="nil"/>
              <w:left w:val="nil"/>
              <w:bottom w:val="nil"/>
              <w:right w:val="nil"/>
            </w:tcBorders>
          </w:tcPr>
          <w:p w14:paraId="5C9454D9" w14:textId="77777777" w:rsidR="00E86446" w:rsidRDefault="00345E63">
            <w:pPr>
              <w:spacing w:before="113"/>
              <w:ind w:right="318"/>
              <w:jc w:val="right"/>
              <w:rPr>
                <w:rFonts w:eastAsia="Calibri"/>
                <w:lang w:val="en-GB" w:eastAsia="en-US"/>
              </w:rPr>
            </w:pPr>
            <w:r>
              <w:rPr>
                <w:rFonts w:eastAsia="Calibri"/>
                <w:spacing w:val="-2"/>
                <w:lang w:val="en-GB" w:eastAsia="en-US"/>
              </w:rPr>
              <w:t>-</w:t>
            </w:r>
            <w:r>
              <w:rPr>
                <w:rFonts w:eastAsia="Calibri"/>
                <w:spacing w:val="-4"/>
                <w:lang w:val="en-GB" w:eastAsia="en-US"/>
              </w:rPr>
              <w:t>0,02</w:t>
            </w:r>
          </w:p>
        </w:tc>
      </w:tr>
      <w:tr w:rsidR="006E2ED1" w14:paraId="4711146A" w14:textId="77777777" w:rsidTr="0073443F">
        <w:trPr>
          <w:trHeight w:val="611"/>
        </w:trPr>
        <w:tc>
          <w:tcPr>
            <w:tcW w:w="1635" w:type="dxa"/>
            <w:vMerge/>
            <w:tcBorders>
              <w:top w:val="nil"/>
              <w:left w:val="nil"/>
              <w:bottom w:val="single" w:sz="8" w:space="0" w:color="000000"/>
              <w:right w:val="single" w:sz="8" w:space="0" w:color="000000"/>
            </w:tcBorders>
          </w:tcPr>
          <w:p w14:paraId="16F29C6F" w14:textId="77777777" w:rsidR="00E86446" w:rsidRDefault="00E86446">
            <w:pPr>
              <w:rPr>
                <w:rFonts w:eastAsia="Calibri"/>
                <w:lang w:val="en-GB" w:eastAsia="en-US"/>
              </w:rPr>
            </w:pPr>
          </w:p>
        </w:tc>
        <w:tc>
          <w:tcPr>
            <w:tcW w:w="1591" w:type="dxa"/>
            <w:tcBorders>
              <w:top w:val="nil"/>
              <w:left w:val="single" w:sz="8" w:space="0" w:color="000000"/>
              <w:bottom w:val="nil"/>
              <w:right w:val="nil"/>
            </w:tcBorders>
          </w:tcPr>
          <w:p w14:paraId="7467FF8D" w14:textId="77777777" w:rsidR="00E86446" w:rsidRDefault="00345E63">
            <w:pPr>
              <w:spacing w:before="111"/>
              <w:ind w:left="537"/>
              <w:rPr>
                <w:rFonts w:eastAsia="Calibri"/>
                <w:lang w:val="en-GB" w:eastAsia="en-US"/>
              </w:rPr>
            </w:pPr>
            <w:r>
              <w:rPr>
                <w:rFonts w:eastAsia="Calibri"/>
                <w:spacing w:val="-2"/>
                <w:lang w:val="en-GB" w:eastAsia="en-US"/>
              </w:rPr>
              <w:t>-0,54</w:t>
            </w:r>
            <w:r>
              <w:rPr>
                <w:rFonts w:eastAsia="Calibri"/>
                <w:spacing w:val="-2"/>
                <w:vertAlign w:val="superscript"/>
                <w:lang w:val="en-GB" w:eastAsia="en-US"/>
              </w:rPr>
              <w:t>*</w:t>
            </w:r>
          </w:p>
        </w:tc>
        <w:tc>
          <w:tcPr>
            <w:tcW w:w="981" w:type="dxa"/>
            <w:tcBorders>
              <w:top w:val="nil"/>
              <w:left w:val="nil"/>
              <w:bottom w:val="nil"/>
              <w:right w:val="single" w:sz="8" w:space="0" w:color="000000"/>
            </w:tcBorders>
          </w:tcPr>
          <w:p w14:paraId="54C3AB06" w14:textId="77777777" w:rsidR="00E86446" w:rsidRDefault="00E86446">
            <w:pPr>
              <w:rPr>
                <w:rFonts w:eastAsia="Calibri"/>
                <w:lang w:val="en-GB" w:eastAsia="en-US"/>
              </w:rPr>
            </w:pPr>
          </w:p>
        </w:tc>
        <w:tc>
          <w:tcPr>
            <w:tcW w:w="1627" w:type="dxa"/>
            <w:tcBorders>
              <w:top w:val="nil"/>
              <w:left w:val="single" w:sz="8" w:space="0" w:color="000000"/>
              <w:bottom w:val="nil"/>
              <w:right w:val="nil"/>
            </w:tcBorders>
          </w:tcPr>
          <w:p w14:paraId="7184E71C" w14:textId="77777777" w:rsidR="00E86446" w:rsidRDefault="00345E63">
            <w:pPr>
              <w:spacing w:before="111"/>
              <w:ind w:left="5" w:right="9"/>
              <w:jc w:val="center"/>
              <w:rPr>
                <w:rFonts w:eastAsia="Calibri"/>
                <w:lang w:val="en-GB" w:eastAsia="en-US"/>
              </w:rPr>
            </w:pPr>
            <w:r>
              <w:rPr>
                <w:rFonts w:eastAsia="Calibri"/>
                <w:spacing w:val="-2"/>
                <w:lang w:val="en-GB" w:eastAsia="en-US"/>
              </w:rPr>
              <w:t>-0,35</w:t>
            </w:r>
            <w:r>
              <w:rPr>
                <w:rFonts w:eastAsia="Calibri"/>
                <w:spacing w:val="-2"/>
                <w:vertAlign w:val="superscript"/>
                <w:lang w:val="en-GB" w:eastAsia="en-US"/>
              </w:rPr>
              <w:t>*</w:t>
            </w:r>
          </w:p>
        </w:tc>
        <w:tc>
          <w:tcPr>
            <w:tcW w:w="1080" w:type="dxa"/>
            <w:tcBorders>
              <w:top w:val="nil"/>
              <w:left w:val="nil"/>
              <w:bottom w:val="nil"/>
              <w:right w:val="single" w:sz="8" w:space="0" w:color="000000"/>
            </w:tcBorders>
          </w:tcPr>
          <w:p w14:paraId="12A30686" w14:textId="77777777" w:rsidR="00E86446" w:rsidRDefault="00E86446">
            <w:pPr>
              <w:rPr>
                <w:rFonts w:eastAsia="Calibri"/>
                <w:lang w:val="en-GB" w:eastAsia="en-US"/>
              </w:rPr>
            </w:pPr>
          </w:p>
        </w:tc>
        <w:tc>
          <w:tcPr>
            <w:tcW w:w="1611" w:type="dxa"/>
            <w:tcBorders>
              <w:top w:val="nil"/>
              <w:left w:val="single" w:sz="8" w:space="0" w:color="000000"/>
              <w:bottom w:val="nil"/>
              <w:right w:val="nil"/>
            </w:tcBorders>
          </w:tcPr>
          <w:p w14:paraId="133E0525" w14:textId="77777777" w:rsidR="00E86446" w:rsidRDefault="00345E63">
            <w:pPr>
              <w:spacing w:before="111"/>
              <w:ind w:left="552"/>
              <w:rPr>
                <w:rFonts w:eastAsia="Calibri"/>
                <w:lang w:val="en-GB" w:eastAsia="en-US"/>
              </w:rPr>
            </w:pPr>
            <w:r>
              <w:rPr>
                <w:rFonts w:eastAsia="Calibri"/>
                <w:spacing w:val="-2"/>
                <w:lang w:val="en-GB" w:eastAsia="en-US"/>
              </w:rPr>
              <w:t>-0,40</w:t>
            </w:r>
            <w:r>
              <w:rPr>
                <w:rFonts w:eastAsia="Calibri"/>
                <w:spacing w:val="-2"/>
                <w:vertAlign w:val="superscript"/>
                <w:lang w:val="en-GB" w:eastAsia="en-US"/>
              </w:rPr>
              <w:t>*</w:t>
            </w:r>
          </w:p>
        </w:tc>
        <w:tc>
          <w:tcPr>
            <w:tcW w:w="1118" w:type="dxa"/>
            <w:tcBorders>
              <w:top w:val="nil"/>
              <w:left w:val="nil"/>
              <w:bottom w:val="nil"/>
              <w:right w:val="nil"/>
            </w:tcBorders>
          </w:tcPr>
          <w:p w14:paraId="4D581456" w14:textId="77777777" w:rsidR="00E86446" w:rsidRDefault="00E86446">
            <w:pPr>
              <w:rPr>
                <w:rFonts w:eastAsia="Calibri"/>
                <w:lang w:val="en-GB" w:eastAsia="en-US"/>
              </w:rPr>
            </w:pPr>
          </w:p>
        </w:tc>
      </w:tr>
      <w:tr w:rsidR="006E2ED1" w14:paraId="39F90561" w14:textId="77777777" w:rsidTr="0073443F">
        <w:trPr>
          <w:trHeight w:val="496"/>
        </w:trPr>
        <w:tc>
          <w:tcPr>
            <w:tcW w:w="1635" w:type="dxa"/>
            <w:vMerge/>
            <w:tcBorders>
              <w:top w:val="nil"/>
              <w:left w:val="nil"/>
              <w:bottom w:val="single" w:sz="8" w:space="0" w:color="000000"/>
              <w:right w:val="single" w:sz="8" w:space="0" w:color="000000"/>
            </w:tcBorders>
          </w:tcPr>
          <w:p w14:paraId="7548F2EF" w14:textId="77777777" w:rsidR="00E86446" w:rsidRDefault="00E86446">
            <w:pPr>
              <w:rPr>
                <w:rFonts w:eastAsia="Calibri"/>
                <w:lang w:val="en-GB" w:eastAsia="en-US"/>
              </w:rPr>
            </w:pPr>
          </w:p>
        </w:tc>
        <w:tc>
          <w:tcPr>
            <w:tcW w:w="1591" w:type="dxa"/>
            <w:tcBorders>
              <w:top w:val="nil"/>
              <w:left w:val="single" w:sz="8" w:space="0" w:color="000000"/>
              <w:bottom w:val="single" w:sz="8" w:space="0" w:color="000000"/>
              <w:right w:val="nil"/>
            </w:tcBorders>
          </w:tcPr>
          <w:p w14:paraId="0A9C9F28" w14:textId="77777777" w:rsidR="00E86446" w:rsidRDefault="00345E63">
            <w:pPr>
              <w:spacing w:before="238" w:line="238" w:lineRule="exact"/>
              <w:ind w:left="143"/>
              <w:rPr>
                <w:rFonts w:eastAsia="Calibri"/>
                <w:lang w:val="en-GB" w:eastAsia="en-US"/>
              </w:rPr>
            </w:pPr>
            <w:r>
              <w:rPr>
                <w:rFonts w:eastAsia="Calibri"/>
                <w:lang w:val="en-GB" w:eastAsia="en-US"/>
              </w:rPr>
              <w:t>(-0,74,</w:t>
            </w:r>
            <w:r>
              <w:rPr>
                <w:rFonts w:eastAsia="Calibri"/>
                <w:spacing w:val="-3"/>
                <w:lang w:val="en-GB" w:eastAsia="en-US"/>
              </w:rPr>
              <w:t xml:space="preserve"> </w:t>
            </w:r>
            <w:r>
              <w:rPr>
                <w:rFonts w:eastAsia="Calibri"/>
                <w:lang w:val="en-GB" w:eastAsia="en-US"/>
              </w:rPr>
              <w:t>-</w:t>
            </w:r>
            <w:r>
              <w:rPr>
                <w:rFonts w:eastAsia="Calibri"/>
                <w:spacing w:val="-2"/>
                <w:lang w:val="en-GB" w:eastAsia="en-US"/>
              </w:rPr>
              <w:t>0,34)</w:t>
            </w:r>
          </w:p>
        </w:tc>
        <w:tc>
          <w:tcPr>
            <w:tcW w:w="981" w:type="dxa"/>
            <w:tcBorders>
              <w:top w:val="nil"/>
              <w:left w:val="nil"/>
              <w:bottom w:val="single" w:sz="8" w:space="0" w:color="000000"/>
              <w:right w:val="single" w:sz="8" w:space="0" w:color="000000"/>
            </w:tcBorders>
          </w:tcPr>
          <w:p w14:paraId="35927D66" w14:textId="77777777" w:rsidR="00E86446" w:rsidRDefault="00E86446">
            <w:pPr>
              <w:rPr>
                <w:rFonts w:eastAsia="Calibri"/>
                <w:lang w:val="en-GB" w:eastAsia="en-US"/>
              </w:rPr>
            </w:pPr>
          </w:p>
        </w:tc>
        <w:tc>
          <w:tcPr>
            <w:tcW w:w="1627" w:type="dxa"/>
            <w:tcBorders>
              <w:top w:val="nil"/>
              <w:left w:val="single" w:sz="8" w:space="0" w:color="000000"/>
              <w:bottom w:val="single" w:sz="8" w:space="0" w:color="000000"/>
              <w:right w:val="nil"/>
            </w:tcBorders>
          </w:tcPr>
          <w:p w14:paraId="4FE190EA" w14:textId="77777777" w:rsidR="00E86446" w:rsidRDefault="00345E63">
            <w:pPr>
              <w:spacing w:before="238" w:line="238" w:lineRule="exact"/>
              <w:ind w:left="8" w:right="9"/>
              <w:jc w:val="center"/>
              <w:rPr>
                <w:rFonts w:eastAsia="Calibri"/>
                <w:lang w:val="en-GB" w:eastAsia="en-US"/>
              </w:rPr>
            </w:pPr>
            <w:r>
              <w:rPr>
                <w:rFonts w:eastAsia="Calibri"/>
                <w:lang w:val="en-GB" w:eastAsia="en-US"/>
              </w:rPr>
              <w:t>(-0,52,</w:t>
            </w:r>
            <w:r>
              <w:rPr>
                <w:rFonts w:eastAsia="Calibri"/>
                <w:spacing w:val="-3"/>
                <w:lang w:val="en-GB" w:eastAsia="en-US"/>
              </w:rPr>
              <w:t xml:space="preserve"> </w:t>
            </w:r>
            <w:r>
              <w:rPr>
                <w:rFonts w:eastAsia="Calibri"/>
                <w:lang w:val="en-GB" w:eastAsia="en-US"/>
              </w:rPr>
              <w:t>-</w:t>
            </w:r>
            <w:r>
              <w:rPr>
                <w:rFonts w:eastAsia="Calibri"/>
                <w:spacing w:val="-2"/>
                <w:lang w:val="en-GB" w:eastAsia="en-US"/>
              </w:rPr>
              <w:t>0,18)</w:t>
            </w:r>
          </w:p>
        </w:tc>
        <w:tc>
          <w:tcPr>
            <w:tcW w:w="1080" w:type="dxa"/>
            <w:tcBorders>
              <w:top w:val="nil"/>
              <w:left w:val="nil"/>
              <w:bottom w:val="single" w:sz="8" w:space="0" w:color="000000"/>
              <w:right w:val="single" w:sz="8" w:space="0" w:color="000000"/>
            </w:tcBorders>
          </w:tcPr>
          <w:p w14:paraId="1B813933" w14:textId="77777777" w:rsidR="00E86446" w:rsidRDefault="00E86446">
            <w:pPr>
              <w:rPr>
                <w:rFonts w:eastAsia="Calibri"/>
                <w:lang w:val="en-GB" w:eastAsia="en-US"/>
              </w:rPr>
            </w:pPr>
          </w:p>
        </w:tc>
        <w:tc>
          <w:tcPr>
            <w:tcW w:w="1611" w:type="dxa"/>
            <w:tcBorders>
              <w:top w:val="nil"/>
              <w:left w:val="single" w:sz="8" w:space="0" w:color="000000"/>
              <w:bottom w:val="single" w:sz="8" w:space="0" w:color="000000"/>
              <w:right w:val="nil"/>
            </w:tcBorders>
          </w:tcPr>
          <w:p w14:paraId="477C2B59" w14:textId="77777777" w:rsidR="00E86446" w:rsidRDefault="00345E63">
            <w:pPr>
              <w:spacing w:before="238" w:line="238" w:lineRule="exact"/>
              <w:ind w:left="158"/>
              <w:rPr>
                <w:rFonts w:eastAsia="Calibri"/>
                <w:lang w:val="en-GB" w:eastAsia="en-US"/>
              </w:rPr>
            </w:pPr>
            <w:r>
              <w:rPr>
                <w:rFonts w:eastAsia="Calibri"/>
                <w:lang w:val="en-GB" w:eastAsia="en-US"/>
              </w:rPr>
              <w:t>(-0,58,</w:t>
            </w:r>
            <w:r>
              <w:rPr>
                <w:rFonts w:eastAsia="Calibri"/>
                <w:spacing w:val="-3"/>
                <w:lang w:val="en-GB" w:eastAsia="en-US"/>
              </w:rPr>
              <w:t xml:space="preserve"> </w:t>
            </w:r>
            <w:r>
              <w:rPr>
                <w:rFonts w:eastAsia="Calibri"/>
                <w:lang w:val="en-GB" w:eastAsia="en-US"/>
              </w:rPr>
              <w:t>-</w:t>
            </w:r>
            <w:r>
              <w:rPr>
                <w:rFonts w:eastAsia="Calibri"/>
                <w:spacing w:val="-2"/>
                <w:lang w:val="en-GB" w:eastAsia="en-US"/>
              </w:rPr>
              <w:t>0,23)</w:t>
            </w:r>
          </w:p>
        </w:tc>
        <w:tc>
          <w:tcPr>
            <w:tcW w:w="1118" w:type="dxa"/>
            <w:tcBorders>
              <w:top w:val="nil"/>
              <w:left w:val="nil"/>
              <w:bottom w:val="single" w:sz="8" w:space="0" w:color="000000"/>
              <w:right w:val="nil"/>
            </w:tcBorders>
          </w:tcPr>
          <w:p w14:paraId="0197DCAA" w14:textId="77777777" w:rsidR="00E86446" w:rsidRDefault="00E86446">
            <w:pPr>
              <w:rPr>
                <w:rFonts w:eastAsia="Calibri"/>
                <w:lang w:val="en-GB" w:eastAsia="en-US"/>
              </w:rPr>
            </w:pPr>
          </w:p>
        </w:tc>
      </w:tr>
      <w:tr w:rsidR="006E2ED1" w14:paraId="4A3F004D" w14:textId="77777777" w:rsidTr="0073443F">
        <w:trPr>
          <w:trHeight w:val="1520"/>
        </w:trPr>
        <w:tc>
          <w:tcPr>
            <w:tcW w:w="1635" w:type="dxa"/>
            <w:tcBorders>
              <w:top w:val="single" w:sz="8" w:space="0" w:color="000000"/>
              <w:left w:val="nil"/>
              <w:bottom w:val="single" w:sz="8" w:space="0" w:color="000000"/>
              <w:right w:val="single" w:sz="8" w:space="0" w:color="000000"/>
            </w:tcBorders>
          </w:tcPr>
          <w:p w14:paraId="215026BE" w14:textId="77777777" w:rsidR="00E86446" w:rsidRPr="0073443F" w:rsidRDefault="00345E63">
            <w:pPr>
              <w:ind w:left="110" w:right="210"/>
              <w:rPr>
                <w:rFonts w:eastAsia="Calibri"/>
                <w:b/>
                <w:lang w:val="pt-PT" w:eastAsia="en-US"/>
              </w:rPr>
            </w:pPr>
            <w:r w:rsidRPr="0073443F">
              <w:rPr>
                <w:rFonts w:eastAsia="Calibri"/>
                <w:b/>
                <w:lang w:val="pt-PT" w:eastAsia="en-US"/>
              </w:rPr>
              <w:t>Pacientai, pasiekę</w:t>
            </w:r>
            <w:r w:rsidRPr="0073443F">
              <w:rPr>
                <w:rFonts w:eastAsia="Calibri"/>
                <w:b/>
                <w:spacing w:val="-2"/>
                <w:lang w:val="pt-PT" w:eastAsia="en-US"/>
              </w:rPr>
              <w:t xml:space="preserve">: </w:t>
            </w:r>
            <w:r w:rsidRPr="0073443F">
              <w:rPr>
                <w:rFonts w:eastAsia="Calibri"/>
                <w:b/>
                <w:lang w:val="pt-PT" w:eastAsia="en-US"/>
              </w:rPr>
              <w:t>HbA1c</w:t>
            </w:r>
            <w:r w:rsidRPr="0073443F">
              <w:rPr>
                <w:rFonts w:eastAsia="Calibri"/>
                <w:b/>
                <w:spacing w:val="-5"/>
                <w:lang w:val="pt-PT" w:eastAsia="en-US"/>
              </w:rPr>
              <w:t xml:space="preserve"> </w:t>
            </w:r>
            <w:r w:rsidRPr="0073443F">
              <w:rPr>
                <w:rFonts w:eastAsia="Calibri"/>
                <w:b/>
                <w:lang w:val="pt-PT" w:eastAsia="en-US"/>
              </w:rPr>
              <w:t>&lt;</w:t>
            </w:r>
            <w:r w:rsidRPr="0073443F">
              <w:rPr>
                <w:rFonts w:eastAsia="Calibri"/>
                <w:b/>
                <w:spacing w:val="-1"/>
                <w:lang w:val="pt-PT" w:eastAsia="en-US"/>
              </w:rPr>
              <w:t> </w:t>
            </w:r>
            <w:r w:rsidRPr="0073443F">
              <w:rPr>
                <w:rFonts w:eastAsia="Calibri"/>
                <w:b/>
                <w:spacing w:val="-5"/>
                <w:lang w:val="pt-PT" w:eastAsia="en-US"/>
              </w:rPr>
              <w:t>7 %</w:t>
            </w:r>
          </w:p>
          <w:p w14:paraId="1AEB176D" w14:textId="77777777" w:rsidR="00E86446" w:rsidRPr="0073443F" w:rsidRDefault="00345E63">
            <w:pPr>
              <w:spacing w:line="242" w:lineRule="auto"/>
              <w:ind w:left="254" w:right="184"/>
              <w:rPr>
                <w:rFonts w:eastAsia="Calibri"/>
                <w:lang w:val="pt-PT" w:eastAsia="en-US"/>
              </w:rPr>
            </w:pPr>
            <w:r w:rsidRPr="0073443F">
              <w:rPr>
                <w:rFonts w:eastAsia="Calibri"/>
                <w:lang w:val="pt-PT" w:eastAsia="en-US"/>
              </w:rPr>
              <w:t>Koreguota pagal pradinę</w:t>
            </w:r>
          </w:p>
        </w:tc>
        <w:tc>
          <w:tcPr>
            <w:tcW w:w="1591" w:type="dxa"/>
            <w:tcBorders>
              <w:top w:val="single" w:sz="8" w:space="0" w:color="000000"/>
              <w:left w:val="single" w:sz="8" w:space="0" w:color="000000"/>
              <w:bottom w:val="single" w:sz="8" w:space="0" w:color="000000"/>
              <w:right w:val="nil"/>
            </w:tcBorders>
          </w:tcPr>
          <w:p w14:paraId="47EE6040" w14:textId="77777777" w:rsidR="00E86446" w:rsidRPr="0073443F" w:rsidRDefault="00E86446">
            <w:pPr>
              <w:rPr>
                <w:rFonts w:eastAsia="Calibri"/>
                <w:b/>
                <w:lang w:val="pt-PT" w:eastAsia="en-US"/>
              </w:rPr>
            </w:pPr>
          </w:p>
          <w:p w14:paraId="1EEF652C" w14:textId="77777777" w:rsidR="00E86446" w:rsidRPr="0073443F" w:rsidRDefault="00E86446">
            <w:pPr>
              <w:rPr>
                <w:rFonts w:eastAsia="Calibri"/>
                <w:b/>
                <w:lang w:val="pt-PT" w:eastAsia="en-US"/>
              </w:rPr>
            </w:pPr>
          </w:p>
          <w:p w14:paraId="61090E5E" w14:textId="77777777" w:rsidR="00E86446" w:rsidRPr="0073443F" w:rsidRDefault="00E86446">
            <w:pPr>
              <w:spacing w:before="249"/>
              <w:rPr>
                <w:rFonts w:eastAsia="Calibri"/>
                <w:b/>
                <w:lang w:val="pt-PT" w:eastAsia="en-US"/>
              </w:rPr>
            </w:pPr>
          </w:p>
          <w:p w14:paraId="33790DA2" w14:textId="77777777" w:rsidR="00E86446" w:rsidRDefault="00345E63">
            <w:pPr>
              <w:ind w:left="465"/>
              <w:rPr>
                <w:rFonts w:eastAsia="Calibri"/>
                <w:lang w:val="en-GB" w:eastAsia="en-US"/>
              </w:rPr>
            </w:pPr>
            <w:r>
              <w:rPr>
                <w:rFonts w:eastAsia="Calibri"/>
                <w:spacing w:val="-2"/>
                <w:lang w:val="en-GB" w:eastAsia="en-US"/>
              </w:rPr>
              <w:t>40,6</w:t>
            </w:r>
            <w:r>
              <w:rPr>
                <w:rFonts w:eastAsia="Calibri"/>
                <w:spacing w:val="-2"/>
                <w:vertAlign w:val="superscript"/>
                <w:lang w:val="en-GB" w:eastAsia="en-US"/>
              </w:rPr>
              <w:t>**</w:t>
            </w:r>
          </w:p>
        </w:tc>
        <w:tc>
          <w:tcPr>
            <w:tcW w:w="981" w:type="dxa"/>
            <w:tcBorders>
              <w:top w:val="single" w:sz="8" w:space="0" w:color="000000"/>
              <w:left w:val="nil"/>
              <w:bottom w:val="single" w:sz="8" w:space="0" w:color="000000"/>
              <w:right w:val="single" w:sz="8" w:space="0" w:color="000000"/>
            </w:tcBorders>
          </w:tcPr>
          <w:p w14:paraId="460CBF64" w14:textId="77777777" w:rsidR="00E86446" w:rsidRDefault="00E86446">
            <w:pPr>
              <w:rPr>
                <w:rFonts w:eastAsia="Calibri"/>
                <w:b/>
                <w:lang w:val="en-GB" w:eastAsia="en-US"/>
              </w:rPr>
            </w:pPr>
          </w:p>
          <w:p w14:paraId="72173A5D" w14:textId="77777777" w:rsidR="00E86446" w:rsidRDefault="00E86446">
            <w:pPr>
              <w:rPr>
                <w:rFonts w:eastAsia="Calibri"/>
                <w:b/>
                <w:lang w:val="en-GB" w:eastAsia="en-US"/>
              </w:rPr>
            </w:pPr>
          </w:p>
          <w:p w14:paraId="0026F63A" w14:textId="77777777" w:rsidR="00E86446" w:rsidRDefault="00E86446">
            <w:pPr>
              <w:spacing w:before="249"/>
              <w:rPr>
                <w:rFonts w:eastAsia="Calibri"/>
                <w:b/>
                <w:lang w:val="en-GB" w:eastAsia="en-US"/>
              </w:rPr>
            </w:pPr>
          </w:p>
          <w:p w14:paraId="71C0CD09" w14:textId="77777777" w:rsidR="00E86446" w:rsidRDefault="00345E63">
            <w:pPr>
              <w:ind w:left="10" w:right="14"/>
              <w:jc w:val="center"/>
              <w:rPr>
                <w:rFonts w:eastAsia="Calibri"/>
                <w:lang w:val="en-GB" w:eastAsia="en-US"/>
              </w:rPr>
            </w:pPr>
            <w:r>
              <w:rPr>
                <w:rFonts w:eastAsia="Calibri"/>
                <w:spacing w:val="-4"/>
                <w:lang w:val="en-GB" w:eastAsia="en-US"/>
              </w:rPr>
              <w:t>25,9</w:t>
            </w:r>
          </w:p>
        </w:tc>
        <w:tc>
          <w:tcPr>
            <w:tcW w:w="1627" w:type="dxa"/>
            <w:tcBorders>
              <w:top w:val="single" w:sz="8" w:space="0" w:color="000000"/>
              <w:left w:val="single" w:sz="8" w:space="0" w:color="000000"/>
              <w:bottom w:val="single" w:sz="8" w:space="0" w:color="000000"/>
              <w:right w:val="nil"/>
            </w:tcBorders>
          </w:tcPr>
          <w:p w14:paraId="0C86B46E" w14:textId="77777777" w:rsidR="00E86446" w:rsidRDefault="00E86446">
            <w:pPr>
              <w:rPr>
                <w:rFonts w:eastAsia="Calibri"/>
                <w:b/>
                <w:lang w:val="en-GB" w:eastAsia="en-US"/>
              </w:rPr>
            </w:pPr>
          </w:p>
          <w:p w14:paraId="26C49FE0" w14:textId="77777777" w:rsidR="00E86446" w:rsidRDefault="00E86446">
            <w:pPr>
              <w:rPr>
                <w:rFonts w:eastAsia="Calibri"/>
                <w:b/>
                <w:lang w:val="en-GB" w:eastAsia="en-US"/>
              </w:rPr>
            </w:pPr>
          </w:p>
          <w:p w14:paraId="60362BE4" w14:textId="77777777" w:rsidR="00E86446" w:rsidRDefault="00E86446">
            <w:pPr>
              <w:spacing w:before="235"/>
              <w:rPr>
                <w:rFonts w:eastAsia="Calibri"/>
                <w:b/>
                <w:lang w:val="en-GB" w:eastAsia="en-US"/>
              </w:rPr>
            </w:pPr>
          </w:p>
          <w:p w14:paraId="193EA9AA" w14:textId="77777777" w:rsidR="00E86446" w:rsidRDefault="00345E63">
            <w:pPr>
              <w:spacing w:before="1" w:line="250" w:lineRule="atLeast"/>
              <w:ind w:left="403" w:right="408" w:firstLine="62"/>
              <w:rPr>
                <w:rFonts w:eastAsia="Calibri"/>
                <w:lang w:val="en-GB" w:eastAsia="en-US"/>
              </w:rPr>
            </w:pPr>
            <w:r>
              <w:rPr>
                <w:rFonts w:eastAsia="Calibri"/>
                <w:spacing w:val="-2"/>
                <w:lang w:val="en-GB" w:eastAsia="en-US"/>
              </w:rPr>
              <w:t>38,2</w:t>
            </w:r>
            <w:r>
              <w:rPr>
                <w:rFonts w:eastAsia="Calibri"/>
                <w:spacing w:val="-2"/>
                <w:vertAlign w:val="superscript"/>
                <w:lang w:val="en-GB" w:eastAsia="en-US"/>
              </w:rPr>
              <w:t>**</w:t>
            </w:r>
            <w:r>
              <w:rPr>
                <w:rFonts w:eastAsia="Calibri"/>
                <w:spacing w:val="-2"/>
                <w:lang w:val="en-GB" w:eastAsia="en-US"/>
              </w:rPr>
              <w:t xml:space="preserve"> (N = 90)</w:t>
            </w:r>
          </w:p>
        </w:tc>
        <w:tc>
          <w:tcPr>
            <w:tcW w:w="1080" w:type="dxa"/>
            <w:tcBorders>
              <w:top w:val="single" w:sz="8" w:space="0" w:color="000000"/>
              <w:left w:val="nil"/>
              <w:bottom w:val="single" w:sz="8" w:space="0" w:color="000000"/>
              <w:right w:val="single" w:sz="8" w:space="0" w:color="000000"/>
            </w:tcBorders>
          </w:tcPr>
          <w:p w14:paraId="13FF9E73" w14:textId="77777777" w:rsidR="00E86446" w:rsidRDefault="00E86446">
            <w:pPr>
              <w:rPr>
                <w:rFonts w:eastAsia="Calibri"/>
                <w:b/>
                <w:lang w:val="en-GB" w:eastAsia="en-US"/>
              </w:rPr>
            </w:pPr>
          </w:p>
          <w:p w14:paraId="506E6463" w14:textId="77777777" w:rsidR="00E86446" w:rsidRDefault="00E86446">
            <w:pPr>
              <w:rPr>
                <w:rFonts w:eastAsia="Calibri"/>
                <w:b/>
                <w:lang w:val="en-GB" w:eastAsia="en-US"/>
              </w:rPr>
            </w:pPr>
          </w:p>
          <w:p w14:paraId="360E162A" w14:textId="77777777" w:rsidR="00E86446" w:rsidRDefault="00E86446">
            <w:pPr>
              <w:spacing w:before="235"/>
              <w:rPr>
                <w:rFonts w:eastAsia="Calibri"/>
                <w:b/>
                <w:lang w:val="en-GB" w:eastAsia="en-US"/>
              </w:rPr>
            </w:pPr>
          </w:p>
          <w:p w14:paraId="557507D2" w14:textId="77777777" w:rsidR="00E86446" w:rsidRDefault="00345E63">
            <w:pPr>
              <w:spacing w:before="1" w:line="250" w:lineRule="atLeast"/>
              <w:ind w:left="148" w:right="129" w:firstLine="129"/>
              <w:rPr>
                <w:rFonts w:eastAsia="Calibri"/>
                <w:lang w:val="en-GB" w:eastAsia="en-US"/>
              </w:rPr>
            </w:pPr>
            <w:r>
              <w:rPr>
                <w:rFonts w:eastAsia="Calibri"/>
                <w:spacing w:val="-4"/>
                <w:lang w:val="en-GB" w:eastAsia="en-US"/>
              </w:rPr>
              <w:t xml:space="preserve">21,4 </w:t>
            </w:r>
            <w:r>
              <w:rPr>
                <w:rFonts w:eastAsia="Calibri"/>
                <w:spacing w:val="-2"/>
                <w:lang w:val="en-GB" w:eastAsia="en-US"/>
              </w:rPr>
              <w:t>(N = 87)</w:t>
            </w:r>
          </w:p>
        </w:tc>
        <w:tc>
          <w:tcPr>
            <w:tcW w:w="2729" w:type="dxa"/>
            <w:gridSpan w:val="2"/>
            <w:tcBorders>
              <w:top w:val="single" w:sz="8" w:space="0" w:color="000000"/>
              <w:left w:val="single" w:sz="8" w:space="0" w:color="000000"/>
              <w:bottom w:val="single" w:sz="8" w:space="0" w:color="000000"/>
              <w:right w:val="nil"/>
            </w:tcBorders>
          </w:tcPr>
          <w:p w14:paraId="05B9F6D5" w14:textId="77777777" w:rsidR="00E86446" w:rsidRDefault="00E86446">
            <w:pPr>
              <w:rPr>
                <w:rFonts w:eastAsia="Calibri"/>
                <w:lang w:val="en-GB" w:eastAsia="en-US"/>
              </w:rPr>
            </w:pPr>
          </w:p>
        </w:tc>
      </w:tr>
      <w:tr w:rsidR="006E2ED1" w14:paraId="792F6CD4" w14:textId="77777777" w:rsidTr="0073443F">
        <w:trPr>
          <w:trHeight w:val="615"/>
        </w:trPr>
        <w:tc>
          <w:tcPr>
            <w:tcW w:w="1635" w:type="dxa"/>
            <w:vMerge w:val="restart"/>
            <w:tcBorders>
              <w:top w:val="single" w:sz="8" w:space="0" w:color="000000"/>
              <w:left w:val="nil"/>
              <w:right w:val="single" w:sz="8" w:space="0" w:color="000000"/>
            </w:tcBorders>
          </w:tcPr>
          <w:p w14:paraId="6DFB6947" w14:textId="77777777" w:rsidR="00E86446" w:rsidRPr="003171F5" w:rsidRDefault="00345E63">
            <w:pPr>
              <w:spacing w:before="2" w:line="237" w:lineRule="auto"/>
              <w:ind w:left="254" w:right="137" w:hanging="144"/>
              <w:rPr>
                <w:rFonts w:eastAsia="Calibri"/>
                <w:b/>
                <w:spacing w:val="40"/>
                <w:lang w:val="lt-LT" w:eastAsia="en-US"/>
              </w:rPr>
            </w:pPr>
            <w:r w:rsidRPr="003171F5">
              <w:rPr>
                <w:rFonts w:eastAsia="Calibri"/>
                <w:b/>
                <w:lang w:val="lt-LT" w:eastAsia="en-US"/>
              </w:rPr>
              <w:t xml:space="preserve">Kūno svoris </w:t>
            </w:r>
            <w:r w:rsidRPr="003171F5">
              <w:rPr>
                <w:rFonts w:eastAsia="Calibri"/>
                <w:b/>
                <w:spacing w:val="-4"/>
                <w:lang w:val="lt-LT" w:eastAsia="en-US"/>
              </w:rPr>
              <w:t>(kg)</w:t>
            </w:r>
            <w:r w:rsidRPr="003171F5">
              <w:rPr>
                <w:rFonts w:eastAsia="Calibri"/>
                <w:b/>
                <w:spacing w:val="40"/>
                <w:lang w:val="lt-LT" w:eastAsia="en-US"/>
              </w:rPr>
              <w:t xml:space="preserve"> </w:t>
            </w:r>
          </w:p>
          <w:p w14:paraId="6102CACB" w14:textId="77777777" w:rsidR="00E86446" w:rsidRPr="003171F5" w:rsidRDefault="00345E63">
            <w:pPr>
              <w:spacing w:before="2" w:line="237" w:lineRule="auto"/>
              <w:ind w:right="137"/>
              <w:rPr>
                <w:rFonts w:eastAsia="Calibri"/>
                <w:spacing w:val="-2"/>
                <w:lang w:val="lt-LT" w:eastAsia="en-US"/>
              </w:rPr>
            </w:pPr>
            <w:r w:rsidRPr="003171F5">
              <w:rPr>
                <w:rFonts w:eastAsia="Calibri"/>
                <w:spacing w:val="-2"/>
                <w:lang w:val="lt-LT" w:eastAsia="en-US"/>
              </w:rPr>
              <w:t xml:space="preserve">Pradinė (vidurkis) Pokytis palyginus su </w:t>
            </w:r>
            <w:proofErr w:type="spellStart"/>
            <w:r w:rsidRPr="003171F5">
              <w:rPr>
                <w:rFonts w:eastAsia="Calibri"/>
                <w:spacing w:val="-2"/>
                <w:lang w:val="lt-LT" w:eastAsia="en-US"/>
              </w:rPr>
              <w:t>pradined</w:t>
            </w:r>
            <w:proofErr w:type="spellEnd"/>
            <w:r w:rsidRPr="003171F5">
              <w:rPr>
                <w:rFonts w:eastAsia="Calibri"/>
                <w:spacing w:val="-2"/>
                <w:lang w:val="lt-LT" w:eastAsia="en-US"/>
              </w:rPr>
              <w:t xml:space="preserve"> Skirtumas nuo </w:t>
            </w:r>
            <w:proofErr w:type="spellStart"/>
            <w:r w:rsidRPr="003171F5">
              <w:rPr>
                <w:rFonts w:eastAsia="Calibri"/>
                <w:spacing w:val="-2"/>
                <w:lang w:val="lt-LT" w:eastAsia="en-US"/>
              </w:rPr>
              <w:t>placebod</w:t>
            </w:r>
            <w:proofErr w:type="spellEnd"/>
          </w:p>
          <w:p w14:paraId="432AAD48" w14:textId="77777777" w:rsidR="00E86446" w:rsidRDefault="00345E63">
            <w:pPr>
              <w:spacing w:line="237" w:lineRule="exact"/>
              <w:ind w:left="479"/>
              <w:rPr>
                <w:rFonts w:eastAsia="Calibri"/>
                <w:lang w:val="en-GB" w:eastAsia="en-US"/>
              </w:rPr>
            </w:pPr>
            <w:r>
              <w:rPr>
                <w:rFonts w:eastAsia="Calibri"/>
                <w:spacing w:val="-2"/>
                <w:lang w:val="en-GB" w:eastAsia="en-US"/>
              </w:rPr>
              <w:t>(95 % PI)</w:t>
            </w:r>
          </w:p>
        </w:tc>
        <w:tc>
          <w:tcPr>
            <w:tcW w:w="1591" w:type="dxa"/>
            <w:tcBorders>
              <w:top w:val="single" w:sz="8" w:space="0" w:color="000000"/>
              <w:left w:val="single" w:sz="8" w:space="0" w:color="000000"/>
              <w:bottom w:val="nil"/>
              <w:right w:val="nil"/>
            </w:tcBorders>
          </w:tcPr>
          <w:p w14:paraId="57466D56" w14:textId="77777777" w:rsidR="00E86446" w:rsidRDefault="00E86446">
            <w:pPr>
              <w:spacing w:before="245"/>
              <w:rPr>
                <w:rFonts w:eastAsia="Calibri"/>
                <w:spacing w:val="-2"/>
                <w:lang w:val="en-GB" w:eastAsia="en-US"/>
              </w:rPr>
            </w:pPr>
          </w:p>
          <w:p w14:paraId="43DD4F56" w14:textId="77777777" w:rsidR="00E86446" w:rsidRDefault="00345E63">
            <w:pPr>
              <w:spacing w:before="245"/>
              <w:ind w:left="479"/>
              <w:rPr>
                <w:rFonts w:eastAsia="Calibri"/>
                <w:lang w:val="en-GB" w:eastAsia="en-US"/>
              </w:rPr>
            </w:pPr>
            <w:r>
              <w:rPr>
                <w:rFonts w:eastAsia="Calibri"/>
                <w:spacing w:val="-2"/>
                <w:lang w:val="en-GB" w:eastAsia="en-US"/>
              </w:rPr>
              <w:t>86,28</w:t>
            </w:r>
          </w:p>
        </w:tc>
        <w:tc>
          <w:tcPr>
            <w:tcW w:w="981" w:type="dxa"/>
            <w:tcBorders>
              <w:top w:val="single" w:sz="8" w:space="0" w:color="000000"/>
              <w:left w:val="nil"/>
              <w:bottom w:val="nil"/>
              <w:right w:val="single" w:sz="8" w:space="0" w:color="000000"/>
            </w:tcBorders>
          </w:tcPr>
          <w:p w14:paraId="1C3980F1" w14:textId="77777777" w:rsidR="00E86446" w:rsidRDefault="00E86446">
            <w:pPr>
              <w:spacing w:before="245"/>
              <w:ind w:left="5" w:right="14"/>
              <w:jc w:val="center"/>
              <w:rPr>
                <w:rFonts w:eastAsia="Calibri"/>
                <w:spacing w:val="-2"/>
                <w:lang w:val="en-GB" w:eastAsia="en-US"/>
              </w:rPr>
            </w:pPr>
          </w:p>
          <w:p w14:paraId="65146A33" w14:textId="77777777" w:rsidR="00E86446" w:rsidRDefault="00345E63">
            <w:pPr>
              <w:spacing w:before="245"/>
              <w:ind w:left="5" w:right="14"/>
              <w:jc w:val="center"/>
              <w:rPr>
                <w:rFonts w:eastAsia="Calibri"/>
                <w:lang w:val="en-GB" w:eastAsia="en-US"/>
              </w:rPr>
            </w:pPr>
            <w:r>
              <w:rPr>
                <w:rFonts w:eastAsia="Calibri"/>
                <w:spacing w:val="-2"/>
                <w:lang w:val="en-GB" w:eastAsia="en-US"/>
              </w:rPr>
              <w:t>87,74</w:t>
            </w:r>
          </w:p>
        </w:tc>
        <w:tc>
          <w:tcPr>
            <w:tcW w:w="1627" w:type="dxa"/>
            <w:tcBorders>
              <w:top w:val="single" w:sz="8" w:space="0" w:color="000000"/>
              <w:left w:val="single" w:sz="8" w:space="0" w:color="000000"/>
              <w:bottom w:val="nil"/>
              <w:right w:val="nil"/>
            </w:tcBorders>
          </w:tcPr>
          <w:p w14:paraId="5B3B1FC3" w14:textId="77777777" w:rsidR="00E86446" w:rsidRDefault="00E86446">
            <w:pPr>
              <w:spacing w:before="245"/>
              <w:ind w:left="3" w:right="9"/>
              <w:jc w:val="center"/>
              <w:rPr>
                <w:rFonts w:eastAsia="Calibri"/>
                <w:spacing w:val="-2"/>
                <w:lang w:val="en-GB" w:eastAsia="en-US"/>
              </w:rPr>
            </w:pPr>
          </w:p>
          <w:p w14:paraId="063E51A3" w14:textId="77777777" w:rsidR="00E86446" w:rsidRDefault="00345E63">
            <w:pPr>
              <w:spacing w:before="245"/>
              <w:ind w:left="3" w:right="9"/>
              <w:jc w:val="center"/>
              <w:rPr>
                <w:rFonts w:eastAsia="Calibri"/>
                <w:lang w:val="en-GB" w:eastAsia="en-US"/>
              </w:rPr>
            </w:pPr>
            <w:r>
              <w:rPr>
                <w:rFonts w:eastAsia="Calibri"/>
                <w:spacing w:val="-2"/>
                <w:lang w:val="en-GB" w:eastAsia="en-US"/>
              </w:rPr>
              <w:t>93,62</w:t>
            </w:r>
          </w:p>
        </w:tc>
        <w:tc>
          <w:tcPr>
            <w:tcW w:w="1080" w:type="dxa"/>
            <w:tcBorders>
              <w:top w:val="single" w:sz="8" w:space="0" w:color="000000"/>
              <w:left w:val="nil"/>
              <w:bottom w:val="nil"/>
              <w:right w:val="single" w:sz="8" w:space="0" w:color="000000"/>
            </w:tcBorders>
          </w:tcPr>
          <w:p w14:paraId="1FCE8CDE" w14:textId="77777777" w:rsidR="00E86446" w:rsidRDefault="00E86446">
            <w:pPr>
              <w:spacing w:before="245"/>
              <w:ind w:left="16"/>
              <w:jc w:val="center"/>
              <w:rPr>
                <w:rFonts w:eastAsia="Calibri"/>
                <w:spacing w:val="-2"/>
                <w:lang w:val="en-GB" w:eastAsia="en-US"/>
              </w:rPr>
            </w:pPr>
          </w:p>
          <w:p w14:paraId="51FEF265" w14:textId="77777777" w:rsidR="00E86446" w:rsidRDefault="00345E63">
            <w:pPr>
              <w:spacing w:before="245"/>
              <w:ind w:left="16"/>
              <w:jc w:val="center"/>
              <w:rPr>
                <w:rFonts w:eastAsia="Calibri"/>
                <w:lang w:val="en-GB" w:eastAsia="en-US"/>
              </w:rPr>
            </w:pPr>
            <w:r>
              <w:rPr>
                <w:rFonts w:eastAsia="Calibri"/>
                <w:spacing w:val="-2"/>
                <w:lang w:val="en-GB" w:eastAsia="en-US"/>
              </w:rPr>
              <w:t>88,82</w:t>
            </w:r>
          </w:p>
        </w:tc>
        <w:tc>
          <w:tcPr>
            <w:tcW w:w="1611" w:type="dxa"/>
            <w:tcBorders>
              <w:top w:val="single" w:sz="8" w:space="0" w:color="000000"/>
              <w:left w:val="single" w:sz="8" w:space="0" w:color="000000"/>
              <w:bottom w:val="nil"/>
              <w:right w:val="nil"/>
            </w:tcBorders>
          </w:tcPr>
          <w:p w14:paraId="3CA5ED0D" w14:textId="77777777" w:rsidR="00E86446" w:rsidRDefault="00E86446">
            <w:pPr>
              <w:spacing w:before="245"/>
              <w:ind w:left="494"/>
              <w:rPr>
                <w:rFonts w:eastAsia="Calibri"/>
                <w:spacing w:val="-2"/>
                <w:lang w:val="en-GB" w:eastAsia="en-US"/>
              </w:rPr>
            </w:pPr>
          </w:p>
          <w:p w14:paraId="4483D5D4" w14:textId="77777777" w:rsidR="00E86446" w:rsidRDefault="00345E63">
            <w:pPr>
              <w:spacing w:before="245"/>
              <w:ind w:left="494"/>
              <w:rPr>
                <w:rFonts w:eastAsia="Calibri"/>
                <w:lang w:val="en-GB" w:eastAsia="en-US"/>
              </w:rPr>
            </w:pPr>
            <w:r>
              <w:rPr>
                <w:rFonts w:eastAsia="Calibri"/>
                <w:spacing w:val="-2"/>
                <w:lang w:val="en-GB" w:eastAsia="en-US"/>
              </w:rPr>
              <w:t>93,95</w:t>
            </w:r>
          </w:p>
        </w:tc>
        <w:tc>
          <w:tcPr>
            <w:tcW w:w="1118" w:type="dxa"/>
            <w:tcBorders>
              <w:top w:val="single" w:sz="8" w:space="0" w:color="000000"/>
              <w:left w:val="nil"/>
              <w:bottom w:val="nil"/>
              <w:right w:val="nil"/>
            </w:tcBorders>
          </w:tcPr>
          <w:p w14:paraId="10AEF225" w14:textId="77777777" w:rsidR="00E86446" w:rsidRDefault="00E86446">
            <w:pPr>
              <w:spacing w:before="245"/>
              <w:ind w:right="299"/>
              <w:jc w:val="right"/>
              <w:rPr>
                <w:rFonts w:eastAsia="Calibri"/>
                <w:spacing w:val="-2"/>
                <w:lang w:val="en-GB" w:eastAsia="en-US"/>
              </w:rPr>
            </w:pPr>
          </w:p>
          <w:p w14:paraId="228C3DE6" w14:textId="77777777" w:rsidR="00E86446" w:rsidRDefault="00345E63">
            <w:pPr>
              <w:spacing w:before="245"/>
              <w:ind w:right="299"/>
              <w:jc w:val="right"/>
              <w:rPr>
                <w:rFonts w:eastAsia="Calibri"/>
                <w:lang w:val="en-GB" w:eastAsia="en-US"/>
              </w:rPr>
            </w:pPr>
            <w:r>
              <w:rPr>
                <w:rFonts w:eastAsia="Calibri"/>
                <w:spacing w:val="-2"/>
                <w:lang w:val="en-GB" w:eastAsia="en-US"/>
              </w:rPr>
              <w:t>94,17</w:t>
            </w:r>
          </w:p>
        </w:tc>
      </w:tr>
      <w:tr w:rsidR="006E2ED1" w14:paraId="3DAF3CB1" w14:textId="77777777" w:rsidTr="0073443F">
        <w:trPr>
          <w:trHeight w:val="476"/>
        </w:trPr>
        <w:tc>
          <w:tcPr>
            <w:tcW w:w="1635" w:type="dxa"/>
            <w:vMerge/>
            <w:tcBorders>
              <w:top w:val="nil"/>
              <w:left w:val="nil"/>
              <w:right w:val="single" w:sz="8" w:space="0" w:color="000000"/>
            </w:tcBorders>
          </w:tcPr>
          <w:p w14:paraId="2B6EFDC6" w14:textId="77777777" w:rsidR="00E86446" w:rsidRDefault="00E86446">
            <w:pPr>
              <w:rPr>
                <w:rFonts w:eastAsia="Calibri"/>
                <w:lang w:val="en-GB" w:eastAsia="en-US"/>
              </w:rPr>
            </w:pPr>
          </w:p>
        </w:tc>
        <w:tc>
          <w:tcPr>
            <w:tcW w:w="1591" w:type="dxa"/>
            <w:tcBorders>
              <w:top w:val="nil"/>
              <w:left w:val="single" w:sz="8" w:space="0" w:color="000000"/>
              <w:bottom w:val="nil"/>
              <w:right w:val="nil"/>
            </w:tcBorders>
          </w:tcPr>
          <w:p w14:paraId="5C0A590A" w14:textId="77777777" w:rsidR="00E86446" w:rsidRDefault="00345E63">
            <w:pPr>
              <w:spacing w:before="108"/>
              <w:ind w:left="6" w:right="35"/>
              <w:jc w:val="center"/>
              <w:rPr>
                <w:rFonts w:eastAsia="Calibri"/>
                <w:lang w:val="en-GB" w:eastAsia="en-US"/>
              </w:rPr>
            </w:pPr>
            <w:r>
              <w:rPr>
                <w:rFonts w:eastAsia="Calibri"/>
                <w:spacing w:val="-2"/>
                <w:lang w:val="en-GB" w:eastAsia="en-US"/>
              </w:rPr>
              <w:t>-</w:t>
            </w:r>
            <w:r>
              <w:rPr>
                <w:rFonts w:eastAsia="Calibri"/>
                <w:spacing w:val="-4"/>
                <w:lang w:val="en-GB" w:eastAsia="en-US"/>
              </w:rPr>
              <w:t>2,86</w:t>
            </w:r>
          </w:p>
        </w:tc>
        <w:tc>
          <w:tcPr>
            <w:tcW w:w="981" w:type="dxa"/>
            <w:tcBorders>
              <w:top w:val="nil"/>
              <w:left w:val="nil"/>
              <w:bottom w:val="nil"/>
              <w:right w:val="single" w:sz="8" w:space="0" w:color="000000"/>
            </w:tcBorders>
          </w:tcPr>
          <w:p w14:paraId="1406B2BF" w14:textId="77777777" w:rsidR="00E86446" w:rsidRDefault="00345E63">
            <w:pPr>
              <w:spacing w:before="108"/>
              <w:ind w:left="4" w:right="14"/>
              <w:jc w:val="center"/>
              <w:rPr>
                <w:rFonts w:eastAsia="Calibri"/>
                <w:lang w:val="en-GB" w:eastAsia="en-US"/>
              </w:rPr>
            </w:pPr>
            <w:r>
              <w:rPr>
                <w:rFonts w:eastAsia="Calibri"/>
                <w:spacing w:val="-2"/>
                <w:lang w:val="en-GB" w:eastAsia="en-US"/>
              </w:rPr>
              <w:t>-</w:t>
            </w:r>
            <w:r>
              <w:rPr>
                <w:rFonts w:eastAsia="Calibri"/>
                <w:spacing w:val="-4"/>
                <w:lang w:val="en-GB" w:eastAsia="en-US"/>
              </w:rPr>
              <w:t>0,89</w:t>
            </w:r>
          </w:p>
        </w:tc>
        <w:tc>
          <w:tcPr>
            <w:tcW w:w="1627" w:type="dxa"/>
            <w:tcBorders>
              <w:top w:val="nil"/>
              <w:left w:val="single" w:sz="8" w:space="0" w:color="000000"/>
              <w:bottom w:val="nil"/>
              <w:right w:val="nil"/>
            </w:tcBorders>
          </w:tcPr>
          <w:p w14:paraId="60040241" w14:textId="77777777" w:rsidR="00E86446" w:rsidRDefault="00345E63">
            <w:pPr>
              <w:spacing w:before="108"/>
              <w:ind w:left="3" w:right="9"/>
              <w:jc w:val="center"/>
              <w:rPr>
                <w:rFonts w:eastAsia="Calibri"/>
                <w:lang w:val="en-GB" w:eastAsia="en-US"/>
              </w:rPr>
            </w:pPr>
            <w:r>
              <w:rPr>
                <w:rFonts w:eastAsia="Calibri"/>
                <w:spacing w:val="-2"/>
                <w:lang w:val="en-GB" w:eastAsia="en-US"/>
              </w:rPr>
              <w:t>-</w:t>
            </w:r>
            <w:r>
              <w:rPr>
                <w:rFonts w:eastAsia="Calibri"/>
                <w:spacing w:val="-4"/>
                <w:lang w:val="en-GB" w:eastAsia="en-US"/>
              </w:rPr>
              <w:t>2,74</w:t>
            </w:r>
          </w:p>
        </w:tc>
        <w:tc>
          <w:tcPr>
            <w:tcW w:w="1080" w:type="dxa"/>
            <w:tcBorders>
              <w:top w:val="nil"/>
              <w:left w:val="nil"/>
              <w:bottom w:val="nil"/>
              <w:right w:val="single" w:sz="8" w:space="0" w:color="000000"/>
            </w:tcBorders>
          </w:tcPr>
          <w:p w14:paraId="14D772A6" w14:textId="77777777" w:rsidR="00E86446" w:rsidRDefault="00345E63">
            <w:pPr>
              <w:spacing w:before="108"/>
              <w:ind w:left="16"/>
              <w:jc w:val="center"/>
              <w:rPr>
                <w:rFonts w:eastAsia="Calibri"/>
                <w:lang w:val="en-GB" w:eastAsia="en-US"/>
              </w:rPr>
            </w:pPr>
            <w:r>
              <w:rPr>
                <w:rFonts w:eastAsia="Calibri"/>
                <w:spacing w:val="-2"/>
                <w:lang w:val="en-GB" w:eastAsia="en-US"/>
              </w:rPr>
              <w:t>-</w:t>
            </w:r>
            <w:r>
              <w:rPr>
                <w:rFonts w:eastAsia="Calibri"/>
                <w:spacing w:val="-4"/>
                <w:lang w:val="en-GB" w:eastAsia="en-US"/>
              </w:rPr>
              <w:t>0,86</w:t>
            </w:r>
          </w:p>
        </w:tc>
        <w:tc>
          <w:tcPr>
            <w:tcW w:w="1611" w:type="dxa"/>
            <w:tcBorders>
              <w:top w:val="nil"/>
              <w:left w:val="single" w:sz="8" w:space="0" w:color="000000"/>
              <w:bottom w:val="nil"/>
              <w:right w:val="nil"/>
            </w:tcBorders>
          </w:tcPr>
          <w:p w14:paraId="28560786" w14:textId="77777777" w:rsidR="00E86446" w:rsidRDefault="00345E63">
            <w:pPr>
              <w:spacing w:before="108"/>
              <w:ind w:left="133" w:right="164"/>
              <w:jc w:val="center"/>
              <w:rPr>
                <w:rFonts w:eastAsia="Calibri"/>
                <w:lang w:val="en-GB" w:eastAsia="en-US"/>
              </w:rPr>
            </w:pPr>
            <w:r>
              <w:rPr>
                <w:rFonts w:eastAsia="Calibri"/>
                <w:spacing w:val="-2"/>
                <w:lang w:val="en-GB" w:eastAsia="en-US"/>
              </w:rPr>
              <w:t>-</w:t>
            </w:r>
            <w:r>
              <w:rPr>
                <w:rFonts w:eastAsia="Calibri"/>
                <w:spacing w:val="-4"/>
                <w:lang w:val="en-GB" w:eastAsia="en-US"/>
              </w:rPr>
              <w:t>2,35</w:t>
            </w:r>
          </w:p>
        </w:tc>
        <w:tc>
          <w:tcPr>
            <w:tcW w:w="1118" w:type="dxa"/>
            <w:tcBorders>
              <w:top w:val="nil"/>
              <w:left w:val="nil"/>
              <w:bottom w:val="nil"/>
              <w:right w:val="nil"/>
            </w:tcBorders>
          </w:tcPr>
          <w:p w14:paraId="076B6285" w14:textId="77777777" w:rsidR="00E86446" w:rsidRDefault="00345E63">
            <w:pPr>
              <w:spacing w:before="108"/>
              <w:ind w:right="318"/>
              <w:jc w:val="right"/>
              <w:rPr>
                <w:rFonts w:eastAsia="Calibri"/>
                <w:lang w:val="en-GB" w:eastAsia="en-US"/>
              </w:rPr>
            </w:pPr>
            <w:r>
              <w:rPr>
                <w:rFonts w:eastAsia="Calibri"/>
                <w:spacing w:val="-2"/>
                <w:lang w:val="en-GB" w:eastAsia="en-US"/>
              </w:rPr>
              <w:t>-</w:t>
            </w:r>
            <w:r>
              <w:rPr>
                <w:rFonts w:eastAsia="Calibri"/>
                <w:spacing w:val="-4"/>
                <w:lang w:val="en-GB" w:eastAsia="en-US"/>
              </w:rPr>
              <w:t>0,47</w:t>
            </w:r>
          </w:p>
        </w:tc>
      </w:tr>
      <w:tr w:rsidR="006E2ED1" w14:paraId="16A06CAB" w14:textId="77777777" w:rsidTr="0073443F">
        <w:trPr>
          <w:trHeight w:val="728"/>
        </w:trPr>
        <w:tc>
          <w:tcPr>
            <w:tcW w:w="1635" w:type="dxa"/>
            <w:vMerge/>
            <w:tcBorders>
              <w:top w:val="nil"/>
              <w:left w:val="nil"/>
              <w:right w:val="single" w:sz="8" w:space="0" w:color="000000"/>
            </w:tcBorders>
          </w:tcPr>
          <w:p w14:paraId="06B82ADF" w14:textId="77777777" w:rsidR="00E86446" w:rsidRDefault="00E86446">
            <w:pPr>
              <w:rPr>
                <w:rFonts w:eastAsia="Calibri"/>
                <w:lang w:val="en-GB" w:eastAsia="en-US"/>
              </w:rPr>
            </w:pPr>
          </w:p>
        </w:tc>
        <w:tc>
          <w:tcPr>
            <w:tcW w:w="1591" w:type="dxa"/>
            <w:tcBorders>
              <w:top w:val="nil"/>
              <w:left w:val="single" w:sz="8" w:space="0" w:color="000000"/>
              <w:bottom w:val="nil"/>
              <w:right w:val="nil"/>
            </w:tcBorders>
          </w:tcPr>
          <w:p w14:paraId="625154F2" w14:textId="77777777" w:rsidR="00E86446" w:rsidRDefault="00345E63">
            <w:pPr>
              <w:spacing w:before="106"/>
              <w:ind w:left="465"/>
              <w:rPr>
                <w:rFonts w:eastAsia="Calibri"/>
                <w:lang w:val="en-GB" w:eastAsia="en-US"/>
              </w:rPr>
            </w:pPr>
            <w:r>
              <w:rPr>
                <w:rFonts w:eastAsia="Calibri"/>
                <w:spacing w:val="-2"/>
                <w:lang w:val="en-GB" w:eastAsia="en-US"/>
              </w:rPr>
              <w:t>-1,97</w:t>
            </w:r>
            <w:r>
              <w:rPr>
                <w:rFonts w:eastAsia="Calibri"/>
                <w:spacing w:val="-2"/>
                <w:vertAlign w:val="superscript"/>
                <w:lang w:val="en-GB" w:eastAsia="en-US"/>
              </w:rPr>
              <w:t>*</w:t>
            </w:r>
          </w:p>
        </w:tc>
        <w:tc>
          <w:tcPr>
            <w:tcW w:w="981" w:type="dxa"/>
            <w:tcBorders>
              <w:top w:val="nil"/>
              <w:left w:val="nil"/>
              <w:bottom w:val="nil"/>
              <w:right w:val="single" w:sz="8" w:space="0" w:color="000000"/>
            </w:tcBorders>
          </w:tcPr>
          <w:p w14:paraId="6534C0FF" w14:textId="77777777" w:rsidR="00E86446" w:rsidRDefault="00E86446">
            <w:pPr>
              <w:rPr>
                <w:rFonts w:eastAsia="Calibri"/>
                <w:lang w:val="en-GB" w:eastAsia="en-US"/>
              </w:rPr>
            </w:pPr>
          </w:p>
        </w:tc>
        <w:tc>
          <w:tcPr>
            <w:tcW w:w="1627" w:type="dxa"/>
            <w:tcBorders>
              <w:top w:val="nil"/>
              <w:left w:val="single" w:sz="8" w:space="0" w:color="000000"/>
              <w:bottom w:val="nil"/>
              <w:right w:val="nil"/>
            </w:tcBorders>
          </w:tcPr>
          <w:p w14:paraId="33DCE4DB" w14:textId="77777777" w:rsidR="00E86446" w:rsidRDefault="00345E63">
            <w:pPr>
              <w:spacing w:before="106"/>
              <w:ind w:right="9"/>
              <w:jc w:val="center"/>
              <w:rPr>
                <w:rFonts w:eastAsia="Calibri"/>
                <w:lang w:val="en-GB" w:eastAsia="en-US"/>
              </w:rPr>
            </w:pPr>
            <w:r>
              <w:rPr>
                <w:rFonts w:eastAsia="Calibri"/>
                <w:spacing w:val="-2"/>
                <w:lang w:val="en-GB" w:eastAsia="en-US"/>
              </w:rPr>
              <w:t>-1,88</w:t>
            </w:r>
            <w:r>
              <w:rPr>
                <w:rFonts w:eastAsia="Calibri"/>
                <w:spacing w:val="-2"/>
                <w:vertAlign w:val="superscript"/>
                <w:lang w:val="en-GB" w:eastAsia="en-US"/>
              </w:rPr>
              <w:t>***</w:t>
            </w:r>
          </w:p>
        </w:tc>
        <w:tc>
          <w:tcPr>
            <w:tcW w:w="1080" w:type="dxa"/>
            <w:tcBorders>
              <w:top w:val="nil"/>
              <w:left w:val="nil"/>
              <w:bottom w:val="nil"/>
              <w:right w:val="single" w:sz="8" w:space="0" w:color="000000"/>
            </w:tcBorders>
          </w:tcPr>
          <w:p w14:paraId="3C4486D1" w14:textId="77777777" w:rsidR="00E86446" w:rsidRDefault="00E86446">
            <w:pPr>
              <w:rPr>
                <w:rFonts w:eastAsia="Calibri"/>
                <w:lang w:val="en-GB" w:eastAsia="en-US"/>
              </w:rPr>
            </w:pPr>
          </w:p>
        </w:tc>
        <w:tc>
          <w:tcPr>
            <w:tcW w:w="1611" w:type="dxa"/>
            <w:tcBorders>
              <w:top w:val="nil"/>
              <w:left w:val="single" w:sz="8" w:space="0" w:color="000000"/>
              <w:bottom w:val="nil"/>
              <w:right w:val="nil"/>
            </w:tcBorders>
          </w:tcPr>
          <w:p w14:paraId="2BF4D0ED" w14:textId="77777777" w:rsidR="00E86446" w:rsidRDefault="00345E63">
            <w:pPr>
              <w:spacing w:before="106"/>
              <w:ind w:left="480"/>
              <w:rPr>
                <w:rFonts w:eastAsia="Calibri"/>
                <w:lang w:val="en-GB" w:eastAsia="en-US"/>
              </w:rPr>
            </w:pPr>
            <w:r>
              <w:rPr>
                <w:rFonts w:eastAsia="Calibri"/>
                <w:spacing w:val="-2"/>
                <w:lang w:val="en-GB" w:eastAsia="en-US"/>
              </w:rPr>
              <w:t>-1,87</w:t>
            </w:r>
            <w:r>
              <w:rPr>
                <w:rFonts w:eastAsia="Calibri"/>
                <w:spacing w:val="-2"/>
                <w:vertAlign w:val="superscript"/>
                <w:lang w:val="en-GB" w:eastAsia="en-US"/>
              </w:rPr>
              <w:t>*</w:t>
            </w:r>
          </w:p>
        </w:tc>
        <w:tc>
          <w:tcPr>
            <w:tcW w:w="1118" w:type="dxa"/>
            <w:tcBorders>
              <w:top w:val="nil"/>
              <w:left w:val="nil"/>
              <w:bottom w:val="nil"/>
              <w:right w:val="nil"/>
            </w:tcBorders>
          </w:tcPr>
          <w:p w14:paraId="69FFD522" w14:textId="77777777" w:rsidR="00E86446" w:rsidRDefault="00E86446">
            <w:pPr>
              <w:rPr>
                <w:rFonts w:eastAsia="Calibri"/>
                <w:lang w:val="en-GB" w:eastAsia="en-US"/>
              </w:rPr>
            </w:pPr>
          </w:p>
        </w:tc>
      </w:tr>
      <w:tr w:rsidR="006E2ED1" w14:paraId="0207754A" w14:textId="77777777" w:rsidTr="0073443F">
        <w:trPr>
          <w:trHeight w:val="287"/>
        </w:trPr>
        <w:tc>
          <w:tcPr>
            <w:tcW w:w="1635" w:type="dxa"/>
            <w:vMerge/>
            <w:tcBorders>
              <w:top w:val="nil"/>
              <w:left w:val="nil"/>
              <w:right w:val="single" w:sz="8" w:space="0" w:color="000000"/>
            </w:tcBorders>
          </w:tcPr>
          <w:p w14:paraId="2375A481" w14:textId="77777777" w:rsidR="00E86446" w:rsidRDefault="00E86446">
            <w:pPr>
              <w:rPr>
                <w:rFonts w:eastAsia="Calibri"/>
                <w:lang w:val="en-GB" w:eastAsia="en-US"/>
              </w:rPr>
            </w:pPr>
          </w:p>
        </w:tc>
        <w:tc>
          <w:tcPr>
            <w:tcW w:w="1591" w:type="dxa"/>
            <w:tcBorders>
              <w:top w:val="nil"/>
              <w:left w:val="single" w:sz="8" w:space="0" w:color="000000"/>
              <w:right w:val="nil"/>
            </w:tcBorders>
          </w:tcPr>
          <w:p w14:paraId="7334AE2B" w14:textId="77777777" w:rsidR="00E86446" w:rsidRDefault="00345E63">
            <w:pPr>
              <w:spacing w:line="238" w:lineRule="exact"/>
              <w:rPr>
                <w:rFonts w:eastAsia="Calibri"/>
                <w:lang w:val="en-GB" w:eastAsia="en-US"/>
              </w:rPr>
            </w:pPr>
            <w:r>
              <w:rPr>
                <w:rFonts w:eastAsia="Calibri"/>
                <w:b/>
                <w:lang w:val="en-GB" w:eastAsia="en-US"/>
              </w:rPr>
              <w:t xml:space="preserve">  </w:t>
            </w:r>
            <w:r>
              <w:rPr>
                <w:rFonts w:eastAsia="Calibri"/>
                <w:lang w:val="en-GB" w:eastAsia="en-US"/>
              </w:rPr>
              <w:t>(-2,63,</w:t>
            </w:r>
            <w:r>
              <w:rPr>
                <w:rFonts w:eastAsia="Calibri"/>
                <w:spacing w:val="-3"/>
                <w:lang w:val="en-GB" w:eastAsia="en-US"/>
              </w:rPr>
              <w:t xml:space="preserve"> </w:t>
            </w:r>
            <w:r>
              <w:rPr>
                <w:rFonts w:eastAsia="Calibri"/>
                <w:lang w:val="en-GB" w:eastAsia="en-US"/>
              </w:rPr>
              <w:t>-</w:t>
            </w:r>
            <w:r>
              <w:rPr>
                <w:rFonts w:eastAsia="Calibri"/>
                <w:spacing w:val="-2"/>
                <w:lang w:val="en-GB" w:eastAsia="en-US"/>
              </w:rPr>
              <w:t>1,31)</w:t>
            </w:r>
          </w:p>
        </w:tc>
        <w:tc>
          <w:tcPr>
            <w:tcW w:w="981" w:type="dxa"/>
            <w:tcBorders>
              <w:top w:val="nil"/>
              <w:left w:val="nil"/>
              <w:right w:val="single" w:sz="8" w:space="0" w:color="000000"/>
            </w:tcBorders>
          </w:tcPr>
          <w:p w14:paraId="470AA87F" w14:textId="77777777" w:rsidR="00E86446" w:rsidRDefault="00E86446">
            <w:pPr>
              <w:rPr>
                <w:rFonts w:eastAsia="Calibri"/>
                <w:lang w:val="en-GB" w:eastAsia="en-US"/>
              </w:rPr>
            </w:pPr>
          </w:p>
        </w:tc>
        <w:tc>
          <w:tcPr>
            <w:tcW w:w="1627" w:type="dxa"/>
            <w:tcBorders>
              <w:top w:val="nil"/>
              <w:left w:val="single" w:sz="8" w:space="0" w:color="000000"/>
              <w:right w:val="nil"/>
            </w:tcBorders>
          </w:tcPr>
          <w:p w14:paraId="7EEEFA28" w14:textId="77777777" w:rsidR="00E86446" w:rsidRDefault="00345E63">
            <w:pPr>
              <w:spacing w:line="238" w:lineRule="exact"/>
              <w:ind w:right="9"/>
              <w:rPr>
                <w:rFonts w:eastAsia="Calibri"/>
                <w:lang w:val="en-GB" w:eastAsia="en-US"/>
              </w:rPr>
            </w:pPr>
            <w:r>
              <w:rPr>
                <w:rFonts w:eastAsia="Calibri"/>
                <w:lang w:val="en-GB" w:eastAsia="en-US"/>
              </w:rPr>
              <w:t xml:space="preserve">  (-2,52,</w:t>
            </w:r>
            <w:r>
              <w:rPr>
                <w:rFonts w:eastAsia="Calibri"/>
                <w:spacing w:val="-3"/>
                <w:lang w:val="en-GB" w:eastAsia="en-US"/>
              </w:rPr>
              <w:t xml:space="preserve"> </w:t>
            </w:r>
            <w:r>
              <w:rPr>
                <w:rFonts w:eastAsia="Calibri"/>
                <w:lang w:val="en-GB" w:eastAsia="en-US"/>
              </w:rPr>
              <w:t>-</w:t>
            </w:r>
            <w:r>
              <w:rPr>
                <w:rFonts w:eastAsia="Calibri"/>
                <w:spacing w:val="-2"/>
                <w:lang w:val="en-GB" w:eastAsia="en-US"/>
              </w:rPr>
              <w:t>1,24)</w:t>
            </w:r>
          </w:p>
        </w:tc>
        <w:tc>
          <w:tcPr>
            <w:tcW w:w="1080" w:type="dxa"/>
            <w:tcBorders>
              <w:top w:val="nil"/>
              <w:left w:val="nil"/>
              <w:right w:val="single" w:sz="8" w:space="0" w:color="000000"/>
            </w:tcBorders>
          </w:tcPr>
          <w:p w14:paraId="30FFD18F" w14:textId="77777777" w:rsidR="00E86446" w:rsidRDefault="00E86446">
            <w:pPr>
              <w:rPr>
                <w:rFonts w:eastAsia="Calibri"/>
                <w:lang w:val="en-GB" w:eastAsia="en-US"/>
              </w:rPr>
            </w:pPr>
          </w:p>
        </w:tc>
        <w:tc>
          <w:tcPr>
            <w:tcW w:w="1611" w:type="dxa"/>
            <w:tcBorders>
              <w:top w:val="nil"/>
              <w:left w:val="single" w:sz="8" w:space="0" w:color="000000"/>
              <w:right w:val="nil"/>
            </w:tcBorders>
          </w:tcPr>
          <w:p w14:paraId="61172CB2" w14:textId="77777777" w:rsidR="00E86446" w:rsidRDefault="00345E63">
            <w:pPr>
              <w:spacing w:line="238" w:lineRule="exact"/>
              <w:rPr>
                <w:rFonts w:eastAsia="Calibri"/>
                <w:lang w:val="en-GB" w:eastAsia="en-US"/>
              </w:rPr>
            </w:pPr>
            <w:r>
              <w:rPr>
                <w:rFonts w:eastAsia="Calibri"/>
                <w:b/>
                <w:lang w:val="en-GB" w:eastAsia="en-US"/>
              </w:rPr>
              <w:t xml:space="preserve">  </w:t>
            </w:r>
            <w:r>
              <w:rPr>
                <w:rFonts w:eastAsia="Calibri"/>
                <w:lang w:val="en-GB" w:eastAsia="en-US"/>
              </w:rPr>
              <w:t>(-2,61,</w:t>
            </w:r>
            <w:r>
              <w:rPr>
                <w:rFonts w:eastAsia="Calibri"/>
                <w:spacing w:val="-3"/>
                <w:lang w:val="en-GB" w:eastAsia="en-US"/>
              </w:rPr>
              <w:t xml:space="preserve"> </w:t>
            </w:r>
            <w:r>
              <w:rPr>
                <w:rFonts w:eastAsia="Calibri"/>
                <w:lang w:val="en-GB" w:eastAsia="en-US"/>
              </w:rPr>
              <w:t>-</w:t>
            </w:r>
            <w:r>
              <w:rPr>
                <w:rFonts w:eastAsia="Calibri"/>
                <w:spacing w:val="-2"/>
                <w:lang w:val="en-GB" w:eastAsia="en-US"/>
              </w:rPr>
              <w:t>1,13)</w:t>
            </w:r>
          </w:p>
        </w:tc>
        <w:tc>
          <w:tcPr>
            <w:tcW w:w="1118" w:type="dxa"/>
            <w:tcBorders>
              <w:top w:val="nil"/>
              <w:left w:val="nil"/>
              <w:right w:val="nil"/>
            </w:tcBorders>
          </w:tcPr>
          <w:p w14:paraId="511A8905" w14:textId="77777777" w:rsidR="00E86446" w:rsidRDefault="00E86446">
            <w:pPr>
              <w:rPr>
                <w:rFonts w:eastAsia="Calibri"/>
                <w:lang w:val="en-GB" w:eastAsia="en-US"/>
              </w:rPr>
            </w:pPr>
          </w:p>
        </w:tc>
      </w:tr>
    </w:tbl>
    <w:p w14:paraId="732B3DA5" w14:textId="77777777" w:rsidR="00E86446" w:rsidRDefault="00345E63">
      <w:pPr>
        <w:widowControl w:val="0"/>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Santrumpos: 1 k/d – 1 kartą per parą, 2 k/d – 2 kartus per parą.</w:t>
      </w:r>
    </w:p>
    <w:p w14:paraId="5CE8D1C3" w14:textId="77777777"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1</w:t>
      </w:r>
      <w:r w:rsidRPr="0073443F">
        <w:rPr>
          <w:rFonts w:eastAsiaTheme="minorHAnsi"/>
          <w:color w:val="000000"/>
          <w:sz w:val="18"/>
          <w:szCs w:val="18"/>
          <w:lang w:eastAsia="en-US"/>
        </w:rPr>
        <w:t xml:space="preserve"> Metforminas ≥ 1 500 mg per parą.</w:t>
      </w:r>
    </w:p>
    <w:p w14:paraId="6AC4091E" w14:textId="77777777"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2</w:t>
      </w:r>
      <w:r w:rsidRPr="0073443F">
        <w:rPr>
          <w:rFonts w:eastAsiaTheme="minorHAnsi"/>
          <w:color w:val="000000"/>
          <w:sz w:val="18"/>
          <w:szCs w:val="18"/>
          <w:lang w:eastAsia="en-US"/>
        </w:rPr>
        <w:t xml:space="preserve"> Sitagliptinas 100 mg per parą.</w:t>
      </w:r>
    </w:p>
    <w:p w14:paraId="7D9EB796" w14:textId="77777777"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a</w:t>
      </w:r>
      <w:r w:rsidRPr="0073443F">
        <w:rPr>
          <w:rFonts w:eastAsiaTheme="minorHAnsi"/>
          <w:color w:val="000000"/>
          <w:sz w:val="18"/>
          <w:szCs w:val="18"/>
          <w:lang w:eastAsia="en-US"/>
        </w:rPr>
        <w:t xml:space="preserve"> LOCF – paskutinė atlikta apžiūra (jei prireikė pagalbos </w:t>
      </w:r>
      <w:proofErr w:type="spellStart"/>
      <w:r w:rsidRPr="0073443F">
        <w:rPr>
          <w:rFonts w:eastAsiaTheme="minorHAnsi"/>
          <w:color w:val="000000"/>
          <w:sz w:val="18"/>
          <w:szCs w:val="18"/>
          <w:lang w:eastAsia="en-US"/>
        </w:rPr>
        <w:t>glikemijai</w:t>
      </w:r>
      <w:proofErr w:type="spellEnd"/>
      <w:r w:rsidRPr="0073443F">
        <w:rPr>
          <w:rFonts w:eastAsiaTheme="minorHAnsi"/>
          <w:color w:val="000000"/>
          <w:sz w:val="18"/>
          <w:szCs w:val="18"/>
          <w:lang w:eastAsia="en-US"/>
        </w:rPr>
        <w:t xml:space="preserve"> koreguoti, tai paskutinė apžiūra iki jos).</w:t>
      </w:r>
    </w:p>
    <w:p w14:paraId="4CF5E0B7" w14:textId="77777777"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b</w:t>
      </w:r>
      <w:r w:rsidRPr="0073443F">
        <w:rPr>
          <w:rFonts w:eastAsiaTheme="minorHAnsi"/>
          <w:color w:val="000000"/>
          <w:sz w:val="18"/>
          <w:szCs w:val="18"/>
          <w:lang w:eastAsia="en-US"/>
        </w:rPr>
        <w:t xml:space="preserve"> Placebu kontroliuojamas 16 savaičių tyrimas.</w:t>
      </w:r>
    </w:p>
    <w:p w14:paraId="0FBAA3A0" w14:textId="6F556E3C"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c</w:t>
      </w:r>
      <w:r w:rsidRPr="0073443F">
        <w:rPr>
          <w:rFonts w:eastAsiaTheme="minorHAnsi"/>
          <w:color w:val="000000"/>
          <w:sz w:val="18"/>
          <w:szCs w:val="18"/>
          <w:lang w:eastAsia="en-US"/>
        </w:rPr>
        <w:t xml:space="preserve"> Visi atsitiktinai atrinkti asmenys, dvigubai aklai vartoję bent vieną dozę trumpu dvigubai aklu laikotarpiu.</w:t>
      </w:r>
    </w:p>
    <w:p w14:paraId="0623EE1F" w14:textId="77777777"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d</w:t>
      </w:r>
      <w:r w:rsidRPr="0073443F">
        <w:rPr>
          <w:rFonts w:eastAsiaTheme="minorHAnsi"/>
          <w:color w:val="000000"/>
          <w:sz w:val="18"/>
          <w:szCs w:val="18"/>
          <w:lang w:eastAsia="en-US"/>
        </w:rPr>
        <w:t xml:space="preserve"> Mažiausių kvadratų metodu apskaičiuotas vidurkis, koreguotas pagal pradinį dydį.</w:t>
      </w:r>
    </w:p>
    <w:p w14:paraId="2B72C932" w14:textId="3F786A41"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w:t>
      </w:r>
      <w:r w:rsidRPr="0073443F">
        <w:rPr>
          <w:rFonts w:eastAsiaTheme="minorHAnsi"/>
          <w:color w:val="000000"/>
          <w:sz w:val="18"/>
          <w:szCs w:val="18"/>
          <w:lang w:eastAsia="en-US"/>
        </w:rPr>
        <w:t xml:space="preserve"> p</w:t>
      </w:r>
      <w:r w:rsidR="00943162">
        <w:rPr>
          <w:rFonts w:eastAsiaTheme="minorHAnsi"/>
          <w:color w:val="000000"/>
          <w:sz w:val="18"/>
          <w:szCs w:val="18"/>
          <w:lang w:eastAsia="en-US"/>
        </w:rPr>
        <w:t> </w:t>
      </w:r>
      <w:r w:rsidRPr="0073443F">
        <w:rPr>
          <w:rFonts w:eastAsiaTheme="minorHAnsi"/>
          <w:color w:val="000000"/>
          <w:sz w:val="18"/>
          <w:szCs w:val="18"/>
          <w:lang w:eastAsia="en-US"/>
        </w:rPr>
        <w:t>&lt;</w:t>
      </w:r>
      <w:r w:rsidR="00943162">
        <w:rPr>
          <w:rFonts w:eastAsiaTheme="minorHAnsi"/>
          <w:color w:val="000000"/>
          <w:sz w:val="18"/>
          <w:szCs w:val="18"/>
          <w:lang w:eastAsia="en-US"/>
        </w:rPr>
        <w:t> </w:t>
      </w:r>
      <w:r w:rsidRPr="0073443F">
        <w:rPr>
          <w:rFonts w:eastAsiaTheme="minorHAnsi"/>
          <w:color w:val="000000"/>
          <w:sz w:val="18"/>
          <w:szCs w:val="18"/>
          <w:lang w:eastAsia="en-US"/>
        </w:rPr>
        <w:t>0,0001 palyginus su placebo ir geriamojo gliukozės koncentraciją mažinančio vaistinio preparato deriniu.</w:t>
      </w:r>
    </w:p>
    <w:p w14:paraId="6D9D43E6" w14:textId="1D4B372C"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w:t>
      </w:r>
      <w:r w:rsidRPr="0073443F">
        <w:rPr>
          <w:rFonts w:eastAsiaTheme="minorHAnsi"/>
          <w:color w:val="000000"/>
          <w:sz w:val="18"/>
          <w:szCs w:val="18"/>
          <w:lang w:eastAsia="en-US"/>
        </w:rPr>
        <w:t>p</w:t>
      </w:r>
      <w:r w:rsidR="00943162">
        <w:rPr>
          <w:rFonts w:eastAsiaTheme="minorHAnsi"/>
          <w:color w:val="000000"/>
          <w:sz w:val="18"/>
          <w:szCs w:val="18"/>
          <w:lang w:eastAsia="en-US"/>
        </w:rPr>
        <w:t> </w:t>
      </w:r>
      <w:r w:rsidRPr="0073443F">
        <w:rPr>
          <w:rFonts w:eastAsiaTheme="minorHAnsi"/>
          <w:color w:val="000000"/>
          <w:sz w:val="18"/>
          <w:szCs w:val="18"/>
          <w:lang w:eastAsia="en-US"/>
        </w:rPr>
        <w:t>&lt;</w:t>
      </w:r>
      <w:r w:rsidR="00943162">
        <w:rPr>
          <w:rFonts w:eastAsiaTheme="minorHAnsi"/>
          <w:color w:val="000000"/>
          <w:sz w:val="18"/>
          <w:szCs w:val="18"/>
          <w:lang w:eastAsia="en-US"/>
        </w:rPr>
        <w:t> </w:t>
      </w:r>
      <w:r w:rsidRPr="0073443F">
        <w:rPr>
          <w:rFonts w:eastAsiaTheme="minorHAnsi"/>
          <w:color w:val="000000"/>
          <w:sz w:val="18"/>
          <w:szCs w:val="18"/>
          <w:lang w:eastAsia="en-US"/>
        </w:rPr>
        <w:t>0,05 palyginus su placebo ir geriamojo gliukozės koncentraciją mažinančio vaistinio preparato deriniu.</w:t>
      </w:r>
    </w:p>
    <w:p w14:paraId="4542CC5C" w14:textId="23E2B2C8" w:rsidR="00E86446" w:rsidRPr="0073443F" w:rsidRDefault="00345E63">
      <w:pPr>
        <w:widowControl w:val="0"/>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w:t>
      </w:r>
      <w:r w:rsidRPr="0073443F">
        <w:rPr>
          <w:rFonts w:eastAsiaTheme="minorHAnsi"/>
          <w:color w:val="000000"/>
          <w:sz w:val="18"/>
          <w:szCs w:val="18"/>
          <w:lang w:eastAsia="en-US"/>
        </w:rPr>
        <w:t xml:space="preserve"> Procentinis kūno svorio pokytis analizuotas kaip svarbiausia antrinė vertinamoji baigtis (p</w:t>
      </w:r>
      <w:r w:rsidR="00943162">
        <w:rPr>
          <w:rFonts w:eastAsiaTheme="minorHAnsi"/>
          <w:color w:val="000000"/>
          <w:sz w:val="18"/>
          <w:szCs w:val="18"/>
          <w:lang w:eastAsia="en-US"/>
        </w:rPr>
        <w:t> </w:t>
      </w:r>
      <w:r w:rsidRPr="0073443F">
        <w:rPr>
          <w:rFonts w:eastAsiaTheme="minorHAnsi"/>
          <w:color w:val="000000"/>
          <w:sz w:val="18"/>
          <w:szCs w:val="18"/>
          <w:lang w:eastAsia="en-US"/>
        </w:rPr>
        <w:t>&lt;</w:t>
      </w:r>
      <w:r w:rsidR="00943162">
        <w:rPr>
          <w:rFonts w:eastAsiaTheme="minorHAnsi"/>
          <w:color w:val="000000"/>
          <w:sz w:val="18"/>
          <w:szCs w:val="18"/>
          <w:lang w:eastAsia="en-US"/>
        </w:rPr>
        <w:t> </w:t>
      </w:r>
      <w:r w:rsidRPr="0073443F">
        <w:rPr>
          <w:rFonts w:eastAsiaTheme="minorHAnsi"/>
          <w:color w:val="000000"/>
          <w:sz w:val="18"/>
          <w:szCs w:val="18"/>
          <w:lang w:eastAsia="en-US"/>
        </w:rPr>
        <w:t>0,0001), absoliutus kūno svorio pokytis (kg) analizuotas naudojant nominalią p reikšmę (p</w:t>
      </w:r>
      <w:r w:rsidR="00806737">
        <w:rPr>
          <w:rFonts w:eastAsiaTheme="minorHAnsi"/>
          <w:color w:val="000000"/>
          <w:sz w:val="18"/>
          <w:szCs w:val="18"/>
          <w:lang w:eastAsia="en-US"/>
        </w:rPr>
        <w:t> </w:t>
      </w:r>
      <w:r w:rsidRPr="0073443F">
        <w:rPr>
          <w:rFonts w:eastAsiaTheme="minorHAnsi"/>
          <w:color w:val="000000"/>
          <w:sz w:val="18"/>
          <w:szCs w:val="18"/>
          <w:lang w:eastAsia="en-US"/>
        </w:rPr>
        <w:t>&lt;</w:t>
      </w:r>
      <w:r w:rsidR="00806737">
        <w:rPr>
          <w:rFonts w:eastAsiaTheme="minorHAnsi"/>
          <w:color w:val="000000"/>
          <w:sz w:val="18"/>
          <w:szCs w:val="18"/>
          <w:lang w:eastAsia="en-US"/>
        </w:rPr>
        <w:t> </w:t>
      </w:r>
      <w:r w:rsidRPr="0073443F">
        <w:rPr>
          <w:rFonts w:eastAsiaTheme="minorHAnsi"/>
          <w:color w:val="000000"/>
          <w:sz w:val="18"/>
          <w:szCs w:val="18"/>
          <w:lang w:eastAsia="en-US"/>
        </w:rPr>
        <w:t>0,0001).</w:t>
      </w:r>
    </w:p>
    <w:p w14:paraId="2EA6BE5D" w14:textId="77777777" w:rsidR="00E86446" w:rsidRDefault="00E86446">
      <w:pPr>
        <w:widowControl w:val="0"/>
        <w:tabs>
          <w:tab w:val="left" w:pos="567"/>
        </w:tabs>
        <w:ind w:left="567" w:hanging="567"/>
        <w:outlineLvl w:val="2"/>
        <w:rPr>
          <w:rFonts w:eastAsia="TimesNewRoman"/>
          <w:sz w:val="22"/>
          <w:szCs w:val="22"/>
          <w:lang w:eastAsia="en-US"/>
        </w:rPr>
      </w:pPr>
    </w:p>
    <w:p w14:paraId="4DE1C090" w14:textId="4205A19E" w:rsidR="00E86446" w:rsidRDefault="00345E63">
      <w:pPr>
        <w:widowControl w:val="0"/>
        <w:tabs>
          <w:tab w:val="left" w:pos="567"/>
        </w:tabs>
        <w:ind w:left="567" w:hanging="567"/>
        <w:outlineLvl w:val="2"/>
        <w:rPr>
          <w:rFonts w:eastAsia="TimesNewRoman"/>
          <w:b/>
          <w:bCs/>
          <w:sz w:val="22"/>
          <w:szCs w:val="22"/>
          <w:lang w:eastAsia="en-US"/>
        </w:rPr>
      </w:pPr>
      <w:r>
        <w:rPr>
          <w:rFonts w:eastAsia="TimesNewRoman"/>
          <w:b/>
          <w:bCs/>
          <w:sz w:val="22"/>
          <w:szCs w:val="22"/>
          <w:lang w:eastAsia="en-US"/>
        </w:rPr>
        <w:t xml:space="preserve">5 lentelė. 24 savaičių trukmės placebu kontroliuojamo tyrimo duomenys tiriant kaip dapagliflozinas papildo </w:t>
      </w:r>
      <w:proofErr w:type="spellStart"/>
      <w:r>
        <w:rPr>
          <w:rFonts w:eastAsia="TimesNewRoman"/>
          <w:b/>
          <w:bCs/>
          <w:sz w:val="22"/>
          <w:szCs w:val="22"/>
          <w:lang w:eastAsia="en-US"/>
        </w:rPr>
        <w:t>metformino</w:t>
      </w:r>
      <w:proofErr w:type="spellEnd"/>
      <w:r>
        <w:rPr>
          <w:rFonts w:eastAsia="TimesNewRoman"/>
          <w:b/>
          <w:bCs/>
          <w:sz w:val="22"/>
          <w:szCs w:val="22"/>
          <w:lang w:eastAsia="en-US"/>
        </w:rPr>
        <w:t xml:space="preserve"> ir </w:t>
      </w:r>
      <w:proofErr w:type="spellStart"/>
      <w:r>
        <w:rPr>
          <w:rFonts w:eastAsia="TimesNewRoman"/>
          <w:b/>
          <w:bCs/>
          <w:sz w:val="22"/>
          <w:szCs w:val="22"/>
          <w:lang w:eastAsia="en-US"/>
        </w:rPr>
        <w:t>sulfonilkarbamido</w:t>
      </w:r>
      <w:proofErr w:type="spellEnd"/>
      <w:r>
        <w:rPr>
          <w:rFonts w:eastAsia="TimesNewRoman"/>
          <w:b/>
          <w:bCs/>
          <w:sz w:val="22"/>
          <w:szCs w:val="22"/>
          <w:lang w:eastAsia="en-US"/>
        </w:rPr>
        <w:t xml:space="preserve"> </w:t>
      </w:r>
      <w:r w:rsidR="004C121E">
        <w:rPr>
          <w:rFonts w:eastAsia="TimesNewRoman"/>
          <w:b/>
          <w:bCs/>
          <w:sz w:val="22"/>
          <w:szCs w:val="22"/>
          <w:lang w:eastAsia="en-US"/>
        </w:rPr>
        <w:t xml:space="preserve">darinio </w:t>
      </w:r>
      <w:r>
        <w:rPr>
          <w:rFonts w:eastAsia="TimesNewRoman"/>
          <w:b/>
          <w:bCs/>
          <w:sz w:val="22"/>
          <w:szCs w:val="22"/>
          <w:lang w:eastAsia="en-US"/>
        </w:rPr>
        <w:t>derinio poveikį</w:t>
      </w:r>
    </w:p>
    <w:tbl>
      <w:tblPr>
        <w:tblStyle w:val="TableNormal1"/>
        <w:tblW w:w="0" w:type="auto"/>
        <w:tblInd w:w="-156" w:type="dxa"/>
        <w:tblLayout w:type="fixed"/>
        <w:tblLook w:val="01E0" w:firstRow="1" w:lastRow="1" w:firstColumn="1" w:lastColumn="1" w:noHBand="0" w:noVBand="0"/>
      </w:tblPr>
      <w:tblGrid>
        <w:gridCol w:w="3309"/>
        <w:gridCol w:w="3032"/>
        <w:gridCol w:w="2731"/>
      </w:tblGrid>
      <w:tr w:rsidR="00E86446" w14:paraId="4FC050F8" w14:textId="77777777">
        <w:trPr>
          <w:trHeight w:val="213"/>
        </w:trPr>
        <w:tc>
          <w:tcPr>
            <w:tcW w:w="3309" w:type="dxa"/>
            <w:tcBorders>
              <w:top w:val="single" w:sz="4" w:space="0" w:color="auto"/>
            </w:tcBorders>
          </w:tcPr>
          <w:p w14:paraId="68A538CA" w14:textId="77777777" w:rsidR="00E86446" w:rsidRDefault="00E86446">
            <w:pPr>
              <w:spacing w:before="39" w:line="144" w:lineRule="auto"/>
              <w:ind w:left="110"/>
              <w:rPr>
                <w:rFonts w:ascii="Calibri" w:eastAsia="Calibri" w:hAnsi="Calibri"/>
                <w:noProof/>
                <w:lang w:val="sl-SI" w:eastAsia="sl-SI"/>
              </w:rPr>
            </w:pPr>
          </w:p>
        </w:tc>
        <w:tc>
          <w:tcPr>
            <w:tcW w:w="5763" w:type="dxa"/>
            <w:gridSpan w:val="2"/>
            <w:tcBorders>
              <w:top w:val="single" w:sz="4" w:space="0" w:color="auto"/>
              <w:bottom w:val="single" w:sz="4" w:space="0" w:color="auto"/>
            </w:tcBorders>
          </w:tcPr>
          <w:p w14:paraId="25808D7A" w14:textId="77777777" w:rsidR="00E86446" w:rsidRDefault="00345E63">
            <w:pPr>
              <w:spacing w:before="10"/>
              <w:ind w:left="1118"/>
              <w:jc w:val="center"/>
              <w:rPr>
                <w:rFonts w:eastAsia="Calibri"/>
                <w:b/>
                <w:spacing w:val="-5"/>
                <w:lang w:val="en-GB" w:eastAsia="en-US"/>
              </w:rPr>
            </w:pPr>
            <w:proofErr w:type="spellStart"/>
            <w:r>
              <w:rPr>
                <w:rFonts w:eastAsia="Calibri"/>
                <w:b/>
                <w:lang w:val="en-GB" w:eastAsia="en-US"/>
              </w:rPr>
              <w:t>Papildomo</w:t>
            </w:r>
            <w:proofErr w:type="spellEnd"/>
            <w:r>
              <w:rPr>
                <w:rFonts w:eastAsia="Calibri"/>
                <w:b/>
                <w:lang w:val="en-GB" w:eastAsia="en-US"/>
              </w:rPr>
              <w:t xml:space="preserve"> </w:t>
            </w:r>
            <w:proofErr w:type="spellStart"/>
            <w:r>
              <w:rPr>
                <w:rFonts w:eastAsia="Calibri"/>
                <w:b/>
                <w:lang w:val="en-GB" w:eastAsia="en-US"/>
              </w:rPr>
              <w:t>gydymo</w:t>
            </w:r>
            <w:proofErr w:type="spellEnd"/>
            <w:r>
              <w:rPr>
                <w:rFonts w:eastAsia="Calibri"/>
                <w:b/>
                <w:lang w:val="en-GB" w:eastAsia="en-US"/>
              </w:rPr>
              <w:t xml:space="preserve"> </w:t>
            </w:r>
            <w:proofErr w:type="spellStart"/>
            <w:r>
              <w:rPr>
                <w:rFonts w:eastAsia="Calibri"/>
                <w:b/>
                <w:lang w:val="en-GB" w:eastAsia="en-US"/>
              </w:rPr>
              <w:t>derinys</w:t>
            </w:r>
            <w:proofErr w:type="spellEnd"/>
          </w:p>
        </w:tc>
      </w:tr>
      <w:tr w:rsidR="00E86446" w14:paraId="7A676FD2" w14:textId="77777777">
        <w:trPr>
          <w:trHeight w:val="230"/>
        </w:trPr>
        <w:tc>
          <w:tcPr>
            <w:tcW w:w="3309" w:type="dxa"/>
            <w:tcBorders>
              <w:bottom w:val="single" w:sz="4" w:space="0" w:color="auto"/>
            </w:tcBorders>
          </w:tcPr>
          <w:p w14:paraId="1FEF1728" w14:textId="77777777" w:rsidR="00E86446" w:rsidRDefault="00E86446">
            <w:pPr>
              <w:spacing w:before="39" w:line="144" w:lineRule="auto"/>
              <w:ind w:left="110"/>
              <w:rPr>
                <w:rFonts w:ascii="Calibri" w:eastAsia="Calibri" w:hAnsi="Calibri"/>
                <w:noProof/>
                <w:lang w:val="sl-SI" w:eastAsia="sl-SI"/>
              </w:rPr>
            </w:pPr>
          </w:p>
        </w:tc>
        <w:tc>
          <w:tcPr>
            <w:tcW w:w="5763" w:type="dxa"/>
            <w:gridSpan w:val="2"/>
            <w:tcBorders>
              <w:top w:val="single" w:sz="4" w:space="0" w:color="auto"/>
              <w:bottom w:val="single" w:sz="4" w:space="0" w:color="auto"/>
            </w:tcBorders>
          </w:tcPr>
          <w:p w14:paraId="325823F0" w14:textId="4AF1736E" w:rsidR="00E86446" w:rsidRDefault="00345E63">
            <w:pPr>
              <w:spacing w:before="10"/>
              <w:ind w:left="1118"/>
              <w:jc w:val="center"/>
              <w:rPr>
                <w:rFonts w:eastAsia="Calibri"/>
                <w:b/>
                <w:spacing w:val="-5"/>
                <w:lang w:val="en-GB" w:eastAsia="en-US"/>
              </w:rPr>
            </w:pPr>
            <w:proofErr w:type="spellStart"/>
            <w:r>
              <w:rPr>
                <w:rFonts w:eastAsia="Calibri"/>
                <w:b/>
                <w:spacing w:val="-2"/>
                <w:lang w:val="en-GB" w:eastAsia="en-US"/>
              </w:rPr>
              <w:t>Sulfonilkarbamid</w:t>
            </w:r>
            <w:r w:rsidR="005C6902">
              <w:rPr>
                <w:rFonts w:eastAsia="Calibri"/>
                <w:b/>
                <w:spacing w:val="-2"/>
                <w:lang w:val="en-GB" w:eastAsia="en-US"/>
              </w:rPr>
              <w:t>o</w:t>
            </w:r>
            <w:proofErr w:type="spellEnd"/>
            <w:r w:rsidR="005C6902">
              <w:rPr>
                <w:rFonts w:eastAsia="Calibri"/>
                <w:b/>
                <w:spacing w:val="-2"/>
                <w:lang w:val="en-GB" w:eastAsia="en-US"/>
              </w:rPr>
              <w:t xml:space="preserve"> </w:t>
            </w:r>
            <w:proofErr w:type="spellStart"/>
            <w:r w:rsidR="005C6902">
              <w:rPr>
                <w:rFonts w:eastAsia="Calibri"/>
                <w:b/>
                <w:spacing w:val="-2"/>
                <w:lang w:val="en-GB" w:eastAsia="en-US"/>
              </w:rPr>
              <w:t>darinys</w:t>
            </w:r>
            <w:proofErr w:type="spellEnd"/>
            <w:r>
              <w:rPr>
                <w:rFonts w:eastAsia="Calibri"/>
                <w:b/>
                <w:spacing w:val="-2"/>
                <w:lang w:val="en-GB" w:eastAsia="en-US"/>
              </w:rPr>
              <w:t xml:space="preserve"> </w:t>
            </w:r>
            <w:proofErr w:type="spellStart"/>
            <w:r>
              <w:rPr>
                <w:rFonts w:eastAsia="Calibri"/>
                <w:b/>
                <w:spacing w:val="-2"/>
                <w:lang w:val="en-GB" w:eastAsia="en-US"/>
              </w:rPr>
              <w:t>ir</w:t>
            </w:r>
            <w:proofErr w:type="spellEnd"/>
            <w:r>
              <w:rPr>
                <w:rFonts w:eastAsia="Calibri"/>
                <w:b/>
                <w:spacing w:val="-2"/>
                <w:lang w:val="en-GB" w:eastAsia="en-US"/>
              </w:rPr>
              <w:t xml:space="preserve"> metforminas</w:t>
            </w:r>
            <w:r>
              <w:rPr>
                <w:rFonts w:eastAsia="Calibri"/>
                <w:b/>
                <w:spacing w:val="-2"/>
                <w:vertAlign w:val="superscript"/>
                <w:lang w:val="en-GB" w:eastAsia="en-US"/>
              </w:rPr>
              <w:t>1</w:t>
            </w:r>
          </w:p>
        </w:tc>
      </w:tr>
      <w:tr w:rsidR="00E86446" w14:paraId="744EBAFC" w14:textId="77777777">
        <w:trPr>
          <w:trHeight w:val="234"/>
        </w:trPr>
        <w:tc>
          <w:tcPr>
            <w:tcW w:w="3309" w:type="dxa"/>
            <w:tcBorders>
              <w:top w:val="single" w:sz="4" w:space="0" w:color="auto"/>
            </w:tcBorders>
          </w:tcPr>
          <w:p w14:paraId="6D39CFFC" w14:textId="77777777" w:rsidR="00E86446" w:rsidRDefault="00E86446">
            <w:pPr>
              <w:spacing w:before="39" w:line="144" w:lineRule="auto"/>
              <w:ind w:left="110"/>
              <w:rPr>
                <w:rFonts w:ascii="Calibri" w:eastAsia="Calibri" w:hAnsi="Calibri"/>
                <w:noProof/>
                <w:lang w:val="sl-SI" w:eastAsia="sl-SI"/>
              </w:rPr>
            </w:pPr>
          </w:p>
        </w:tc>
        <w:tc>
          <w:tcPr>
            <w:tcW w:w="3032" w:type="dxa"/>
            <w:tcBorders>
              <w:top w:val="single" w:sz="4" w:space="0" w:color="auto"/>
            </w:tcBorders>
          </w:tcPr>
          <w:p w14:paraId="5DECEAC2" w14:textId="77777777" w:rsidR="00E86446" w:rsidRDefault="00345E63">
            <w:pPr>
              <w:spacing w:before="10"/>
              <w:ind w:right="225"/>
              <w:jc w:val="center"/>
              <w:rPr>
                <w:rFonts w:eastAsia="Calibri"/>
                <w:b/>
                <w:spacing w:val="-5"/>
                <w:lang w:val="en-GB" w:eastAsia="en-US"/>
              </w:rPr>
            </w:pPr>
            <w:proofErr w:type="spellStart"/>
            <w:r>
              <w:rPr>
                <w:rFonts w:eastAsia="Calibri"/>
                <w:b/>
                <w:spacing w:val="-2"/>
                <w:lang w:val="en-GB" w:eastAsia="en-US"/>
              </w:rPr>
              <w:t>Dapagliflozinas</w:t>
            </w:r>
            <w:proofErr w:type="spellEnd"/>
            <w:r>
              <w:rPr>
                <w:rFonts w:eastAsia="Calibri"/>
                <w:b/>
                <w:spacing w:val="-2"/>
                <w:lang w:val="en-GB" w:eastAsia="en-US"/>
              </w:rPr>
              <w:t xml:space="preserve"> </w:t>
            </w:r>
            <w:r>
              <w:rPr>
                <w:rFonts w:eastAsia="Calibri"/>
                <w:b/>
                <w:lang w:val="en-GB" w:eastAsia="en-US"/>
              </w:rPr>
              <w:t>10 mg</w:t>
            </w:r>
          </w:p>
        </w:tc>
        <w:tc>
          <w:tcPr>
            <w:tcW w:w="2731" w:type="dxa"/>
            <w:tcBorders>
              <w:top w:val="single" w:sz="4" w:space="0" w:color="auto"/>
            </w:tcBorders>
          </w:tcPr>
          <w:p w14:paraId="64F70A30" w14:textId="77777777" w:rsidR="00E86446" w:rsidRDefault="00345E63">
            <w:pPr>
              <w:spacing w:before="10"/>
              <w:ind w:left="1118"/>
              <w:rPr>
                <w:rFonts w:eastAsia="Calibri"/>
                <w:b/>
                <w:spacing w:val="-5"/>
                <w:lang w:val="en-GB" w:eastAsia="en-US"/>
              </w:rPr>
            </w:pPr>
            <w:proofErr w:type="spellStart"/>
            <w:r>
              <w:rPr>
                <w:rFonts w:eastAsia="Calibri"/>
                <w:b/>
                <w:spacing w:val="-2"/>
                <w:lang w:val="en-GB" w:eastAsia="en-US"/>
              </w:rPr>
              <w:t>Placebas</w:t>
            </w:r>
            <w:proofErr w:type="spellEnd"/>
          </w:p>
        </w:tc>
      </w:tr>
      <w:tr w:rsidR="00E86446" w14:paraId="631AA7D1" w14:textId="77777777">
        <w:trPr>
          <w:trHeight w:val="541"/>
        </w:trPr>
        <w:tc>
          <w:tcPr>
            <w:tcW w:w="3309" w:type="dxa"/>
          </w:tcPr>
          <w:p w14:paraId="0B6856CD" w14:textId="77777777" w:rsidR="00E86446" w:rsidRDefault="00345E63">
            <w:pPr>
              <w:spacing w:before="39" w:line="144" w:lineRule="auto"/>
              <w:ind w:left="110"/>
              <w:rPr>
                <w:rFonts w:eastAsia="Calibri"/>
                <w:lang w:val="en-GB" w:eastAsia="en-US"/>
              </w:rPr>
            </w:pPr>
            <w:r>
              <w:rPr>
                <w:rFonts w:ascii="Calibri" w:eastAsia="Calibri" w:hAnsi="Calibri"/>
                <w:noProof/>
                <w:lang w:eastAsia="en-US"/>
              </w:rPr>
              <mc:AlternateContent>
                <mc:Choice Requires="wpg">
                  <w:drawing>
                    <wp:anchor distT="0" distB="0" distL="0" distR="0" simplePos="0" relativeHeight="251659264" behindDoc="0" locked="0" layoutInCell="1" allowOverlap="1" wp14:anchorId="69E71BE6" wp14:editId="6226355F">
                      <wp:simplePos x="0" y="0"/>
                      <wp:positionH relativeFrom="column">
                        <wp:posOffset>0</wp:posOffset>
                      </wp:positionH>
                      <wp:positionV relativeFrom="paragraph">
                        <wp:posOffset>-3843</wp:posOffset>
                      </wp:positionV>
                      <wp:extent cx="5760720" cy="127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700"/>
                                <a:chOff x="0" y="0"/>
                                <a:chExt cx="5760720" cy="12700"/>
                              </a:xfrm>
                            </wpg:grpSpPr>
                            <wps:wsp>
                              <wps:cNvPr id="11" name="Graphic 11"/>
                              <wps:cNvSpPr/>
                              <wps:spPr>
                                <a:xfrm>
                                  <a:off x="0" y="0"/>
                                  <a:ext cx="5760720" cy="12700"/>
                                </a:xfrm>
                                <a:custGeom>
                                  <a:avLst/>
                                  <a:gdLst/>
                                  <a:ahLst/>
                                  <a:cxnLst/>
                                  <a:rect l="l" t="t" r="r" b="b"/>
                                  <a:pathLst>
                                    <a:path w="5760720" h="12700">
                                      <a:moveTo>
                                        <a:pt x="3934955" y="0"/>
                                      </a:moveTo>
                                      <a:lnTo>
                                        <a:pt x="3922776" y="0"/>
                                      </a:lnTo>
                                      <a:lnTo>
                                        <a:pt x="2072640" y="0"/>
                                      </a:lnTo>
                                      <a:lnTo>
                                        <a:pt x="2060448" y="0"/>
                                      </a:lnTo>
                                      <a:lnTo>
                                        <a:pt x="0" y="0"/>
                                      </a:lnTo>
                                      <a:lnTo>
                                        <a:pt x="0" y="12192"/>
                                      </a:lnTo>
                                      <a:lnTo>
                                        <a:pt x="2060448" y="12192"/>
                                      </a:lnTo>
                                      <a:lnTo>
                                        <a:pt x="2072640" y="12192"/>
                                      </a:lnTo>
                                      <a:lnTo>
                                        <a:pt x="3922776" y="12192"/>
                                      </a:lnTo>
                                      <a:lnTo>
                                        <a:pt x="3934955" y="12192"/>
                                      </a:lnTo>
                                      <a:lnTo>
                                        <a:pt x="3934955" y="0"/>
                                      </a:lnTo>
                                      <a:close/>
                                    </a:path>
                                    <a:path w="5760720" h="12700">
                                      <a:moveTo>
                                        <a:pt x="5760720" y="0"/>
                                      </a:moveTo>
                                      <a:lnTo>
                                        <a:pt x="3934968" y="0"/>
                                      </a:lnTo>
                                      <a:lnTo>
                                        <a:pt x="3934968" y="12192"/>
                                      </a:lnTo>
                                      <a:lnTo>
                                        <a:pt x="5760720" y="12192"/>
                                      </a:lnTo>
                                      <a:lnTo>
                                        <a:pt x="5760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A65E17" id="Group 10" o:spid="_x0000_s1026" style="position:absolute;margin-left:0;margin-top:-.3pt;width:453.6pt;height:1pt;z-index:251659264;mso-wrap-distance-left:0;mso-wrap-distance-right:0" coordsize="5760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">
                      <v:shape id="Graphic 11" o:spid="_x0000_s1027" style="position:absolute;width:57607;height:127;visibility:visible;mso-wrap-style:square;v-text-anchor:top" coordsize="57607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" path="m3934955,r-12179,l2072640,r-12192,l,,,12192r2060448,l2072640,12192r1850136,l3934955,12192r,-12192xem5760720,l3934968,r,12192l5760720,12192r,-12192xe" fillcolor="black" stroked="f">
                        <v:path arrowok="t"/>
                      </v:shape>
                    </v:group>
                  </w:pict>
                </mc:Fallback>
              </mc:AlternateContent>
            </w:r>
            <w:r>
              <w:rPr>
                <w:rFonts w:eastAsia="Calibri"/>
                <w:b/>
                <w:spacing w:val="-5"/>
                <w:position w:val="-8"/>
                <w:lang w:val="en-GB" w:eastAsia="en-US"/>
              </w:rPr>
              <w:t>N</w:t>
            </w:r>
            <w:r>
              <w:rPr>
                <w:rFonts w:eastAsia="Calibri"/>
                <w:spacing w:val="-5"/>
                <w:lang w:val="en-GB" w:eastAsia="en-US"/>
              </w:rPr>
              <w:t>a</w:t>
            </w:r>
          </w:p>
          <w:p w14:paraId="3CD6B6B0" w14:textId="34D202D2" w:rsidR="00E86446" w:rsidRDefault="00345E63">
            <w:pPr>
              <w:spacing w:before="77" w:line="238" w:lineRule="exact"/>
              <w:ind w:left="110"/>
              <w:rPr>
                <w:rFonts w:eastAsia="Calibri"/>
                <w:lang w:val="en-GB" w:eastAsia="en-US"/>
              </w:rPr>
            </w:pPr>
            <w:r>
              <w:rPr>
                <w:rFonts w:ascii="Calibri" w:eastAsia="Calibri" w:hAnsi="Calibri"/>
                <w:noProof/>
                <w:lang w:eastAsia="en-US"/>
              </w:rPr>
              <mc:AlternateContent>
                <mc:Choice Requires="wpg">
                  <w:drawing>
                    <wp:anchor distT="0" distB="0" distL="0" distR="0" simplePos="0" relativeHeight="251660288" behindDoc="1" locked="0" layoutInCell="1" allowOverlap="1" wp14:anchorId="6EDA7026" wp14:editId="4D0D5E8F">
                      <wp:simplePos x="0" y="0"/>
                      <wp:positionH relativeFrom="column">
                        <wp:posOffset>0</wp:posOffset>
                      </wp:positionH>
                      <wp:positionV relativeFrom="paragraph">
                        <wp:posOffset>39109</wp:posOffset>
                      </wp:positionV>
                      <wp:extent cx="5760720" cy="127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700"/>
                                <a:chOff x="0" y="0"/>
                                <a:chExt cx="5760720" cy="12700"/>
                              </a:xfrm>
                            </wpg:grpSpPr>
                            <wps:wsp>
                              <wps:cNvPr id="13" name="Graphic 13"/>
                              <wps:cNvSpPr/>
                              <wps:spPr>
                                <a:xfrm>
                                  <a:off x="0" y="0"/>
                                  <a:ext cx="5760720" cy="12700"/>
                                </a:xfrm>
                                <a:custGeom>
                                  <a:avLst/>
                                  <a:gdLst/>
                                  <a:ahLst/>
                                  <a:cxnLst/>
                                  <a:rect l="l" t="t" r="r" b="b"/>
                                  <a:pathLst>
                                    <a:path w="5760720" h="12700">
                                      <a:moveTo>
                                        <a:pt x="3934955" y="0"/>
                                      </a:moveTo>
                                      <a:lnTo>
                                        <a:pt x="3922776" y="0"/>
                                      </a:lnTo>
                                      <a:lnTo>
                                        <a:pt x="2072640" y="0"/>
                                      </a:lnTo>
                                      <a:lnTo>
                                        <a:pt x="2060448" y="0"/>
                                      </a:lnTo>
                                      <a:lnTo>
                                        <a:pt x="0" y="0"/>
                                      </a:lnTo>
                                      <a:lnTo>
                                        <a:pt x="0" y="12192"/>
                                      </a:lnTo>
                                      <a:lnTo>
                                        <a:pt x="2060448" y="12192"/>
                                      </a:lnTo>
                                      <a:lnTo>
                                        <a:pt x="2072640" y="12192"/>
                                      </a:lnTo>
                                      <a:lnTo>
                                        <a:pt x="3922776" y="12192"/>
                                      </a:lnTo>
                                      <a:lnTo>
                                        <a:pt x="3934955" y="12192"/>
                                      </a:lnTo>
                                      <a:lnTo>
                                        <a:pt x="3934955" y="0"/>
                                      </a:lnTo>
                                      <a:close/>
                                    </a:path>
                                    <a:path w="5760720" h="12700">
                                      <a:moveTo>
                                        <a:pt x="5760720" y="0"/>
                                      </a:moveTo>
                                      <a:lnTo>
                                        <a:pt x="3934968" y="0"/>
                                      </a:lnTo>
                                      <a:lnTo>
                                        <a:pt x="3934968" y="12192"/>
                                      </a:lnTo>
                                      <a:lnTo>
                                        <a:pt x="5760720" y="12192"/>
                                      </a:lnTo>
                                      <a:lnTo>
                                        <a:pt x="5760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80446B" id="Group 12" o:spid="_x0000_s1026" style="position:absolute;margin-left:0;margin-top:3.1pt;width:453.6pt;height:1pt;z-index:-251656192;mso-wrap-distance-left:0;mso-wrap-distance-right:0" coordsize="5760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">
                      <v:shape id="Graphic 13" o:spid="_x0000_s1027" style="position:absolute;width:57607;height:127;visibility:visible;mso-wrap-style:square;v-text-anchor:top" coordsize="57607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" path="m3934955,r-12179,l2072640,r-12192,l,,,12192r2060448,l2072640,12192r1850136,l3934955,12192r,-12192xem5760720,l3934968,r,12192l5760720,12192r,-12192xe" fillcolor="black" stroked="f">
                        <v:path arrowok="t"/>
                      </v:shape>
                    </v:group>
                  </w:pict>
                </mc:Fallback>
              </mc:AlternateContent>
            </w:r>
            <w:r>
              <w:rPr>
                <w:rFonts w:eastAsia="Calibri"/>
                <w:b/>
                <w:lang w:val="en-GB" w:eastAsia="en-US"/>
              </w:rPr>
              <w:t xml:space="preserve">HbA1c </w:t>
            </w:r>
            <w:r>
              <w:rPr>
                <w:rFonts w:eastAsia="Calibri"/>
                <w:b/>
                <w:spacing w:val="-4"/>
                <w:lang w:val="en-GB" w:eastAsia="en-US"/>
              </w:rPr>
              <w:t>(</w:t>
            </w:r>
            <w:proofErr w:type="gramStart"/>
            <w:r>
              <w:rPr>
                <w:rFonts w:eastAsia="Calibri"/>
                <w:b/>
                <w:spacing w:val="-4"/>
                <w:lang w:val="en-GB" w:eastAsia="en-US"/>
              </w:rPr>
              <w:t>%)</w:t>
            </w:r>
            <w:r>
              <w:rPr>
                <w:rFonts w:eastAsia="Calibri"/>
                <w:spacing w:val="-4"/>
                <w:vertAlign w:val="superscript"/>
                <w:lang w:val="en-GB" w:eastAsia="en-US"/>
              </w:rPr>
              <w:t>b</w:t>
            </w:r>
            <w:proofErr w:type="gramEnd"/>
          </w:p>
        </w:tc>
        <w:tc>
          <w:tcPr>
            <w:tcW w:w="3032" w:type="dxa"/>
          </w:tcPr>
          <w:p w14:paraId="142B4AF7" w14:textId="77777777" w:rsidR="00E86446" w:rsidRDefault="00345E63">
            <w:pPr>
              <w:spacing w:before="10"/>
              <w:ind w:right="225"/>
              <w:jc w:val="center"/>
              <w:rPr>
                <w:rFonts w:eastAsia="Calibri"/>
                <w:lang w:val="en-GB" w:eastAsia="en-US"/>
              </w:rPr>
            </w:pPr>
            <w:r>
              <w:rPr>
                <w:rFonts w:eastAsia="Calibri"/>
                <w:spacing w:val="-5"/>
                <w:lang w:val="en-GB" w:eastAsia="en-US"/>
              </w:rPr>
              <w:t>108</w:t>
            </w:r>
          </w:p>
        </w:tc>
        <w:tc>
          <w:tcPr>
            <w:tcW w:w="2731" w:type="dxa"/>
          </w:tcPr>
          <w:p w14:paraId="5BE7B514" w14:textId="77777777" w:rsidR="00E86446" w:rsidRDefault="00345E63">
            <w:pPr>
              <w:spacing w:before="10"/>
              <w:ind w:left="1118"/>
              <w:rPr>
                <w:rFonts w:eastAsia="Calibri"/>
                <w:lang w:val="en-GB" w:eastAsia="en-US"/>
              </w:rPr>
            </w:pPr>
            <w:r>
              <w:rPr>
                <w:rFonts w:eastAsia="Calibri"/>
                <w:spacing w:val="-5"/>
                <w:lang w:val="en-GB" w:eastAsia="en-US"/>
              </w:rPr>
              <w:t>108</w:t>
            </w:r>
          </w:p>
        </w:tc>
      </w:tr>
      <w:tr w:rsidR="00E86446" w14:paraId="52E6F044" w14:textId="77777777">
        <w:trPr>
          <w:trHeight w:val="240"/>
        </w:trPr>
        <w:tc>
          <w:tcPr>
            <w:tcW w:w="3309" w:type="dxa"/>
          </w:tcPr>
          <w:p w14:paraId="10A4D7D1" w14:textId="77777777" w:rsidR="00E86446" w:rsidRDefault="00345E63">
            <w:pPr>
              <w:spacing w:line="220" w:lineRule="exact"/>
              <w:ind w:right="1620"/>
              <w:jc w:val="right"/>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3032" w:type="dxa"/>
          </w:tcPr>
          <w:p w14:paraId="1EF82D11" w14:textId="77777777" w:rsidR="00E86446" w:rsidRDefault="00345E63">
            <w:pPr>
              <w:spacing w:line="220" w:lineRule="exact"/>
              <w:ind w:left="10" w:right="225"/>
              <w:jc w:val="center"/>
              <w:rPr>
                <w:rFonts w:eastAsia="Calibri"/>
                <w:lang w:val="en-GB" w:eastAsia="en-US"/>
              </w:rPr>
            </w:pPr>
            <w:r>
              <w:rPr>
                <w:rFonts w:eastAsia="Calibri"/>
                <w:spacing w:val="-4"/>
                <w:lang w:val="en-GB" w:eastAsia="en-US"/>
              </w:rPr>
              <w:t>8,08</w:t>
            </w:r>
          </w:p>
        </w:tc>
        <w:tc>
          <w:tcPr>
            <w:tcW w:w="2731" w:type="dxa"/>
          </w:tcPr>
          <w:p w14:paraId="31E5AB3C" w14:textId="77777777" w:rsidR="00E86446" w:rsidRDefault="00345E63">
            <w:pPr>
              <w:spacing w:line="220" w:lineRule="exact"/>
              <w:ind w:left="1094"/>
              <w:rPr>
                <w:rFonts w:eastAsia="Calibri"/>
                <w:lang w:val="en-GB" w:eastAsia="en-US"/>
              </w:rPr>
            </w:pPr>
            <w:r>
              <w:rPr>
                <w:rFonts w:eastAsia="Calibri"/>
                <w:spacing w:val="-4"/>
                <w:lang w:val="en-GB" w:eastAsia="en-US"/>
              </w:rPr>
              <w:t>8,24</w:t>
            </w:r>
          </w:p>
        </w:tc>
      </w:tr>
      <w:tr w:rsidR="00E86446" w14:paraId="37DCD50A" w14:textId="77777777">
        <w:trPr>
          <w:trHeight w:val="515"/>
        </w:trPr>
        <w:tc>
          <w:tcPr>
            <w:tcW w:w="3309" w:type="dxa"/>
          </w:tcPr>
          <w:p w14:paraId="009C47E2" w14:textId="77777777" w:rsidR="00E86446" w:rsidRPr="0073443F" w:rsidRDefault="00345E63">
            <w:pPr>
              <w:spacing w:line="250" w:lineRule="atLeast"/>
              <w:ind w:left="254" w:right="350"/>
              <w:rPr>
                <w:rFonts w:eastAsia="Calibri"/>
                <w:lang w:val="pt-PT" w:eastAsia="en-US"/>
              </w:rPr>
            </w:pPr>
            <w:r w:rsidRPr="0073443F">
              <w:rPr>
                <w:rFonts w:eastAsia="Calibri"/>
                <w:lang w:val="pt-PT" w:eastAsia="en-US"/>
              </w:rPr>
              <w:t>Pokytis palyginus su pradine</w:t>
            </w:r>
            <w:r w:rsidRPr="0073443F">
              <w:rPr>
                <w:rFonts w:eastAsia="Calibri"/>
                <w:vertAlign w:val="superscript"/>
                <w:lang w:val="pt-PT" w:eastAsia="en-US"/>
              </w:rPr>
              <w:t>c</w:t>
            </w:r>
            <w:r w:rsidRPr="0073443F">
              <w:rPr>
                <w:rFonts w:eastAsia="Calibri"/>
                <w:lang w:val="pt-PT" w:eastAsia="en-US"/>
              </w:rPr>
              <w:t xml:space="preserve"> Skirtumas nuo placebo</w:t>
            </w:r>
            <w:r w:rsidRPr="0073443F">
              <w:rPr>
                <w:rFonts w:eastAsia="Calibri"/>
                <w:vertAlign w:val="superscript"/>
                <w:lang w:val="pt-PT" w:eastAsia="en-US"/>
              </w:rPr>
              <w:t>c</w:t>
            </w:r>
          </w:p>
        </w:tc>
        <w:tc>
          <w:tcPr>
            <w:tcW w:w="3032" w:type="dxa"/>
          </w:tcPr>
          <w:p w14:paraId="067E6127" w14:textId="77777777" w:rsidR="00E86446" w:rsidRDefault="00345E63">
            <w:pPr>
              <w:spacing w:before="5"/>
              <w:ind w:left="4" w:right="225"/>
              <w:jc w:val="center"/>
              <w:rPr>
                <w:rFonts w:eastAsia="Calibri"/>
                <w:lang w:val="en-GB" w:eastAsia="en-US"/>
              </w:rPr>
            </w:pPr>
            <w:r>
              <w:rPr>
                <w:rFonts w:eastAsia="Calibri"/>
                <w:spacing w:val="-2"/>
                <w:lang w:val="en-GB" w:eastAsia="en-US"/>
              </w:rPr>
              <w:t>-</w:t>
            </w:r>
            <w:r>
              <w:rPr>
                <w:rFonts w:eastAsia="Calibri"/>
                <w:spacing w:val="-4"/>
                <w:lang w:val="en-GB" w:eastAsia="en-US"/>
              </w:rPr>
              <w:t>0,86</w:t>
            </w:r>
          </w:p>
          <w:p w14:paraId="3961C38D" w14:textId="77777777" w:rsidR="00E86446" w:rsidRDefault="00345E63">
            <w:pPr>
              <w:spacing w:before="2" w:line="236" w:lineRule="exact"/>
              <w:ind w:left="7" w:right="225"/>
              <w:jc w:val="center"/>
              <w:rPr>
                <w:rFonts w:eastAsia="Calibri"/>
                <w:lang w:val="en-GB" w:eastAsia="en-US"/>
              </w:rPr>
            </w:pPr>
            <w:r>
              <w:rPr>
                <w:rFonts w:eastAsia="Calibri"/>
                <w:spacing w:val="-2"/>
                <w:lang w:val="en-GB" w:eastAsia="en-US"/>
              </w:rPr>
              <w:t>-0,69</w:t>
            </w:r>
            <w:r>
              <w:rPr>
                <w:rFonts w:eastAsia="Calibri"/>
                <w:spacing w:val="-2"/>
                <w:vertAlign w:val="superscript"/>
                <w:lang w:val="en-GB" w:eastAsia="en-US"/>
              </w:rPr>
              <w:t>*</w:t>
            </w:r>
          </w:p>
        </w:tc>
        <w:tc>
          <w:tcPr>
            <w:tcW w:w="2731" w:type="dxa"/>
          </w:tcPr>
          <w:p w14:paraId="7697C7E7" w14:textId="77777777" w:rsidR="00E86446" w:rsidRDefault="00345E63">
            <w:pPr>
              <w:spacing w:before="5"/>
              <w:ind w:left="1055"/>
              <w:rPr>
                <w:rFonts w:eastAsia="Calibri"/>
                <w:lang w:val="en-GB" w:eastAsia="en-US"/>
              </w:rPr>
            </w:pPr>
            <w:r>
              <w:rPr>
                <w:rFonts w:eastAsia="Calibri"/>
                <w:spacing w:val="-2"/>
                <w:lang w:val="en-GB" w:eastAsia="en-US"/>
              </w:rPr>
              <w:t>-</w:t>
            </w:r>
            <w:r>
              <w:rPr>
                <w:rFonts w:eastAsia="Calibri"/>
                <w:spacing w:val="-4"/>
                <w:lang w:val="en-GB" w:eastAsia="en-US"/>
              </w:rPr>
              <w:t>0,17</w:t>
            </w:r>
          </w:p>
        </w:tc>
      </w:tr>
      <w:tr w:rsidR="00E86446" w14:paraId="4BC4F351" w14:textId="77777777">
        <w:trPr>
          <w:trHeight w:val="251"/>
        </w:trPr>
        <w:tc>
          <w:tcPr>
            <w:tcW w:w="3309" w:type="dxa"/>
            <w:tcBorders>
              <w:bottom w:val="single" w:sz="8" w:space="0" w:color="000000"/>
            </w:tcBorders>
          </w:tcPr>
          <w:p w14:paraId="2DE5BEAB" w14:textId="77777777" w:rsidR="00E86446" w:rsidRDefault="00345E63">
            <w:pPr>
              <w:spacing w:line="232" w:lineRule="exact"/>
              <w:ind w:left="479"/>
              <w:rPr>
                <w:rFonts w:eastAsia="Calibri"/>
                <w:lang w:val="en-GB" w:eastAsia="en-US"/>
              </w:rPr>
            </w:pPr>
            <w:r>
              <w:rPr>
                <w:rFonts w:eastAsia="Calibri"/>
                <w:lang w:val="en-GB" w:eastAsia="en-US"/>
              </w:rPr>
              <w:t>(95 %</w:t>
            </w:r>
            <w:r>
              <w:rPr>
                <w:rFonts w:eastAsia="Calibri"/>
                <w:spacing w:val="-5"/>
                <w:lang w:val="en-GB" w:eastAsia="en-US"/>
              </w:rPr>
              <w:t xml:space="preserve"> PI)</w:t>
            </w:r>
          </w:p>
        </w:tc>
        <w:tc>
          <w:tcPr>
            <w:tcW w:w="3032" w:type="dxa"/>
            <w:tcBorders>
              <w:bottom w:val="single" w:sz="8" w:space="0" w:color="000000"/>
            </w:tcBorders>
          </w:tcPr>
          <w:p w14:paraId="61D07E63" w14:textId="77777777" w:rsidR="00E86446" w:rsidRDefault="00345E63">
            <w:pPr>
              <w:spacing w:line="232" w:lineRule="exact"/>
              <w:ind w:left="10" w:right="225"/>
              <w:jc w:val="center"/>
              <w:rPr>
                <w:rFonts w:eastAsia="Calibri"/>
                <w:lang w:val="en-GB" w:eastAsia="en-US"/>
              </w:rPr>
            </w:pPr>
            <w:r>
              <w:rPr>
                <w:rFonts w:eastAsia="Calibri"/>
                <w:lang w:val="en-GB" w:eastAsia="en-US"/>
              </w:rPr>
              <w:t>(-0,89,</w:t>
            </w:r>
            <w:r>
              <w:rPr>
                <w:rFonts w:eastAsia="Calibri"/>
                <w:spacing w:val="-3"/>
                <w:lang w:val="en-GB" w:eastAsia="en-US"/>
              </w:rPr>
              <w:t xml:space="preserve"> </w:t>
            </w:r>
            <w:r>
              <w:rPr>
                <w:rFonts w:eastAsia="Calibri"/>
                <w:lang w:val="en-GB" w:eastAsia="en-US"/>
              </w:rPr>
              <w:t>-</w:t>
            </w:r>
            <w:r>
              <w:rPr>
                <w:rFonts w:eastAsia="Calibri"/>
                <w:spacing w:val="-2"/>
                <w:lang w:val="en-GB" w:eastAsia="en-US"/>
              </w:rPr>
              <w:t>0,49)</w:t>
            </w:r>
          </w:p>
        </w:tc>
        <w:tc>
          <w:tcPr>
            <w:tcW w:w="2731" w:type="dxa"/>
            <w:tcBorders>
              <w:bottom w:val="single" w:sz="8" w:space="0" w:color="000000"/>
            </w:tcBorders>
          </w:tcPr>
          <w:p w14:paraId="168D74C2" w14:textId="77777777" w:rsidR="00E86446" w:rsidRDefault="00E86446">
            <w:pPr>
              <w:rPr>
                <w:rFonts w:eastAsia="Calibri"/>
                <w:lang w:val="en-GB" w:eastAsia="en-US"/>
              </w:rPr>
            </w:pPr>
          </w:p>
        </w:tc>
      </w:tr>
      <w:tr w:rsidR="00E86446" w14:paraId="09F119F6" w14:textId="77777777">
        <w:trPr>
          <w:trHeight w:val="762"/>
        </w:trPr>
        <w:tc>
          <w:tcPr>
            <w:tcW w:w="3309" w:type="dxa"/>
            <w:tcBorders>
              <w:bottom w:val="single" w:sz="8" w:space="0" w:color="000000"/>
            </w:tcBorders>
          </w:tcPr>
          <w:p w14:paraId="5DB75725" w14:textId="707EE58F" w:rsidR="00E86446" w:rsidRPr="0073443F" w:rsidRDefault="00345E63">
            <w:pPr>
              <w:ind w:left="110" w:right="350"/>
              <w:rPr>
                <w:rFonts w:eastAsia="Calibri"/>
                <w:b/>
                <w:lang w:val="pt-PT" w:eastAsia="en-US"/>
              </w:rPr>
            </w:pPr>
            <w:r w:rsidRPr="0073443F">
              <w:rPr>
                <w:rFonts w:eastAsia="Calibri"/>
                <w:b/>
                <w:lang w:val="pt-PT" w:eastAsia="en-US"/>
              </w:rPr>
              <w:t xml:space="preserve">Pacientai, </w:t>
            </w:r>
            <w:r w:rsidR="008D3626" w:rsidRPr="0073443F">
              <w:rPr>
                <w:rFonts w:eastAsia="Calibri"/>
                <w:b/>
                <w:lang w:val="pt-PT" w:eastAsia="en-US"/>
              </w:rPr>
              <w:t xml:space="preserve">kurie </w:t>
            </w:r>
            <w:r w:rsidRPr="0073443F">
              <w:rPr>
                <w:rFonts w:eastAsia="Calibri"/>
                <w:b/>
                <w:lang w:val="pt-PT" w:eastAsia="en-US"/>
              </w:rPr>
              <w:t>pasiekė HbA1c &lt; 7 % (%)</w:t>
            </w:r>
          </w:p>
          <w:p w14:paraId="5D9715C9" w14:textId="77777777" w:rsidR="00E86446" w:rsidRPr="0073443F" w:rsidRDefault="00345E63">
            <w:pPr>
              <w:spacing w:line="236" w:lineRule="exact"/>
              <w:ind w:left="254"/>
              <w:rPr>
                <w:rFonts w:eastAsia="Calibri"/>
                <w:lang w:val="pt-PT" w:eastAsia="en-US"/>
              </w:rPr>
            </w:pPr>
            <w:r w:rsidRPr="0073443F">
              <w:rPr>
                <w:rFonts w:eastAsia="Calibri"/>
                <w:lang w:val="pt-PT" w:eastAsia="en-US"/>
              </w:rPr>
              <w:t>Koreguota pagal pradinę</w:t>
            </w:r>
          </w:p>
        </w:tc>
        <w:tc>
          <w:tcPr>
            <w:tcW w:w="3032" w:type="dxa"/>
            <w:tcBorders>
              <w:bottom w:val="single" w:sz="8" w:space="0" w:color="000000"/>
            </w:tcBorders>
          </w:tcPr>
          <w:p w14:paraId="082B96B7" w14:textId="77777777" w:rsidR="00E86446" w:rsidRPr="0073443F" w:rsidRDefault="00E86446">
            <w:pPr>
              <w:spacing w:before="251"/>
              <w:rPr>
                <w:rFonts w:eastAsia="Calibri"/>
                <w:b/>
                <w:lang w:val="pt-PT" w:eastAsia="en-US"/>
              </w:rPr>
            </w:pPr>
          </w:p>
          <w:p w14:paraId="0B41A407" w14:textId="77777777" w:rsidR="00E86446" w:rsidRDefault="00345E63">
            <w:pPr>
              <w:spacing w:line="238" w:lineRule="exact"/>
              <w:ind w:left="2" w:right="225"/>
              <w:jc w:val="center"/>
              <w:rPr>
                <w:rFonts w:eastAsia="Calibri"/>
                <w:lang w:val="en-GB" w:eastAsia="en-US"/>
              </w:rPr>
            </w:pPr>
            <w:r>
              <w:rPr>
                <w:rFonts w:eastAsia="Calibri"/>
                <w:spacing w:val="-2"/>
                <w:lang w:val="en-GB" w:eastAsia="en-US"/>
              </w:rPr>
              <w:t>31,8</w:t>
            </w:r>
            <w:r>
              <w:rPr>
                <w:rFonts w:eastAsia="Calibri"/>
                <w:spacing w:val="-2"/>
                <w:vertAlign w:val="superscript"/>
                <w:lang w:val="en-GB" w:eastAsia="en-US"/>
              </w:rPr>
              <w:t>*</w:t>
            </w:r>
          </w:p>
        </w:tc>
        <w:tc>
          <w:tcPr>
            <w:tcW w:w="2731" w:type="dxa"/>
            <w:tcBorders>
              <w:bottom w:val="single" w:sz="8" w:space="0" w:color="000000"/>
            </w:tcBorders>
          </w:tcPr>
          <w:p w14:paraId="703E6733" w14:textId="77777777" w:rsidR="00E86446" w:rsidRDefault="00E86446">
            <w:pPr>
              <w:spacing w:before="251"/>
              <w:rPr>
                <w:rFonts w:eastAsia="Calibri"/>
                <w:b/>
                <w:lang w:val="en-GB" w:eastAsia="en-US"/>
              </w:rPr>
            </w:pPr>
          </w:p>
          <w:p w14:paraId="2509F462" w14:textId="77777777" w:rsidR="00E86446" w:rsidRDefault="00345E63">
            <w:pPr>
              <w:spacing w:line="238" w:lineRule="exact"/>
              <w:ind w:left="1094"/>
              <w:rPr>
                <w:rFonts w:eastAsia="Calibri"/>
                <w:lang w:val="en-GB" w:eastAsia="en-US"/>
              </w:rPr>
            </w:pPr>
            <w:r>
              <w:rPr>
                <w:rFonts w:eastAsia="Calibri"/>
                <w:spacing w:val="-4"/>
                <w:lang w:val="en-GB" w:eastAsia="en-US"/>
              </w:rPr>
              <w:t>11,1</w:t>
            </w:r>
          </w:p>
        </w:tc>
      </w:tr>
      <w:tr w:rsidR="00E86446" w14:paraId="0AC82E7B" w14:textId="77777777">
        <w:trPr>
          <w:trHeight w:val="251"/>
        </w:trPr>
        <w:tc>
          <w:tcPr>
            <w:tcW w:w="3309" w:type="dxa"/>
            <w:tcBorders>
              <w:top w:val="single" w:sz="8" w:space="0" w:color="000000"/>
            </w:tcBorders>
          </w:tcPr>
          <w:p w14:paraId="017DBB5A" w14:textId="77777777" w:rsidR="00E86446" w:rsidRDefault="00345E63">
            <w:pPr>
              <w:spacing w:line="232" w:lineRule="exact"/>
              <w:ind w:right="1596"/>
              <w:jc w:val="right"/>
              <w:rPr>
                <w:rFonts w:eastAsia="Calibri"/>
                <w:b/>
                <w:lang w:val="en-GB" w:eastAsia="en-US"/>
              </w:rPr>
            </w:pPr>
            <w:proofErr w:type="spellStart"/>
            <w:r>
              <w:rPr>
                <w:rFonts w:eastAsia="Calibri"/>
                <w:b/>
                <w:lang w:val="en-GB" w:eastAsia="en-US"/>
              </w:rPr>
              <w:t>Kūno</w:t>
            </w:r>
            <w:proofErr w:type="spellEnd"/>
            <w:r>
              <w:rPr>
                <w:rFonts w:eastAsia="Calibri"/>
                <w:b/>
                <w:lang w:val="en-GB" w:eastAsia="en-US"/>
              </w:rPr>
              <w:t xml:space="preserve"> </w:t>
            </w:r>
            <w:proofErr w:type="spellStart"/>
            <w:r>
              <w:rPr>
                <w:rFonts w:eastAsia="Calibri"/>
                <w:b/>
                <w:lang w:val="en-GB" w:eastAsia="en-US"/>
              </w:rPr>
              <w:t>svoris</w:t>
            </w:r>
            <w:proofErr w:type="spellEnd"/>
            <w:r>
              <w:rPr>
                <w:rFonts w:eastAsia="Calibri"/>
                <w:b/>
                <w:spacing w:val="-5"/>
                <w:lang w:val="en-GB" w:eastAsia="en-US"/>
              </w:rPr>
              <w:t xml:space="preserve"> </w:t>
            </w:r>
            <w:r>
              <w:rPr>
                <w:rFonts w:eastAsia="Calibri"/>
                <w:b/>
                <w:spacing w:val="-4"/>
                <w:lang w:val="en-GB" w:eastAsia="en-US"/>
              </w:rPr>
              <w:t>(kg)</w:t>
            </w:r>
          </w:p>
        </w:tc>
        <w:tc>
          <w:tcPr>
            <w:tcW w:w="3032" w:type="dxa"/>
            <w:tcBorders>
              <w:top w:val="single" w:sz="8" w:space="0" w:color="000000"/>
            </w:tcBorders>
          </w:tcPr>
          <w:p w14:paraId="4F891C06" w14:textId="77777777" w:rsidR="00E86446" w:rsidRDefault="00E86446">
            <w:pPr>
              <w:rPr>
                <w:rFonts w:eastAsia="Calibri"/>
                <w:lang w:val="en-GB" w:eastAsia="en-US"/>
              </w:rPr>
            </w:pPr>
          </w:p>
        </w:tc>
        <w:tc>
          <w:tcPr>
            <w:tcW w:w="2731" w:type="dxa"/>
            <w:tcBorders>
              <w:top w:val="single" w:sz="8" w:space="0" w:color="000000"/>
            </w:tcBorders>
          </w:tcPr>
          <w:p w14:paraId="5A04F216" w14:textId="77777777" w:rsidR="00E86446" w:rsidRDefault="00E86446">
            <w:pPr>
              <w:rPr>
                <w:rFonts w:eastAsia="Calibri"/>
                <w:lang w:val="en-GB" w:eastAsia="en-US"/>
              </w:rPr>
            </w:pPr>
          </w:p>
        </w:tc>
      </w:tr>
      <w:tr w:rsidR="00E86446" w14:paraId="60200483" w14:textId="77777777">
        <w:trPr>
          <w:trHeight w:val="242"/>
        </w:trPr>
        <w:tc>
          <w:tcPr>
            <w:tcW w:w="3309" w:type="dxa"/>
          </w:tcPr>
          <w:p w14:paraId="3CABDB28" w14:textId="77777777" w:rsidR="00E86446" w:rsidRDefault="00345E63">
            <w:pPr>
              <w:spacing w:line="223" w:lineRule="exact"/>
              <w:ind w:right="1620"/>
              <w:jc w:val="right"/>
              <w:rPr>
                <w:rFonts w:eastAsia="Calibri"/>
                <w:lang w:val="en-GB" w:eastAsia="en-US"/>
              </w:rPr>
            </w:pPr>
            <w:proofErr w:type="spellStart"/>
            <w:r>
              <w:rPr>
                <w:rFonts w:eastAsia="Calibri"/>
                <w:lang w:val="en-GB" w:eastAsia="en-US"/>
              </w:rPr>
              <w:t>Pradinis</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3032" w:type="dxa"/>
          </w:tcPr>
          <w:p w14:paraId="28036965" w14:textId="77777777" w:rsidR="00E86446" w:rsidRDefault="00345E63">
            <w:pPr>
              <w:spacing w:line="223" w:lineRule="exact"/>
              <w:ind w:left="5" w:right="225"/>
              <w:jc w:val="center"/>
              <w:rPr>
                <w:rFonts w:eastAsia="Calibri"/>
                <w:lang w:val="en-GB" w:eastAsia="en-US"/>
              </w:rPr>
            </w:pPr>
            <w:r>
              <w:rPr>
                <w:rFonts w:eastAsia="Calibri"/>
                <w:spacing w:val="-2"/>
                <w:lang w:val="en-GB" w:eastAsia="en-US"/>
              </w:rPr>
              <w:t>88,57</w:t>
            </w:r>
          </w:p>
        </w:tc>
        <w:tc>
          <w:tcPr>
            <w:tcW w:w="2731" w:type="dxa"/>
          </w:tcPr>
          <w:p w14:paraId="25EF15B2" w14:textId="77777777" w:rsidR="00E86446" w:rsidRDefault="00345E63">
            <w:pPr>
              <w:spacing w:line="223" w:lineRule="exact"/>
              <w:ind w:left="1036"/>
              <w:rPr>
                <w:rFonts w:eastAsia="Calibri"/>
                <w:lang w:val="en-GB" w:eastAsia="en-US"/>
              </w:rPr>
            </w:pPr>
            <w:r>
              <w:rPr>
                <w:rFonts w:eastAsia="Calibri"/>
                <w:spacing w:val="-2"/>
                <w:lang w:val="en-GB" w:eastAsia="en-US"/>
              </w:rPr>
              <w:t>90,07</w:t>
            </w:r>
          </w:p>
        </w:tc>
      </w:tr>
      <w:tr w:rsidR="00E86446" w14:paraId="7A3A2BB5" w14:textId="77777777">
        <w:trPr>
          <w:trHeight w:val="515"/>
        </w:trPr>
        <w:tc>
          <w:tcPr>
            <w:tcW w:w="3309" w:type="dxa"/>
          </w:tcPr>
          <w:p w14:paraId="4759EDEE" w14:textId="77C2F98B" w:rsidR="00E86446" w:rsidRPr="0073443F" w:rsidRDefault="00345E63">
            <w:pPr>
              <w:spacing w:line="250" w:lineRule="atLeast"/>
              <w:ind w:left="254" w:right="350"/>
              <w:rPr>
                <w:rFonts w:eastAsia="Calibri"/>
                <w:lang w:val="pt-PT" w:eastAsia="en-US"/>
              </w:rPr>
            </w:pPr>
            <w:r w:rsidRPr="0073443F">
              <w:rPr>
                <w:rFonts w:eastAsia="Calibri"/>
                <w:lang w:val="pt-PT" w:eastAsia="en-US"/>
              </w:rPr>
              <w:t>Pokytis palyginus su pradiniu</w:t>
            </w:r>
            <w:r w:rsidRPr="0073443F">
              <w:rPr>
                <w:rFonts w:eastAsia="Calibri"/>
                <w:vertAlign w:val="superscript"/>
                <w:lang w:val="pt-PT" w:eastAsia="en-US"/>
              </w:rPr>
              <w:t>c</w:t>
            </w:r>
          </w:p>
          <w:p w14:paraId="6009A338" w14:textId="77777777" w:rsidR="00E86446" w:rsidRPr="0073443F" w:rsidRDefault="00345E63">
            <w:pPr>
              <w:spacing w:line="250" w:lineRule="atLeast"/>
              <w:ind w:left="254" w:right="350"/>
              <w:rPr>
                <w:rFonts w:eastAsia="Calibri"/>
                <w:lang w:val="pt-PT" w:eastAsia="en-US"/>
              </w:rPr>
            </w:pPr>
            <w:r w:rsidRPr="0073443F">
              <w:rPr>
                <w:rFonts w:eastAsia="Calibri"/>
                <w:lang w:val="pt-PT" w:eastAsia="en-US"/>
              </w:rPr>
              <w:t>Skirtumas nuo placebo</w:t>
            </w:r>
            <w:r w:rsidRPr="0073443F">
              <w:rPr>
                <w:rFonts w:eastAsia="Calibri"/>
                <w:vertAlign w:val="superscript"/>
                <w:lang w:val="pt-PT" w:eastAsia="en-US"/>
              </w:rPr>
              <w:t>c</w:t>
            </w:r>
          </w:p>
        </w:tc>
        <w:tc>
          <w:tcPr>
            <w:tcW w:w="3032" w:type="dxa"/>
          </w:tcPr>
          <w:p w14:paraId="6CC77A6D" w14:textId="77777777" w:rsidR="00E86446" w:rsidRDefault="00345E63">
            <w:pPr>
              <w:spacing w:before="5"/>
              <w:ind w:left="4" w:right="225"/>
              <w:jc w:val="center"/>
              <w:rPr>
                <w:rFonts w:eastAsia="Calibri"/>
                <w:lang w:val="en-GB" w:eastAsia="en-US"/>
              </w:rPr>
            </w:pPr>
            <w:r>
              <w:rPr>
                <w:rFonts w:eastAsia="Calibri"/>
                <w:spacing w:val="-2"/>
                <w:lang w:val="en-GB" w:eastAsia="en-US"/>
              </w:rPr>
              <w:t>-</w:t>
            </w:r>
            <w:r>
              <w:rPr>
                <w:rFonts w:eastAsia="Calibri"/>
                <w:spacing w:val="-4"/>
                <w:lang w:val="en-GB" w:eastAsia="en-US"/>
              </w:rPr>
              <w:t>2,65</w:t>
            </w:r>
          </w:p>
          <w:p w14:paraId="3BB094B2" w14:textId="77777777" w:rsidR="00E86446" w:rsidRDefault="00345E63">
            <w:pPr>
              <w:spacing w:before="2" w:line="236" w:lineRule="exact"/>
              <w:ind w:left="7" w:right="225"/>
              <w:jc w:val="center"/>
              <w:rPr>
                <w:rFonts w:eastAsia="Calibri"/>
                <w:lang w:val="en-GB" w:eastAsia="en-US"/>
              </w:rPr>
            </w:pPr>
            <w:r>
              <w:rPr>
                <w:rFonts w:eastAsia="Calibri"/>
                <w:spacing w:val="-2"/>
                <w:lang w:val="en-GB" w:eastAsia="en-US"/>
              </w:rPr>
              <w:t>-2,07</w:t>
            </w:r>
            <w:r>
              <w:rPr>
                <w:rFonts w:eastAsia="Calibri"/>
                <w:spacing w:val="-2"/>
                <w:vertAlign w:val="superscript"/>
                <w:lang w:val="en-GB" w:eastAsia="en-US"/>
              </w:rPr>
              <w:t>*</w:t>
            </w:r>
          </w:p>
        </w:tc>
        <w:tc>
          <w:tcPr>
            <w:tcW w:w="2731" w:type="dxa"/>
          </w:tcPr>
          <w:p w14:paraId="00453620" w14:textId="77777777" w:rsidR="00E86446" w:rsidRDefault="00345E63">
            <w:pPr>
              <w:spacing w:before="5"/>
              <w:ind w:left="1055"/>
              <w:rPr>
                <w:rFonts w:eastAsia="Calibri"/>
                <w:lang w:val="en-GB" w:eastAsia="en-US"/>
              </w:rPr>
            </w:pPr>
            <w:r>
              <w:rPr>
                <w:rFonts w:eastAsia="Calibri"/>
                <w:spacing w:val="-2"/>
                <w:lang w:val="en-GB" w:eastAsia="en-US"/>
              </w:rPr>
              <w:t>-</w:t>
            </w:r>
            <w:r>
              <w:rPr>
                <w:rFonts w:eastAsia="Calibri"/>
                <w:spacing w:val="-4"/>
                <w:lang w:val="en-GB" w:eastAsia="en-US"/>
              </w:rPr>
              <w:t>0,58</w:t>
            </w:r>
          </w:p>
        </w:tc>
      </w:tr>
      <w:tr w:rsidR="00E86446" w14:paraId="1B5568C7" w14:textId="77777777">
        <w:trPr>
          <w:trHeight w:val="251"/>
        </w:trPr>
        <w:tc>
          <w:tcPr>
            <w:tcW w:w="3309" w:type="dxa"/>
            <w:tcBorders>
              <w:bottom w:val="single" w:sz="12" w:space="0" w:color="000000"/>
            </w:tcBorders>
          </w:tcPr>
          <w:p w14:paraId="24ABC6E7" w14:textId="77777777" w:rsidR="00E86446" w:rsidRDefault="00345E63">
            <w:pPr>
              <w:spacing w:line="231" w:lineRule="exact"/>
              <w:ind w:left="479"/>
              <w:rPr>
                <w:rFonts w:eastAsia="Calibri"/>
                <w:lang w:val="en-GB" w:eastAsia="en-US"/>
              </w:rPr>
            </w:pPr>
            <w:r>
              <w:rPr>
                <w:rFonts w:eastAsia="Calibri"/>
                <w:lang w:val="en-GB" w:eastAsia="en-US"/>
              </w:rPr>
              <w:t>(95 %</w:t>
            </w:r>
            <w:r>
              <w:rPr>
                <w:rFonts w:eastAsia="Calibri"/>
                <w:spacing w:val="-5"/>
                <w:lang w:val="en-GB" w:eastAsia="en-US"/>
              </w:rPr>
              <w:t xml:space="preserve"> PI)</w:t>
            </w:r>
          </w:p>
        </w:tc>
        <w:tc>
          <w:tcPr>
            <w:tcW w:w="3032" w:type="dxa"/>
            <w:tcBorders>
              <w:bottom w:val="single" w:sz="12" w:space="0" w:color="000000"/>
            </w:tcBorders>
          </w:tcPr>
          <w:p w14:paraId="6CFA4F6D" w14:textId="77777777" w:rsidR="00E86446" w:rsidRDefault="00345E63">
            <w:pPr>
              <w:spacing w:line="231" w:lineRule="exact"/>
              <w:ind w:left="10" w:right="225"/>
              <w:jc w:val="center"/>
              <w:rPr>
                <w:rFonts w:eastAsia="Calibri"/>
                <w:lang w:val="en-GB" w:eastAsia="en-US"/>
              </w:rPr>
            </w:pPr>
            <w:r>
              <w:rPr>
                <w:rFonts w:eastAsia="Calibri"/>
                <w:lang w:val="en-GB" w:eastAsia="en-US"/>
              </w:rPr>
              <w:t>(-2,79,</w:t>
            </w:r>
            <w:r>
              <w:rPr>
                <w:rFonts w:eastAsia="Calibri"/>
                <w:spacing w:val="-3"/>
                <w:lang w:val="en-GB" w:eastAsia="en-US"/>
              </w:rPr>
              <w:t xml:space="preserve"> </w:t>
            </w:r>
            <w:r>
              <w:rPr>
                <w:rFonts w:eastAsia="Calibri"/>
                <w:lang w:val="en-GB" w:eastAsia="en-US"/>
              </w:rPr>
              <w:t>-</w:t>
            </w:r>
            <w:r>
              <w:rPr>
                <w:rFonts w:eastAsia="Calibri"/>
                <w:spacing w:val="-2"/>
                <w:lang w:val="en-GB" w:eastAsia="en-US"/>
              </w:rPr>
              <w:t>1,35)</w:t>
            </w:r>
          </w:p>
        </w:tc>
        <w:tc>
          <w:tcPr>
            <w:tcW w:w="2731" w:type="dxa"/>
            <w:tcBorders>
              <w:bottom w:val="single" w:sz="12" w:space="0" w:color="000000"/>
            </w:tcBorders>
          </w:tcPr>
          <w:p w14:paraId="59C5FBB0" w14:textId="77777777" w:rsidR="00E86446" w:rsidRDefault="00E86446">
            <w:pPr>
              <w:rPr>
                <w:rFonts w:eastAsia="Calibri"/>
                <w:lang w:val="en-GB" w:eastAsia="en-US"/>
              </w:rPr>
            </w:pPr>
          </w:p>
        </w:tc>
      </w:tr>
    </w:tbl>
    <w:p w14:paraId="36A16BF7" w14:textId="7881996F" w:rsidR="00E86446" w:rsidRPr="0073443F" w:rsidRDefault="00345E63">
      <w:pPr>
        <w:widowControl w:val="0"/>
        <w:tabs>
          <w:tab w:val="left" w:pos="567"/>
        </w:tabs>
        <w:ind w:left="567" w:hanging="567"/>
        <w:outlineLvl w:val="2"/>
        <w:rPr>
          <w:rFonts w:eastAsia="TimesNewRoman"/>
          <w:sz w:val="18"/>
          <w:szCs w:val="18"/>
          <w:lang w:eastAsia="en-US"/>
        </w:rPr>
      </w:pPr>
      <w:r w:rsidRPr="0073443F">
        <w:rPr>
          <w:rFonts w:eastAsia="TimesNewRoman"/>
          <w:sz w:val="18"/>
          <w:szCs w:val="18"/>
          <w:vertAlign w:val="superscript"/>
          <w:lang w:eastAsia="en-US"/>
        </w:rPr>
        <w:t>1</w:t>
      </w:r>
      <w:r w:rsidRPr="0073443F">
        <w:rPr>
          <w:rFonts w:eastAsia="TimesNewRoman"/>
          <w:sz w:val="18"/>
          <w:szCs w:val="18"/>
          <w:lang w:eastAsia="en-US"/>
        </w:rPr>
        <w:t xml:space="preserve"> Metforminas (greito arba pailginto atpalaidavimo formos) ≥ 1500 mg per parą ir didžiausia toleruojama </w:t>
      </w:r>
      <w:proofErr w:type="spellStart"/>
      <w:r w:rsidRPr="0073443F">
        <w:rPr>
          <w:rFonts w:eastAsia="TimesNewRoman"/>
          <w:sz w:val="18"/>
          <w:szCs w:val="18"/>
          <w:lang w:eastAsia="en-US"/>
        </w:rPr>
        <w:t>sulfonilkarbamido</w:t>
      </w:r>
      <w:proofErr w:type="spellEnd"/>
      <w:r w:rsidR="00D2624C">
        <w:rPr>
          <w:rFonts w:eastAsia="TimesNewRoman"/>
          <w:sz w:val="18"/>
          <w:szCs w:val="18"/>
          <w:lang w:eastAsia="en-US"/>
        </w:rPr>
        <w:t xml:space="preserve"> darinio</w:t>
      </w:r>
      <w:r w:rsidRPr="0073443F">
        <w:rPr>
          <w:rFonts w:eastAsia="TimesNewRoman"/>
          <w:sz w:val="18"/>
          <w:szCs w:val="18"/>
          <w:lang w:eastAsia="en-US"/>
        </w:rPr>
        <w:t xml:space="preserve"> dozė, ne mažesnė už pusę maksimalios, bent 8 savaites iki įtraukimo į tyrimą.</w:t>
      </w:r>
    </w:p>
    <w:p w14:paraId="69B7BC1E" w14:textId="77777777" w:rsidR="00E86446" w:rsidRPr="0073443F" w:rsidRDefault="00345E63">
      <w:pPr>
        <w:widowControl w:val="0"/>
        <w:tabs>
          <w:tab w:val="left" w:pos="567"/>
        </w:tabs>
        <w:ind w:left="567" w:hanging="567"/>
        <w:outlineLvl w:val="2"/>
        <w:rPr>
          <w:rFonts w:eastAsia="TimesNewRoman"/>
          <w:sz w:val="18"/>
          <w:szCs w:val="18"/>
          <w:lang w:eastAsia="en-US"/>
        </w:rPr>
      </w:pPr>
      <w:r w:rsidRPr="0073443F">
        <w:rPr>
          <w:rFonts w:eastAsia="TimesNewRoman"/>
          <w:sz w:val="18"/>
          <w:szCs w:val="18"/>
          <w:vertAlign w:val="superscript"/>
          <w:lang w:eastAsia="en-US"/>
        </w:rPr>
        <w:t>a</w:t>
      </w:r>
      <w:r w:rsidRPr="0073443F">
        <w:rPr>
          <w:rFonts w:eastAsia="TimesNewRoman"/>
          <w:sz w:val="18"/>
          <w:szCs w:val="18"/>
          <w:lang w:eastAsia="en-US"/>
        </w:rPr>
        <w:t xml:space="preserve"> Atsitiktinai atrinkti ir gydyti asmenys, kuriems atliktas pradinis ir bent vienas vėlesnis veiksmingumo vertinimas.</w:t>
      </w:r>
    </w:p>
    <w:p w14:paraId="48B8BF7D" w14:textId="77777777" w:rsidR="00E86446" w:rsidRPr="0073443F" w:rsidRDefault="00345E63">
      <w:pPr>
        <w:widowControl w:val="0"/>
        <w:tabs>
          <w:tab w:val="left" w:pos="567"/>
        </w:tabs>
        <w:ind w:left="567" w:hanging="567"/>
        <w:outlineLvl w:val="2"/>
        <w:rPr>
          <w:rFonts w:eastAsia="TimesNewRoman"/>
          <w:sz w:val="18"/>
          <w:szCs w:val="18"/>
          <w:lang w:eastAsia="en-US"/>
        </w:rPr>
      </w:pPr>
      <w:r w:rsidRPr="0073443F">
        <w:rPr>
          <w:rFonts w:eastAsia="TimesNewRoman"/>
          <w:sz w:val="18"/>
          <w:szCs w:val="18"/>
          <w:vertAlign w:val="superscript"/>
          <w:lang w:eastAsia="en-US"/>
        </w:rPr>
        <w:t>b</w:t>
      </w:r>
      <w:r w:rsidRPr="0073443F">
        <w:rPr>
          <w:rFonts w:eastAsia="TimesNewRoman"/>
          <w:sz w:val="18"/>
          <w:szCs w:val="18"/>
          <w:lang w:eastAsia="en-US"/>
        </w:rPr>
        <w:t xml:space="preserve"> HbA1c koncentracija tirta atliekant LRM (angl. </w:t>
      </w:r>
      <w:proofErr w:type="spellStart"/>
      <w:r w:rsidRPr="0073443F">
        <w:rPr>
          <w:rFonts w:eastAsia="TimesNewRoman"/>
          <w:i/>
          <w:iCs/>
          <w:sz w:val="18"/>
          <w:szCs w:val="18"/>
          <w:lang w:eastAsia="en-US"/>
        </w:rPr>
        <w:t>Longitudinal</w:t>
      </w:r>
      <w:proofErr w:type="spellEnd"/>
      <w:r w:rsidRPr="0073443F">
        <w:rPr>
          <w:rFonts w:eastAsia="TimesNewRoman"/>
          <w:i/>
          <w:iCs/>
          <w:sz w:val="18"/>
          <w:szCs w:val="18"/>
          <w:lang w:eastAsia="en-US"/>
        </w:rPr>
        <w:t xml:space="preserve"> </w:t>
      </w:r>
      <w:proofErr w:type="spellStart"/>
      <w:r w:rsidRPr="0073443F">
        <w:rPr>
          <w:rFonts w:eastAsia="TimesNewRoman"/>
          <w:i/>
          <w:iCs/>
          <w:sz w:val="18"/>
          <w:szCs w:val="18"/>
          <w:lang w:eastAsia="en-US"/>
        </w:rPr>
        <w:t>repeated</w:t>
      </w:r>
      <w:proofErr w:type="spellEnd"/>
      <w:r w:rsidRPr="0073443F">
        <w:rPr>
          <w:rFonts w:eastAsia="TimesNewRoman"/>
          <w:i/>
          <w:iCs/>
          <w:sz w:val="18"/>
          <w:szCs w:val="18"/>
          <w:lang w:eastAsia="en-US"/>
        </w:rPr>
        <w:t xml:space="preserve"> </w:t>
      </w:r>
      <w:proofErr w:type="spellStart"/>
      <w:r w:rsidRPr="0073443F">
        <w:rPr>
          <w:rFonts w:eastAsia="TimesNewRoman"/>
          <w:i/>
          <w:iCs/>
          <w:sz w:val="18"/>
          <w:szCs w:val="18"/>
          <w:lang w:eastAsia="en-US"/>
        </w:rPr>
        <w:t>measures</w:t>
      </w:r>
      <w:proofErr w:type="spellEnd"/>
      <w:r w:rsidRPr="0073443F">
        <w:rPr>
          <w:rFonts w:eastAsia="TimesNewRoman"/>
          <w:i/>
          <w:iCs/>
          <w:sz w:val="18"/>
          <w:szCs w:val="18"/>
          <w:lang w:eastAsia="en-US"/>
        </w:rPr>
        <w:t xml:space="preserve"> </w:t>
      </w:r>
      <w:proofErr w:type="spellStart"/>
      <w:r w:rsidRPr="0073443F">
        <w:rPr>
          <w:rFonts w:eastAsia="TimesNewRoman"/>
          <w:i/>
          <w:iCs/>
          <w:sz w:val="18"/>
          <w:szCs w:val="18"/>
          <w:lang w:eastAsia="en-US"/>
        </w:rPr>
        <w:t>analysis</w:t>
      </w:r>
      <w:proofErr w:type="spellEnd"/>
      <w:r w:rsidRPr="0073443F">
        <w:rPr>
          <w:rFonts w:eastAsia="TimesNewRoman"/>
          <w:sz w:val="18"/>
          <w:szCs w:val="18"/>
          <w:lang w:eastAsia="en-US"/>
        </w:rPr>
        <w:t>) – kartotų matavimų duomenų analizę.</w:t>
      </w:r>
    </w:p>
    <w:p w14:paraId="7296EA29" w14:textId="77777777" w:rsidR="00E86446" w:rsidRPr="0073443F" w:rsidRDefault="00345E63">
      <w:pPr>
        <w:widowControl w:val="0"/>
        <w:tabs>
          <w:tab w:val="left" w:pos="567"/>
        </w:tabs>
        <w:ind w:left="567" w:hanging="567"/>
        <w:outlineLvl w:val="2"/>
        <w:rPr>
          <w:rFonts w:eastAsia="TimesNewRoman"/>
          <w:sz w:val="18"/>
          <w:szCs w:val="18"/>
          <w:lang w:eastAsia="en-US"/>
        </w:rPr>
      </w:pPr>
      <w:r w:rsidRPr="0073443F">
        <w:rPr>
          <w:rFonts w:eastAsia="TimesNewRoman"/>
          <w:sz w:val="18"/>
          <w:szCs w:val="18"/>
          <w:vertAlign w:val="superscript"/>
          <w:lang w:eastAsia="en-US"/>
        </w:rPr>
        <w:t>c</w:t>
      </w:r>
      <w:r w:rsidRPr="0073443F">
        <w:rPr>
          <w:rFonts w:eastAsia="TimesNewRoman"/>
          <w:sz w:val="18"/>
          <w:szCs w:val="18"/>
          <w:lang w:eastAsia="en-US"/>
        </w:rPr>
        <w:t xml:space="preserve"> Mažiausių kvadratų metodu apskaičiuotas vidurkis, koreguotas pagal pradinį dydį.</w:t>
      </w:r>
    </w:p>
    <w:p w14:paraId="22A2193D" w14:textId="0DEC3FBD" w:rsidR="00E86446" w:rsidRPr="0073443F" w:rsidRDefault="00345E63">
      <w:pPr>
        <w:widowControl w:val="0"/>
        <w:tabs>
          <w:tab w:val="left" w:pos="567"/>
        </w:tabs>
        <w:ind w:left="567" w:hanging="567"/>
        <w:outlineLvl w:val="2"/>
        <w:rPr>
          <w:rFonts w:eastAsia="TimesNewRoman"/>
          <w:sz w:val="18"/>
          <w:szCs w:val="18"/>
          <w:lang w:eastAsia="en-US"/>
        </w:rPr>
      </w:pPr>
      <w:r w:rsidRPr="0073443F">
        <w:rPr>
          <w:rFonts w:eastAsia="TimesNewRoman"/>
          <w:sz w:val="18"/>
          <w:szCs w:val="18"/>
          <w:vertAlign w:val="superscript"/>
          <w:lang w:eastAsia="en-US"/>
        </w:rPr>
        <w:t>*</w:t>
      </w:r>
      <w:r w:rsidRPr="0073443F">
        <w:rPr>
          <w:rFonts w:eastAsia="TimesNewRoman"/>
          <w:sz w:val="18"/>
          <w:szCs w:val="18"/>
          <w:lang w:eastAsia="en-US"/>
        </w:rPr>
        <w:t xml:space="preserve"> p</w:t>
      </w:r>
      <w:r w:rsidR="00C52383">
        <w:rPr>
          <w:rFonts w:eastAsia="TimesNewRoman"/>
          <w:sz w:val="18"/>
          <w:szCs w:val="18"/>
          <w:lang w:eastAsia="en-US"/>
        </w:rPr>
        <w:t> </w:t>
      </w:r>
      <w:r w:rsidRPr="0073443F">
        <w:rPr>
          <w:rFonts w:eastAsia="TimesNewRoman"/>
          <w:sz w:val="18"/>
          <w:szCs w:val="18"/>
          <w:lang w:eastAsia="en-US"/>
        </w:rPr>
        <w:t>&lt; 0,0001 palyginus su placebo ir geriamojo gliukozės koncentraciją mažinančio vaistinio preparato ar preparatų deriniu.</w:t>
      </w:r>
    </w:p>
    <w:p w14:paraId="3FAEF3D4" w14:textId="77777777" w:rsidR="00E86446" w:rsidRDefault="00E86446">
      <w:pPr>
        <w:widowControl w:val="0"/>
        <w:tabs>
          <w:tab w:val="left" w:pos="567"/>
        </w:tabs>
        <w:ind w:left="567" w:hanging="567"/>
        <w:outlineLvl w:val="2"/>
        <w:rPr>
          <w:rFonts w:eastAsia="TimesNewRoman"/>
          <w:sz w:val="22"/>
          <w:szCs w:val="22"/>
          <w:lang w:eastAsia="en-US"/>
        </w:rPr>
      </w:pPr>
    </w:p>
    <w:p w14:paraId="35CCEE79" w14:textId="77777777" w:rsidR="00E86446" w:rsidRDefault="00345E63">
      <w:pPr>
        <w:widowControl w:val="0"/>
        <w:tabs>
          <w:tab w:val="left" w:pos="567"/>
        </w:tabs>
        <w:ind w:left="567" w:hanging="567"/>
        <w:outlineLvl w:val="2"/>
        <w:rPr>
          <w:rFonts w:eastAsia="TimesNewRoman"/>
          <w:b/>
          <w:bCs/>
          <w:sz w:val="22"/>
          <w:szCs w:val="22"/>
          <w:lang w:eastAsia="en-US"/>
        </w:rPr>
      </w:pPr>
      <w:r>
        <w:rPr>
          <w:rFonts w:eastAsia="TimesNewRoman"/>
          <w:b/>
          <w:bCs/>
          <w:sz w:val="22"/>
          <w:szCs w:val="22"/>
          <w:lang w:eastAsia="en-US"/>
        </w:rPr>
        <w:t xml:space="preserve">6 lentelė. Placebu kontroliuojamo dapagliflozino derinio su insulinu (vieno arba kartu su geriamaisiais gliukozės koncentraciją mažinančiais vaistiniais preparatais, įskaitant </w:t>
      </w:r>
      <w:proofErr w:type="spellStart"/>
      <w:r>
        <w:rPr>
          <w:rFonts w:eastAsia="TimesNewRoman"/>
          <w:b/>
          <w:bCs/>
          <w:sz w:val="22"/>
          <w:szCs w:val="22"/>
          <w:lang w:eastAsia="en-US"/>
        </w:rPr>
        <w:t>metforminą</w:t>
      </w:r>
      <w:proofErr w:type="spellEnd"/>
      <w:r>
        <w:rPr>
          <w:rFonts w:eastAsia="TimesNewRoman"/>
          <w:b/>
          <w:bCs/>
          <w:sz w:val="22"/>
          <w:szCs w:val="22"/>
          <w:lang w:eastAsia="en-US"/>
        </w:rPr>
        <w:t>) tyrimo duomenys po 24 savaičių (</w:t>
      </w:r>
      <w:proofErr w:type="spellStart"/>
      <w:r>
        <w:rPr>
          <w:rFonts w:eastAsia="TimesNewRoman"/>
          <w:b/>
          <w:bCs/>
          <w:sz w:val="22"/>
          <w:szCs w:val="22"/>
          <w:lang w:eastAsia="en-US"/>
        </w:rPr>
        <w:t>LOCF</w:t>
      </w:r>
      <w:r>
        <w:rPr>
          <w:rFonts w:eastAsia="TimesNewRoman"/>
          <w:b/>
          <w:bCs/>
          <w:sz w:val="22"/>
          <w:szCs w:val="22"/>
          <w:vertAlign w:val="superscript"/>
          <w:lang w:eastAsia="en-US"/>
        </w:rPr>
        <w:t>a</w:t>
      </w:r>
      <w:proofErr w:type="spellEnd"/>
      <w:r>
        <w:rPr>
          <w:rFonts w:eastAsia="TimesNewRoman"/>
          <w:b/>
          <w:bCs/>
          <w:sz w:val="22"/>
          <w:szCs w:val="22"/>
          <w:lang w:eastAsia="en-US"/>
        </w:rPr>
        <w:t>)</w:t>
      </w:r>
    </w:p>
    <w:p w14:paraId="11E5655C" w14:textId="77777777" w:rsidR="00E86446" w:rsidRDefault="00E86446">
      <w:pPr>
        <w:widowControl w:val="0"/>
        <w:tabs>
          <w:tab w:val="left" w:pos="567"/>
        </w:tabs>
        <w:ind w:left="567" w:hanging="567"/>
        <w:outlineLvl w:val="2"/>
        <w:rPr>
          <w:rFonts w:eastAsia="TimesNewRoman"/>
          <w:sz w:val="22"/>
          <w:szCs w:val="22"/>
          <w:lang w:eastAsia="en-US"/>
        </w:rPr>
      </w:pPr>
    </w:p>
    <w:tbl>
      <w:tblPr>
        <w:tblStyle w:val="TableNormal1"/>
        <w:tblW w:w="9043" w:type="dxa"/>
        <w:tblInd w:w="-142" w:type="dxa"/>
        <w:tblLayout w:type="fixed"/>
        <w:tblLook w:val="01E0" w:firstRow="1" w:lastRow="1" w:firstColumn="1" w:lastColumn="1" w:noHBand="0" w:noVBand="0"/>
      </w:tblPr>
      <w:tblGrid>
        <w:gridCol w:w="3624"/>
        <w:gridCol w:w="2703"/>
        <w:gridCol w:w="2716"/>
      </w:tblGrid>
      <w:tr w:rsidR="00E86446" w14:paraId="2E2C7CA6" w14:textId="77777777">
        <w:trPr>
          <w:trHeight w:val="249"/>
        </w:trPr>
        <w:tc>
          <w:tcPr>
            <w:tcW w:w="3624" w:type="dxa"/>
            <w:tcBorders>
              <w:top w:val="single" w:sz="4" w:space="0" w:color="auto"/>
              <w:bottom w:val="single" w:sz="4" w:space="0" w:color="auto"/>
            </w:tcBorders>
          </w:tcPr>
          <w:p w14:paraId="286E4640" w14:textId="77777777" w:rsidR="00E86446" w:rsidRDefault="00345E63">
            <w:pPr>
              <w:spacing w:before="1" w:line="249" w:lineRule="exact"/>
              <w:ind w:firstLine="142"/>
              <w:rPr>
                <w:rFonts w:eastAsia="Calibri"/>
                <w:b/>
                <w:sz w:val="24"/>
                <w:lang w:val="en-GB" w:eastAsia="en-US"/>
              </w:rPr>
            </w:pPr>
            <w:proofErr w:type="spellStart"/>
            <w:r>
              <w:rPr>
                <w:rFonts w:eastAsia="Calibri"/>
                <w:b/>
                <w:spacing w:val="-2"/>
                <w:lang w:val="en-GB" w:eastAsia="en-US"/>
              </w:rPr>
              <w:t>Rodiklis</w:t>
            </w:r>
            <w:proofErr w:type="spellEnd"/>
          </w:p>
          <w:p w14:paraId="2989D833" w14:textId="77777777" w:rsidR="00E86446" w:rsidRDefault="00E86446">
            <w:pPr>
              <w:spacing w:line="230" w:lineRule="exact"/>
              <w:ind w:left="110"/>
              <w:rPr>
                <w:rFonts w:eastAsia="Calibri"/>
                <w:b/>
                <w:lang w:val="en-GB" w:eastAsia="en-US"/>
              </w:rPr>
            </w:pPr>
          </w:p>
        </w:tc>
        <w:tc>
          <w:tcPr>
            <w:tcW w:w="2703" w:type="dxa"/>
            <w:tcBorders>
              <w:top w:val="single" w:sz="4" w:space="0" w:color="auto"/>
              <w:bottom w:val="single" w:sz="4" w:space="0" w:color="auto"/>
            </w:tcBorders>
          </w:tcPr>
          <w:p w14:paraId="2837D2ED" w14:textId="77777777" w:rsidR="00E86446" w:rsidRPr="0073443F" w:rsidRDefault="00345E63">
            <w:pPr>
              <w:spacing w:before="28"/>
              <w:ind w:left="296" w:right="18"/>
              <w:jc w:val="center"/>
              <w:rPr>
                <w:rFonts w:eastAsia="Calibri"/>
                <w:b/>
                <w:sz w:val="24"/>
                <w:lang w:val="pt-PT" w:eastAsia="en-US"/>
              </w:rPr>
            </w:pPr>
            <w:r w:rsidRPr="0073443F">
              <w:rPr>
                <w:rFonts w:eastAsia="Calibri"/>
                <w:b/>
                <w:lang w:val="pt-PT" w:eastAsia="en-US"/>
              </w:rPr>
              <w:t>Dapagliflozinas</w:t>
            </w:r>
            <w:r w:rsidRPr="0073443F">
              <w:rPr>
                <w:rFonts w:eastAsia="Calibri"/>
                <w:b/>
                <w:spacing w:val="-8"/>
                <w:lang w:val="pt-PT" w:eastAsia="en-US"/>
              </w:rPr>
              <w:t xml:space="preserve"> </w:t>
            </w:r>
            <w:r w:rsidRPr="0073443F">
              <w:rPr>
                <w:rFonts w:eastAsia="Calibri"/>
                <w:b/>
                <w:lang w:val="pt-PT" w:eastAsia="en-US"/>
              </w:rPr>
              <w:t>10</w:t>
            </w:r>
            <w:r w:rsidRPr="0073443F">
              <w:rPr>
                <w:rFonts w:eastAsia="Calibri"/>
                <w:b/>
                <w:bCs/>
                <w:lang w:val="pt-PT" w:eastAsia="en-US"/>
              </w:rPr>
              <w:t> </w:t>
            </w:r>
            <w:r w:rsidRPr="0073443F">
              <w:rPr>
                <w:rFonts w:eastAsia="Calibri"/>
                <w:b/>
                <w:spacing w:val="-5"/>
                <w:lang w:val="pt-PT" w:eastAsia="en-US"/>
              </w:rPr>
              <w:t>mg</w:t>
            </w:r>
          </w:p>
          <w:p w14:paraId="00A3A2FF" w14:textId="77777777" w:rsidR="00E86446" w:rsidRPr="0073443F" w:rsidRDefault="00345E63">
            <w:pPr>
              <w:spacing w:before="2"/>
              <w:ind w:left="296"/>
              <w:jc w:val="center"/>
              <w:rPr>
                <w:rFonts w:eastAsia="Calibri"/>
                <w:b/>
                <w:sz w:val="24"/>
                <w:lang w:val="pt-PT" w:eastAsia="en-US"/>
              </w:rPr>
            </w:pPr>
            <w:r w:rsidRPr="0073443F">
              <w:rPr>
                <w:rFonts w:eastAsia="Calibri"/>
                <w:b/>
                <w:lang w:val="pt-PT" w:eastAsia="en-US"/>
              </w:rPr>
              <w:t>+</w:t>
            </w:r>
            <w:r w:rsidRPr="0073443F">
              <w:rPr>
                <w:rFonts w:eastAsia="Calibri"/>
                <w:b/>
                <w:spacing w:val="1"/>
                <w:lang w:val="pt-PT" w:eastAsia="en-US"/>
              </w:rPr>
              <w:t xml:space="preserve"> </w:t>
            </w:r>
            <w:r w:rsidRPr="0073443F">
              <w:rPr>
                <w:rFonts w:eastAsia="Calibri"/>
                <w:b/>
                <w:spacing w:val="-2"/>
                <w:lang w:val="pt-PT" w:eastAsia="en-US"/>
              </w:rPr>
              <w:t>insulinas</w:t>
            </w:r>
          </w:p>
          <w:p w14:paraId="20B0BC66" w14:textId="77777777" w:rsidR="00E86446" w:rsidRPr="0073443F" w:rsidRDefault="00345E63">
            <w:pPr>
              <w:ind w:left="109"/>
              <w:jc w:val="center"/>
              <w:rPr>
                <w:rFonts w:eastAsia="Calibri"/>
                <w:lang w:val="pt-PT" w:eastAsia="en-US"/>
              </w:rPr>
            </w:pPr>
            <w:r w:rsidRPr="0073443F">
              <w:rPr>
                <w:rFonts w:eastAsia="Calibri"/>
                <w:b/>
                <w:lang w:val="pt-PT" w:eastAsia="en-US"/>
              </w:rPr>
              <w:t>±</w:t>
            </w:r>
            <w:r w:rsidRPr="0073443F">
              <w:rPr>
                <w:rFonts w:eastAsia="Calibri"/>
                <w:b/>
                <w:spacing w:val="-14"/>
                <w:lang w:val="pt-PT" w:eastAsia="en-US"/>
              </w:rPr>
              <w:t xml:space="preserve"> </w:t>
            </w:r>
            <w:r w:rsidRPr="0073443F">
              <w:rPr>
                <w:rFonts w:eastAsia="Calibri"/>
                <w:b/>
                <w:lang w:val="pt-PT" w:eastAsia="en-US"/>
              </w:rPr>
              <w:t>geriamieji gliukozės koncentraciją mažinantys vaistai</w:t>
            </w:r>
            <w:r w:rsidRPr="0073443F">
              <w:rPr>
                <w:rFonts w:eastAsia="Calibri"/>
                <w:vertAlign w:val="superscript"/>
                <w:lang w:val="pt-PT" w:eastAsia="en-US"/>
              </w:rPr>
              <w:t>2</w:t>
            </w:r>
          </w:p>
        </w:tc>
        <w:tc>
          <w:tcPr>
            <w:tcW w:w="2716" w:type="dxa"/>
            <w:tcBorders>
              <w:top w:val="single" w:sz="4" w:space="0" w:color="auto"/>
              <w:bottom w:val="single" w:sz="4" w:space="0" w:color="auto"/>
            </w:tcBorders>
          </w:tcPr>
          <w:p w14:paraId="37384B88" w14:textId="77777777" w:rsidR="00E86446" w:rsidRPr="0073443F" w:rsidRDefault="00345E63">
            <w:pPr>
              <w:spacing w:before="28"/>
              <w:ind w:left="103" w:right="223"/>
              <w:jc w:val="center"/>
              <w:rPr>
                <w:rFonts w:eastAsia="Calibri"/>
                <w:b/>
                <w:sz w:val="24"/>
                <w:lang w:val="pt-PT" w:eastAsia="en-US"/>
              </w:rPr>
            </w:pPr>
            <w:r w:rsidRPr="0073443F">
              <w:rPr>
                <w:rFonts w:eastAsia="Calibri"/>
                <w:b/>
                <w:spacing w:val="-2"/>
                <w:lang w:val="pt-PT" w:eastAsia="en-US"/>
              </w:rPr>
              <w:t>Placebas</w:t>
            </w:r>
          </w:p>
          <w:p w14:paraId="05B66169" w14:textId="77777777" w:rsidR="00E86446" w:rsidRPr="0073443F" w:rsidRDefault="00345E63">
            <w:pPr>
              <w:spacing w:before="2"/>
              <w:ind w:left="103" w:right="223"/>
              <w:jc w:val="center"/>
              <w:rPr>
                <w:rFonts w:eastAsia="Calibri"/>
                <w:b/>
                <w:sz w:val="24"/>
                <w:lang w:val="pt-PT" w:eastAsia="en-US"/>
              </w:rPr>
            </w:pPr>
            <w:r w:rsidRPr="0073443F">
              <w:rPr>
                <w:rFonts w:eastAsia="Calibri"/>
                <w:b/>
                <w:lang w:val="pt-PT" w:eastAsia="en-US"/>
              </w:rPr>
              <w:t>+</w:t>
            </w:r>
            <w:r w:rsidRPr="0073443F">
              <w:rPr>
                <w:rFonts w:eastAsia="Calibri"/>
                <w:b/>
                <w:spacing w:val="1"/>
                <w:lang w:val="pt-PT" w:eastAsia="en-US"/>
              </w:rPr>
              <w:t xml:space="preserve"> </w:t>
            </w:r>
            <w:r w:rsidRPr="0073443F">
              <w:rPr>
                <w:rFonts w:eastAsia="Calibri"/>
                <w:b/>
                <w:spacing w:val="-2"/>
                <w:lang w:val="pt-PT" w:eastAsia="en-US"/>
              </w:rPr>
              <w:t>insulinas</w:t>
            </w:r>
          </w:p>
          <w:p w14:paraId="40C3AF65" w14:textId="77777777" w:rsidR="00E86446" w:rsidRPr="0073443F" w:rsidRDefault="00345E63">
            <w:pPr>
              <w:ind w:left="103"/>
              <w:jc w:val="center"/>
              <w:rPr>
                <w:rFonts w:eastAsia="Calibri"/>
                <w:lang w:val="pt-PT" w:eastAsia="en-US"/>
              </w:rPr>
            </w:pPr>
            <w:r w:rsidRPr="0073443F">
              <w:rPr>
                <w:rFonts w:eastAsia="Calibri"/>
                <w:b/>
                <w:lang w:val="pt-PT" w:eastAsia="en-US"/>
              </w:rPr>
              <w:t>±</w:t>
            </w:r>
            <w:r w:rsidRPr="0073443F">
              <w:rPr>
                <w:rFonts w:eastAsia="Calibri"/>
                <w:b/>
                <w:spacing w:val="-14"/>
                <w:lang w:val="pt-PT" w:eastAsia="en-US"/>
              </w:rPr>
              <w:t xml:space="preserve"> </w:t>
            </w:r>
            <w:r w:rsidRPr="0073443F">
              <w:rPr>
                <w:rFonts w:eastAsia="Calibri"/>
                <w:b/>
                <w:lang w:val="pt-PT" w:eastAsia="en-US"/>
              </w:rPr>
              <w:t>geriamieji gliukozės koncentraciją mažinantys vaistai</w:t>
            </w:r>
            <w:r w:rsidRPr="0073443F">
              <w:rPr>
                <w:rFonts w:eastAsia="Calibri"/>
                <w:b/>
                <w:vertAlign w:val="superscript"/>
                <w:lang w:val="pt-PT" w:eastAsia="en-US"/>
              </w:rPr>
              <w:t>2</w:t>
            </w:r>
          </w:p>
        </w:tc>
      </w:tr>
      <w:tr w:rsidR="00E86446" w14:paraId="2F24139D" w14:textId="77777777">
        <w:trPr>
          <w:trHeight w:val="249"/>
        </w:trPr>
        <w:tc>
          <w:tcPr>
            <w:tcW w:w="3624" w:type="dxa"/>
            <w:tcBorders>
              <w:top w:val="single" w:sz="4" w:space="0" w:color="auto"/>
              <w:bottom w:val="single" w:sz="4" w:space="0" w:color="auto"/>
            </w:tcBorders>
          </w:tcPr>
          <w:p w14:paraId="7BB6C6AA" w14:textId="77777777" w:rsidR="00E86446" w:rsidRDefault="00345E63">
            <w:pPr>
              <w:spacing w:line="230" w:lineRule="exact"/>
              <w:ind w:left="110"/>
              <w:rPr>
                <w:rFonts w:eastAsia="Calibri"/>
                <w:b/>
                <w:lang w:val="en-GB" w:eastAsia="en-US"/>
              </w:rPr>
            </w:pPr>
            <w:r>
              <w:rPr>
                <w:rFonts w:eastAsia="Calibri"/>
                <w:b/>
                <w:spacing w:val="-5"/>
                <w:lang w:val="en-GB" w:eastAsia="en-US"/>
              </w:rPr>
              <w:t>N</w:t>
            </w:r>
            <w:r>
              <w:rPr>
                <w:rFonts w:eastAsia="Calibri"/>
                <w:spacing w:val="-5"/>
                <w:vertAlign w:val="superscript"/>
                <w:lang w:val="en-GB" w:eastAsia="en-US"/>
              </w:rPr>
              <w:t>b</w:t>
            </w:r>
          </w:p>
        </w:tc>
        <w:tc>
          <w:tcPr>
            <w:tcW w:w="2703" w:type="dxa"/>
            <w:tcBorders>
              <w:top w:val="single" w:sz="4" w:space="0" w:color="auto"/>
              <w:bottom w:val="single" w:sz="4" w:space="0" w:color="auto"/>
            </w:tcBorders>
          </w:tcPr>
          <w:p w14:paraId="2DF06A36" w14:textId="77777777" w:rsidR="00E86446" w:rsidRDefault="00345E63">
            <w:pPr>
              <w:ind w:left="64"/>
              <w:jc w:val="center"/>
              <w:rPr>
                <w:rFonts w:eastAsia="Calibri"/>
                <w:lang w:val="en-GB" w:eastAsia="en-US"/>
              </w:rPr>
            </w:pPr>
            <w:r>
              <w:rPr>
                <w:rFonts w:eastAsia="Calibri"/>
                <w:spacing w:val="-5"/>
                <w:lang w:val="en-GB" w:eastAsia="en-US"/>
              </w:rPr>
              <w:t>194</w:t>
            </w:r>
          </w:p>
        </w:tc>
        <w:tc>
          <w:tcPr>
            <w:tcW w:w="2716" w:type="dxa"/>
            <w:tcBorders>
              <w:top w:val="single" w:sz="4" w:space="0" w:color="auto"/>
              <w:bottom w:val="single" w:sz="4" w:space="0" w:color="auto"/>
            </w:tcBorders>
          </w:tcPr>
          <w:p w14:paraId="7B27563B" w14:textId="77777777" w:rsidR="00E86446" w:rsidRDefault="00345E63">
            <w:pPr>
              <w:ind w:left="47"/>
              <w:jc w:val="center"/>
              <w:rPr>
                <w:rFonts w:eastAsia="Calibri"/>
                <w:lang w:val="en-GB" w:eastAsia="en-US"/>
              </w:rPr>
            </w:pPr>
            <w:r>
              <w:rPr>
                <w:rFonts w:eastAsia="Calibri"/>
                <w:spacing w:val="-5"/>
                <w:lang w:val="en-GB" w:eastAsia="en-US"/>
              </w:rPr>
              <w:t>193</w:t>
            </w:r>
          </w:p>
        </w:tc>
      </w:tr>
      <w:tr w:rsidR="00E86446" w14:paraId="3C67D6CF" w14:textId="77777777">
        <w:trPr>
          <w:trHeight w:val="249"/>
        </w:trPr>
        <w:tc>
          <w:tcPr>
            <w:tcW w:w="3624" w:type="dxa"/>
            <w:tcBorders>
              <w:top w:val="single" w:sz="4" w:space="0" w:color="auto"/>
            </w:tcBorders>
          </w:tcPr>
          <w:p w14:paraId="16114362" w14:textId="77777777" w:rsidR="00E86446" w:rsidRDefault="00345E63">
            <w:pPr>
              <w:spacing w:line="230" w:lineRule="exact"/>
              <w:ind w:left="110"/>
              <w:rPr>
                <w:rFonts w:ascii="Calibri" w:eastAsia="Calibri" w:hAnsi="Calibri"/>
                <w:b/>
                <w:lang w:val="en-GB" w:eastAsia="en-US"/>
              </w:rPr>
            </w:pPr>
            <w:bookmarkStart w:id="2" w:name="_Hlk164424220"/>
            <w:bookmarkStart w:id="3" w:name="_Hlk164424314"/>
            <w:r>
              <w:rPr>
                <w:rFonts w:eastAsia="Calibri"/>
                <w:b/>
                <w:lang w:val="en-GB" w:eastAsia="en-US"/>
              </w:rPr>
              <w:t>HbA1c</w:t>
            </w:r>
            <w:r>
              <w:rPr>
                <w:rFonts w:eastAsia="Calibri"/>
                <w:b/>
                <w:spacing w:val="-11"/>
                <w:lang w:val="en-GB" w:eastAsia="en-US"/>
              </w:rPr>
              <w:t xml:space="preserve"> </w:t>
            </w:r>
            <w:proofErr w:type="spellStart"/>
            <w:r>
              <w:rPr>
                <w:rFonts w:eastAsia="Calibri"/>
                <w:b/>
                <w:spacing w:val="-11"/>
                <w:lang w:val="en-GB" w:eastAsia="en-US"/>
              </w:rPr>
              <w:t>koncentracija</w:t>
            </w:r>
            <w:proofErr w:type="spellEnd"/>
            <w:r>
              <w:rPr>
                <w:rFonts w:eastAsia="Calibri"/>
                <w:b/>
                <w:spacing w:val="-11"/>
                <w:lang w:val="en-GB" w:eastAsia="en-US"/>
              </w:rPr>
              <w:t xml:space="preserve"> </w:t>
            </w:r>
            <w:r>
              <w:rPr>
                <w:rFonts w:eastAsia="Calibri"/>
                <w:b/>
                <w:spacing w:val="-5"/>
                <w:lang w:val="en-GB" w:eastAsia="en-US"/>
              </w:rPr>
              <w:t>(%)</w:t>
            </w:r>
          </w:p>
        </w:tc>
        <w:tc>
          <w:tcPr>
            <w:tcW w:w="2703" w:type="dxa"/>
            <w:tcBorders>
              <w:top w:val="single" w:sz="4" w:space="0" w:color="auto"/>
            </w:tcBorders>
          </w:tcPr>
          <w:p w14:paraId="2F52B5CF" w14:textId="77777777" w:rsidR="00E86446" w:rsidRDefault="00E86446">
            <w:pPr>
              <w:rPr>
                <w:rFonts w:ascii="Calibri" w:eastAsia="Calibri" w:hAnsi="Calibri"/>
                <w:lang w:val="en-GB" w:eastAsia="en-US"/>
              </w:rPr>
            </w:pPr>
          </w:p>
        </w:tc>
        <w:tc>
          <w:tcPr>
            <w:tcW w:w="2716" w:type="dxa"/>
            <w:tcBorders>
              <w:top w:val="single" w:sz="4" w:space="0" w:color="auto"/>
            </w:tcBorders>
          </w:tcPr>
          <w:p w14:paraId="13158A50" w14:textId="77777777" w:rsidR="00E86446" w:rsidRDefault="00E86446">
            <w:pPr>
              <w:rPr>
                <w:rFonts w:ascii="Calibri" w:eastAsia="Calibri" w:hAnsi="Calibri"/>
                <w:lang w:val="en-GB" w:eastAsia="en-US"/>
              </w:rPr>
            </w:pPr>
          </w:p>
        </w:tc>
      </w:tr>
      <w:tr w:rsidR="00E86446" w14:paraId="36E26B23" w14:textId="77777777">
        <w:trPr>
          <w:trHeight w:val="237"/>
        </w:trPr>
        <w:tc>
          <w:tcPr>
            <w:tcW w:w="3624" w:type="dxa"/>
          </w:tcPr>
          <w:p w14:paraId="76A8A26E" w14:textId="77777777" w:rsidR="00E86446" w:rsidRDefault="00345E63">
            <w:pPr>
              <w:spacing w:line="218" w:lineRule="exact"/>
              <w:ind w:left="254"/>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703" w:type="dxa"/>
          </w:tcPr>
          <w:p w14:paraId="3E6C50FE" w14:textId="77777777" w:rsidR="00E86446" w:rsidRDefault="00345E63">
            <w:pPr>
              <w:spacing w:line="218" w:lineRule="exact"/>
              <w:ind w:left="2" w:right="518"/>
              <w:jc w:val="center"/>
              <w:rPr>
                <w:rFonts w:eastAsia="Calibri"/>
                <w:lang w:val="en-GB" w:eastAsia="en-US"/>
              </w:rPr>
            </w:pPr>
            <w:r>
              <w:rPr>
                <w:rFonts w:eastAsia="Calibri"/>
                <w:spacing w:val="-4"/>
                <w:lang w:val="en-GB" w:eastAsia="en-US"/>
              </w:rPr>
              <w:t>8,58</w:t>
            </w:r>
          </w:p>
        </w:tc>
        <w:tc>
          <w:tcPr>
            <w:tcW w:w="2716" w:type="dxa"/>
          </w:tcPr>
          <w:p w14:paraId="5C6C0400" w14:textId="77777777" w:rsidR="00E86446" w:rsidRDefault="00345E63">
            <w:pPr>
              <w:spacing w:line="218" w:lineRule="exact"/>
              <w:ind w:left="1079"/>
              <w:rPr>
                <w:rFonts w:eastAsia="Calibri"/>
                <w:lang w:val="en-GB" w:eastAsia="en-US"/>
              </w:rPr>
            </w:pPr>
            <w:r>
              <w:rPr>
                <w:rFonts w:eastAsia="Calibri"/>
                <w:spacing w:val="-4"/>
                <w:lang w:val="en-GB" w:eastAsia="en-US"/>
              </w:rPr>
              <w:t>8,46</w:t>
            </w:r>
          </w:p>
        </w:tc>
      </w:tr>
      <w:tr w:rsidR="00E86446" w14:paraId="28958E61" w14:textId="77777777">
        <w:trPr>
          <w:trHeight w:val="515"/>
        </w:trPr>
        <w:tc>
          <w:tcPr>
            <w:tcW w:w="3624" w:type="dxa"/>
          </w:tcPr>
          <w:p w14:paraId="2734F036" w14:textId="77777777" w:rsidR="00E86446" w:rsidRPr="0073443F" w:rsidRDefault="00345E63">
            <w:pPr>
              <w:spacing w:line="250" w:lineRule="atLeast"/>
              <w:ind w:left="254" w:right="457"/>
              <w:rPr>
                <w:rFonts w:eastAsia="Calibri"/>
                <w:lang w:val="pt-PT" w:eastAsia="en-US"/>
              </w:rPr>
            </w:pPr>
            <w:r w:rsidRPr="0073443F">
              <w:rPr>
                <w:rFonts w:eastAsia="Calibri"/>
                <w:lang w:val="pt-PT" w:eastAsia="en-US"/>
              </w:rPr>
              <w:t>Pokytis palyginus su pradine</w:t>
            </w:r>
            <w:r w:rsidRPr="0073443F">
              <w:rPr>
                <w:rFonts w:eastAsia="Calibri"/>
                <w:vertAlign w:val="superscript"/>
                <w:lang w:val="pt-PT" w:eastAsia="en-US"/>
              </w:rPr>
              <w:t>c</w:t>
            </w:r>
            <w:r w:rsidRPr="0073443F">
              <w:rPr>
                <w:rFonts w:eastAsia="Calibri"/>
                <w:lang w:val="pt-PT" w:eastAsia="en-US"/>
              </w:rPr>
              <w:t xml:space="preserve"> </w:t>
            </w:r>
          </w:p>
          <w:p w14:paraId="34F020EF" w14:textId="77777777" w:rsidR="00E86446" w:rsidRPr="0073443F" w:rsidRDefault="00345E63">
            <w:pPr>
              <w:spacing w:line="250" w:lineRule="atLeast"/>
              <w:ind w:left="254" w:right="457"/>
              <w:rPr>
                <w:rFonts w:eastAsia="Calibri"/>
                <w:lang w:val="pt-PT" w:eastAsia="en-US"/>
              </w:rPr>
            </w:pPr>
            <w:r w:rsidRPr="0073443F">
              <w:rPr>
                <w:rFonts w:eastAsia="Calibri"/>
                <w:lang w:val="pt-PT" w:eastAsia="en-US"/>
              </w:rPr>
              <w:t>Skirtumas nuo placebo</w:t>
            </w:r>
            <w:r w:rsidRPr="0073443F">
              <w:rPr>
                <w:rFonts w:eastAsia="Calibri"/>
                <w:vertAlign w:val="superscript"/>
                <w:lang w:val="pt-PT" w:eastAsia="en-US"/>
              </w:rPr>
              <w:t>c</w:t>
            </w:r>
          </w:p>
        </w:tc>
        <w:tc>
          <w:tcPr>
            <w:tcW w:w="2703" w:type="dxa"/>
          </w:tcPr>
          <w:p w14:paraId="7B2C3814" w14:textId="77777777" w:rsidR="00E86446" w:rsidRDefault="00345E63">
            <w:pPr>
              <w:spacing w:before="3"/>
              <w:ind w:left="863"/>
              <w:rPr>
                <w:rFonts w:eastAsia="Calibri"/>
                <w:lang w:val="en-GB" w:eastAsia="en-US"/>
              </w:rPr>
            </w:pPr>
            <w:r>
              <w:rPr>
                <w:rFonts w:eastAsia="Calibri"/>
                <w:spacing w:val="-2"/>
                <w:lang w:val="en-GB" w:eastAsia="en-US"/>
              </w:rPr>
              <w:t>-</w:t>
            </w:r>
            <w:r>
              <w:rPr>
                <w:rFonts w:eastAsia="Calibri"/>
                <w:spacing w:val="-4"/>
                <w:lang w:val="en-GB" w:eastAsia="en-US"/>
              </w:rPr>
              <w:t>0,90</w:t>
            </w:r>
          </w:p>
          <w:p w14:paraId="6A704D80" w14:textId="77777777" w:rsidR="00E86446" w:rsidRDefault="00345E63">
            <w:pPr>
              <w:spacing w:before="1" w:line="238" w:lineRule="exact"/>
              <w:ind w:left="825"/>
              <w:rPr>
                <w:rFonts w:eastAsia="Calibri"/>
                <w:lang w:val="en-GB" w:eastAsia="en-US"/>
              </w:rPr>
            </w:pPr>
            <w:r>
              <w:rPr>
                <w:rFonts w:eastAsia="Calibri"/>
                <w:spacing w:val="-2"/>
                <w:lang w:val="en-GB" w:eastAsia="en-US"/>
              </w:rPr>
              <w:t>-0,60</w:t>
            </w:r>
            <w:r>
              <w:rPr>
                <w:rFonts w:eastAsia="Calibri"/>
                <w:spacing w:val="-2"/>
                <w:vertAlign w:val="superscript"/>
                <w:lang w:val="en-GB" w:eastAsia="en-US"/>
              </w:rPr>
              <w:t>*</w:t>
            </w:r>
          </w:p>
        </w:tc>
        <w:tc>
          <w:tcPr>
            <w:tcW w:w="2716" w:type="dxa"/>
          </w:tcPr>
          <w:p w14:paraId="715A199D" w14:textId="77777777" w:rsidR="00E86446" w:rsidRDefault="00345E63">
            <w:pPr>
              <w:spacing w:before="3"/>
              <w:ind w:left="1041"/>
              <w:rPr>
                <w:rFonts w:eastAsia="Calibri"/>
                <w:lang w:val="en-GB" w:eastAsia="en-US"/>
              </w:rPr>
            </w:pPr>
            <w:r>
              <w:rPr>
                <w:rFonts w:eastAsia="Calibri"/>
                <w:spacing w:val="-2"/>
                <w:lang w:val="en-GB" w:eastAsia="en-US"/>
              </w:rPr>
              <w:t>-</w:t>
            </w:r>
            <w:r>
              <w:rPr>
                <w:rFonts w:eastAsia="Calibri"/>
                <w:spacing w:val="-4"/>
                <w:lang w:val="en-GB" w:eastAsia="en-US"/>
              </w:rPr>
              <w:t>0,30</w:t>
            </w:r>
          </w:p>
        </w:tc>
      </w:tr>
      <w:tr w:rsidR="00E86446" w14:paraId="0ED264A5" w14:textId="77777777">
        <w:trPr>
          <w:trHeight w:val="254"/>
        </w:trPr>
        <w:tc>
          <w:tcPr>
            <w:tcW w:w="3624" w:type="dxa"/>
            <w:tcBorders>
              <w:bottom w:val="single" w:sz="4" w:space="0" w:color="000000"/>
            </w:tcBorders>
          </w:tcPr>
          <w:p w14:paraId="0C83D9E9" w14:textId="77777777" w:rsidR="00E86446" w:rsidRDefault="00345E63">
            <w:pPr>
              <w:spacing w:line="234" w:lineRule="exact"/>
              <w:ind w:left="479"/>
              <w:rPr>
                <w:rFonts w:eastAsia="Calibri"/>
                <w:lang w:val="en-GB" w:eastAsia="en-US"/>
              </w:rPr>
            </w:pPr>
            <w:r>
              <w:rPr>
                <w:rFonts w:eastAsia="Calibri"/>
                <w:lang w:val="en-GB" w:eastAsia="en-US"/>
              </w:rPr>
              <w:t>(95 %</w:t>
            </w:r>
            <w:r>
              <w:rPr>
                <w:rFonts w:eastAsia="Calibri"/>
                <w:spacing w:val="-6"/>
                <w:lang w:val="en-GB" w:eastAsia="en-US"/>
              </w:rPr>
              <w:t xml:space="preserve"> </w:t>
            </w:r>
            <w:r>
              <w:rPr>
                <w:rFonts w:eastAsia="Calibri"/>
                <w:spacing w:val="-5"/>
                <w:lang w:val="en-GB" w:eastAsia="en-US"/>
              </w:rPr>
              <w:t>PI)</w:t>
            </w:r>
          </w:p>
        </w:tc>
        <w:tc>
          <w:tcPr>
            <w:tcW w:w="2703" w:type="dxa"/>
            <w:tcBorders>
              <w:bottom w:val="single" w:sz="4" w:space="0" w:color="000000"/>
            </w:tcBorders>
          </w:tcPr>
          <w:p w14:paraId="394B7BBD" w14:textId="77777777" w:rsidR="00E86446" w:rsidRDefault="00345E63">
            <w:pPr>
              <w:spacing w:line="234" w:lineRule="exact"/>
              <w:ind w:left="2" w:right="518"/>
              <w:jc w:val="center"/>
              <w:rPr>
                <w:rFonts w:eastAsia="Calibri"/>
                <w:lang w:val="en-GB" w:eastAsia="en-US"/>
              </w:rPr>
            </w:pPr>
            <w:r>
              <w:rPr>
                <w:rFonts w:eastAsia="Calibri"/>
                <w:lang w:val="en-GB" w:eastAsia="en-US"/>
              </w:rPr>
              <w:t>(-0,74,</w:t>
            </w:r>
            <w:r>
              <w:rPr>
                <w:rFonts w:eastAsia="Calibri"/>
                <w:spacing w:val="-3"/>
                <w:lang w:val="en-GB" w:eastAsia="en-US"/>
              </w:rPr>
              <w:t xml:space="preserve"> </w:t>
            </w:r>
            <w:r>
              <w:rPr>
                <w:rFonts w:eastAsia="Calibri"/>
                <w:lang w:val="en-GB" w:eastAsia="en-US"/>
              </w:rPr>
              <w:t>-</w:t>
            </w:r>
            <w:r>
              <w:rPr>
                <w:rFonts w:eastAsia="Calibri"/>
                <w:spacing w:val="-2"/>
                <w:lang w:val="en-GB" w:eastAsia="en-US"/>
              </w:rPr>
              <w:t>0,45)</w:t>
            </w:r>
          </w:p>
        </w:tc>
        <w:tc>
          <w:tcPr>
            <w:tcW w:w="2716" w:type="dxa"/>
            <w:tcBorders>
              <w:bottom w:val="single" w:sz="4" w:space="0" w:color="000000"/>
            </w:tcBorders>
          </w:tcPr>
          <w:p w14:paraId="1FD6CF10" w14:textId="77777777" w:rsidR="00E86446" w:rsidRDefault="00E86446">
            <w:pPr>
              <w:rPr>
                <w:rFonts w:eastAsia="Calibri"/>
                <w:lang w:val="en-GB" w:eastAsia="en-US"/>
              </w:rPr>
            </w:pPr>
          </w:p>
        </w:tc>
      </w:tr>
      <w:tr w:rsidR="00E86446" w14:paraId="1431DE1C" w14:textId="77777777">
        <w:trPr>
          <w:trHeight w:val="494"/>
        </w:trPr>
        <w:tc>
          <w:tcPr>
            <w:tcW w:w="3624" w:type="dxa"/>
            <w:tcBorders>
              <w:top w:val="single" w:sz="4" w:space="0" w:color="000000"/>
            </w:tcBorders>
          </w:tcPr>
          <w:p w14:paraId="386BBA86" w14:textId="77777777" w:rsidR="00E86446" w:rsidRDefault="00345E63">
            <w:pPr>
              <w:spacing w:before="1" w:line="249" w:lineRule="exact"/>
              <w:ind w:right="1911"/>
              <w:jc w:val="right"/>
              <w:rPr>
                <w:rFonts w:eastAsia="Calibri"/>
                <w:b/>
                <w:lang w:val="en-GB" w:eastAsia="en-US"/>
              </w:rPr>
            </w:pPr>
            <w:proofErr w:type="spellStart"/>
            <w:r>
              <w:rPr>
                <w:rFonts w:eastAsia="Calibri"/>
                <w:b/>
                <w:lang w:val="en-GB" w:eastAsia="en-US"/>
              </w:rPr>
              <w:t>Kūno</w:t>
            </w:r>
            <w:proofErr w:type="spellEnd"/>
            <w:r>
              <w:rPr>
                <w:rFonts w:eastAsia="Calibri"/>
                <w:b/>
                <w:lang w:val="en-GB" w:eastAsia="en-US"/>
              </w:rPr>
              <w:t xml:space="preserve"> </w:t>
            </w:r>
            <w:proofErr w:type="spellStart"/>
            <w:r>
              <w:rPr>
                <w:rFonts w:eastAsia="Calibri"/>
                <w:b/>
                <w:lang w:val="en-GB" w:eastAsia="en-US"/>
              </w:rPr>
              <w:t>svoris</w:t>
            </w:r>
            <w:proofErr w:type="spellEnd"/>
            <w:r>
              <w:rPr>
                <w:rFonts w:eastAsia="Calibri"/>
                <w:b/>
                <w:spacing w:val="-5"/>
                <w:lang w:val="en-GB" w:eastAsia="en-US"/>
              </w:rPr>
              <w:t xml:space="preserve"> </w:t>
            </w:r>
            <w:r>
              <w:rPr>
                <w:rFonts w:eastAsia="Calibri"/>
                <w:b/>
                <w:spacing w:val="-4"/>
                <w:lang w:val="en-GB" w:eastAsia="en-US"/>
              </w:rPr>
              <w:t>(kg)</w:t>
            </w:r>
          </w:p>
          <w:p w14:paraId="17DF8372" w14:textId="77777777" w:rsidR="00E86446" w:rsidRDefault="00345E63">
            <w:pPr>
              <w:spacing w:line="225" w:lineRule="exact"/>
              <w:ind w:right="1935"/>
              <w:jc w:val="right"/>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703" w:type="dxa"/>
            <w:tcBorders>
              <w:top w:val="single" w:sz="4" w:space="0" w:color="000000"/>
            </w:tcBorders>
          </w:tcPr>
          <w:p w14:paraId="74C25AF1" w14:textId="77777777" w:rsidR="00E86446" w:rsidRDefault="00345E63">
            <w:pPr>
              <w:spacing w:before="245" w:line="229" w:lineRule="exact"/>
              <w:ind w:left="7" w:right="518"/>
              <w:jc w:val="center"/>
              <w:rPr>
                <w:rFonts w:eastAsia="Calibri"/>
                <w:lang w:val="en-GB" w:eastAsia="en-US"/>
              </w:rPr>
            </w:pPr>
            <w:r>
              <w:rPr>
                <w:rFonts w:eastAsia="Calibri"/>
                <w:spacing w:val="-2"/>
                <w:lang w:val="en-GB" w:eastAsia="en-US"/>
              </w:rPr>
              <w:t>94,63</w:t>
            </w:r>
          </w:p>
        </w:tc>
        <w:tc>
          <w:tcPr>
            <w:tcW w:w="2716" w:type="dxa"/>
            <w:tcBorders>
              <w:top w:val="single" w:sz="4" w:space="0" w:color="000000"/>
            </w:tcBorders>
          </w:tcPr>
          <w:p w14:paraId="5F27C809" w14:textId="77777777" w:rsidR="00E86446" w:rsidRDefault="00345E63">
            <w:pPr>
              <w:spacing w:before="245" w:line="229" w:lineRule="exact"/>
              <w:ind w:left="1021"/>
              <w:rPr>
                <w:rFonts w:eastAsia="Calibri"/>
                <w:lang w:val="en-GB" w:eastAsia="en-US"/>
              </w:rPr>
            </w:pPr>
            <w:r>
              <w:rPr>
                <w:rFonts w:eastAsia="Calibri"/>
                <w:spacing w:val="-2"/>
                <w:lang w:val="en-GB" w:eastAsia="en-US"/>
              </w:rPr>
              <w:t>94,21</w:t>
            </w:r>
          </w:p>
        </w:tc>
      </w:tr>
      <w:tr w:rsidR="00E86446" w14:paraId="07823429" w14:textId="77777777">
        <w:trPr>
          <w:trHeight w:val="515"/>
        </w:trPr>
        <w:tc>
          <w:tcPr>
            <w:tcW w:w="3624" w:type="dxa"/>
          </w:tcPr>
          <w:p w14:paraId="58228DAB" w14:textId="77777777" w:rsidR="00E86446" w:rsidRPr="0073443F" w:rsidRDefault="00345E63">
            <w:pPr>
              <w:spacing w:line="250" w:lineRule="atLeast"/>
              <w:ind w:left="254" w:right="457"/>
              <w:rPr>
                <w:rFonts w:eastAsia="Calibri"/>
                <w:lang w:val="pt-PT" w:eastAsia="en-US"/>
              </w:rPr>
            </w:pPr>
            <w:r w:rsidRPr="0073443F">
              <w:rPr>
                <w:rFonts w:eastAsia="Calibri"/>
                <w:lang w:val="pt-PT" w:eastAsia="en-US"/>
              </w:rPr>
              <w:t>Pokytis palyginus su pradine</w:t>
            </w:r>
            <w:r w:rsidRPr="0073443F">
              <w:rPr>
                <w:rFonts w:eastAsia="Calibri"/>
                <w:vertAlign w:val="superscript"/>
                <w:lang w:val="pt-PT" w:eastAsia="en-US"/>
              </w:rPr>
              <w:t>c</w:t>
            </w:r>
            <w:r w:rsidRPr="0073443F">
              <w:rPr>
                <w:rFonts w:eastAsia="Calibri"/>
                <w:lang w:val="pt-PT" w:eastAsia="en-US"/>
              </w:rPr>
              <w:t xml:space="preserve"> </w:t>
            </w:r>
          </w:p>
          <w:p w14:paraId="40A1CD7C" w14:textId="77777777" w:rsidR="00E86446" w:rsidRPr="0073443F" w:rsidRDefault="00345E63">
            <w:pPr>
              <w:spacing w:line="250" w:lineRule="atLeast"/>
              <w:ind w:left="254" w:right="457"/>
              <w:rPr>
                <w:rFonts w:eastAsia="Calibri"/>
                <w:lang w:val="pt-PT" w:eastAsia="en-US"/>
              </w:rPr>
            </w:pPr>
            <w:r w:rsidRPr="0073443F">
              <w:rPr>
                <w:rFonts w:eastAsia="Calibri"/>
                <w:lang w:val="pt-PT" w:eastAsia="en-US"/>
              </w:rPr>
              <w:t>Skirtumas nuo</w:t>
            </w:r>
            <w:r w:rsidRPr="0073443F">
              <w:rPr>
                <w:rFonts w:eastAsia="Calibri"/>
                <w:spacing w:val="-14"/>
                <w:lang w:val="pt-PT" w:eastAsia="en-US"/>
              </w:rPr>
              <w:t xml:space="preserve"> </w:t>
            </w:r>
            <w:r w:rsidRPr="0073443F">
              <w:rPr>
                <w:rFonts w:eastAsia="Calibri"/>
                <w:lang w:val="pt-PT" w:eastAsia="en-US"/>
              </w:rPr>
              <w:t>placebo</w:t>
            </w:r>
            <w:r w:rsidRPr="0073443F">
              <w:rPr>
                <w:rFonts w:eastAsia="Calibri"/>
                <w:vertAlign w:val="superscript"/>
                <w:lang w:val="pt-PT" w:eastAsia="en-US"/>
              </w:rPr>
              <w:t>c</w:t>
            </w:r>
          </w:p>
        </w:tc>
        <w:tc>
          <w:tcPr>
            <w:tcW w:w="2703" w:type="dxa"/>
          </w:tcPr>
          <w:p w14:paraId="1A54EB43" w14:textId="77777777" w:rsidR="00E86446" w:rsidRDefault="00345E63">
            <w:pPr>
              <w:spacing w:before="5"/>
              <w:ind w:left="863"/>
              <w:rPr>
                <w:rFonts w:eastAsia="Calibri"/>
                <w:lang w:val="en-GB" w:eastAsia="en-US"/>
              </w:rPr>
            </w:pPr>
            <w:r>
              <w:rPr>
                <w:rFonts w:eastAsia="Calibri"/>
                <w:spacing w:val="-2"/>
                <w:lang w:val="en-GB" w:eastAsia="en-US"/>
              </w:rPr>
              <w:t>-</w:t>
            </w:r>
            <w:r>
              <w:rPr>
                <w:rFonts w:eastAsia="Calibri"/>
                <w:spacing w:val="-4"/>
                <w:lang w:val="en-GB" w:eastAsia="en-US"/>
              </w:rPr>
              <w:t>1,67</w:t>
            </w:r>
          </w:p>
          <w:p w14:paraId="46D21B51" w14:textId="77777777" w:rsidR="00E86446" w:rsidRDefault="00345E63">
            <w:pPr>
              <w:spacing w:before="2" w:line="236" w:lineRule="exact"/>
              <w:ind w:left="897"/>
              <w:rPr>
                <w:rFonts w:eastAsia="Calibri"/>
                <w:lang w:val="en-GB" w:eastAsia="en-US"/>
              </w:rPr>
            </w:pPr>
            <w:r>
              <w:rPr>
                <w:rFonts w:eastAsia="Calibri"/>
                <w:spacing w:val="-2"/>
                <w:lang w:val="en-GB" w:eastAsia="en-US"/>
              </w:rPr>
              <w:t>-1,68</w:t>
            </w:r>
            <w:r>
              <w:rPr>
                <w:rFonts w:eastAsia="Calibri"/>
                <w:spacing w:val="-2"/>
                <w:vertAlign w:val="superscript"/>
                <w:lang w:val="en-GB" w:eastAsia="en-US"/>
              </w:rPr>
              <w:t>*</w:t>
            </w:r>
          </w:p>
        </w:tc>
        <w:tc>
          <w:tcPr>
            <w:tcW w:w="2716" w:type="dxa"/>
          </w:tcPr>
          <w:p w14:paraId="056ED230" w14:textId="77777777" w:rsidR="00E86446" w:rsidRDefault="00345E63">
            <w:pPr>
              <w:spacing w:before="5"/>
              <w:ind w:left="1079"/>
              <w:rPr>
                <w:rFonts w:eastAsia="Calibri"/>
                <w:lang w:val="en-GB" w:eastAsia="en-US"/>
              </w:rPr>
            </w:pPr>
            <w:r>
              <w:rPr>
                <w:rFonts w:eastAsia="Calibri"/>
                <w:spacing w:val="-4"/>
                <w:lang w:val="en-GB" w:eastAsia="en-US"/>
              </w:rPr>
              <w:t>0,02</w:t>
            </w:r>
          </w:p>
        </w:tc>
      </w:tr>
      <w:tr w:rsidR="00E86446" w14:paraId="34B7A591" w14:textId="77777777">
        <w:trPr>
          <w:trHeight w:val="251"/>
        </w:trPr>
        <w:tc>
          <w:tcPr>
            <w:tcW w:w="3624" w:type="dxa"/>
            <w:tcBorders>
              <w:bottom w:val="single" w:sz="4" w:space="0" w:color="000000"/>
            </w:tcBorders>
          </w:tcPr>
          <w:p w14:paraId="2917CFA1" w14:textId="77777777" w:rsidR="00E86446" w:rsidRDefault="00345E63">
            <w:pPr>
              <w:spacing w:line="232" w:lineRule="exact"/>
              <w:ind w:left="479"/>
              <w:rPr>
                <w:rFonts w:eastAsia="Calibri"/>
                <w:lang w:val="en-GB" w:eastAsia="en-US"/>
              </w:rPr>
            </w:pPr>
            <w:r>
              <w:rPr>
                <w:rFonts w:eastAsia="Calibri"/>
                <w:lang w:val="en-GB" w:eastAsia="en-US"/>
              </w:rPr>
              <w:t>(95 %</w:t>
            </w:r>
            <w:r>
              <w:rPr>
                <w:rFonts w:eastAsia="Calibri"/>
                <w:spacing w:val="-6"/>
                <w:lang w:val="en-GB" w:eastAsia="en-US"/>
              </w:rPr>
              <w:t xml:space="preserve"> </w:t>
            </w:r>
            <w:r>
              <w:rPr>
                <w:rFonts w:eastAsia="Calibri"/>
                <w:spacing w:val="-5"/>
                <w:lang w:val="en-GB" w:eastAsia="en-US"/>
              </w:rPr>
              <w:t>PI)</w:t>
            </w:r>
          </w:p>
        </w:tc>
        <w:tc>
          <w:tcPr>
            <w:tcW w:w="2703" w:type="dxa"/>
            <w:tcBorders>
              <w:bottom w:val="single" w:sz="4" w:space="0" w:color="000000"/>
            </w:tcBorders>
          </w:tcPr>
          <w:p w14:paraId="118518F3" w14:textId="77777777" w:rsidR="00E86446" w:rsidRDefault="00345E63">
            <w:pPr>
              <w:spacing w:line="232" w:lineRule="exact"/>
              <w:ind w:left="2" w:right="518"/>
              <w:jc w:val="center"/>
              <w:rPr>
                <w:rFonts w:eastAsia="Calibri"/>
                <w:lang w:val="en-GB" w:eastAsia="en-US"/>
              </w:rPr>
            </w:pPr>
            <w:r>
              <w:rPr>
                <w:rFonts w:eastAsia="Calibri"/>
                <w:lang w:val="en-GB" w:eastAsia="en-US"/>
              </w:rPr>
              <w:t>(-2,19,</w:t>
            </w:r>
            <w:r>
              <w:rPr>
                <w:rFonts w:eastAsia="Calibri"/>
                <w:spacing w:val="-3"/>
                <w:lang w:val="en-GB" w:eastAsia="en-US"/>
              </w:rPr>
              <w:t xml:space="preserve"> </w:t>
            </w:r>
            <w:r>
              <w:rPr>
                <w:rFonts w:eastAsia="Calibri"/>
                <w:lang w:val="en-GB" w:eastAsia="en-US"/>
              </w:rPr>
              <w:t>-</w:t>
            </w:r>
            <w:r>
              <w:rPr>
                <w:rFonts w:eastAsia="Calibri"/>
                <w:spacing w:val="-2"/>
                <w:lang w:val="en-GB" w:eastAsia="en-US"/>
              </w:rPr>
              <w:t>1,18)</w:t>
            </w:r>
          </w:p>
        </w:tc>
        <w:tc>
          <w:tcPr>
            <w:tcW w:w="2716" w:type="dxa"/>
            <w:tcBorders>
              <w:bottom w:val="single" w:sz="4" w:space="0" w:color="000000"/>
            </w:tcBorders>
          </w:tcPr>
          <w:p w14:paraId="3A1AE45D" w14:textId="77777777" w:rsidR="00E86446" w:rsidRDefault="00E86446">
            <w:pPr>
              <w:rPr>
                <w:rFonts w:eastAsia="Calibri"/>
                <w:lang w:val="en-GB" w:eastAsia="en-US"/>
              </w:rPr>
            </w:pPr>
          </w:p>
        </w:tc>
      </w:tr>
      <w:tr w:rsidR="00E86446" w14:paraId="40321636" w14:textId="77777777">
        <w:trPr>
          <w:trHeight w:val="499"/>
        </w:trPr>
        <w:tc>
          <w:tcPr>
            <w:tcW w:w="3624" w:type="dxa"/>
          </w:tcPr>
          <w:p w14:paraId="04578718" w14:textId="77777777" w:rsidR="00E86446" w:rsidRPr="0073443F" w:rsidRDefault="00345E63">
            <w:pPr>
              <w:spacing w:line="249" w:lineRule="exact"/>
              <w:ind w:left="110"/>
              <w:rPr>
                <w:rFonts w:eastAsia="Calibri"/>
                <w:lang w:val="pt-PT" w:eastAsia="en-US"/>
              </w:rPr>
            </w:pPr>
            <w:r w:rsidRPr="0073443F">
              <w:rPr>
                <w:rFonts w:eastAsia="Calibri"/>
                <w:b/>
                <w:lang w:val="pt-PT" w:eastAsia="en-US"/>
              </w:rPr>
              <w:t>Vidutinė insulino paros dozė</w:t>
            </w:r>
            <w:r w:rsidRPr="0073443F">
              <w:rPr>
                <w:rFonts w:eastAsia="Calibri"/>
                <w:b/>
                <w:spacing w:val="-5"/>
                <w:lang w:val="pt-PT" w:eastAsia="en-US"/>
              </w:rPr>
              <w:t xml:space="preserve"> </w:t>
            </w:r>
            <w:r w:rsidRPr="0073443F">
              <w:rPr>
                <w:rFonts w:eastAsia="Calibri"/>
                <w:b/>
                <w:spacing w:val="-2"/>
                <w:lang w:val="pt-PT" w:eastAsia="en-US"/>
              </w:rPr>
              <w:t>(IU)</w:t>
            </w:r>
            <w:r w:rsidRPr="0073443F">
              <w:rPr>
                <w:rFonts w:eastAsia="Calibri"/>
                <w:spacing w:val="-2"/>
                <w:vertAlign w:val="superscript"/>
                <w:lang w:val="pt-PT" w:eastAsia="en-US"/>
              </w:rPr>
              <w:t>1</w:t>
            </w:r>
          </w:p>
          <w:p w14:paraId="2CE647E9" w14:textId="77777777" w:rsidR="00E86446" w:rsidRDefault="00345E63">
            <w:pPr>
              <w:spacing w:before="1" w:line="229" w:lineRule="exact"/>
              <w:ind w:left="254"/>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703" w:type="dxa"/>
          </w:tcPr>
          <w:p w14:paraId="19618539" w14:textId="77777777" w:rsidR="00E86446" w:rsidRDefault="00345E63">
            <w:pPr>
              <w:spacing w:before="250" w:line="229" w:lineRule="exact"/>
              <w:ind w:left="7" w:right="518"/>
              <w:jc w:val="center"/>
              <w:rPr>
                <w:rFonts w:eastAsia="Calibri"/>
                <w:lang w:val="en-GB" w:eastAsia="en-US"/>
              </w:rPr>
            </w:pPr>
            <w:r>
              <w:rPr>
                <w:rFonts w:eastAsia="Calibri"/>
                <w:spacing w:val="-2"/>
                <w:lang w:val="en-GB" w:eastAsia="en-US"/>
              </w:rPr>
              <w:t>77,96</w:t>
            </w:r>
          </w:p>
        </w:tc>
        <w:tc>
          <w:tcPr>
            <w:tcW w:w="2716" w:type="dxa"/>
          </w:tcPr>
          <w:p w14:paraId="4D408B70" w14:textId="77777777" w:rsidR="00E86446" w:rsidRDefault="00345E63">
            <w:pPr>
              <w:spacing w:before="250" w:line="229" w:lineRule="exact"/>
              <w:ind w:left="1021"/>
              <w:rPr>
                <w:rFonts w:eastAsia="Calibri"/>
                <w:lang w:val="en-GB" w:eastAsia="en-US"/>
              </w:rPr>
            </w:pPr>
            <w:r>
              <w:rPr>
                <w:rFonts w:eastAsia="Calibri"/>
                <w:spacing w:val="-2"/>
                <w:lang w:val="en-GB" w:eastAsia="en-US"/>
              </w:rPr>
              <w:t>73,96</w:t>
            </w:r>
          </w:p>
        </w:tc>
      </w:tr>
      <w:tr w:rsidR="00E86446" w14:paraId="78D4AC1C" w14:textId="77777777">
        <w:trPr>
          <w:trHeight w:val="513"/>
        </w:trPr>
        <w:tc>
          <w:tcPr>
            <w:tcW w:w="3624" w:type="dxa"/>
          </w:tcPr>
          <w:p w14:paraId="5C8AFD3E" w14:textId="3B55DB0D" w:rsidR="00E86446" w:rsidRPr="0073443F" w:rsidRDefault="00345E63">
            <w:pPr>
              <w:spacing w:line="250" w:lineRule="exact"/>
              <w:ind w:left="254" w:right="457"/>
              <w:rPr>
                <w:rFonts w:eastAsia="Calibri"/>
                <w:lang w:val="pt-PT" w:eastAsia="en-US"/>
              </w:rPr>
            </w:pPr>
            <w:r w:rsidRPr="0073443F">
              <w:rPr>
                <w:rFonts w:eastAsia="Calibri"/>
                <w:lang w:val="pt-PT" w:eastAsia="en-US"/>
              </w:rPr>
              <w:t>Pokytis pal</w:t>
            </w:r>
            <w:r w:rsidR="00674B62" w:rsidRPr="0073443F">
              <w:rPr>
                <w:rFonts w:eastAsia="Calibri"/>
                <w:lang w:val="pt-PT" w:eastAsia="en-US"/>
              </w:rPr>
              <w:t>y</w:t>
            </w:r>
            <w:r w:rsidRPr="0073443F">
              <w:rPr>
                <w:rFonts w:eastAsia="Calibri"/>
                <w:lang w:val="pt-PT" w:eastAsia="en-US"/>
              </w:rPr>
              <w:t>ginus su pradine</w:t>
            </w:r>
            <w:r w:rsidRPr="0073443F">
              <w:rPr>
                <w:rFonts w:eastAsia="Calibri"/>
                <w:vertAlign w:val="superscript"/>
                <w:lang w:val="pt-PT" w:eastAsia="en-US"/>
              </w:rPr>
              <w:t>c</w:t>
            </w:r>
            <w:r w:rsidRPr="0073443F">
              <w:rPr>
                <w:rFonts w:eastAsia="Calibri"/>
                <w:lang w:val="pt-PT" w:eastAsia="en-US"/>
              </w:rPr>
              <w:t xml:space="preserve"> Skirtumas nuo</w:t>
            </w:r>
            <w:r w:rsidRPr="0073443F">
              <w:rPr>
                <w:rFonts w:eastAsia="Calibri"/>
                <w:spacing w:val="-14"/>
                <w:lang w:val="pt-PT" w:eastAsia="en-US"/>
              </w:rPr>
              <w:t xml:space="preserve"> </w:t>
            </w:r>
            <w:r w:rsidRPr="0073443F">
              <w:rPr>
                <w:rFonts w:eastAsia="Calibri"/>
                <w:lang w:val="pt-PT" w:eastAsia="en-US"/>
              </w:rPr>
              <w:t>placebo</w:t>
            </w:r>
            <w:r w:rsidRPr="0073443F">
              <w:rPr>
                <w:rFonts w:eastAsia="Calibri"/>
                <w:vertAlign w:val="superscript"/>
                <w:lang w:val="pt-PT" w:eastAsia="en-US"/>
              </w:rPr>
              <w:t>c</w:t>
            </w:r>
          </w:p>
        </w:tc>
        <w:tc>
          <w:tcPr>
            <w:tcW w:w="2703" w:type="dxa"/>
          </w:tcPr>
          <w:p w14:paraId="5B221561" w14:textId="77777777" w:rsidR="00E86446" w:rsidRDefault="00345E63">
            <w:pPr>
              <w:spacing w:before="5" w:line="251" w:lineRule="exact"/>
              <w:ind w:left="863"/>
              <w:rPr>
                <w:rFonts w:eastAsia="Calibri"/>
                <w:lang w:val="en-GB" w:eastAsia="en-US"/>
              </w:rPr>
            </w:pPr>
            <w:r>
              <w:rPr>
                <w:rFonts w:eastAsia="Calibri"/>
                <w:spacing w:val="-2"/>
                <w:lang w:val="en-GB" w:eastAsia="en-US"/>
              </w:rPr>
              <w:t>-</w:t>
            </w:r>
            <w:r>
              <w:rPr>
                <w:rFonts w:eastAsia="Calibri"/>
                <w:spacing w:val="-4"/>
                <w:lang w:val="en-GB" w:eastAsia="en-US"/>
              </w:rPr>
              <w:t>1,16</w:t>
            </w:r>
          </w:p>
          <w:p w14:paraId="459B0C9E" w14:textId="77777777" w:rsidR="00E86446" w:rsidRDefault="00345E63">
            <w:pPr>
              <w:spacing w:line="236" w:lineRule="exact"/>
              <w:ind w:left="825"/>
              <w:rPr>
                <w:rFonts w:eastAsia="Calibri"/>
                <w:lang w:val="en-GB" w:eastAsia="en-US"/>
              </w:rPr>
            </w:pPr>
            <w:r>
              <w:rPr>
                <w:rFonts w:eastAsia="Calibri"/>
                <w:spacing w:val="-2"/>
                <w:lang w:val="en-GB" w:eastAsia="en-US"/>
              </w:rPr>
              <w:t>-6,23</w:t>
            </w:r>
            <w:r>
              <w:rPr>
                <w:rFonts w:eastAsia="Calibri"/>
                <w:spacing w:val="-2"/>
                <w:vertAlign w:val="superscript"/>
                <w:lang w:val="en-GB" w:eastAsia="en-US"/>
              </w:rPr>
              <w:t>*</w:t>
            </w:r>
          </w:p>
        </w:tc>
        <w:tc>
          <w:tcPr>
            <w:tcW w:w="2716" w:type="dxa"/>
          </w:tcPr>
          <w:p w14:paraId="683FF631" w14:textId="77777777" w:rsidR="00E86446" w:rsidRDefault="00345E63">
            <w:pPr>
              <w:spacing w:before="5"/>
              <w:ind w:left="1079"/>
              <w:rPr>
                <w:rFonts w:eastAsia="Calibri"/>
                <w:lang w:val="en-GB" w:eastAsia="en-US"/>
              </w:rPr>
            </w:pPr>
            <w:r>
              <w:rPr>
                <w:rFonts w:eastAsia="Calibri"/>
                <w:spacing w:val="-4"/>
                <w:lang w:val="en-GB" w:eastAsia="en-US"/>
              </w:rPr>
              <w:t>5,08</w:t>
            </w:r>
          </w:p>
        </w:tc>
      </w:tr>
      <w:tr w:rsidR="00E86446" w14:paraId="25751397" w14:textId="77777777">
        <w:trPr>
          <w:trHeight w:val="254"/>
        </w:trPr>
        <w:tc>
          <w:tcPr>
            <w:tcW w:w="3624" w:type="dxa"/>
          </w:tcPr>
          <w:p w14:paraId="11DBA71C" w14:textId="77777777" w:rsidR="00E86446" w:rsidRDefault="00345E63">
            <w:pPr>
              <w:spacing w:line="234" w:lineRule="exact"/>
              <w:ind w:left="479"/>
              <w:rPr>
                <w:rFonts w:eastAsia="Calibri"/>
                <w:lang w:val="en-GB" w:eastAsia="en-US"/>
              </w:rPr>
            </w:pPr>
            <w:r>
              <w:rPr>
                <w:rFonts w:eastAsia="Calibri"/>
                <w:lang w:val="en-GB" w:eastAsia="en-US"/>
              </w:rPr>
              <w:t>(95 %</w:t>
            </w:r>
            <w:r>
              <w:rPr>
                <w:rFonts w:eastAsia="Calibri"/>
                <w:spacing w:val="-6"/>
                <w:lang w:val="en-GB" w:eastAsia="en-US"/>
              </w:rPr>
              <w:t xml:space="preserve"> </w:t>
            </w:r>
            <w:r>
              <w:rPr>
                <w:rFonts w:eastAsia="Calibri"/>
                <w:spacing w:val="-5"/>
                <w:lang w:val="en-GB" w:eastAsia="en-US"/>
              </w:rPr>
              <w:t>PI)</w:t>
            </w:r>
          </w:p>
        </w:tc>
        <w:tc>
          <w:tcPr>
            <w:tcW w:w="2703" w:type="dxa"/>
          </w:tcPr>
          <w:p w14:paraId="32A6973E" w14:textId="77777777" w:rsidR="00E86446" w:rsidRDefault="00345E63">
            <w:pPr>
              <w:spacing w:line="234" w:lineRule="exact"/>
              <w:ind w:left="2" w:right="518"/>
              <w:jc w:val="center"/>
              <w:rPr>
                <w:rFonts w:eastAsia="Calibri"/>
                <w:lang w:val="en-GB" w:eastAsia="en-US"/>
              </w:rPr>
            </w:pPr>
            <w:r>
              <w:rPr>
                <w:rFonts w:eastAsia="Calibri"/>
                <w:lang w:val="en-GB" w:eastAsia="en-US"/>
              </w:rPr>
              <w:t>(-8,84,</w:t>
            </w:r>
            <w:r>
              <w:rPr>
                <w:rFonts w:eastAsia="Calibri"/>
                <w:spacing w:val="-3"/>
                <w:lang w:val="en-GB" w:eastAsia="en-US"/>
              </w:rPr>
              <w:t xml:space="preserve"> </w:t>
            </w:r>
            <w:r>
              <w:rPr>
                <w:rFonts w:eastAsia="Calibri"/>
                <w:lang w:val="en-GB" w:eastAsia="en-US"/>
              </w:rPr>
              <w:t>-</w:t>
            </w:r>
            <w:r>
              <w:rPr>
                <w:rFonts w:eastAsia="Calibri"/>
                <w:spacing w:val="-2"/>
                <w:lang w:val="en-GB" w:eastAsia="en-US"/>
              </w:rPr>
              <w:t>3,63)</w:t>
            </w:r>
          </w:p>
        </w:tc>
        <w:tc>
          <w:tcPr>
            <w:tcW w:w="2716" w:type="dxa"/>
          </w:tcPr>
          <w:p w14:paraId="3C04F699" w14:textId="77777777" w:rsidR="00E86446" w:rsidRDefault="00E86446">
            <w:pPr>
              <w:rPr>
                <w:rFonts w:eastAsia="Calibri"/>
                <w:lang w:val="en-GB" w:eastAsia="en-US"/>
              </w:rPr>
            </w:pPr>
          </w:p>
        </w:tc>
      </w:tr>
      <w:tr w:rsidR="00E86446" w14:paraId="30FE160D" w14:textId="77777777">
        <w:trPr>
          <w:trHeight w:val="504"/>
        </w:trPr>
        <w:tc>
          <w:tcPr>
            <w:tcW w:w="3624" w:type="dxa"/>
          </w:tcPr>
          <w:p w14:paraId="177D50B0" w14:textId="67C14DB3" w:rsidR="00E86446" w:rsidRPr="0073443F" w:rsidRDefault="00345E63">
            <w:pPr>
              <w:spacing w:line="250" w:lineRule="exact"/>
              <w:ind w:left="254" w:right="457"/>
              <w:rPr>
                <w:rFonts w:eastAsia="Calibri"/>
                <w:lang w:val="pt-PT" w:eastAsia="en-US"/>
              </w:rPr>
            </w:pPr>
            <w:r w:rsidRPr="0073443F">
              <w:rPr>
                <w:rFonts w:eastAsia="Calibri"/>
                <w:lang w:val="pt-PT" w:eastAsia="en-US"/>
              </w:rPr>
              <w:t>Pacientai, kuriems vidutinė insulin</w:t>
            </w:r>
            <w:r w:rsidR="00674B62" w:rsidRPr="0073443F">
              <w:rPr>
                <w:rFonts w:eastAsia="Calibri"/>
                <w:lang w:val="pt-PT" w:eastAsia="en-US"/>
              </w:rPr>
              <w:t>o</w:t>
            </w:r>
            <w:r w:rsidRPr="0073443F">
              <w:rPr>
                <w:rFonts w:eastAsia="Calibri"/>
                <w:lang w:val="pt-PT" w:eastAsia="en-US"/>
              </w:rPr>
              <w:t xml:space="preserve"> paros doz</w:t>
            </w:r>
            <w:r w:rsidR="00674B62" w:rsidRPr="0073443F">
              <w:rPr>
                <w:rFonts w:eastAsia="Calibri"/>
                <w:lang w:val="pt-PT" w:eastAsia="en-US"/>
              </w:rPr>
              <w:t>ė</w:t>
            </w:r>
            <w:r w:rsidRPr="0073443F">
              <w:rPr>
                <w:rFonts w:eastAsia="Calibri"/>
                <w:lang w:val="pt-PT" w:eastAsia="en-US"/>
              </w:rPr>
              <w:t xml:space="preserve"> buvo sumažinta bent</w:t>
            </w:r>
          </w:p>
        </w:tc>
        <w:tc>
          <w:tcPr>
            <w:tcW w:w="2703" w:type="dxa"/>
          </w:tcPr>
          <w:p w14:paraId="3D8D38B1" w14:textId="77777777" w:rsidR="00E86446" w:rsidRDefault="00345E63">
            <w:pPr>
              <w:spacing w:before="246" w:line="238" w:lineRule="exact"/>
              <w:ind w:right="518"/>
              <w:jc w:val="center"/>
              <w:rPr>
                <w:rFonts w:eastAsia="Calibri"/>
                <w:lang w:val="en-GB" w:eastAsia="en-US"/>
              </w:rPr>
            </w:pPr>
            <w:r>
              <w:rPr>
                <w:rFonts w:eastAsia="Calibri"/>
                <w:spacing w:val="-2"/>
                <w:lang w:val="en-GB" w:eastAsia="en-US"/>
              </w:rPr>
              <w:t>19,7</w:t>
            </w:r>
            <w:r>
              <w:rPr>
                <w:rFonts w:eastAsia="Calibri"/>
                <w:spacing w:val="-2"/>
                <w:vertAlign w:val="superscript"/>
                <w:lang w:val="en-GB" w:eastAsia="en-US"/>
              </w:rPr>
              <w:t>**</w:t>
            </w:r>
          </w:p>
        </w:tc>
        <w:tc>
          <w:tcPr>
            <w:tcW w:w="2716" w:type="dxa"/>
          </w:tcPr>
          <w:p w14:paraId="6DC4C673" w14:textId="77777777" w:rsidR="00E86446" w:rsidRDefault="00345E63">
            <w:pPr>
              <w:spacing w:before="246" w:line="238" w:lineRule="exact"/>
              <w:ind w:left="1079"/>
              <w:rPr>
                <w:rFonts w:eastAsia="Calibri"/>
                <w:lang w:val="en-GB" w:eastAsia="en-US"/>
              </w:rPr>
            </w:pPr>
            <w:r>
              <w:rPr>
                <w:rFonts w:eastAsia="Calibri"/>
                <w:spacing w:val="-4"/>
                <w:lang w:val="en-GB" w:eastAsia="en-US"/>
              </w:rPr>
              <w:t>11,0</w:t>
            </w:r>
          </w:p>
        </w:tc>
      </w:tr>
      <w:tr w:rsidR="00E86446" w14:paraId="47C519AA" w14:textId="77777777">
        <w:trPr>
          <w:trHeight w:val="254"/>
        </w:trPr>
        <w:tc>
          <w:tcPr>
            <w:tcW w:w="3624" w:type="dxa"/>
            <w:tcBorders>
              <w:bottom w:val="single" w:sz="4" w:space="0" w:color="000000"/>
            </w:tcBorders>
          </w:tcPr>
          <w:p w14:paraId="1EA0B655" w14:textId="77777777" w:rsidR="00E86446" w:rsidRDefault="00345E63">
            <w:pPr>
              <w:spacing w:line="234" w:lineRule="exact"/>
              <w:ind w:left="254"/>
              <w:rPr>
                <w:rFonts w:eastAsia="Calibri"/>
                <w:lang w:val="en-GB" w:eastAsia="en-US"/>
              </w:rPr>
            </w:pPr>
            <w:r>
              <w:rPr>
                <w:rFonts w:eastAsia="Calibri"/>
                <w:lang w:val="en-GB" w:eastAsia="en-US"/>
              </w:rPr>
              <w:t>10 %</w:t>
            </w:r>
            <w:r>
              <w:rPr>
                <w:rFonts w:eastAsia="Calibri"/>
                <w:spacing w:val="1"/>
                <w:lang w:val="en-GB" w:eastAsia="en-US"/>
              </w:rPr>
              <w:t xml:space="preserve"> </w:t>
            </w:r>
            <w:r>
              <w:rPr>
                <w:rFonts w:eastAsia="Calibri"/>
                <w:spacing w:val="-5"/>
                <w:lang w:val="en-GB" w:eastAsia="en-US"/>
              </w:rPr>
              <w:t>(%)</w:t>
            </w:r>
          </w:p>
        </w:tc>
        <w:tc>
          <w:tcPr>
            <w:tcW w:w="2703" w:type="dxa"/>
            <w:tcBorders>
              <w:bottom w:val="single" w:sz="4" w:space="0" w:color="000000"/>
            </w:tcBorders>
          </w:tcPr>
          <w:p w14:paraId="167FAAE8" w14:textId="77777777" w:rsidR="00E86446" w:rsidRDefault="00E86446">
            <w:pPr>
              <w:rPr>
                <w:rFonts w:eastAsia="Calibri"/>
                <w:lang w:val="en-GB" w:eastAsia="en-US"/>
              </w:rPr>
            </w:pPr>
          </w:p>
        </w:tc>
        <w:tc>
          <w:tcPr>
            <w:tcW w:w="2716" w:type="dxa"/>
            <w:tcBorders>
              <w:bottom w:val="single" w:sz="4" w:space="0" w:color="000000"/>
            </w:tcBorders>
          </w:tcPr>
          <w:p w14:paraId="3ACC3975" w14:textId="77777777" w:rsidR="00E86446" w:rsidRDefault="00E86446">
            <w:pPr>
              <w:rPr>
                <w:rFonts w:eastAsia="Calibri"/>
                <w:lang w:val="en-GB" w:eastAsia="en-US"/>
              </w:rPr>
            </w:pPr>
          </w:p>
        </w:tc>
      </w:tr>
    </w:tbl>
    <w:bookmarkEnd w:id="2"/>
    <w:bookmarkEnd w:id="3"/>
    <w:p w14:paraId="6F7678A1" w14:textId="777777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a</w:t>
      </w:r>
      <w:r w:rsidRPr="0073443F">
        <w:rPr>
          <w:rFonts w:eastAsiaTheme="minorHAnsi"/>
          <w:color w:val="000000"/>
          <w:sz w:val="18"/>
          <w:szCs w:val="18"/>
          <w:lang w:eastAsia="en-US"/>
        </w:rPr>
        <w:t xml:space="preserve"> LOCF – paskutinė atlikta apžiūra iki pirmo insulino dozės padidinimo (jei jo reikėjo) arba padidinimo dieną. </w:t>
      </w:r>
    </w:p>
    <w:p w14:paraId="2EFEAB94" w14:textId="250679A6"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b</w:t>
      </w:r>
      <w:r w:rsidRPr="0073443F">
        <w:rPr>
          <w:rFonts w:eastAsiaTheme="minorHAnsi"/>
          <w:color w:val="000000"/>
          <w:sz w:val="18"/>
          <w:szCs w:val="18"/>
          <w:lang w:eastAsia="en-US"/>
        </w:rPr>
        <w:t xml:space="preserve"> Visi atsitiktinai atrinkti asmenys, dvigubai aklai vartoję bent vieną dozę trumpu dvigub</w:t>
      </w:r>
      <w:r w:rsidR="002E67CD">
        <w:rPr>
          <w:rFonts w:eastAsiaTheme="minorHAnsi"/>
          <w:color w:val="000000"/>
          <w:sz w:val="18"/>
          <w:szCs w:val="18"/>
          <w:lang w:eastAsia="en-US"/>
        </w:rPr>
        <w:t>a</w:t>
      </w:r>
      <w:r w:rsidRPr="0073443F">
        <w:rPr>
          <w:rFonts w:eastAsiaTheme="minorHAnsi"/>
          <w:color w:val="000000"/>
          <w:sz w:val="18"/>
          <w:szCs w:val="18"/>
          <w:lang w:eastAsia="en-US"/>
        </w:rPr>
        <w:t xml:space="preserve">i aklu laikotarpiu. </w:t>
      </w:r>
    </w:p>
    <w:p w14:paraId="7B09269A" w14:textId="777777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c</w:t>
      </w:r>
      <w:r w:rsidRPr="0073443F">
        <w:rPr>
          <w:rFonts w:eastAsiaTheme="minorHAnsi"/>
          <w:color w:val="000000"/>
          <w:sz w:val="18"/>
          <w:szCs w:val="18"/>
          <w:lang w:eastAsia="en-US"/>
        </w:rPr>
        <w:t xml:space="preserve"> Mažiausių kvadratų metodu apskaičiuotas vidurkis, koreguotas pagal pradinį dydį ir geriamojo gliukozės koncentraciją mažinančio vaistinio preparato vartojimą. </w:t>
      </w:r>
    </w:p>
    <w:p w14:paraId="291AD9FB" w14:textId="2FA508F2"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lastRenderedPageBreak/>
        <w:t>*</w:t>
      </w:r>
      <w:r w:rsidRPr="0073443F">
        <w:rPr>
          <w:rFonts w:eastAsiaTheme="minorHAnsi"/>
          <w:color w:val="000000"/>
          <w:sz w:val="18"/>
          <w:szCs w:val="18"/>
          <w:lang w:eastAsia="en-US"/>
        </w:rPr>
        <w:t xml:space="preserve"> p</w:t>
      </w:r>
      <w:r w:rsidR="00183F89">
        <w:rPr>
          <w:rFonts w:eastAsiaTheme="minorHAnsi"/>
          <w:color w:val="000000"/>
          <w:sz w:val="18"/>
          <w:szCs w:val="18"/>
          <w:lang w:eastAsia="en-US"/>
        </w:rPr>
        <w:t> </w:t>
      </w:r>
      <w:r w:rsidRPr="0073443F">
        <w:rPr>
          <w:rFonts w:eastAsiaTheme="minorHAnsi"/>
          <w:color w:val="000000"/>
          <w:sz w:val="18"/>
          <w:szCs w:val="18"/>
          <w:lang w:eastAsia="en-US"/>
        </w:rPr>
        <w:t>&lt;</w:t>
      </w:r>
      <w:r w:rsidR="00183F89">
        <w:rPr>
          <w:rFonts w:eastAsiaTheme="minorHAnsi"/>
          <w:color w:val="000000"/>
          <w:sz w:val="18"/>
          <w:szCs w:val="18"/>
          <w:lang w:eastAsia="en-US"/>
        </w:rPr>
        <w:t> </w:t>
      </w:r>
      <w:r w:rsidRPr="0073443F">
        <w:rPr>
          <w:rFonts w:eastAsiaTheme="minorHAnsi"/>
          <w:color w:val="000000"/>
          <w:sz w:val="18"/>
          <w:szCs w:val="18"/>
          <w:lang w:eastAsia="en-US"/>
        </w:rPr>
        <w:t xml:space="preserve">0,0001 palyginus su placebo ir insulino deriniu (taip pat kartu vartota arba nevartota geriamojo gliukozės koncentraciją mažinančio vaistinio preparato). </w:t>
      </w:r>
    </w:p>
    <w:p w14:paraId="06294BBA" w14:textId="7B916863"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w:t>
      </w:r>
      <w:r w:rsidRPr="0073443F">
        <w:rPr>
          <w:rFonts w:eastAsiaTheme="minorHAnsi"/>
          <w:color w:val="000000"/>
          <w:sz w:val="18"/>
          <w:szCs w:val="18"/>
          <w:lang w:eastAsia="en-US"/>
        </w:rPr>
        <w:t>p</w:t>
      </w:r>
      <w:r w:rsidR="00183F89">
        <w:rPr>
          <w:rFonts w:eastAsiaTheme="minorHAnsi"/>
          <w:color w:val="000000"/>
          <w:sz w:val="18"/>
          <w:szCs w:val="18"/>
          <w:lang w:eastAsia="en-US"/>
        </w:rPr>
        <w:t> </w:t>
      </w:r>
      <w:r w:rsidRPr="0073443F">
        <w:rPr>
          <w:rFonts w:eastAsiaTheme="minorHAnsi"/>
          <w:color w:val="000000"/>
          <w:sz w:val="18"/>
          <w:szCs w:val="18"/>
          <w:lang w:eastAsia="en-US"/>
        </w:rPr>
        <w:t>&lt;</w:t>
      </w:r>
      <w:r w:rsidR="00183F89">
        <w:rPr>
          <w:rFonts w:eastAsiaTheme="minorHAnsi"/>
          <w:color w:val="000000"/>
          <w:sz w:val="18"/>
          <w:szCs w:val="18"/>
          <w:lang w:eastAsia="en-US"/>
        </w:rPr>
        <w:t> </w:t>
      </w:r>
      <w:r w:rsidRPr="0073443F">
        <w:rPr>
          <w:rFonts w:eastAsiaTheme="minorHAnsi"/>
          <w:color w:val="000000"/>
          <w:sz w:val="18"/>
          <w:szCs w:val="18"/>
          <w:lang w:eastAsia="en-US"/>
        </w:rPr>
        <w:t xml:space="preserve">0,05 palyginus su placebo ir insulino deriniu (taip pat kartu vartota arba nevartota geriamojo gliukozės koncentraciją mažinančio vaistinio preparato). </w:t>
      </w:r>
    </w:p>
    <w:p w14:paraId="794AD45E" w14:textId="777777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1</w:t>
      </w:r>
      <w:r w:rsidRPr="0073443F">
        <w:rPr>
          <w:rFonts w:eastAsiaTheme="minorHAnsi"/>
          <w:color w:val="000000"/>
          <w:sz w:val="18"/>
          <w:szCs w:val="18"/>
          <w:lang w:eastAsia="en-US"/>
        </w:rPr>
        <w:t xml:space="preserve"> Insulino (trumpos, vidutinės veikimo trukmės, bazinio) dozę buvo leidžiama didinti tik pacientams, atitikusiems iš anksto numatytus gliukozės koncentracijos plazmoje nevalgius kriterijus.</w:t>
      </w:r>
    </w:p>
    <w:p w14:paraId="46C20406" w14:textId="602C5616" w:rsidR="00E86446" w:rsidRPr="0073443F" w:rsidRDefault="00345E63">
      <w:pPr>
        <w:widowControl w:val="0"/>
        <w:autoSpaceDE w:val="0"/>
        <w:autoSpaceDN w:val="0"/>
        <w:adjustRightInd w:val="0"/>
        <w:rPr>
          <w:sz w:val="18"/>
          <w:szCs w:val="18"/>
        </w:rPr>
      </w:pPr>
      <w:r w:rsidRPr="0073443F">
        <w:rPr>
          <w:sz w:val="18"/>
          <w:szCs w:val="18"/>
          <w:vertAlign w:val="superscript"/>
        </w:rPr>
        <w:t>2</w:t>
      </w:r>
      <w:r w:rsidRPr="0073443F">
        <w:rPr>
          <w:sz w:val="18"/>
          <w:szCs w:val="18"/>
        </w:rPr>
        <w:t xml:space="preserve"> Iš pradžių 50 % pacientų vartojo vien insulin</w:t>
      </w:r>
      <w:r w:rsidR="00A95E27">
        <w:rPr>
          <w:sz w:val="18"/>
          <w:szCs w:val="18"/>
        </w:rPr>
        <w:t>o</w:t>
      </w:r>
      <w:r w:rsidRPr="0073443F">
        <w:rPr>
          <w:sz w:val="18"/>
          <w:szCs w:val="18"/>
        </w:rPr>
        <w:t>, 50 % – kartu su juo 1-2 geriam</w:t>
      </w:r>
      <w:r w:rsidR="000B00F1">
        <w:rPr>
          <w:sz w:val="18"/>
          <w:szCs w:val="18"/>
        </w:rPr>
        <w:t>ųjų</w:t>
      </w:r>
      <w:r w:rsidRPr="0073443F">
        <w:rPr>
          <w:sz w:val="18"/>
          <w:szCs w:val="18"/>
        </w:rPr>
        <w:t xml:space="preserve"> gliukozės koncentraciją mažinanči</w:t>
      </w:r>
      <w:r w:rsidR="000B00F1">
        <w:rPr>
          <w:sz w:val="18"/>
          <w:szCs w:val="18"/>
        </w:rPr>
        <w:t>ų</w:t>
      </w:r>
      <w:r w:rsidRPr="0073443F">
        <w:rPr>
          <w:sz w:val="18"/>
          <w:szCs w:val="18"/>
        </w:rPr>
        <w:t xml:space="preserve"> vaistini</w:t>
      </w:r>
      <w:r w:rsidR="000B00F1">
        <w:rPr>
          <w:sz w:val="18"/>
          <w:szCs w:val="18"/>
        </w:rPr>
        <w:t>ų</w:t>
      </w:r>
      <w:r w:rsidRPr="0073443F">
        <w:rPr>
          <w:sz w:val="18"/>
          <w:szCs w:val="18"/>
        </w:rPr>
        <w:t xml:space="preserve"> preparat</w:t>
      </w:r>
      <w:r w:rsidR="000B00F1">
        <w:rPr>
          <w:sz w:val="18"/>
          <w:szCs w:val="18"/>
        </w:rPr>
        <w:t>ų</w:t>
      </w:r>
      <w:r w:rsidRPr="0073443F">
        <w:rPr>
          <w:sz w:val="18"/>
          <w:szCs w:val="18"/>
        </w:rPr>
        <w:t xml:space="preserve"> (80 % pastarųjų – tik </w:t>
      </w:r>
      <w:proofErr w:type="spellStart"/>
      <w:r w:rsidRPr="0073443F">
        <w:rPr>
          <w:sz w:val="18"/>
          <w:szCs w:val="18"/>
        </w:rPr>
        <w:t>metformin</w:t>
      </w:r>
      <w:r w:rsidR="000B00F1">
        <w:rPr>
          <w:sz w:val="18"/>
          <w:szCs w:val="18"/>
        </w:rPr>
        <w:t>o</w:t>
      </w:r>
      <w:proofErr w:type="spellEnd"/>
      <w:r w:rsidRPr="0073443F">
        <w:rPr>
          <w:sz w:val="18"/>
          <w:szCs w:val="18"/>
        </w:rPr>
        <w:t xml:space="preserve">, 12 % – </w:t>
      </w:r>
      <w:proofErr w:type="spellStart"/>
      <w:r w:rsidRPr="0073443F">
        <w:rPr>
          <w:sz w:val="18"/>
          <w:szCs w:val="18"/>
        </w:rPr>
        <w:t>metformin</w:t>
      </w:r>
      <w:r w:rsidR="000B00F1">
        <w:rPr>
          <w:sz w:val="18"/>
          <w:szCs w:val="18"/>
        </w:rPr>
        <w:t>o</w:t>
      </w:r>
      <w:proofErr w:type="spellEnd"/>
      <w:r w:rsidRPr="0073443F">
        <w:rPr>
          <w:sz w:val="18"/>
          <w:szCs w:val="18"/>
        </w:rPr>
        <w:t xml:space="preserve"> ir </w:t>
      </w:r>
      <w:proofErr w:type="spellStart"/>
      <w:r w:rsidRPr="0073443F">
        <w:rPr>
          <w:sz w:val="18"/>
          <w:szCs w:val="18"/>
        </w:rPr>
        <w:t>sulfonilkarbamid</w:t>
      </w:r>
      <w:r w:rsidR="000B00F1">
        <w:rPr>
          <w:sz w:val="18"/>
          <w:szCs w:val="18"/>
        </w:rPr>
        <w:t>o</w:t>
      </w:r>
      <w:proofErr w:type="spellEnd"/>
      <w:r w:rsidR="000B00F1">
        <w:rPr>
          <w:sz w:val="18"/>
          <w:szCs w:val="18"/>
        </w:rPr>
        <w:t xml:space="preserve"> darinio</w:t>
      </w:r>
      <w:r w:rsidRPr="0073443F">
        <w:rPr>
          <w:sz w:val="18"/>
          <w:szCs w:val="18"/>
        </w:rPr>
        <w:t>, likusieji – kitų geriamųjų gliukozės koncentraciją mažinančių vaistinių preparatų).</w:t>
      </w:r>
    </w:p>
    <w:p w14:paraId="1C2126FC" w14:textId="77777777" w:rsidR="00E86446" w:rsidRDefault="00E86446">
      <w:pPr>
        <w:widowControl w:val="0"/>
        <w:tabs>
          <w:tab w:val="left" w:pos="567"/>
        </w:tabs>
        <w:ind w:left="567" w:hanging="567"/>
        <w:outlineLvl w:val="2"/>
        <w:rPr>
          <w:rFonts w:eastAsia="TimesNewRoman"/>
          <w:sz w:val="22"/>
          <w:szCs w:val="22"/>
          <w:lang w:eastAsia="en-US"/>
        </w:rPr>
      </w:pPr>
    </w:p>
    <w:p w14:paraId="3EE14BFE"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Derinys su </w:t>
      </w:r>
      <w:proofErr w:type="spellStart"/>
      <w:r>
        <w:rPr>
          <w:rFonts w:eastAsiaTheme="minorHAnsi"/>
          <w:i/>
          <w:iCs/>
          <w:color w:val="000000"/>
          <w:sz w:val="22"/>
          <w:szCs w:val="22"/>
          <w:lang w:eastAsia="en-US"/>
        </w:rPr>
        <w:t>metforminu</w:t>
      </w:r>
      <w:proofErr w:type="spellEnd"/>
      <w:r>
        <w:rPr>
          <w:rFonts w:eastAsiaTheme="minorHAnsi"/>
          <w:i/>
          <w:iCs/>
          <w:color w:val="000000"/>
          <w:sz w:val="22"/>
          <w:szCs w:val="22"/>
          <w:lang w:eastAsia="en-US"/>
        </w:rPr>
        <w:t xml:space="preserve"> anksčiau vaistinių preparatų nevartojusiems pacientams</w:t>
      </w:r>
    </w:p>
    <w:p w14:paraId="642D1CD3" w14:textId="1FEF6F7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Dviejuose 24 savaičių aktyvios kontrolės dapagliflozino (5 mg arba 10 mg) derinio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veiksmingumo ir saugumo, palyginus su atskirais komponentais, tyrimuose iš viso dalyvavo 1 236 anksčiau vaistinių preparatų nevartoję pacientai, sirgę tinkamai nekontroliuojamu 2 tipo diabetu (HbA1c</w:t>
      </w:r>
      <w:r w:rsidR="004B78D5">
        <w:rPr>
          <w:rFonts w:eastAsiaTheme="minorHAnsi"/>
          <w:color w:val="000000"/>
          <w:sz w:val="22"/>
          <w:szCs w:val="22"/>
          <w:lang w:eastAsia="en-US"/>
        </w:rPr>
        <w:t> </w:t>
      </w:r>
      <w:r>
        <w:rPr>
          <w:rFonts w:eastAsiaTheme="minorHAnsi"/>
          <w:color w:val="000000"/>
          <w:sz w:val="22"/>
          <w:szCs w:val="22"/>
          <w:lang w:eastAsia="en-US"/>
        </w:rPr>
        <w:t>≥ 7,5 % ir ≤ 12 %).</w:t>
      </w:r>
    </w:p>
    <w:p w14:paraId="31B7A46B" w14:textId="40207382" w:rsidR="00E86446" w:rsidRDefault="00345E63">
      <w:pPr>
        <w:widowControl w:val="0"/>
        <w:autoSpaceDE w:val="0"/>
        <w:autoSpaceDN w:val="0"/>
        <w:adjustRightInd w:val="0"/>
        <w:rPr>
          <w:sz w:val="22"/>
          <w:szCs w:val="22"/>
        </w:rPr>
      </w:pPr>
      <w:r>
        <w:rPr>
          <w:sz w:val="22"/>
          <w:szCs w:val="22"/>
        </w:rPr>
        <w:t>Kartu vartojus 10 mg dapagliflozino ir iki 2</w:t>
      </w:r>
      <w:r w:rsidR="009B1545">
        <w:rPr>
          <w:sz w:val="22"/>
          <w:szCs w:val="22"/>
        </w:rPr>
        <w:t> </w:t>
      </w:r>
      <w:r>
        <w:rPr>
          <w:sz w:val="22"/>
          <w:szCs w:val="22"/>
        </w:rPr>
        <w:t>000</w:t>
      </w:r>
      <w:r w:rsidR="009B1545">
        <w:rPr>
          <w:sz w:val="22"/>
          <w:szCs w:val="22"/>
        </w:rPr>
        <w:t> </w:t>
      </w:r>
      <w:r>
        <w:rPr>
          <w:sz w:val="22"/>
          <w:szCs w:val="22"/>
        </w:rPr>
        <w:t xml:space="preserve">mg </w:t>
      </w:r>
      <w:proofErr w:type="spellStart"/>
      <w:r>
        <w:rPr>
          <w:sz w:val="22"/>
          <w:szCs w:val="22"/>
        </w:rPr>
        <w:t>metformino</w:t>
      </w:r>
      <w:proofErr w:type="spellEnd"/>
      <w:r>
        <w:rPr>
          <w:sz w:val="22"/>
          <w:szCs w:val="22"/>
        </w:rPr>
        <w:t xml:space="preserve"> per parą, HbA1c koncentracija buvo reikšmingai mažesnė negu vartojus atskir</w:t>
      </w:r>
      <w:r w:rsidR="009B1545">
        <w:rPr>
          <w:sz w:val="22"/>
          <w:szCs w:val="22"/>
        </w:rPr>
        <w:t>ų</w:t>
      </w:r>
      <w:r>
        <w:rPr>
          <w:sz w:val="22"/>
          <w:szCs w:val="22"/>
        </w:rPr>
        <w:t xml:space="preserve"> komponent</w:t>
      </w:r>
      <w:r w:rsidR="009B1545">
        <w:rPr>
          <w:sz w:val="22"/>
          <w:szCs w:val="22"/>
        </w:rPr>
        <w:t>ų</w:t>
      </w:r>
      <w:r>
        <w:rPr>
          <w:sz w:val="22"/>
          <w:szCs w:val="22"/>
        </w:rPr>
        <w:t xml:space="preserve"> (7 lentelė)</w:t>
      </w:r>
      <w:r w:rsidR="009B1545">
        <w:rPr>
          <w:sz w:val="22"/>
          <w:szCs w:val="22"/>
        </w:rPr>
        <w:t xml:space="preserve">ir lėmė </w:t>
      </w:r>
      <w:r w:rsidR="00D55D15">
        <w:rPr>
          <w:sz w:val="22"/>
          <w:szCs w:val="22"/>
        </w:rPr>
        <w:t xml:space="preserve">didesnį </w:t>
      </w:r>
      <w:r>
        <w:rPr>
          <w:sz w:val="22"/>
          <w:szCs w:val="22"/>
        </w:rPr>
        <w:t>gliukozės koncentracij</w:t>
      </w:r>
      <w:r w:rsidR="009B1545">
        <w:rPr>
          <w:sz w:val="22"/>
          <w:szCs w:val="22"/>
        </w:rPr>
        <w:t>os</w:t>
      </w:r>
      <w:r>
        <w:rPr>
          <w:sz w:val="22"/>
          <w:szCs w:val="22"/>
        </w:rPr>
        <w:t xml:space="preserve"> plazmoje </w:t>
      </w:r>
      <w:r w:rsidR="009B1545">
        <w:rPr>
          <w:sz w:val="22"/>
          <w:szCs w:val="22"/>
        </w:rPr>
        <w:t xml:space="preserve">sumažėjimą </w:t>
      </w:r>
      <w:r>
        <w:rPr>
          <w:sz w:val="22"/>
          <w:szCs w:val="22"/>
        </w:rPr>
        <w:t xml:space="preserve">nevalgius </w:t>
      </w:r>
      <w:r w:rsidR="00D55D15">
        <w:rPr>
          <w:sz w:val="22"/>
          <w:szCs w:val="22"/>
        </w:rPr>
        <w:t xml:space="preserve">bei </w:t>
      </w:r>
      <w:r>
        <w:rPr>
          <w:sz w:val="22"/>
          <w:szCs w:val="22"/>
        </w:rPr>
        <w:t xml:space="preserve">labiau už </w:t>
      </w:r>
      <w:proofErr w:type="spellStart"/>
      <w:r>
        <w:rPr>
          <w:sz w:val="22"/>
          <w:szCs w:val="22"/>
        </w:rPr>
        <w:t>metforminą</w:t>
      </w:r>
      <w:proofErr w:type="spellEnd"/>
      <w:r>
        <w:rPr>
          <w:sz w:val="22"/>
          <w:szCs w:val="22"/>
        </w:rPr>
        <w:t xml:space="preserve"> sumažino kūno svorį.</w:t>
      </w:r>
    </w:p>
    <w:p w14:paraId="6D2B6792" w14:textId="77777777" w:rsidR="00E86446" w:rsidRDefault="00E86446">
      <w:pPr>
        <w:widowControl w:val="0"/>
        <w:tabs>
          <w:tab w:val="left" w:pos="567"/>
        </w:tabs>
        <w:outlineLvl w:val="2"/>
        <w:rPr>
          <w:rFonts w:eastAsia="TimesNewRoman"/>
          <w:sz w:val="22"/>
          <w:szCs w:val="22"/>
          <w:lang w:eastAsia="en-US"/>
        </w:rPr>
      </w:pPr>
    </w:p>
    <w:p w14:paraId="35314FEA" w14:textId="77777777" w:rsidR="00E86446" w:rsidRDefault="00345E63">
      <w:pPr>
        <w:widowControl w:val="0"/>
        <w:tabs>
          <w:tab w:val="left" w:pos="567"/>
        </w:tabs>
        <w:ind w:left="567" w:hanging="567"/>
        <w:outlineLvl w:val="2"/>
        <w:rPr>
          <w:rFonts w:eastAsia="TimesNewRoman"/>
          <w:b/>
          <w:bCs/>
          <w:sz w:val="22"/>
          <w:szCs w:val="22"/>
          <w:lang w:eastAsia="en-US"/>
        </w:rPr>
      </w:pPr>
      <w:r>
        <w:rPr>
          <w:rFonts w:eastAsia="TimesNewRoman"/>
          <w:b/>
          <w:bCs/>
          <w:sz w:val="22"/>
          <w:szCs w:val="22"/>
          <w:lang w:eastAsia="en-US"/>
        </w:rPr>
        <w:t xml:space="preserve">7 lentelė. Aktyviai kontroliuoto dapagliflozino ir </w:t>
      </w:r>
      <w:proofErr w:type="spellStart"/>
      <w:r>
        <w:rPr>
          <w:rFonts w:eastAsia="TimesNewRoman"/>
          <w:b/>
          <w:bCs/>
          <w:sz w:val="22"/>
          <w:szCs w:val="22"/>
          <w:lang w:eastAsia="en-US"/>
        </w:rPr>
        <w:t>metformino</w:t>
      </w:r>
      <w:proofErr w:type="spellEnd"/>
      <w:r>
        <w:rPr>
          <w:rFonts w:eastAsia="TimesNewRoman"/>
          <w:b/>
          <w:bCs/>
          <w:sz w:val="22"/>
          <w:szCs w:val="22"/>
          <w:lang w:eastAsia="en-US"/>
        </w:rPr>
        <w:t xml:space="preserve"> derinio poveikio anksčiau vaistinių preparatų nevartojusiems pacientams tyrimo duomenys po 24 savaičių (</w:t>
      </w:r>
      <w:proofErr w:type="spellStart"/>
      <w:r>
        <w:rPr>
          <w:rFonts w:eastAsia="TimesNewRoman"/>
          <w:b/>
          <w:bCs/>
          <w:sz w:val="22"/>
          <w:szCs w:val="22"/>
          <w:lang w:eastAsia="en-US"/>
        </w:rPr>
        <w:t>LOCF</w:t>
      </w:r>
      <w:r>
        <w:rPr>
          <w:rFonts w:eastAsia="TimesNewRoman"/>
          <w:b/>
          <w:bCs/>
          <w:sz w:val="22"/>
          <w:szCs w:val="22"/>
          <w:vertAlign w:val="superscript"/>
          <w:lang w:eastAsia="en-US"/>
        </w:rPr>
        <w:t>a</w:t>
      </w:r>
      <w:proofErr w:type="spellEnd"/>
      <w:r>
        <w:rPr>
          <w:rFonts w:eastAsia="TimesNewRoman"/>
          <w:b/>
          <w:bCs/>
          <w:sz w:val="22"/>
          <w:szCs w:val="22"/>
          <w:lang w:eastAsia="en-US"/>
        </w:rPr>
        <w:t>)</w:t>
      </w:r>
    </w:p>
    <w:tbl>
      <w:tblPr>
        <w:tblStyle w:val="Lentelstinklelis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2552"/>
        <w:gridCol w:w="1671"/>
        <w:gridCol w:w="1698"/>
      </w:tblGrid>
      <w:tr w:rsidR="00E86446" w14:paraId="7EC4A1DD" w14:textId="77777777">
        <w:tc>
          <w:tcPr>
            <w:tcW w:w="3407" w:type="dxa"/>
            <w:tcBorders>
              <w:top w:val="single" w:sz="4" w:space="0" w:color="auto"/>
              <w:bottom w:val="single" w:sz="4" w:space="0" w:color="auto"/>
            </w:tcBorders>
          </w:tcPr>
          <w:p w14:paraId="3FD391DC" w14:textId="77777777" w:rsidR="00E86446" w:rsidRDefault="00345E63">
            <w:pPr>
              <w:numPr>
                <w:ilvl w:val="12"/>
                <w:numId w:val="0"/>
              </w:numPr>
              <w:tabs>
                <w:tab w:val="left" w:pos="8505"/>
              </w:tabs>
              <w:ind w:right="201"/>
              <w:rPr>
                <w:b/>
                <w:sz w:val="22"/>
                <w:lang w:val="en-GB" w:eastAsia="sl-SI"/>
              </w:rPr>
            </w:pPr>
            <w:proofErr w:type="spellStart"/>
            <w:r>
              <w:rPr>
                <w:b/>
                <w:sz w:val="22"/>
                <w:lang w:val="en-GB" w:eastAsia="sl-SI"/>
              </w:rPr>
              <w:t>Rodiklis</w:t>
            </w:r>
            <w:proofErr w:type="spellEnd"/>
          </w:p>
          <w:p w14:paraId="328F7432" w14:textId="77777777" w:rsidR="00E86446" w:rsidRDefault="00E86446">
            <w:pPr>
              <w:numPr>
                <w:ilvl w:val="12"/>
                <w:numId w:val="0"/>
              </w:numPr>
              <w:tabs>
                <w:tab w:val="left" w:pos="8505"/>
              </w:tabs>
              <w:spacing w:line="251" w:lineRule="exact"/>
              <w:ind w:right="-2"/>
              <w:rPr>
                <w:b/>
                <w:sz w:val="22"/>
                <w:lang w:val="en-GB" w:eastAsia="sl-SI"/>
              </w:rPr>
            </w:pPr>
          </w:p>
        </w:tc>
        <w:tc>
          <w:tcPr>
            <w:tcW w:w="2552" w:type="dxa"/>
            <w:tcBorders>
              <w:top w:val="single" w:sz="4" w:space="0" w:color="auto"/>
              <w:bottom w:val="single" w:sz="4" w:space="0" w:color="auto"/>
            </w:tcBorders>
          </w:tcPr>
          <w:p w14:paraId="446982BF" w14:textId="77777777" w:rsidR="00E86446" w:rsidRDefault="00345E63">
            <w:pPr>
              <w:numPr>
                <w:ilvl w:val="12"/>
                <w:numId w:val="0"/>
              </w:numPr>
              <w:tabs>
                <w:tab w:val="left" w:pos="8505"/>
              </w:tabs>
              <w:ind w:right="201"/>
              <w:jc w:val="center"/>
              <w:rPr>
                <w:b/>
                <w:sz w:val="22"/>
                <w:lang w:val="en-GB" w:eastAsia="sl-SI"/>
              </w:rPr>
            </w:pPr>
            <w:proofErr w:type="spellStart"/>
            <w:r>
              <w:rPr>
                <w:b/>
                <w:sz w:val="22"/>
                <w:lang w:val="en-GB" w:eastAsia="sl-SI"/>
              </w:rPr>
              <w:t>Dapagliflozinas</w:t>
            </w:r>
            <w:proofErr w:type="spellEnd"/>
            <w:r>
              <w:rPr>
                <w:b/>
                <w:sz w:val="22"/>
                <w:lang w:val="en-GB" w:eastAsia="sl-SI"/>
              </w:rPr>
              <w:t xml:space="preserve"> 10 mg + </w:t>
            </w:r>
            <w:proofErr w:type="spellStart"/>
            <w:r>
              <w:rPr>
                <w:b/>
                <w:sz w:val="22"/>
                <w:lang w:val="en-GB" w:eastAsia="sl-SI"/>
              </w:rPr>
              <w:t>metforminas</w:t>
            </w:r>
            <w:proofErr w:type="spellEnd"/>
          </w:p>
        </w:tc>
        <w:tc>
          <w:tcPr>
            <w:tcW w:w="1412" w:type="dxa"/>
            <w:tcBorders>
              <w:top w:val="single" w:sz="4" w:space="0" w:color="auto"/>
              <w:bottom w:val="single" w:sz="4" w:space="0" w:color="auto"/>
            </w:tcBorders>
          </w:tcPr>
          <w:p w14:paraId="1EC9B866" w14:textId="77777777" w:rsidR="00E86446" w:rsidRDefault="00345E63">
            <w:pPr>
              <w:numPr>
                <w:ilvl w:val="12"/>
                <w:numId w:val="0"/>
              </w:numPr>
              <w:tabs>
                <w:tab w:val="left" w:pos="8505"/>
              </w:tabs>
              <w:spacing w:line="251" w:lineRule="exact"/>
              <w:ind w:right="-2"/>
              <w:jc w:val="center"/>
              <w:rPr>
                <w:b/>
                <w:sz w:val="22"/>
                <w:lang w:val="en-GB" w:eastAsia="sl-SI"/>
              </w:rPr>
            </w:pPr>
            <w:proofErr w:type="spellStart"/>
            <w:r>
              <w:rPr>
                <w:b/>
                <w:sz w:val="22"/>
                <w:lang w:val="en-GB" w:eastAsia="sl-SI"/>
              </w:rPr>
              <w:t>Dapagliflozinas</w:t>
            </w:r>
            <w:proofErr w:type="spellEnd"/>
            <w:r>
              <w:rPr>
                <w:b/>
                <w:sz w:val="22"/>
                <w:lang w:val="en-GB" w:eastAsia="sl-SI"/>
              </w:rPr>
              <w:t xml:space="preserve"> 10 mg</w:t>
            </w:r>
          </w:p>
        </w:tc>
        <w:tc>
          <w:tcPr>
            <w:tcW w:w="1698" w:type="dxa"/>
            <w:tcBorders>
              <w:top w:val="single" w:sz="4" w:space="0" w:color="auto"/>
              <w:bottom w:val="single" w:sz="4" w:space="0" w:color="auto"/>
            </w:tcBorders>
          </w:tcPr>
          <w:p w14:paraId="3BB3E0D2" w14:textId="77777777" w:rsidR="00E86446" w:rsidRDefault="00345E63">
            <w:pPr>
              <w:numPr>
                <w:ilvl w:val="12"/>
                <w:numId w:val="0"/>
              </w:numPr>
              <w:tabs>
                <w:tab w:val="left" w:pos="8505"/>
              </w:tabs>
              <w:spacing w:line="251" w:lineRule="exact"/>
              <w:ind w:right="-2"/>
              <w:jc w:val="center"/>
              <w:rPr>
                <w:b/>
                <w:sz w:val="22"/>
                <w:lang w:val="en-GB" w:eastAsia="sl-SI"/>
              </w:rPr>
            </w:pPr>
            <w:r>
              <w:rPr>
                <w:b/>
                <w:sz w:val="22"/>
                <w:lang w:val="en-GB" w:eastAsia="sl-SI"/>
              </w:rPr>
              <w:t>Metforminas</w:t>
            </w:r>
          </w:p>
        </w:tc>
      </w:tr>
      <w:tr w:rsidR="00E86446" w14:paraId="4450B310" w14:textId="77777777">
        <w:tc>
          <w:tcPr>
            <w:tcW w:w="3407" w:type="dxa"/>
            <w:tcBorders>
              <w:top w:val="single" w:sz="4" w:space="0" w:color="auto"/>
              <w:bottom w:val="single" w:sz="4" w:space="0" w:color="auto"/>
            </w:tcBorders>
          </w:tcPr>
          <w:p w14:paraId="5882A9B9" w14:textId="77777777" w:rsidR="00E86446" w:rsidRDefault="00345E63">
            <w:pPr>
              <w:numPr>
                <w:ilvl w:val="12"/>
                <w:numId w:val="0"/>
              </w:numPr>
              <w:tabs>
                <w:tab w:val="left" w:pos="8505"/>
              </w:tabs>
              <w:ind w:right="201"/>
              <w:rPr>
                <w:sz w:val="22"/>
                <w:lang w:val="en-GB" w:eastAsia="sl-SI"/>
              </w:rPr>
            </w:pPr>
            <w:r>
              <w:rPr>
                <w:b/>
                <w:spacing w:val="-5"/>
                <w:sz w:val="22"/>
                <w:lang w:val="en-GB" w:eastAsia="sl-SI"/>
              </w:rPr>
              <w:t>N</w:t>
            </w:r>
            <w:r>
              <w:rPr>
                <w:spacing w:val="-5"/>
                <w:sz w:val="22"/>
                <w:vertAlign w:val="superscript"/>
                <w:lang w:val="en-GB" w:eastAsia="sl-SI"/>
              </w:rPr>
              <w:t>b</w:t>
            </w:r>
          </w:p>
        </w:tc>
        <w:tc>
          <w:tcPr>
            <w:tcW w:w="2552" w:type="dxa"/>
            <w:tcBorders>
              <w:top w:val="single" w:sz="4" w:space="0" w:color="auto"/>
              <w:bottom w:val="single" w:sz="4" w:space="0" w:color="auto"/>
            </w:tcBorders>
          </w:tcPr>
          <w:p w14:paraId="27B60396" w14:textId="77777777" w:rsidR="00E86446" w:rsidRDefault="00345E63">
            <w:pPr>
              <w:numPr>
                <w:ilvl w:val="12"/>
                <w:numId w:val="0"/>
              </w:numPr>
              <w:tabs>
                <w:tab w:val="left" w:pos="8505"/>
              </w:tabs>
              <w:ind w:right="201"/>
              <w:jc w:val="center"/>
              <w:rPr>
                <w:sz w:val="22"/>
                <w:lang w:val="en-GB" w:eastAsia="sl-SI"/>
              </w:rPr>
            </w:pPr>
            <w:r>
              <w:rPr>
                <w:spacing w:val="-4"/>
                <w:sz w:val="22"/>
                <w:lang w:val="en-GB" w:eastAsia="sl-SI"/>
              </w:rPr>
              <w:t>211</w:t>
            </w:r>
            <w:r>
              <w:rPr>
                <w:spacing w:val="-4"/>
                <w:sz w:val="22"/>
                <w:vertAlign w:val="superscript"/>
                <w:lang w:val="en-GB" w:eastAsia="sl-SI"/>
              </w:rPr>
              <w:t>b</w:t>
            </w:r>
          </w:p>
        </w:tc>
        <w:tc>
          <w:tcPr>
            <w:tcW w:w="1412" w:type="dxa"/>
            <w:tcBorders>
              <w:top w:val="single" w:sz="4" w:space="0" w:color="auto"/>
              <w:bottom w:val="single" w:sz="4" w:space="0" w:color="auto"/>
            </w:tcBorders>
          </w:tcPr>
          <w:p w14:paraId="0CB4621E" w14:textId="77777777" w:rsidR="00E86446" w:rsidRDefault="00345E63">
            <w:pPr>
              <w:numPr>
                <w:ilvl w:val="12"/>
                <w:numId w:val="0"/>
              </w:numPr>
              <w:tabs>
                <w:tab w:val="left" w:pos="8505"/>
              </w:tabs>
              <w:spacing w:line="251" w:lineRule="exact"/>
              <w:ind w:right="-2"/>
              <w:jc w:val="center"/>
              <w:rPr>
                <w:sz w:val="22"/>
                <w:lang w:val="en-GB" w:eastAsia="sl-SI"/>
              </w:rPr>
            </w:pPr>
            <w:r>
              <w:rPr>
                <w:spacing w:val="-4"/>
                <w:sz w:val="22"/>
                <w:lang w:val="en-GB" w:eastAsia="sl-SI"/>
              </w:rPr>
              <w:t>219</w:t>
            </w:r>
            <w:r>
              <w:rPr>
                <w:spacing w:val="-4"/>
                <w:sz w:val="22"/>
                <w:vertAlign w:val="superscript"/>
                <w:lang w:val="en-GB" w:eastAsia="sl-SI"/>
              </w:rPr>
              <w:t>b</w:t>
            </w:r>
          </w:p>
        </w:tc>
        <w:tc>
          <w:tcPr>
            <w:tcW w:w="1698" w:type="dxa"/>
            <w:tcBorders>
              <w:top w:val="single" w:sz="4" w:space="0" w:color="auto"/>
              <w:bottom w:val="single" w:sz="4" w:space="0" w:color="auto"/>
            </w:tcBorders>
          </w:tcPr>
          <w:p w14:paraId="7F24DD74" w14:textId="77777777" w:rsidR="00E86446" w:rsidRDefault="00345E63">
            <w:pPr>
              <w:numPr>
                <w:ilvl w:val="12"/>
                <w:numId w:val="0"/>
              </w:numPr>
              <w:tabs>
                <w:tab w:val="left" w:pos="8505"/>
              </w:tabs>
              <w:spacing w:line="251" w:lineRule="exact"/>
              <w:ind w:right="-2"/>
              <w:jc w:val="center"/>
              <w:rPr>
                <w:sz w:val="22"/>
                <w:lang w:val="en-GB" w:eastAsia="sl-SI"/>
              </w:rPr>
            </w:pPr>
            <w:r>
              <w:rPr>
                <w:spacing w:val="-4"/>
                <w:sz w:val="22"/>
                <w:lang w:val="en-GB" w:eastAsia="sl-SI"/>
              </w:rPr>
              <w:t>208</w:t>
            </w:r>
            <w:r>
              <w:rPr>
                <w:spacing w:val="-4"/>
                <w:sz w:val="22"/>
                <w:vertAlign w:val="superscript"/>
                <w:lang w:val="en-GB" w:eastAsia="sl-SI"/>
              </w:rPr>
              <w:t>b</w:t>
            </w:r>
          </w:p>
        </w:tc>
      </w:tr>
      <w:tr w:rsidR="00E86446" w14:paraId="5618AF72" w14:textId="77777777">
        <w:tc>
          <w:tcPr>
            <w:tcW w:w="3407" w:type="dxa"/>
            <w:tcBorders>
              <w:top w:val="single" w:sz="4" w:space="0" w:color="auto"/>
            </w:tcBorders>
          </w:tcPr>
          <w:p w14:paraId="66F23378" w14:textId="77777777" w:rsidR="00E86446" w:rsidRDefault="00345E63">
            <w:pPr>
              <w:numPr>
                <w:ilvl w:val="12"/>
                <w:numId w:val="0"/>
              </w:numPr>
              <w:tabs>
                <w:tab w:val="left" w:pos="8505"/>
              </w:tabs>
              <w:ind w:right="201"/>
              <w:rPr>
                <w:b/>
                <w:spacing w:val="-5"/>
                <w:sz w:val="22"/>
                <w:lang w:val="en-GB" w:eastAsia="sl-SI"/>
              </w:rPr>
            </w:pPr>
            <w:r>
              <w:rPr>
                <w:b/>
                <w:sz w:val="22"/>
                <w:lang w:val="en-GB" w:eastAsia="sl-SI"/>
              </w:rPr>
              <w:t>HbA1c (%)</w:t>
            </w:r>
          </w:p>
        </w:tc>
        <w:tc>
          <w:tcPr>
            <w:tcW w:w="2552" w:type="dxa"/>
            <w:tcBorders>
              <w:top w:val="single" w:sz="4" w:space="0" w:color="auto"/>
            </w:tcBorders>
          </w:tcPr>
          <w:p w14:paraId="74AD6772" w14:textId="77777777" w:rsidR="00E86446" w:rsidRDefault="00E86446">
            <w:pPr>
              <w:numPr>
                <w:ilvl w:val="12"/>
                <w:numId w:val="0"/>
              </w:numPr>
              <w:tabs>
                <w:tab w:val="left" w:pos="8505"/>
              </w:tabs>
              <w:ind w:right="201"/>
              <w:jc w:val="center"/>
              <w:rPr>
                <w:spacing w:val="-4"/>
                <w:sz w:val="22"/>
                <w:lang w:val="en-GB" w:eastAsia="sl-SI"/>
              </w:rPr>
            </w:pPr>
          </w:p>
        </w:tc>
        <w:tc>
          <w:tcPr>
            <w:tcW w:w="1412" w:type="dxa"/>
            <w:tcBorders>
              <w:top w:val="single" w:sz="4" w:space="0" w:color="auto"/>
            </w:tcBorders>
          </w:tcPr>
          <w:p w14:paraId="3B666CFC" w14:textId="77777777" w:rsidR="00E86446" w:rsidRDefault="00E86446">
            <w:pPr>
              <w:numPr>
                <w:ilvl w:val="12"/>
                <w:numId w:val="0"/>
              </w:numPr>
              <w:tabs>
                <w:tab w:val="left" w:pos="8505"/>
              </w:tabs>
              <w:spacing w:line="251" w:lineRule="exact"/>
              <w:ind w:right="-2"/>
              <w:jc w:val="center"/>
              <w:rPr>
                <w:spacing w:val="-4"/>
                <w:sz w:val="22"/>
                <w:lang w:val="en-GB" w:eastAsia="sl-SI"/>
              </w:rPr>
            </w:pPr>
          </w:p>
        </w:tc>
        <w:tc>
          <w:tcPr>
            <w:tcW w:w="1698" w:type="dxa"/>
            <w:tcBorders>
              <w:top w:val="single" w:sz="4" w:space="0" w:color="auto"/>
            </w:tcBorders>
          </w:tcPr>
          <w:p w14:paraId="636FE107" w14:textId="77777777" w:rsidR="00E86446" w:rsidRDefault="00E86446">
            <w:pPr>
              <w:numPr>
                <w:ilvl w:val="12"/>
                <w:numId w:val="0"/>
              </w:numPr>
              <w:tabs>
                <w:tab w:val="left" w:pos="8505"/>
              </w:tabs>
              <w:spacing w:line="251" w:lineRule="exact"/>
              <w:ind w:right="-2"/>
              <w:jc w:val="center"/>
              <w:rPr>
                <w:spacing w:val="-4"/>
                <w:sz w:val="22"/>
                <w:lang w:val="en-GB" w:eastAsia="sl-SI"/>
              </w:rPr>
            </w:pPr>
          </w:p>
        </w:tc>
      </w:tr>
      <w:tr w:rsidR="00E86446" w14:paraId="211342AC" w14:textId="77777777">
        <w:tc>
          <w:tcPr>
            <w:tcW w:w="3407" w:type="dxa"/>
          </w:tcPr>
          <w:p w14:paraId="0C0F8375" w14:textId="77777777" w:rsidR="00E86446" w:rsidRDefault="00345E63">
            <w:pPr>
              <w:numPr>
                <w:ilvl w:val="12"/>
                <w:numId w:val="0"/>
              </w:numPr>
              <w:tabs>
                <w:tab w:val="left" w:pos="8505"/>
              </w:tabs>
              <w:ind w:right="201"/>
              <w:rPr>
                <w:b/>
                <w:sz w:val="22"/>
                <w:lang w:val="en-GB" w:eastAsia="sl-SI"/>
              </w:rPr>
            </w:pPr>
            <w:r>
              <w:rPr>
                <w:sz w:val="22"/>
                <w:lang w:val="en-GB" w:eastAsia="sl-SI"/>
              </w:rPr>
              <w:t xml:space="preserve">   </w:t>
            </w:r>
            <w:proofErr w:type="spellStart"/>
            <w:r>
              <w:rPr>
                <w:sz w:val="22"/>
                <w:lang w:val="en-GB" w:eastAsia="sl-SI"/>
              </w:rPr>
              <w:t>Pradinė</w:t>
            </w:r>
            <w:proofErr w:type="spellEnd"/>
            <w:r>
              <w:rPr>
                <w:sz w:val="22"/>
                <w:lang w:val="en-GB" w:eastAsia="sl-SI"/>
              </w:rPr>
              <w:t xml:space="preserve"> (</w:t>
            </w:r>
            <w:proofErr w:type="spellStart"/>
            <w:r>
              <w:rPr>
                <w:sz w:val="22"/>
                <w:lang w:val="en-GB" w:eastAsia="sl-SI"/>
              </w:rPr>
              <w:t>vidurkis</w:t>
            </w:r>
            <w:proofErr w:type="spellEnd"/>
            <w:r>
              <w:rPr>
                <w:sz w:val="22"/>
                <w:lang w:val="en-GB" w:eastAsia="sl-SI"/>
              </w:rPr>
              <w:t>)</w:t>
            </w:r>
          </w:p>
        </w:tc>
        <w:tc>
          <w:tcPr>
            <w:tcW w:w="2552" w:type="dxa"/>
          </w:tcPr>
          <w:p w14:paraId="4A32C737" w14:textId="77777777" w:rsidR="00E86446" w:rsidRDefault="00345E63">
            <w:pPr>
              <w:numPr>
                <w:ilvl w:val="12"/>
                <w:numId w:val="0"/>
              </w:numPr>
              <w:tabs>
                <w:tab w:val="left" w:pos="8505"/>
              </w:tabs>
              <w:ind w:right="201"/>
              <w:jc w:val="center"/>
              <w:rPr>
                <w:spacing w:val="-4"/>
                <w:sz w:val="22"/>
                <w:lang w:val="en-GB" w:eastAsia="sl-SI"/>
              </w:rPr>
            </w:pPr>
            <w:r>
              <w:rPr>
                <w:sz w:val="22"/>
                <w:lang w:val="en-GB" w:eastAsia="sl-SI"/>
              </w:rPr>
              <w:t>9,10</w:t>
            </w:r>
          </w:p>
        </w:tc>
        <w:tc>
          <w:tcPr>
            <w:tcW w:w="1412" w:type="dxa"/>
          </w:tcPr>
          <w:p w14:paraId="19116D2A" w14:textId="77777777" w:rsidR="00E86446" w:rsidRDefault="00345E63">
            <w:pPr>
              <w:numPr>
                <w:ilvl w:val="12"/>
                <w:numId w:val="0"/>
              </w:numPr>
              <w:tabs>
                <w:tab w:val="left" w:pos="8505"/>
              </w:tabs>
              <w:spacing w:line="251" w:lineRule="exact"/>
              <w:ind w:right="-2"/>
              <w:jc w:val="center"/>
              <w:rPr>
                <w:spacing w:val="-4"/>
                <w:sz w:val="22"/>
                <w:lang w:val="en-GB" w:eastAsia="sl-SI"/>
              </w:rPr>
            </w:pPr>
            <w:r>
              <w:rPr>
                <w:sz w:val="22"/>
                <w:lang w:val="en-GB" w:eastAsia="sl-SI"/>
              </w:rPr>
              <w:t>9,03</w:t>
            </w:r>
          </w:p>
        </w:tc>
        <w:tc>
          <w:tcPr>
            <w:tcW w:w="1698" w:type="dxa"/>
          </w:tcPr>
          <w:p w14:paraId="4C95921D" w14:textId="77777777" w:rsidR="00E86446" w:rsidRDefault="00345E63">
            <w:pPr>
              <w:numPr>
                <w:ilvl w:val="12"/>
                <w:numId w:val="0"/>
              </w:numPr>
              <w:tabs>
                <w:tab w:val="left" w:pos="8505"/>
              </w:tabs>
              <w:spacing w:line="251" w:lineRule="exact"/>
              <w:ind w:right="-2"/>
              <w:jc w:val="center"/>
              <w:rPr>
                <w:spacing w:val="-4"/>
                <w:sz w:val="22"/>
                <w:lang w:val="en-GB" w:eastAsia="sl-SI"/>
              </w:rPr>
            </w:pPr>
            <w:r>
              <w:rPr>
                <w:sz w:val="22"/>
                <w:lang w:val="en-GB" w:eastAsia="sl-SI"/>
              </w:rPr>
              <w:t>9,03</w:t>
            </w:r>
          </w:p>
        </w:tc>
      </w:tr>
      <w:tr w:rsidR="00E86446" w14:paraId="3595B7EA" w14:textId="77777777">
        <w:tc>
          <w:tcPr>
            <w:tcW w:w="3407" w:type="dxa"/>
          </w:tcPr>
          <w:p w14:paraId="7AF175AE" w14:textId="77777777" w:rsidR="00E86446" w:rsidRDefault="00345E63">
            <w:pPr>
              <w:numPr>
                <w:ilvl w:val="12"/>
                <w:numId w:val="0"/>
              </w:numPr>
              <w:tabs>
                <w:tab w:val="left" w:pos="8505"/>
              </w:tabs>
              <w:ind w:right="201"/>
              <w:rPr>
                <w:b/>
                <w:sz w:val="22"/>
                <w:lang w:val="en-GB" w:eastAsia="sl-SI"/>
              </w:rPr>
            </w:pPr>
            <w:r>
              <w:rPr>
                <w:sz w:val="22"/>
                <w:lang w:val="en-GB" w:eastAsia="sl-SI"/>
              </w:rPr>
              <w:t xml:space="preserve">   </w:t>
            </w:r>
            <w:proofErr w:type="spellStart"/>
            <w:r>
              <w:rPr>
                <w:sz w:val="22"/>
                <w:lang w:val="en-GB" w:eastAsia="sl-SI"/>
              </w:rPr>
              <w:t>Pokytis</w:t>
            </w:r>
            <w:proofErr w:type="spellEnd"/>
            <w:r>
              <w:rPr>
                <w:sz w:val="22"/>
                <w:lang w:val="en-GB" w:eastAsia="sl-SI"/>
              </w:rPr>
              <w:t xml:space="preserve"> </w:t>
            </w:r>
            <w:proofErr w:type="spellStart"/>
            <w:r>
              <w:rPr>
                <w:sz w:val="22"/>
                <w:lang w:val="en-GB" w:eastAsia="sl-SI"/>
              </w:rPr>
              <w:t>palyginus</w:t>
            </w:r>
            <w:proofErr w:type="spellEnd"/>
            <w:r>
              <w:rPr>
                <w:sz w:val="22"/>
                <w:lang w:val="en-GB" w:eastAsia="sl-SI"/>
              </w:rPr>
              <w:t xml:space="preserve"> </w:t>
            </w:r>
            <w:proofErr w:type="spellStart"/>
            <w:r>
              <w:rPr>
                <w:sz w:val="22"/>
                <w:lang w:val="en-GB" w:eastAsia="sl-SI"/>
              </w:rPr>
              <w:t>su</w:t>
            </w:r>
            <w:proofErr w:type="spellEnd"/>
            <w:r>
              <w:rPr>
                <w:sz w:val="22"/>
                <w:lang w:val="en-GB" w:eastAsia="sl-SI"/>
              </w:rPr>
              <w:t xml:space="preserve"> </w:t>
            </w:r>
            <w:proofErr w:type="spellStart"/>
            <w:r>
              <w:rPr>
                <w:sz w:val="22"/>
                <w:lang w:val="en-GB" w:eastAsia="sl-SI"/>
              </w:rPr>
              <w:t>pradine</w:t>
            </w:r>
            <w:r>
              <w:rPr>
                <w:sz w:val="22"/>
                <w:vertAlign w:val="superscript"/>
                <w:lang w:val="en-GB" w:eastAsia="sl-SI"/>
              </w:rPr>
              <w:t>c</w:t>
            </w:r>
            <w:proofErr w:type="spellEnd"/>
            <w:r>
              <w:rPr>
                <w:sz w:val="22"/>
                <w:lang w:val="en-GB" w:eastAsia="sl-SI"/>
              </w:rPr>
              <w:t xml:space="preserve"> </w:t>
            </w:r>
          </w:p>
        </w:tc>
        <w:tc>
          <w:tcPr>
            <w:tcW w:w="2552" w:type="dxa"/>
          </w:tcPr>
          <w:p w14:paraId="1C3C9311" w14:textId="77777777" w:rsidR="00E86446" w:rsidRDefault="00345E63">
            <w:pPr>
              <w:numPr>
                <w:ilvl w:val="12"/>
                <w:numId w:val="0"/>
              </w:numPr>
              <w:tabs>
                <w:tab w:val="left" w:pos="8505"/>
              </w:tabs>
              <w:ind w:right="201"/>
              <w:jc w:val="center"/>
              <w:rPr>
                <w:sz w:val="22"/>
                <w:lang w:val="en-GB" w:eastAsia="sl-SI"/>
              </w:rPr>
            </w:pPr>
            <w:r>
              <w:rPr>
                <w:sz w:val="22"/>
                <w:lang w:val="en-GB" w:eastAsia="sl-SI"/>
              </w:rPr>
              <w:t>-1,98</w:t>
            </w:r>
          </w:p>
        </w:tc>
        <w:tc>
          <w:tcPr>
            <w:tcW w:w="1412" w:type="dxa"/>
          </w:tcPr>
          <w:p w14:paraId="5AE2BA95" w14:textId="77777777" w:rsidR="00E86446" w:rsidRDefault="00345E63">
            <w:pPr>
              <w:numPr>
                <w:ilvl w:val="12"/>
                <w:numId w:val="0"/>
              </w:numPr>
              <w:tabs>
                <w:tab w:val="left" w:pos="8505"/>
              </w:tabs>
              <w:spacing w:line="251" w:lineRule="exact"/>
              <w:ind w:right="-2"/>
              <w:jc w:val="center"/>
              <w:rPr>
                <w:spacing w:val="-4"/>
                <w:sz w:val="22"/>
                <w:lang w:val="en-GB" w:eastAsia="sl-SI"/>
              </w:rPr>
            </w:pPr>
            <w:r>
              <w:rPr>
                <w:sz w:val="22"/>
                <w:lang w:val="en-GB" w:eastAsia="sl-SI"/>
              </w:rPr>
              <w:t>-1,45</w:t>
            </w:r>
          </w:p>
        </w:tc>
        <w:tc>
          <w:tcPr>
            <w:tcW w:w="1698" w:type="dxa"/>
          </w:tcPr>
          <w:p w14:paraId="471CC3F0" w14:textId="77777777" w:rsidR="00E86446" w:rsidRDefault="00345E63">
            <w:pPr>
              <w:numPr>
                <w:ilvl w:val="12"/>
                <w:numId w:val="0"/>
              </w:numPr>
              <w:tabs>
                <w:tab w:val="left" w:pos="8505"/>
              </w:tabs>
              <w:spacing w:line="251" w:lineRule="exact"/>
              <w:ind w:right="-2"/>
              <w:jc w:val="center"/>
              <w:rPr>
                <w:spacing w:val="-4"/>
                <w:sz w:val="22"/>
                <w:lang w:val="en-GB" w:eastAsia="sl-SI"/>
              </w:rPr>
            </w:pPr>
            <w:r>
              <w:rPr>
                <w:sz w:val="22"/>
                <w:lang w:val="en-GB" w:eastAsia="sl-SI"/>
              </w:rPr>
              <w:t>-1,44</w:t>
            </w:r>
          </w:p>
        </w:tc>
      </w:tr>
      <w:tr w:rsidR="00E86446" w14:paraId="398C52AE" w14:textId="77777777">
        <w:tc>
          <w:tcPr>
            <w:tcW w:w="3407" w:type="dxa"/>
          </w:tcPr>
          <w:p w14:paraId="4BBD4ACC" w14:textId="77777777" w:rsidR="00E86446" w:rsidRDefault="00345E63">
            <w:pPr>
              <w:numPr>
                <w:ilvl w:val="12"/>
                <w:numId w:val="0"/>
              </w:numPr>
              <w:tabs>
                <w:tab w:val="left" w:pos="8505"/>
              </w:tabs>
              <w:ind w:right="201"/>
              <w:rPr>
                <w:sz w:val="22"/>
                <w:lang w:val="en-GB" w:eastAsia="sl-SI"/>
              </w:rPr>
            </w:pPr>
            <w:r>
              <w:rPr>
                <w:sz w:val="22"/>
                <w:lang w:val="en-GB" w:eastAsia="sl-SI"/>
              </w:rPr>
              <w:t xml:space="preserve">   </w:t>
            </w:r>
            <w:proofErr w:type="spellStart"/>
            <w:r>
              <w:rPr>
                <w:sz w:val="22"/>
                <w:lang w:val="en-GB" w:eastAsia="sl-SI"/>
              </w:rPr>
              <w:t>Skirtumas</w:t>
            </w:r>
            <w:proofErr w:type="spellEnd"/>
            <w:r>
              <w:rPr>
                <w:sz w:val="22"/>
                <w:lang w:val="en-GB" w:eastAsia="sl-SI"/>
              </w:rPr>
              <w:t xml:space="preserve"> </w:t>
            </w:r>
            <w:proofErr w:type="spellStart"/>
            <w:r>
              <w:rPr>
                <w:sz w:val="22"/>
                <w:lang w:val="en-GB" w:eastAsia="sl-SI"/>
              </w:rPr>
              <w:t>nuo</w:t>
            </w:r>
            <w:proofErr w:type="spellEnd"/>
            <w:r>
              <w:rPr>
                <w:sz w:val="22"/>
                <w:lang w:val="en-GB" w:eastAsia="sl-SI"/>
              </w:rPr>
              <w:t xml:space="preserve"> </w:t>
            </w:r>
            <w:proofErr w:type="spellStart"/>
            <w:r>
              <w:rPr>
                <w:sz w:val="22"/>
                <w:lang w:val="en-GB" w:eastAsia="sl-SI"/>
              </w:rPr>
              <w:t>dapagliflozino</w:t>
            </w:r>
            <w:r>
              <w:rPr>
                <w:sz w:val="22"/>
                <w:vertAlign w:val="superscript"/>
                <w:lang w:val="en-GB" w:eastAsia="sl-SI"/>
              </w:rPr>
              <w:t>c</w:t>
            </w:r>
            <w:proofErr w:type="spellEnd"/>
          </w:p>
          <w:p w14:paraId="37EB5631" w14:textId="77777777" w:rsidR="00E86446" w:rsidRDefault="00345E63">
            <w:pPr>
              <w:numPr>
                <w:ilvl w:val="12"/>
                <w:numId w:val="0"/>
              </w:numPr>
              <w:tabs>
                <w:tab w:val="left" w:pos="8505"/>
              </w:tabs>
              <w:ind w:right="201"/>
              <w:rPr>
                <w:b/>
                <w:sz w:val="22"/>
                <w:lang w:val="en-GB" w:eastAsia="sl-SI"/>
              </w:rPr>
            </w:pPr>
            <w:r>
              <w:rPr>
                <w:sz w:val="22"/>
                <w:lang w:val="en-GB" w:eastAsia="sl-SI"/>
              </w:rPr>
              <w:t xml:space="preserve">        (95 % PI)</w:t>
            </w:r>
          </w:p>
        </w:tc>
        <w:tc>
          <w:tcPr>
            <w:tcW w:w="2552" w:type="dxa"/>
          </w:tcPr>
          <w:p w14:paraId="5A5666B9" w14:textId="77777777" w:rsidR="00E86446" w:rsidRDefault="00345E63">
            <w:pPr>
              <w:numPr>
                <w:ilvl w:val="12"/>
                <w:numId w:val="0"/>
              </w:numPr>
              <w:tabs>
                <w:tab w:val="left" w:pos="8505"/>
              </w:tabs>
              <w:ind w:right="201"/>
              <w:jc w:val="center"/>
              <w:rPr>
                <w:sz w:val="22"/>
                <w:lang w:val="en-GB" w:eastAsia="sl-SI"/>
              </w:rPr>
            </w:pPr>
            <w:r>
              <w:rPr>
                <w:sz w:val="22"/>
                <w:lang w:val="en-GB" w:eastAsia="sl-SI"/>
              </w:rPr>
              <w:t>-0,53*</w:t>
            </w:r>
          </w:p>
          <w:p w14:paraId="3FAFA7A4" w14:textId="77777777" w:rsidR="00E86446" w:rsidRDefault="00345E63">
            <w:pPr>
              <w:numPr>
                <w:ilvl w:val="12"/>
                <w:numId w:val="0"/>
              </w:numPr>
              <w:tabs>
                <w:tab w:val="left" w:pos="8505"/>
              </w:tabs>
              <w:ind w:right="201"/>
              <w:jc w:val="center"/>
              <w:rPr>
                <w:sz w:val="22"/>
                <w:lang w:val="en-GB" w:eastAsia="sl-SI"/>
              </w:rPr>
            </w:pPr>
            <w:r>
              <w:rPr>
                <w:sz w:val="22"/>
                <w:lang w:val="en-GB" w:eastAsia="sl-SI"/>
              </w:rPr>
              <w:t>(-0,74, -0,32)</w:t>
            </w:r>
          </w:p>
        </w:tc>
        <w:tc>
          <w:tcPr>
            <w:tcW w:w="1412" w:type="dxa"/>
          </w:tcPr>
          <w:p w14:paraId="50BF0FA6" w14:textId="77777777" w:rsidR="00E86446" w:rsidRDefault="00E86446">
            <w:pPr>
              <w:numPr>
                <w:ilvl w:val="12"/>
                <w:numId w:val="0"/>
              </w:numPr>
              <w:tabs>
                <w:tab w:val="left" w:pos="8505"/>
              </w:tabs>
              <w:spacing w:line="251" w:lineRule="exact"/>
              <w:ind w:right="-2"/>
              <w:jc w:val="center"/>
              <w:rPr>
                <w:spacing w:val="-4"/>
                <w:sz w:val="22"/>
                <w:lang w:val="en-GB" w:eastAsia="sl-SI"/>
              </w:rPr>
            </w:pPr>
          </w:p>
        </w:tc>
        <w:tc>
          <w:tcPr>
            <w:tcW w:w="1698" w:type="dxa"/>
          </w:tcPr>
          <w:p w14:paraId="4CC841AC" w14:textId="77777777" w:rsidR="00E86446" w:rsidRDefault="00E86446">
            <w:pPr>
              <w:numPr>
                <w:ilvl w:val="12"/>
                <w:numId w:val="0"/>
              </w:numPr>
              <w:tabs>
                <w:tab w:val="left" w:pos="8505"/>
              </w:tabs>
              <w:spacing w:line="251" w:lineRule="exact"/>
              <w:ind w:right="-2"/>
              <w:jc w:val="center"/>
              <w:rPr>
                <w:spacing w:val="-4"/>
                <w:sz w:val="22"/>
                <w:lang w:val="en-GB" w:eastAsia="sl-SI"/>
              </w:rPr>
            </w:pPr>
          </w:p>
        </w:tc>
      </w:tr>
      <w:tr w:rsidR="00E86446" w14:paraId="7147F1BE" w14:textId="77777777">
        <w:tc>
          <w:tcPr>
            <w:tcW w:w="3407" w:type="dxa"/>
            <w:tcBorders>
              <w:bottom w:val="single" w:sz="4" w:space="0" w:color="auto"/>
            </w:tcBorders>
          </w:tcPr>
          <w:p w14:paraId="574CA5F7" w14:textId="77777777" w:rsidR="00E86446" w:rsidRDefault="00345E63">
            <w:pPr>
              <w:numPr>
                <w:ilvl w:val="12"/>
                <w:numId w:val="0"/>
              </w:numPr>
              <w:tabs>
                <w:tab w:val="left" w:pos="8505"/>
              </w:tabs>
              <w:ind w:right="201"/>
              <w:rPr>
                <w:sz w:val="22"/>
                <w:lang w:val="en-GB" w:eastAsia="sl-SI"/>
              </w:rPr>
            </w:pPr>
            <w:r>
              <w:rPr>
                <w:sz w:val="22"/>
                <w:lang w:val="en-GB" w:eastAsia="sl-SI"/>
              </w:rPr>
              <w:t xml:space="preserve">   </w:t>
            </w:r>
            <w:proofErr w:type="spellStart"/>
            <w:r>
              <w:rPr>
                <w:sz w:val="22"/>
                <w:lang w:val="en-GB" w:eastAsia="sl-SI"/>
              </w:rPr>
              <w:t>Skirtumas</w:t>
            </w:r>
            <w:proofErr w:type="spellEnd"/>
            <w:r>
              <w:rPr>
                <w:sz w:val="22"/>
                <w:lang w:val="en-GB" w:eastAsia="sl-SI"/>
              </w:rPr>
              <w:t xml:space="preserve"> </w:t>
            </w:r>
            <w:proofErr w:type="spellStart"/>
            <w:r>
              <w:rPr>
                <w:sz w:val="22"/>
                <w:lang w:val="en-GB" w:eastAsia="sl-SI"/>
              </w:rPr>
              <w:t>nuo</w:t>
            </w:r>
            <w:proofErr w:type="spellEnd"/>
            <w:r>
              <w:rPr>
                <w:sz w:val="22"/>
                <w:lang w:val="en-GB" w:eastAsia="sl-SI"/>
              </w:rPr>
              <w:t xml:space="preserve"> </w:t>
            </w:r>
            <w:proofErr w:type="spellStart"/>
            <w:r>
              <w:rPr>
                <w:sz w:val="22"/>
                <w:lang w:val="en-GB" w:eastAsia="sl-SI"/>
              </w:rPr>
              <w:t>metformino</w:t>
            </w:r>
            <w:r>
              <w:rPr>
                <w:sz w:val="22"/>
                <w:vertAlign w:val="superscript"/>
                <w:lang w:val="en-GB" w:eastAsia="sl-SI"/>
              </w:rPr>
              <w:t>c</w:t>
            </w:r>
            <w:proofErr w:type="spellEnd"/>
          </w:p>
          <w:p w14:paraId="3287DCE2" w14:textId="77777777" w:rsidR="00E86446" w:rsidRDefault="00345E63">
            <w:pPr>
              <w:numPr>
                <w:ilvl w:val="12"/>
                <w:numId w:val="0"/>
              </w:numPr>
              <w:tabs>
                <w:tab w:val="left" w:pos="8505"/>
              </w:tabs>
              <w:ind w:right="201"/>
              <w:rPr>
                <w:b/>
                <w:sz w:val="22"/>
                <w:lang w:val="en-GB" w:eastAsia="sl-SI"/>
              </w:rPr>
            </w:pPr>
            <w:r>
              <w:rPr>
                <w:sz w:val="22"/>
                <w:lang w:val="en-GB" w:eastAsia="sl-SI"/>
              </w:rPr>
              <w:t xml:space="preserve">        (95 % PI)</w:t>
            </w:r>
          </w:p>
        </w:tc>
        <w:tc>
          <w:tcPr>
            <w:tcW w:w="2552" w:type="dxa"/>
            <w:tcBorders>
              <w:bottom w:val="single" w:sz="4" w:space="0" w:color="auto"/>
            </w:tcBorders>
          </w:tcPr>
          <w:p w14:paraId="21319003" w14:textId="77777777" w:rsidR="00E86446" w:rsidRDefault="00345E63">
            <w:pPr>
              <w:numPr>
                <w:ilvl w:val="12"/>
                <w:numId w:val="0"/>
              </w:numPr>
              <w:tabs>
                <w:tab w:val="left" w:pos="8505"/>
              </w:tabs>
              <w:ind w:right="201"/>
              <w:jc w:val="center"/>
              <w:rPr>
                <w:sz w:val="22"/>
                <w:lang w:val="en-GB" w:eastAsia="sl-SI"/>
              </w:rPr>
            </w:pPr>
            <w:r>
              <w:rPr>
                <w:sz w:val="22"/>
                <w:lang w:val="en-GB" w:eastAsia="sl-SI"/>
              </w:rPr>
              <w:t>-0,54*</w:t>
            </w:r>
          </w:p>
          <w:p w14:paraId="056E88A1" w14:textId="77777777" w:rsidR="00E86446" w:rsidRDefault="00345E63">
            <w:pPr>
              <w:numPr>
                <w:ilvl w:val="12"/>
                <w:numId w:val="0"/>
              </w:numPr>
              <w:tabs>
                <w:tab w:val="left" w:pos="8505"/>
              </w:tabs>
              <w:ind w:right="201"/>
              <w:jc w:val="center"/>
              <w:rPr>
                <w:spacing w:val="-4"/>
                <w:sz w:val="22"/>
                <w:lang w:val="en-GB" w:eastAsia="sl-SI"/>
              </w:rPr>
            </w:pPr>
            <w:r>
              <w:rPr>
                <w:sz w:val="22"/>
                <w:lang w:val="en-GB" w:eastAsia="sl-SI"/>
              </w:rPr>
              <w:t>(-0,75, -0,33)</w:t>
            </w:r>
          </w:p>
        </w:tc>
        <w:tc>
          <w:tcPr>
            <w:tcW w:w="1412" w:type="dxa"/>
            <w:tcBorders>
              <w:bottom w:val="single" w:sz="4" w:space="0" w:color="auto"/>
            </w:tcBorders>
          </w:tcPr>
          <w:p w14:paraId="7C7C2B2D" w14:textId="77777777" w:rsidR="00E86446" w:rsidRDefault="00345E63">
            <w:pPr>
              <w:numPr>
                <w:ilvl w:val="12"/>
                <w:numId w:val="0"/>
              </w:numPr>
              <w:tabs>
                <w:tab w:val="left" w:pos="8505"/>
              </w:tabs>
              <w:ind w:right="201"/>
              <w:jc w:val="center"/>
              <w:rPr>
                <w:sz w:val="22"/>
                <w:lang w:val="en-GB" w:eastAsia="sl-SI"/>
              </w:rPr>
            </w:pPr>
            <w:r>
              <w:rPr>
                <w:sz w:val="22"/>
                <w:lang w:val="en-GB" w:eastAsia="sl-SI"/>
              </w:rPr>
              <w:t>-0,01</w:t>
            </w:r>
          </w:p>
          <w:p w14:paraId="4291615F" w14:textId="77777777" w:rsidR="00E86446" w:rsidRDefault="00345E63">
            <w:pPr>
              <w:numPr>
                <w:ilvl w:val="12"/>
                <w:numId w:val="0"/>
              </w:numPr>
              <w:tabs>
                <w:tab w:val="left" w:pos="8505"/>
              </w:tabs>
              <w:spacing w:line="251" w:lineRule="exact"/>
              <w:ind w:right="-2"/>
              <w:jc w:val="center"/>
              <w:rPr>
                <w:spacing w:val="-4"/>
                <w:sz w:val="22"/>
                <w:lang w:val="en-GB" w:eastAsia="sl-SI"/>
              </w:rPr>
            </w:pPr>
            <w:r>
              <w:rPr>
                <w:sz w:val="22"/>
                <w:lang w:val="en-GB" w:eastAsia="sl-SI"/>
              </w:rPr>
              <w:t>(-0,22, 0,20)</w:t>
            </w:r>
          </w:p>
        </w:tc>
        <w:tc>
          <w:tcPr>
            <w:tcW w:w="1698" w:type="dxa"/>
            <w:tcBorders>
              <w:bottom w:val="single" w:sz="4" w:space="0" w:color="auto"/>
            </w:tcBorders>
          </w:tcPr>
          <w:p w14:paraId="5E515572" w14:textId="77777777" w:rsidR="00E86446" w:rsidRDefault="00E86446">
            <w:pPr>
              <w:numPr>
                <w:ilvl w:val="12"/>
                <w:numId w:val="0"/>
              </w:numPr>
              <w:tabs>
                <w:tab w:val="left" w:pos="8505"/>
              </w:tabs>
              <w:spacing w:line="251" w:lineRule="exact"/>
              <w:ind w:right="-2"/>
              <w:jc w:val="center"/>
              <w:rPr>
                <w:spacing w:val="-4"/>
                <w:sz w:val="22"/>
                <w:lang w:val="en-GB" w:eastAsia="sl-SI"/>
              </w:rPr>
            </w:pPr>
          </w:p>
        </w:tc>
      </w:tr>
      <w:tr w:rsidR="00E86446" w14:paraId="6319EA52" w14:textId="77777777">
        <w:tc>
          <w:tcPr>
            <w:tcW w:w="9069" w:type="dxa"/>
            <w:gridSpan w:val="4"/>
            <w:tcBorders>
              <w:top w:val="single" w:sz="4" w:space="0" w:color="auto"/>
            </w:tcBorders>
          </w:tcPr>
          <w:p w14:paraId="70120579" w14:textId="77777777" w:rsidR="00E86446" w:rsidRPr="0073443F" w:rsidRDefault="00345E63">
            <w:pPr>
              <w:ind w:left="110"/>
              <w:rPr>
                <w:sz w:val="18"/>
                <w:szCs w:val="18"/>
                <w:lang w:val="lt-LT" w:eastAsia="sl-SI"/>
              </w:rPr>
            </w:pPr>
            <w:r w:rsidRPr="0073443F">
              <w:rPr>
                <w:sz w:val="18"/>
                <w:szCs w:val="18"/>
                <w:lang w:eastAsia="sl-SI"/>
              </w:rPr>
              <w:t>a LOCF – paskutinė atlikta apžiūra (jei prireikė pagalbos glikemijai koreguoti, tai paskutinė apžiūra iki jos).</w:t>
            </w:r>
          </w:p>
          <w:p w14:paraId="7E68F21B" w14:textId="37FC2595" w:rsidR="00E86446" w:rsidRPr="0073443F" w:rsidRDefault="00345E63">
            <w:pPr>
              <w:ind w:left="110"/>
              <w:rPr>
                <w:sz w:val="18"/>
                <w:szCs w:val="18"/>
                <w:lang w:val="lt-LT" w:eastAsia="sl-SI"/>
              </w:rPr>
            </w:pPr>
            <w:r w:rsidRPr="0073443F">
              <w:rPr>
                <w:sz w:val="18"/>
                <w:szCs w:val="18"/>
                <w:lang w:eastAsia="sl-SI"/>
              </w:rPr>
              <w:t>b Visi randomizuoti pacientai, kurie trumpu dvigubai aklu laikotarpiu dvigubai aklu būdu vartojo bent vieną tiriamojo vaistinio preparato dozę.</w:t>
            </w:r>
          </w:p>
          <w:p w14:paraId="1B1CFF74" w14:textId="77777777" w:rsidR="00E86446" w:rsidRPr="0073443F" w:rsidRDefault="00345E63">
            <w:pPr>
              <w:ind w:left="110"/>
              <w:rPr>
                <w:sz w:val="18"/>
                <w:szCs w:val="18"/>
                <w:lang w:val="lt-LT" w:eastAsia="sl-SI"/>
              </w:rPr>
            </w:pPr>
            <w:r w:rsidRPr="0073443F">
              <w:rPr>
                <w:sz w:val="18"/>
                <w:szCs w:val="18"/>
                <w:lang w:eastAsia="sl-SI"/>
              </w:rPr>
              <w:t>c Mažiausių kvadratų metodu apskaičiuotas vidurkis, koreguotas pagal pradinę reikšmę.</w:t>
            </w:r>
          </w:p>
          <w:p w14:paraId="4280D28B" w14:textId="661CAB55" w:rsidR="00E86446" w:rsidRDefault="00345E63">
            <w:pPr>
              <w:ind w:left="110"/>
              <w:rPr>
                <w:lang w:val="en-GB" w:eastAsia="sl-SI"/>
              </w:rPr>
            </w:pPr>
            <w:r w:rsidRPr="0073443F">
              <w:rPr>
                <w:sz w:val="18"/>
                <w:szCs w:val="18"/>
                <w:lang w:val="en-GB" w:eastAsia="sl-SI"/>
              </w:rPr>
              <w:t>* p</w:t>
            </w:r>
            <w:r w:rsidR="00A37935">
              <w:rPr>
                <w:sz w:val="18"/>
                <w:szCs w:val="18"/>
                <w:lang w:val="en-GB" w:eastAsia="sl-SI"/>
              </w:rPr>
              <w:t> </w:t>
            </w:r>
            <w:r w:rsidRPr="0073443F">
              <w:rPr>
                <w:sz w:val="18"/>
                <w:szCs w:val="18"/>
                <w:lang w:val="en-GB" w:eastAsia="sl-SI"/>
              </w:rPr>
              <w:t>&lt;</w:t>
            </w:r>
            <w:r w:rsidR="00A37935">
              <w:rPr>
                <w:sz w:val="18"/>
                <w:szCs w:val="18"/>
                <w:lang w:val="en-GB" w:eastAsia="sl-SI"/>
              </w:rPr>
              <w:t> </w:t>
            </w:r>
            <w:r w:rsidRPr="0073443F">
              <w:rPr>
                <w:sz w:val="18"/>
                <w:szCs w:val="18"/>
                <w:lang w:val="en-GB" w:eastAsia="sl-SI"/>
              </w:rPr>
              <w:t>0,0001.</w:t>
            </w:r>
          </w:p>
        </w:tc>
      </w:tr>
    </w:tbl>
    <w:p w14:paraId="743F4518" w14:textId="77777777" w:rsidR="00E86446" w:rsidRDefault="00E86446">
      <w:pPr>
        <w:widowControl w:val="0"/>
        <w:tabs>
          <w:tab w:val="left" w:pos="567"/>
        </w:tabs>
        <w:ind w:left="567" w:hanging="567"/>
        <w:outlineLvl w:val="2"/>
        <w:rPr>
          <w:rFonts w:eastAsia="TimesNewRoman"/>
          <w:sz w:val="22"/>
          <w:szCs w:val="22"/>
          <w:lang w:eastAsia="en-US"/>
        </w:rPr>
      </w:pPr>
    </w:p>
    <w:p w14:paraId="3A4AACD8" w14:textId="77777777" w:rsidR="00E86446" w:rsidRDefault="00345E63">
      <w:pPr>
        <w:widowControl w:val="0"/>
        <w:autoSpaceDE w:val="0"/>
        <w:autoSpaceDN w:val="0"/>
        <w:adjustRightInd w:val="0"/>
        <w:rPr>
          <w:i/>
          <w:iCs/>
          <w:sz w:val="22"/>
          <w:szCs w:val="22"/>
        </w:rPr>
      </w:pPr>
      <w:r>
        <w:rPr>
          <w:i/>
          <w:iCs/>
          <w:sz w:val="22"/>
          <w:szCs w:val="22"/>
        </w:rPr>
        <w:t xml:space="preserve">Derinys su pailginto atpalaidavimo </w:t>
      </w:r>
      <w:proofErr w:type="spellStart"/>
      <w:r>
        <w:rPr>
          <w:i/>
          <w:iCs/>
          <w:sz w:val="22"/>
          <w:szCs w:val="22"/>
        </w:rPr>
        <w:t>eksenatidu</w:t>
      </w:r>
      <w:proofErr w:type="spellEnd"/>
    </w:p>
    <w:p w14:paraId="5DD5AF83" w14:textId="30DCE771" w:rsidR="00E86446" w:rsidRDefault="00345E63">
      <w:pPr>
        <w:widowControl w:val="0"/>
        <w:autoSpaceDE w:val="0"/>
        <w:autoSpaceDN w:val="0"/>
        <w:adjustRightInd w:val="0"/>
      </w:pPr>
      <w:r>
        <w:rPr>
          <w:sz w:val="22"/>
          <w:szCs w:val="22"/>
        </w:rPr>
        <w:t xml:space="preserve">28 savaičių dvigubai aklo aktyvios kontrolės tyrimo metu lygintas dapagliflozino ir pailginto atpalaidavimo </w:t>
      </w:r>
      <w:proofErr w:type="spellStart"/>
      <w:r>
        <w:rPr>
          <w:sz w:val="22"/>
          <w:szCs w:val="22"/>
        </w:rPr>
        <w:t>eksenatido</w:t>
      </w:r>
      <w:proofErr w:type="spellEnd"/>
      <w:r>
        <w:rPr>
          <w:sz w:val="22"/>
          <w:szCs w:val="22"/>
        </w:rPr>
        <w:t xml:space="preserve"> (GLP-1 receptorių </w:t>
      </w:r>
      <w:proofErr w:type="spellStart"/>
      <w:r>
        <w:rPr>
          <w:sz w:val="22"/>
          <w:szCs w:val="22"/>
        </w:rPr>
        <w:t>agonisto</w:t>
      </w:r>
      <w:proofErr w:type="spellEnd"/>
      <w:r>
        <w:rPr>
          <w:sz w:val="22"/>
          <w:szCs w:val="22"/>
        </w:rPr>
        <w:t xml:space="preserve">) derinio poveikis su vien dapagliflozino ir vien pailginto atpalaidavimo </w:t>
      </w:r>
      <w:proofErr w:type="spellStart"/>
      <w:r>
        <w:rPr>
          <w:sz w:val="22"/>
          <w:szCs w:val="22"/>
        </w:rPr>
        <w:t>eksenatido</w:t>
      </w:r>
      <w:proofErr w:type="spellEnd"/>
      <w:r>
        <w:rPr>
          <w:sz w:val="22"/>
          <w:szCs w:val="22"/>
        </w:rPr>
        <w:t xml:space="preserve"> poveikiu tiriamiesiems, kuriems vien </w:t>
      </w:r>
      <w:proofErr w:type="spellStart"/>
      <w:r>
        <w:rPr>
          <w:sz w:val="22"/>
          <w:szCs w:val="22"/>
        </w:rPr>
        <w:t>metforminas</w:t>
      </w:r>
      <w:proofErr w:type="spellEnd"/>
      <w:r>
        <w:rPr>
          <w:sz w:val="22"/>
          <w:szCs w:val="22"/>
        </w:rPr>
        <w:t xml:space="preserve"> nesureguliavo </w:t>
      </w:r>
      <w:proofErr w:type="spellStart"/>
      <w:r>
        <w:rPr>
          <w:sz w:val="22"/>
          <w:szCs w:val="22"/>
        </w:rPr>
        <w:t>glikemijos</w:t>
      </w:r>
      <w:proofErr w:type="spellEnd"/>
      <w:r>
        <w:rPr>
          <w:sz w:val="22"/>
          <w:szCs w:val="22"/>
        </w:rPr>
        <w:t xml:space="preserve"> (HbA1c – nuo ≥</w:t>
      </w:r>
      <w:r w:rsidR="00163CD6">
        <w:rPr>
          <w:sz w:val="22"/>
          <w:szCs w:val="22"/>
        </w:rPr>
        <w:t> </w:t>
      </w:r>
      <w:r>
        <w:rPr>
          <w:sz w:val="22"/>
          <w:szCs w:val="22"/>
        </w:rPr>
        <w:t>8 % iki ≤</w:t>
      </w:r>
      <w:r w:rsidR="00163CD6">
        <w:rPr>
          <w:sz w:val="22"/>
          <w:szCs w:val="22"/>
        </w:rPr>
        <w:t> </w:t>
      </w:r>
      <w:r>
        <w:rPr>
          <w:sz w:val="22"/>
          <w:szCs w:val="22"/>
        </w:rPr>
        <w:t xml:space="preserve">12 %). Visų tirtų grupių HbA1c koncentracija, palyginus su pradine, sumažėjo. 10 mg dapagliflozino ir pailginto atpalaidavimo </w:t>
      </w:r>
      <w:proofErr w:type="spellStart"/>
      <w:r>
        <w:rPr>
          <w:sz w:val="22"/>
          <w:szCs w:val="22"/>
        </w:rPr>
        <w:t>eksenatido</w:t>
      </w:r>
      <w:proofErr w:type="spellEnd"/>
      <w:r>
        <w:rPr>
          <w:sz w:val="22"/>
          <w:szCs w:val="22"/>
        </w:rPr>
        <w:t xml:space="preserve"> derinio grupei HbA1c koncentracija, palyginus su pradine, sumažėjo labiau negu vien dapagliflozino ir vien pailginto atpalaidavimo </w:t>
      </w:r>
      <w:proofErr w:type="spellStart"/>
      <w:r>
        <w:rPr>
          <w:sz w:val="22"/>
          <w:szCs w:val="22"/>
        </w:rPr>
        <w:t>eksenatido</w:t>
      </w:r>
      <w:proofErr w:type="spellEnd"/>
      <w:r>
        <w:rPr>
          <w:sz w:val="22"/>
          <w:szCs w:val="22"/>
        </w:rPr>
        <w:t xml:space="preserve"> grupėms (žr. 8 lentelę).</w:t>
      </w:r>
    </w:p>
    <w:p w14:paraId="69BB14A5" w14:textId="77777777" w:rsidR="00E86446" w:rsidRDefault="00E86446">
      <w:pPr>
        <w:widowControl w:val="0"/>
        <w:autoSpaceDE w:val="0"/>
        <w:autoSpaceDN w:val="0"/>
        <w:adjustRightInd w:val="0"/>
      </w:pPr>
    </w:p>
    <w:p w14:paraId="4913F8E6" w14:textId="77777777" w:rsidR="00E86446" w:rsidRDefault="00345E63">
      <w:pPr>
        <w:widowControl w:val="0"/>
        <w:autoSpaceDE w:val="0"/>
        <w:autoSpaceDN w:val="0"/>
        <w:adjustRightInd w:val="0"/>
        <w:rPr>
          <w:b/>
          <w:bCs/>
          <w:sz w:val="22"/>
          <w:szCs w:val="22"/>
        </w:rPr>
      </w:pPr>
      <w:r>
        <w:rPr>
          <w:b/>
          <w:bCs/>
          <w:sz w:val="22"/>
          <w:szCs w:val="22"/>
        </w:rPr>
        <w:t xml:space="preserve">8 lentelė. 28 savaičių dapagliflozino ir pailginto atpalaidavimo </w:t>
      </w:r>
      <w:proofErr w:type="spellStart"/>
      <w:r>
        <w:rPr>
          <w:b/>
          <w:bCs/>
          <w:sz w:val="22"/>
          <w:szCs w:val="22"/>
        </w:rPr>
        <w:t>eksenatido</w:t>
      </w:r>
      <w:proofErr w:type="spellEnd"/>
      <w:r>
        <w:rPr>
          <w:b/>
          <w:bCs/>
          <w:sz w:val="22"/>
          <w:szCs w:val="22"/>
        </w:rPr>
        <w:t xml:space="preserve"> derinio poveikio lyginimo su vien dapagliflozino ir vien pailginto atpalaidavimo </w:t>
      </w:r>
      <w:proofErr w:type="spellStart"/>
      <w:r>
        <w:rPr>
          <w:b/>
          <w:bCs/>
          <w:sz w:val="22"/>
          <w:szCs w:val="22"/>
        </w:rPr>
        <w:t>eksenatido</w:t>
      </w:r>
      <w:proofErr w:type="spellEnd"/>
      <w:r>
        <w:rPr>
          <w:b/>
          <w:bCs/>
          <w:sz w:val="22"/>
          <w:szCs w:val="22"/>
        </w:rPr>
        <w:t xml:space="preserve"> poveikiu tyrimas (kartu vartotas </w:t>
      </w:r>
      <w:proofErr w:type="spellStart"/>
      <w:r>
        <w:rPr>
          <w:b/>
          <w:bCs/>
          <w:sz w:val="22"/>
          <w:szCs w:val="22"/>
        </w:rPr>
        <w:t>metforminas</w:t>
      </w:r>
      <w:proofErr w:type="spellEnd"/>
      <w:r>
        <w:rPr>
          <w:b/>
          <w:bCs/>
          <w:sz w:val="22"/>
          <w:szCs w:val="22"/>
        </w:rPr>
        <w:t>, pateikiami numatytų gydyti pacientų duomenys)</w:t>
      </w:r>
    </w:p>
    <w:tbl>
      <w:tblPr>
        <w:tblStyle w:val="TableNormal1"/>
        <w:tblW w:w="0" w:type="auto"/>
        <w:tblInd w:w="-7" w:type="dxa"/>
        <w:tblLayout w:type="fixed"/>
        <w:tblLook w:val="01E0" w:firstRow="1" w:lastRow="1" w:firstColumn="1" w:lastColumn="1" w:noHBand="0" w:noVBand="0"/>
      </w:tblPr>
      <w:tblGrid>
        <w:gridCol w:w="3011"/>
        <w:gridCol w:w="2468"/>
        <w:gridCol w:w="2379"/>
        <w:gridCol w:w="1799"/>
      </w:tblGrid>
      <w:tr w:rsidR="00E86446" w14:paraId="6AD15F0B" w14:textId="77777777" w:rsidTr="0073443F">
        <w:trPr>
          <w:trHeight w:val="565"/>
        </w:trPr>
        <w:tc>
          <w:tcPr>
            <w:tcW w:w="5479" w:type="dxa"/>
            <w:gridSpan w:val="2"/>
            <w:tcBorders>
              <w:top w:val="single" w:sz="12" w:space="0" w:color="000000"/>
            </w:tcBorders>
          </w:tcPr>
          <w:p w14:paraId="1E406C2B" w14:textId="77777777" w:rsidR="00E86446" w:rsidRPr="003171F5" w:rsidRDefault="00345E63">
            <w:pPr>
              <w:spacing w:before="45" w:line="250" w:lineRule="exact"/>
              <w:ind w:left="3777" w:right="146" w:hanging="773"/>
              <w:rPr>
                <w:b/>
                <w:lang w:val="nl-NL" w:eastAsia="en-US"/>
              </w:rPr>
            </w:pPr>
            <w:r w:rsidRPr="003171F5">
              <w:rPr>
                <w:b/>
                <w:lang w:val="nl-NL" w:eastAsia="en-US"/>
              </w:rPr>
              <w:t>10</w:t>
            </w:r>
            <w:r w:rsidRPr="003171F5">
              <w:rPr>
                <w:lang w:val="nl-NL" w:eastAsia="en-US"/>
              </w:rPr>
              <w:t> </w:t>
            </w:r>
            <w:r w:rsidRPr="003171F5">
              <w:rPr>
                <w:b/>
                <w:lang w:val="nl-NL" w:eastAsia="en-US"/>
              </w:rPr>
              <w:t>mg dapagliflozino</w:t>
            </w:r>
          </w:p>
          <w:p w14:paraId="28827494" w14:textId="77777777" w:rsidR="00E86446" w:rsidRPr="003171F5" w:rsidRDefault="00345E63">
            <w:pPr>
              <w:spacing w:before="45" w:line="250" w:lineRule="exact"/>
              <w:ind w:left="3777" w:right="146" w:hanging="773"/>
              <w:rPr>
                <w:b/>
                <w:lang w:val="nl-NL" w:eastAsia="en-US"/>
              </w:rPr>
            </w:pPr>
            <w:r w:rsidRPr="003171F5">
              <w:rPr>
                <w:b/>
                <w:spacing w:val="-6"/>
                <w:lang w:val="nl-NL" w:eastAsia="en-US"/>
              </w:rPr>
              <w:t>1 kartą per parą</w:t>
            </w:r>
          </w:p>
        </w:tc>
        <w:tc>
          <w:tcPr>
            <w:tcW w:w="2379" w:type="dxa"/>
            <w:tcBorders>
              <w:top w:val="single" w:sz="12" w:space="0" w:color="000000"/>
            </w:tcBorders>
          </w:tcPr>
          <w:p w14:paraId="2FBF2C21" w14:textId="77777777" w:rsidR="00E86446" w:rsidRPr="003171F5" w:rsidRDefault="00345E63">
            <w:pPr>
              <w:spacing w:before="45" w:line="250" w:lineRule="exact"/>
              <w:ind w:left="922" w:right="124" w:hanging="773"/>
              <w:rPr>
                <w:b/>
                <w:lang w:val="nl-NL" w:eastAsia="en-US"/>
              </w:rPr>
            </w:pPr>
            <w:r w:rsidRPr="003171F5">
              <w:rPr>
                <w:b/>
                <w:lang w:val="nl-NL" w:eastAsia="en-US"/>
              </w:rPr>
              <w:t>10</w:t>
            </w:r>
            <w:r w:rsidRPr="003171F5">
              <w:rPr>
                <w:lang w:val="nl-NL" w:eastAsia="en-US"/>
              </w:rPr>
              <w:t> </w:t>
            </w:r>
            <w:r w:rsidRPr="003171F5">
              <w:rPr>
                <w:b/>
                <w:lang w:val="nl-NL" w:eastAsia="en-US"/>
              </w:rPr>
              <w:t>mg dapagliflozino</w:t>
            </w:r>
          </w:p>
          <w:p w14:paraId="540CCA13" w14:textId="77777777" w:rsidR="00E86446" w:rsidRPr="003171F5" w:rsidRDefault="00345E63">
            <w:pPr>
              <w:spacing w:before="45" w:line="250" w:lineRule="exact"/>
              <w:ind w:left="922" w:right="124" w:hanging="773"/>
              <w:rPr>
                <w:b/>
                <w:lang w:val="nl-NL" w:eastAsia="en-US"/>
              </w:rPr>
            </w:pPr>
            <w:r w:rsidRPr="003171F5">
              <w:rPr>
                <w:b/>
                <w:spacing w:val="-6"/>
                <w:lang w:val="nl-NL" w:eastAsia="en-US"/>
              </w:rPr>
              <w:t>1 kartą per parą</w:t>
            </w:r>
          </w:p>
        </w:tc>
        <w:tc>
          <w:tcPr>
            <w:tcW w:w="1799" w:type="dxa"/>
            <w:tcBorders>
              <w:top w:val="single" w:sz="12" w:space="0" w:color="000000"/>
            </w:tcBorders>
          </w:tcPr>
          <w:p w14:paraId="09B11DD0" w14:textId="77777777" w:rsidR="00E86446" w:rsidRDefault="00345E63">
            <w:pPr>
              <w:spacing w:before="39" w:line="250" w:lineRule="atLeast"/>
              <w:ind w:left="263" w:hanging="140"/>
              <w:rPr>
                <w:b/>
                <w:lang w:val="en-GB" w:eastAsia="en-US"/>
              </w:rPr>
            </w:pPr>
            <w:r>
              <w:rPr>
                <w:b/>
                <w:spacing w:val="-2"/>
                <w:lang w:val="en-GB" w:eastAsia="en-US"/>
              </w:rPr>
              <w:t xml:space="preserve">2 mg </w:t>
            </w:r>
            <w:proofErr w:type="spellStart"/>
            <w:r>
              <w:rPr>
                <w:b/>
                <w:spacing w:val="-2"/>
                <w:lang w:val="en-GB" w:eastAsia="en-US"/>
              </w:rPr>
              <w:t>pailginto</w:t>
            </w:r>
            <w:proofErr w:type="spellEnd"/>
            <w:r>
              <w:rPr>
                <w:b/>
                <w:spacing w:val="-2"/>
                <w:lang w:val="en-GB" w:eastAsia="en-US"/>
              </w:rPr>
              <w:t xml:space="preserve"> </w:t>
            </w:r>
            <w:proofErr w:type="spellStart"/>
            <w:r>
              <w:rPr>
                <w:b/>
                <w:spacing w:val="-2"/>
                <w:lang w:val="en-GB" w:eastAsia="en-US"/>
              </w:rPr>
              <w:t>atpalaidavimo</w:t>
            </w:r>
            <w:proofErr w:type="spellEnd"/>
            <w:r>
              <w:rPr>
                <w:b/>
                <w:spacing w:val="-2"/>
                <w:lang w:val="en-GB" w:eastAsia="en-US"/>
              </w:rPr>
              <w:t xml:space="preserve"> </w:t>
            </w:r>
            <w:proofErr w:type="spellStart"/>
            <w:r>
              <w:rPr>
                <w:b/>
                <w:spacing w:val="-2"/>
                <w:lang w:val="en-GB" w:eastAsia="en-US"/>
              </w:rPr>
              <w:t>eksenatido</w:t>
            </w:r>
            <w:proofErr w:type="spellEnd"/>
          </w:p>
        </w:tc>
      </w:tr>
      <w:tr w:rsidR="00E86446" w14:paraId="320A3B48" w14:textId="77777777" w:rsidTr="0073443F">
        <w:trPr>
          <w:trHeight w:val="307"/>
        </w:trPr>
        <w:tc>
          <w:tcPr>
            <w:tcW w:w="5479" w:type="dxa"/>
            <w:gridSpan w:val="2"/>
          </w:tcPr>
          <w:p w14:paraId="7D3828D2" w14:textId="77777777" w:rsidR="00E86446" w:rsidRDefault="00345E63">
            <w:pPr>
              <w:spacing w:before="54" w:line="233" w:lineRule="exact"/>
              <w:ind w:right="1013"/>
              <w:jc w:val="right"/>
              <w:rPr>
                <w:b/>
                <w:lang w:val="en-GB" w:eastAsia="en-US"/>
              </w:rPr>
            </w:pPr>
            <w:r>
              <w:rPr>
                <w:b/>
                <w:spacing w:val="-10"/>
                <w:lang w:val="en-GB" w:eastAsia="en-US"/>
              </w:rPr>
              <w:t>+</w:t>
            </w:r>
          </w:p>
        </w:tc>
        <w:tc>
          <w:tcPr>
            <w:tcW w:w="4178" w:type="dxa"/>
            <w:gridSpan w:val="2"/>
          </w:tcPr>
          <w:p w14:paraId="6E82FBFE" w14:textId="77777777" w:rsidR="00E86446" w:rsidRDefault="00345E63">
            <w:pPr>
              <w:tabs>
                <w:tab w:val="left" w:pos="2914"/>
              </w:tabs>
              <w:spacing w:line="287" w:lineRule="exact"/>
              <w:ind w:left="1027"/>
              <w:rPr>
                <w:b/>
                <w:lang w:val="en-GB" w:eastAsia="en-US"/>
              </w:rPr>
            </w:pPr>
            <w:r>
              <w:rPr>
                <w:b/>
                <w:spacing w:val="-10"/>
                <w:position w:val="-5"/>
                <w:lang w:val="en-GB" w:eastAsia="en-US"/>
              </w:rPr>
              <w:t>+</w:t>
            </w:r>
            <w:r>
              <w:rPr>
                <w:b/>
                <w:position w:val="-5"/>
                <w:lang w:val="en-GB" w:eastAsia="en-US"/>
              </w:rPr>
              <w:tab/>
            </w:r>
            <w:r>
              <w:rPr>
                <w:b/>
                <w:spacing w:val="-5"/>
                <w:lang w:val="en-GB" w:eastAsia="en-US"/>
              </w:rPr>
              <w:t xml:space="preserve">kas </w:t>
            </w:r>
            <w:proofErr w:type="spellStart"/>
            <w:r>
              <w:rPr>
                <w:b/>
                <w:spacing w:val="-5"/>
                <w:lang w:val="en-GB" w:eastAsia="en-US"/>
              </w:rPr>
              <w:t>savaitę</w:t>
            </w:r>
            <w:proofErr w:type="spellEnd"/>
          </w:p>
        </w:tc>
      </w:tr>
      <w:tr w:rsidR="00E86446" w14:paraId="06A48590" w14:textId="77777777" w:rsidTr="0073443F">
        <w:trPr>
          <w:trHeight w:val="319"/>
        </w:trPr>
        <w:tc>
          <w:tcPr>
            <w:tcW w:w="3011" w:type="dxa"/>
          </w:tcPr>
          <w:p w14:paraId="4D91044F" w14:textId="77777777" w:rsidR="00E86446" w:rsidRDefault="00E86446">
            <w:pPr>
              <w:rPr>
                <w:lang w:val="en-GB" w:eastAsia="en-US"/>
              </w:rPr>
            </w:pPr>
          </w:p>
        </w:tc>
        <w:tc>
          <w:tcPr>
            <w:tcW w:w="2468" w:type="dxa"/>
          </w:tcPr>
          <w:p w14:paraId="4F5F2BA8" w14:textId="77777777" w:rsidR="00E86446" w:rsidRDefault="00345E63">
            <w:pPr>
              <w:spacing w:before="63" w:line="236" w:lineRule="exact"/>
              <w:ind w:left="127" w:right="5"/>
              <w:jc w:val="center"/>
              <w:rPr>
                <w:b/>
                <w:lang w:val="en-GB" w:eastAsia="en-US"/>
              </w:rPr>
            </w:pPr>
            <w:r>
              <w:rPr>
                <w:b/>
                <w:spacing w:val="-2"/>
                <w:lang w:val="en-GB" w:eastAsia="en-US"/>
              </w:rPr>
              <w:t xml:space="preserve">2 mg </w:t>
            </w:r>
            <w:proofErr w:type="spellStart"/>
            <w:r>
              <w:rPr>
                <w:b/>
                <w:spacing w:val="-2"/>
                <w:lang w:val="en-GB" w:eastAsia="en-US"/>
              </w:rPr>
              <w:t>pailginto</w:t>
            </w:r>
            <w:proofErr w:type="spellEnd"/>
            <w:r>
              <w:rPr>
                <w:b/>
                <w:spacing w:val="-2"/>
                <w:lang w:val="en-GB" w:eastAsia="en-US"/>
              </w:rPr>
              <w:t xml:space="preserve"> </w:t>
            </w:r>
            <w:proofErr w:type="spellStart"/>
            <w:r>
              <w:rPr>
                <w:b/>
                <w:spacing w:val="-2"/>
                <w:lang w:val="en-GB" w:eastAsia="en-US"/>
              </w:rPr>
              <w:t>atpalaidavimo</w:t>
            </w:r>
            <w:proofErr w:type="spellEnd"/>
            <w:r>
              <w:rPr>
                <w:b/>
                <w:spacing w:val="-2"/>
                <w:lang w:val="en-GB" w:eastAsia="en-US"/>
              </w:rPr>
              <w:t xml:space="preserve"> </w:t>
            </w:r>
            <w:proofErr w:type="spellStart"/>
            <w:r>
              <w:rPr>
                <w:b/>
                <w:spacing w:val="-2"/>
                <w:lang w:val="en-GB" w:eastAsia="en-US"/>
              </w:rPr>
              <w:t>eksenatido</w:t>
            </w:r>
            <w:proofErr w:type="spellEnd"/>
          </w:p>
        </w:tc>
        <w:tc>
          <w:tcPr>
            <w:tcW w:w="2379" w:type="dxa"/>
          </w:tcPr>
          <w:p w14:paraId="111AA786" w14:textId="25A79E03" w:rsidR="00E86446" w:rsidRDefault="00345E63">
            <w:pPr>
              <w:spacing w:before="63" w:line="236" w:lineRule="exact"/>
              <w:ind w:left="44" w:right="11"/>
              <w:jc w:val="center"/>
              <w:rPr>
                <w:b/>
                <w:lang w:val="en-GB" w:eastAsia="en-US"/>
              </w:rPr>
            </w:pPr>
            <w:r>
              <w:rPr>
                <w:b/>
                <w:lang w:val="en-GB" w:eastAsia="en-US"/>
              </w:rPr>
              <w:t>placeb</w:t>
            </w:r>
            <w:r w:rsidR="00CB595B">
              <w:rPr>
                <w:b/>
                <w:lang w:val="en-GB" w:eastAsia="en-US"/>
              </w:rPr>
              <w:t>o</w:t>
            </w:r>
            <w:r>
              <w:rPr>
                <w:b/>
                <w:spacing w:val="-9"/>
                <w:lang w:val="en-GB" w:eastAsia="en-US"/>
              </w:rPr>
              <w:t xml:space="preserve"> </w:t>
            </w:r>
            <w:r>
              <w:rPr>
                <w:b/>
                <w:spacing w:val="-5"/>
                <w:lang w:val="en-GB" w:eastAsia="en-US"/>
              </w:rPr>
              <w:t xml:space="preserve">kas </w:t>
            </w:r>
            <w:proofErr w:type="spellStart"/>
            <w:r>
              <w:rPr>
                <w:b/>
                <w:spacing w:val="-5"/>
                <w:lang w:val="en-GB" w:eastAsia="en-US"/>
              </w:rPr>
              <w:t>savaitę</w:t>
            </w:r>
            <w:proofErr w:type="spellEnd"/>
          </w:p>
        </w:tc>
        <w:tc>
          <w:tcPr>
            <w:tcW w:w="1799" w:type="dxa"/>
          </w:tcPr>
          <w:p w14:paraId="46996AD7" w14:textId="77777777" w:rsidR="00E86446" w:rsidRDefault="00345E63">
            <w:pPr>
              <w:spacing w:before="1"/>
              <w:ind w:left="17" w:right="9"/>
              <w:jc w:val="center"/>
              <w:rPr>
                <w:b/>
                <w:lang w:val="en-GB" w:eastAsia="en-US"/>
              </w:rPr>
            </w:pPr>
            <w:r>
              <w:rPr>
                <w:b/>
                <w:spacing w:val="-10"/>
                <w:lang w:val="en-GB" w:eastAsia="en-US"/>
              </w:rPr>
              <w:t>+</w:t>
            </w:r>
          </w:p>
        </w:tc>
      </w:tr>
      <w:tr w:rsidR="00E86446" w14:paraId="0271BFC6" w14:textId="77777777" w:rsidTr="0073443F">
        <w:trPr>
          <w:trHeight w:val="314"/>
        </w:trPr>
        <w:tc>
          <w:tcPr>
            <w:tcW w:w="3011" w:type="dxa"/>
            <w:tcBorders>
              <w:bottom w:val="single" w:sz="4" w:space="0" w:color="000000"/>
            </w:tcBorders>
          </w:tcPr>
          <w:p w14:paraId="70A4956A" w14:textId="77777777" w:rsidR="00E86446" w:rsidRDefault="00345E63">
            <w:pPr>
              <w:spacing w:line="252" w:lineRule="exact"/>
              <w:ind w:left="124"/>
              <w:rPr>
                <w:b/>
                <w:lang w:val="en-GB" w:eastAsia="en-US"/>
              </w:rPr>
            </w:pPr>
            <w:proofErr w:type="spellStart"/>
            <w:r>
              <w:rPr>
                <w:b/>
                <w:spacing w:val="-2"/>
                <w:lang w:val="en-GB" w:eastAsia="en-US"/>
              </w:rPr>
              <w:t>Rodiklis</w:t>
            </w:r>
            <w:proofErr w:type="spellEnd"/>
          </w:p>
        </w:tc>
        <w:tc>
          <w:tcPr>
            <w:tcW w:w="2468" w:type="dxa"/>
            <w:tcBorders>
              <w:bottom w:val="single" w:sz="4" w:space="0" w:color="000000"/>
            </w:tcBorders>
          </w:tcPr>
          <w:p w14:paraId="7504F4DF" w14:textId="77777777" w:rsidR="00E86446" w:rsidRDefault="00345E63">
            <w:pPr>
              <w:spacing w:line="247" w:lineRule="exact"/>
              <w:ind w:right="4"/>
              <w:rPr>
                <w:b/>
                <w:lang w:val="en-GB" w:eastAsia="en-US"/>
              </w:rPr>
            </w:pPr>
            <w:r>
              <w:rPr>
                <w:b/>
                <w:lang w:val="en-GB" w:eastAsia="en-US"/>
              </w:rPr>
              <w:t xml:space="preserve">kas </w:t>
            </w:r>
            <w:proofErr w:type="spellStart"/>
            <w:r>
              <w:rPr>
                <w:b/>
                <w:lang w:val="en-GB" w:eastAsia="en-US"/>
              </w:rPr>
              <w:t>savaitę</w:t>
            </w:r>
            <w:proofErr w:type="spellEnd"/>
          </w:p>
        </w:tc>
        <w:tc>
          <w:tcPr>
            <w:tcW w:w="2379" w:type="dxa"/>
            <w:tcBorders>
              <w:bottom w:val="single" w:sz="4" w:space="0" w:color="000000"/>
            </w:tcBorders>
          </w:tcPr>
          <w:p w14:paraId="5A330878" w14:textId="77777777" w:rsidR="00E86446" w:rsidRDefault="00E86446">
            <w:pPr>
              <w:rPr>
                <w:lang w:val="en-GB" w:eastAsia="en-US"/>
              </w:rPr>
            </w:pPr>
          </w:p>
        </w:tc>
        <w:tc>
          <w:tcPr>
            <w:tcW w:w="1799" w:type="dxa"/>
            <w:tcBorders>
              <w:bottom w:val="single" w:sz="4" w:space="0" w:color="000000"/>
            </w:tcBorders>
          </w:tcPr>
          <w:p w14:paraId="72D8CE5D" w14:textId="2A65A944" w:rsidR="00E86446" w:rsidRDefault="00345E63">
            <w:pPr>
              <w:spacing w:line="247" w:lineRule="exact"/>
              <w:ind w:left="17" w:right="9"/>
              <w:jc w:val="center"/>
              <w:rPr>
                <w:b/>
                <w:lang w:val="en-GB" w:eastAsia="en-US"/>
              </w:rPr>
            </w:pPr>
            <w:r>
              <w:rPr>
                <w:b/>
                <w:lang w:val="en-GB" w:eastAsia="en-US"/>
              </w:rPr>
              <w:t>placeb</w:t>
            </w:r>
            <w:r w:rsidR="00CB595B">
              <w:rPr>
                <w:b/>
                <w:lang w:val="en-GB" w:eastAsia="en-US"/>
              </w:rPr>
              <w:t>o</w:t>
            </w:r>
            <w:r>
              <w:rPr>
                <w:b/>
                <w:lang w:val="en-GB" w:eastAsia="en-US"/>
              </w:rPr>
              <w:t xml:space="preserve"> 1 </w:t>
            </w:r>
            <w:proofErr w:type="spellStart"/>
            <w:r>
              <w:rPr>
                <w:b/>
                <w:lang w:val="en-GB" w:eastAsia="en-US"/>
              </w:rPr>
              <w:t>kartą</w:t>
            </w:r>
            <w:proofErr w:type="spellEnd"/>
            <w:r>
              <w:rPr>
                <w:b/>
                <w:lang w:val="en-GB" w:eastAsia="en-US"/>
              </w:rPr>
              <w:t xml:space="preserve"> per </w:t>
            </w:r>
            <w:proofErr w:type="spellStart"/>
            <w:r>
              <w:rPr>
                <w:b/>
                <w:lang w:val="en-GB" w:eastAsia="en-US"/>
              </w:rPr>
              <w:t>savaitę</w:t>
            </w:r>
            <w:proofErr w:type="spellEnd"/>
          </w:p>
        </w:tc>
      </w:tr>
      <w:tr w:rsidR="00E86446" w14:paraId="4255576D" w14:textId="77777777" w:rsidTr="0073443F">
        <w:trPr>
          <w:trHeight w:val="311"/>
        </w:trPr>
        <w:tc>
          <w:tcPr>
            <w:tcW w:w="3011" w:type="dxa"/>
            <w:tcBorders>
              <w:top w:val="single" w:sz="4" w:space="0" w:color="000000"/>
              <w:bottom w:val="single" w:sz="4" w:space="0" w:color="000000"/>
            </w:tcBorders>
          </w:tcPr>
          <w:p w14:paraId="60D6B750" w14:textId="77777777" w:rsidR="00E86446" w:rsidRDefault="00345E63">
            <w:pPr>
              <w:spacing w:line="249" w:lineRule="exact"/>
              <w:ind w:left="124"/>
              <w:rPr>
                <w:b/>
                <w:lang w:val="en-GB" w:eastAsia="en-US"/>
              </w:rPr>
            </w:pPr>
            <w:r>
              <w:rPr>
                <w:b/>
                <w:spacing w:val="-10"/>
                <w:lang w:val="en-GB" w:eastAsia="en-US"/>
              </w:rPr>
              <w:t>N</w:t>
            </w:r>
          </w:p>
        </w:tc>
        <w:tc>
          <w:tcPr>
            <w:tcW w:w="2468" w:type="dxa"/>
            <w:tcBorders>
              <w:top w:val="single" w:sz="4" w:space="0" w:color="000000"/>
              <w:bottom w:val="single" w:sz="4" w:space="0" w:color="000000"/>
            </w:tcBorders>
          </w:tcPr>
          <w:p w14:paraId="28437499" w14:textId="77777777" w:rsidR="00E86446" w:rsidRDefault="00345E63">
            <w:pPr>
              <w:spacing w:line="249" w:lineRule="exact"/>
              <w:ind w:left="127" w:right="10"/>
              <w:jc w:val="center"/>
              <w:rPr>
                <w:b/>
                <w:lang w:val="en-GB" w:eastAsia="en-US"/>
              </w:rPr>
            </w:pPr>
            <w:r>
              <w:rPr>
                <w:b/>
                <w:spacing w:val="-5"/>
                <w:lang w:val="en-GB" w:eastAsia="en-US"/>
              </w:rPr>
              <w:t>228</w:t>
            </w:r>
          </w:p>
        </w:tc>
        <w:tc>
          <w:tcPr>
            <w:tcW w:w="2379" w:type="dxa"/>
            <w:tcBorders>
              <w:top w:val="single" w:sz="4" w:space="0" w:color="000000"/>
              <w:bottom w:val="single" w:sz="4" w:space="0" w:color="000000"/>
            </w:tcBorders>
          </w:tcPr>
          <w:p w14:paraId="3EDCD7B7" w14:textId="77777777" w:rsidR="00E86446" w:rsidRDefault="00345E63">
            <w:pPr>
              <w:spacing w:before="29"/>
              <w:ind w:left="44" w:right="11"/>
              <w:jc w:val="center"/>
              <w:rPr>
                <w:b/>
                <w:lang w:val="en-GB" w:eastAsia="en-US"/>
              </w:rPr>
            </w:pPr>
            <w:r>
              <w:rPr>
                <w:b/>
                <w:spacing w:val="-5"/>
                <w:lang w:val="en-GB" w:eastAsia="en-US"/>
              </w:rPr>
              <w:t>230</w:t>
            </w:r>
          </w:p>
        </w:tc>
        <w:tc>
          <w:tcPr>
            <w:tcW w:w="1799" w:type="dxa"/>
            <w:tcBorders>
              <w:top w:val="single" w:sz="4" w:space="0" w:color="000000"/>
              <w:bottom w:val="single" w:sz="4" w:space="0" w:color="000000"/>
            </w:tcBorders>
          </w:tcPr>
          <w:p w14:paraId="394C61EB" w14:textId="77777777" w:rsidR="00E86446" w:rsidRDefault="00345E63">
            <w:pPr>
              <w:spacing w:before="29"/>
              <w:ind w:left="17" w:right="5"/>
              <w:jc w:val="center"/>
              <w:rPr>
                <w:b/>
                <w:lang w:val="en-GB" w:eastAsia="en-US"/>
              </w:rPr>
            </w:pPr>
            <w:r>
              <w:rPr>
                <w:b/>
                <w:spacing w:val="-5"/>
                <w:lang w:val="en-GB" w:eastAsia="en-US"/>
              </w:rPr>
              <w:t>227</w:t>
            </w:r>
          </w:p>
        </w:tc>
      </w:tr>
      <w:tr w:rsidR="00E86446" w14:paraId="139B2A7E" w14:textId="77777777" w:rsidTr="0073443F">
        <w:trPr>
          <w:trHeight w:val="254"/>
        </w:trPr>
        <w:tc>
          <w:tcPr>
            <w:tcW w:w="3011" w:type="dxa"/>
            <w:tcBorders>
              <w:top w:val="single" w:sz="4" w:space="0" w:color="000000"/>
            </w:tcBorders>
          </w:tcPr>
          <w:p w14:paraId="5F07CF61" w14:textId="77777777" w:rsidR="00E86446" w:rsidRDefault="00345E63">
            <w:pPr>
              <w:spacing w:before="1" w:line="233" w:lineRule="exact"/>
              <w:ind w:left="124"/>
              <w:rPr>
                <w:b/>
                <w:lang w:val="en-GB" w:eastAsia="en-US"/>
              </w:rPr>
            </w:pPr>
            <w:r>
              <w:rPr>
                <w:b/>
                <w:lang w:val="en-GB" w:eastAsia="en-US"/>
              </w:rPr>
              <w:lastRenderedPageBreak/>
              <w:t>HbA1c</w:t>
            </w:r>
            <w:r>
              <w:rPr>
                <w:b/>
                <w:spacing w:val="-11"/>
                <w:lang w:val="en-GB" w:eastAsia="en-US"/>
              </w:rPr>
              <w:t xml:space="preserve"> </w:t>
            </w:r>
            <w:r>
              <w:rPr>
                <w:b/>
                <w:spacing w:val="-5"/>
                <w:lang w:val="en-GB" w:eastAsia="en-US"/>
              </w:rPr>
              <w:t>(%)</w:t>
            </w:r>
          </w:p>
        </w:tc>
        <w:tc>
          <w:tcPr>
            <w:tcW w:w="2468" w:type="dxa"/>
            <w:tcBorders>
              <w:top w:val="single" w:sz="4" w:space="0" w:color="000000"/>
            </w:tcBorders>
          </w:tcPr>
          <w:p w14:paraId="49ABB3D3" w14:textId="77777777" w:rsidR="00E86446" w:rsidRDefault="00E86446">
            <w:pPr>
              <w:rPr>
                <w:lang w:val="en-GB" w:eastAsia="en-US"/>
              </w:rPr>
            </w:pPr>
          </w:p>
        </w:tc>
        <w:tc>
          <w:tcPr>
            <w:tcW w:w="2379" w:type="dxa"/>
            <w:tcBorders>
              <w:top w:val="single" w:sz="4" w:space="0" w:color="000000"/>
            </w:tcBorders>
          </w:tcPr>
          <w:p w14:paraId="5B1E7B98" w14:textId="77777777" w:rsidR="00E86446" w:rsidRDefault="00E86446">
            <w:pPr>
              <w:rPr>
                <w:lang w:val="en-GB" w:eastAsia="en-US"/>
              </w:rPr>
            </w:pPr>
          </w:p>
        </w:tc>
        <w:tc>
          <w:tcPr>
            <w:tcW w:w="1799" w:type="dxa"/>
            <w:tcBorders>
              <w:top w:val="single" w:sz="4" w:space="0" w:color="000000"/>
            </w:tcBorders>
          </w:tcPr>
          <w:p w14:paraId="3B785D2C" w14:textId="77777777" w:rsidR="00E86446" w:rsidRDefault="00E86446">
            <w:pPr>
              <w:rPr>
                <w:lang w:val="en-GB" w:eastAsia="en-US"/>
              </w:rPr>
            </w:pPr>
          </w:p>
        </w:tc>
      </w:tr>
      <w:tr w:rsidR="00E86446" w14:paraId="6A9F247B" w14:textId="77777777" w:rsidTr="0073443F">
        <w:trPr>
          <w:trHeight w:val="239"/>
        </w:trPr>
        <w:tc>
          <w:tcPr>
            <w:tcW w:w="3011" w:type="dxa"/>
          </w:tcPr>
          <w:p w14:paraId="42B9DE84" w14:textId="191B56D2" w:rsidR="00E86446" w:rsidRDefault="00CB595B">
            <w:pPr>
              <w:spacing w:line="219" w:lineRule="exact"/>
              <w:ind w:left="124"/>
              <w:rPr>
                <w:lang w:val="en-GB" w:eastAsia="en-US"/>
              </w:rPr>
            </w:pPr>
            <w:proofErr w:type="spellStart"/>
            <w:r>
              <w:rPr>
                <w:lang w:val="en-GB" w:eastAsia="en-US"/>
              </w:rPr>
              <w:t>Pradinė</w:t>
            </w:r>
            <w:proofErr w:type="spellEnd"/>
            <w:r w:rsidR="00345E63">
              <w:rPr>
                <w:spacing w:val="-8"/>
                <w:lang w:val="en-GB" w:eastAsia="en-US"/>
              </w:rPr>
              <w:t xml:space="preserve"> </w:t>
            </w:r>
            <w:r w:rsidR="00345E63">
              <w:rPr>
                <w:spacing w:val="-2"/>
                <w:lang w:val="en-GB" w:eastAsia="en-US"/>
              </w:rPr>
              <w:t>(</w:t>
            </w:r>
            <w:proofErr w:type="spellStart"/>
            <w:r w:rsidR="00345E63">
              <w:rPr>
                <w:spacing w:val="-2"/>
                <w:lang w:val="en-GB" w:eastAsia="en-US"/>
              </w:rPr>
              <w:t>vidurkis</w:t>
            </w:r>
            <w:proofErr w:type="spellEnd"/>
            <w:r w:rsidR="00345E63">
              <w:rPr>
                <w:spacing w:val="-2"/>
                <w:lang w:val="en-GB" w:eastAsia="en-US"/>
              </w:rPr>
              <w:t>)</w:t>
            </w:r>
          </w:p>
        </w:tc>
        <w:tc>
          <w:tcPr>
            <w:tcW w:w="2468" w:type="dxa"/>
          </w:tcPr>
          <w:p w14:paraId="6F9A5760" w14:textId="77777777" w:rsidR="00E86446" w:rsidRDefault="00345E63">
            <w:pPr>
              <w:spacing w:line="219" w:lineRule="exact"/>
              <w:ind w:left="127"/>
              <w:jc w:val="center"/>
              <w:rPr>
                <w:lang w:val="en-GB" w:eastAsia="en-US"/>
              </w:rPr>
            </w:pPr>
            <w:r>
              <w:rPr>
                <w:spacing w:val="-4"/>
                <w:lang w:val="en-GB" w:eastAsia="en-US"/>
              </w:rPr>
              <w:t>9,29</w:t>
            </w:r>
          </w:p>
        </w:tc>
        <w:tc>
          <w:tcPr>
            <w:tcW w:w="2379" w:type="dxa"/>
          </w:tcPr>
          <w:p w14:paraId="0F16ED85" w14:textId="77777777" w:rsidR="00E86446" w:rsidRDefault="00345E63">
            <w:pPr>
              <w:spacing w:line="219" w:lineRule="exact"/>
              <w:ind w:left="44"/>
              <w:jc w:val="center"/>
              <w:rPr>
                <w:lang w:val="en-GB" w:eastAsia="en-US"/>
              </w:rPr>
            </w:pPr>
            <w:r>
              <w:rPr>
                <w:spacing w:val="-4"/>
                <w:lang w:val="en-GB" w:eastAsia="en-US"/>
              </w:rPr>
              <w:t>9,25</w:t>
            </w:r>
          </w:p>
        </w:tc>
        <w:tc>
          <w:tcPr>
            <w:tcW w:w="1799" w:type="dxa"/>
          </w:tcPr>
          <w:p w14:paraId="7DA2D3AA" w14:textId="77777777" w:rsidR="00E86446" w:rsidRDefault="00345E63">
            <w:pPr>
              <w:spacing w:line="219" w:lineRule="exact"/>
              <w:ind w:left="17" w:right="4"/>
              <w:jc w:val="center"/>
              <w:rPr>
                <w:lang w:val="en-GB" w:eastAsia="en-US"/>
              </w:rPr>
            </w:pPr>
            <w:r>
              <w:rPr>
                <w:spacing w:val="-4"/>
                <w:lang w:val="en-GB" w:eastAsia="en-US"/>
              </w:rPr>
              <w:t>9,26</w:t>
            </w:r>
          </w:p>
        </w:tc>
      </w:tr>
      <w:tr w:rsidR="00E86446" w14:paraId="00AAEBDF" w14:textId="77777777" w:rsidTr="0073443F">
        <w:trPr>
          <w:trHeight w:val="312"/>
        </w:trPr>
        <w:tc>
          <w:tcPr>
            <w:tcW w:w="3011" w:type="dxa"/>
          </w:tcPr>
          <w:p w14:paraId="7647691C" w14:textId="77777777" w:rsidR="00E86446" w:rsidRDefault="00345E63">
            <w:pPr>
              <w:spacing w:before="21"/>
              <w:ind w:left="124"/>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palyginus</w:t>
            </w:r>
            <w:proofErr w:type="spellEnd"/>
            <w:r>
              <w:rPr>
                <w:lang w:val="en-GB" w:eastAsia="en-US"/>
              </w:rPr>
              <w:t xml:space="preserve"> </w:t>
            </w:r>
            <w:proofErr w:type="spellStart"/>
            <w:r>
              <w:rPr>
                <w:lang w:val="en-GB" w:eastAsia="en-US"/>
              </w:rPr>
              <w:t>su</w:t>
            </w:r>
            <w:proofErr w:type="spellEnd"/>
            <w:r>
              <w:rPr>
                <w:lang w:val="en-GB" w:eastAsia="en-US"/>
              </w:rPr>
              <w:t xml:space="preserve"> </w:t>
            </w:r>
            <w:proofErr w:type="spellStart"/>
            <w:r>
              <w:rPr>
                <w:lang w:val="en-GB" w:eastAsia="en-US"/>
              </w:rPr>
              <w:t>pradine</w:t>
            </w:r>
            <w:r>
              <w:rPr>
                <w:spacing w:val="-2"/>
                <w:vertAlign w:val="superscript"/>
                <w:lang w:val="en-GB" w:eastAsia="en-US"/>
              </w:rPr>
              <w:t>a</w:t>
            </w:r>
            <w:proofErr w:type="spellEnd"/>
          </w:p>
        </w:tc>
        <w:tc>
          <w:tcPr>
            <w:tcW w:w="2468" w:type="dxa"/>
          </w:tcPr>
          <w:p w14:paraId="2C983CA0" w14:textId="77777777" w:rsidR="00E86446" w:rsidRDefault="00345E63">
            <w:pPr>
              <w:spacing w:before="16"/>
              <w:ind w:left="127" w:right="4"/>
              <w:jc w:val="center"/>
              <w:rPr>
                <w:lang w:val="en-GB" w:eastAsia="en-US"/>
              </w:rPr>
            </w:pPr>
            <w:r>
              <w:rPr>
                <w:spacing w:val="-2"/>
                <w:lang w:val="en-GB" w:eastAsia="en-US"/>
              </w:rPr>
              <w:t>-</w:t>
            </w:r>
            <w:r>
              <w:rPr>
                <w:spacing w:val="-4"/>
                <w:lang w:val="en-GB" w:eastAsia="en-US"/>
              </w:rPr>
              <w:t>1,98</w:t>
            </w:r>
          </w:p>
        </w:tc>
        <w:tc>
          <w:tcPr>
            <w:tcW w:w="2379" w:type="dxa"/>
          </w:tcPr>
          <w:p w14:paraId="675A9DDD" w14:textId="77777777" w:rsidR="00E86446" w:rsidRDefault="00345E63">
            <w:pPr>
              <w:spacing w:before="16"/>
              <w:ind w:left="44" w:right="5"/>
              <w:jc w:val="center"/>
              <w:rPr>
                <w:lang w:val="en-GB" w:eastAsia="en-US"/>
              </w:rPr>
            </w:pPr>
            <w:r>
              <w:rPr>
                <w:spacing w:val="-2"/>
                <w:lang w:val="en-GB" w:eastAsia="en-US"/>
              </w:rPr>
              <w:t>-</w:t>
            </w:r>
            <w:r>
              <w:rPr>
                <w:spacing w:val="-4"/>
                <w:lang w:val="en-GB" w:eastAsia="en-US"/>
              </w:rPr>
              <w:t>1,39</w:t>
            </w:r>
          </w:p>
        </w:tc>
        <w:tc>
          <w:tcPr>
            <w:tcW w:w="1799" w:type="dxa"/>
          </w:tcPr>
          <w:p w14:paraId="1A671C07" w14:textId="77777777" w:rsidR="00E86446" w:rsidRDefault="00345E63">
            <w:pPr>
              <w:spacing w:before="16"/>
              <w:ind w:left="17"/>
              <w:jc w:val="center"/>
              <w:rPr>
                <w:lang w:val="en-GB" w:eastAsia="en-US"/>
              </w:rPr>
            </w:pPr>
            <w:r>
              <w:rPr>
                <w:spacing w:val="-2"/>
                <w:lang w:val="en-GB" w:eastAsia="en-US"/>
              </w:rPr>
              <w:t>-</w:t>
            </w:r>
            <w:r>
              <w:rPr>
                <w:spacing w:val="-4"/>
                <w:lang w:val="en-GB" w:eastAsia="en-US"/>
              </w:rPr>
              <w:t>1,60</w:t>
            </w:r>
          </w:p>
        </w:tc>
      </w:tr>
      <w:tr w:rsidR="00E86446" w14:paraId="089AE519" w14:textId="77777777" w:rsidTr="0073443F">
        <w:trPr>
          <w:trHeight w:val="288"/>
        </w:trPr>
        <w:tc>
          <w:tcPr>
            <w:tcW w:w="3011" w:type="dxa"/>
          </w:tcPr>
          <w:p w14:paraId="38278DBF" w14:textId="012D9D90" w:rsidR="00E86446" w:rsidRDefault="00345E63">
            <w:pPr>
              <w:spacing w:before="30" w:line="238" w:lineRule="exact"/>
              <w:ind w:left="124"/>
              <w:rPr>
                <w:lang w:val="en-GB" w:eastAsia="en-US"/>
              </w:rPr>
            </w:pPr>
            <w:proofErr w:type="spellStart"/>
            <w:r>
              <w:rPr>
                <w:lang w:val="en-GB" w:eastAsia="en-US"/>
              </w:rPr>
              <w:t>Vidutinis</w:t>
            </w:r>
            <w:proofErr w:type="spellEnd"/>
            <w:r>
              <w:rPr>
                <w:lang w:val="en-GB" w:eastAsia="en-US"/>
              </w:rPr>
              <w:t xml:space="preserve"> </w:t>
            </w:r>
            <w:proofErr w:type="spellStart"/>
            <w:r>
              <w:rPr>
                <w:lang w:val="en-GB" w:eastAsia="en-US"/>
              </w:rPr>
              <w:t>pokyčio</w:t>
            </w:r>
            <w:proofErr w:type="spellEnd"/>
            <w:r>
              <w:rPr>
                <w:lang w:val="en-GB" w:eastAsia="en-US"/>
              </w:rPr>
              <w:t xml:space="preserve">, </w:t>
            </w:r>
            <w:proofErr w:type="spellStart"/>
            <w:r>
              <w:rPr>
                <w:lang w:val="en-GB" w:eastAsia="en-US"/>
              </w:rPr>
              <w:t>palyginus</w:t>
            </w:r>
            <w:proofErr w:type="spellEnd"/>
          </w:p>
        </w:tc>
        <w:tc>
          <w:tcPr>
            <w:tcW w:w="2468" w:type="dxa"/>
          </w:tcPr>
          <w:p w14:paraId="6075BA05" w14:textId="77777777" w:rsidR="00E86446" w:rsidRDefault="00E86446">
            <w:pPr>
              <w:rPr>
                <w:lang w:val="en-GB" w:eastAsia="en-US"/>
              </w:rPr>
            </w:pPr>
          </w:p>
        </w:tc>
        <w:tc>
          <w:tcPr>
            <w:tcW w:w="2379" w:type="dxa"/>
          </w:tcPr>
          <w:p w14:paraId="1F6E2AC2" w14:textId="77777777" w:rsidR="00E86446" w:rsidRDefault="00E86446">
            <w:pPr>
              <w:rPr>
                <w:lang w:val="en-GB" w:eastAsia="en-US"/>
              </w:rPr>
            </w:pPr>
          </w:p>
        </w:tc>
        <w:tc>
          <w:tcPr>
            <w:tcW w:w="1799" w:type="dxa"/>
          </w:tcPr>
          <w:p w14:paraId="606B1F41" w14:textId="77777777" w:rsidR="00E86446" w:rsidRDefault="00E86446">
            <w:pPr>
              <w:rPr>
                <w:lang w:val="en-GB" w:eastAsia="en-US"/>
              </w:rPr>
            </w:pPr>
          </w:p>
        </w:tc>
      </w:tr>
      <w:tr w:rsidR="00E86446" w14:paraId="24B67F1D" w14:textId="77777777" w:rsidTr="0073443F">
        <w:trPr>
          <w:trHeight w:val="251"/>
        </w:trPr>
        <w:tc>
          <w:tcPr>
            <w:tcW w:w="3011" w:type="dxa"/>
          </w:tcPr>
          <w:p w14:paraId="39539373" w14:textId="48DE63D8" w:rsidR="00E86446" w:rsidRDefault="00374561">
            <w:pPr>
              <w:spacing w:line="232" w:lineRule="exact"/>
              <w:ind w:left="124"/>
              <w:rPr>
                <w:lang w:val="en-GB" w:eastAsia="en-US"/>
              </w:rPr>
            </w:pPr>
            <w:proofErr w:type="spellStart"/>
            <w:r>
              <w:rPr>
                <w:lang w:val="en-GB" w:eastAsia="en-US"/>
              </w:rPr>
              <w:t>s</w:t>
            </w:r>
            <w:r w:rsidR="00345E63">
              <w:rPr>
                <w:lang w:val="en-GB" w:eastAsia="en-US"/>
              </w:rPr>
              <w:t>u</w:t>
            </w:r>
            <w:proofErr w:type="spellEnd"/>
            <w:r w:rsidR="00345E63">
              <w:rPr>
                <w:lang w:val="en-GB" w:eastAsia="en-US"/>
              </w:rPr>
              <w:t xml:space="preserve"> </w:t>
            </w:r>
            <w:proofErr w:type="spellStart"/>
            <w:r w:rsidR="00345E63">
              <w:rPr>
                <w:lang w:val="en-GB" w:eastAsia="en-US"/>
              </w:rPr>
              <w:t>pradine</w:t>
            </w:r>
            <w:proofErr w:type="spellEnd"/>
            <w:r w:rsidR="00345E63">
              <w:rPr>
                <w:lang w:val="en-GB" w:eastAsia="en-US"/>
              </w:rPr>
              <w:t xml:space="preserve">, </w:t>
            </w:r>
            <w:proofErr w:type="spellStart"/>
            <w:r w:rsidR="00345E63">
              <w:rPr>
                <w:lang w:val="en-GB" w:eastAsia="en-US"/>
              </w:rPr>
              <w:t>skirtumas</w:t>
            </w:r>
            <w:proofErr w:type="spellEnd"/>
            <w:r w:rsidR="003F53AD">
              <w:rPr>
                <w:lang w:val="en-GB" w:eastAsia="en-US"/>
              </w:rPr>
              <w:t>,</w:t>
            </w:r>
          </w:p>
        </w:tc>
        <w:tc>
          <w:tcPr>
            <w:tcW w:w="2468" w:type="dxa"/>
          </w:tcPr>
          <w:p w14:paraId="564C726D" w14:textId="77777777" w:rsidR="00E86446" w:rsidRDefault="00E86446">
            <w:pPr>
              <w:rPr>
                <w:lang w:val="en-GB" w:eastAsia="en-US"/>
              </w:rPr>
            </w:pPr>
          </w:p>
        </w:tc>
        <w:tc>
          <w:tcPr>
            <w:tcW w:w="2379" w:type="dxa"/>
          </w:tcPr>
          <w:p w14:paraId="4DCE9CA8" w14:textId="77777777" w:rsidR="00E86446" w:rsidRDefault="00345E63">
            <w:pPr>
              <w:spacing w:line="232" w:lineRule="exact"/>
              <w:ind w:left="44" w:right="1"/>
              <w:jc w:val="center"/>
              <w:rPr>
                <w:lang w:val="en-GB" w:eastAsia="en-US"/>
              </w:rPr>
            </w:pPr>
            <w:r>
              <w:rPr>
                <w:spacing w:val="-2"/>
                <w:lang w:val="en-GB" w:eastAsia="en-US"/>
              </w:rPr>
              <w:t>-0,59*</w:t>
            </w:r>
          </w:p>
        </w:tc>
        <w:tc>
          <w:tcPr>
            <w:tcW w:w="1799" w:type="dxa"/>
          </w:tcPr>
          <w:p w14:paraId="0A5CC9CD" w14:textId="77777777" w:rsidR="00E86446" w:rsidRDefault="00345E63">
            <w:pPr>
              <w:spacing w:line="232" w:lineRule="exact"/>
              <w:ind w:left="17" w:right="6"/>
              <w:jc w:val="center"/>
              <w:rPr>
                <w:lang w:val="en-GB" w:eastAsia="en-US"/>
              </w:rPr>
            </w:pPr>
            <w:r>
              <w:rPr>
                <w:spacing w:val="-2"/>
                <w:lang w:val="en-GB" w:eastAsia="en-US"/>
              </w:rPr>
              <w:t>-0,38**</w:t>
            </w:r>
          </w:p>
        </w:tc>
      </w:tr>
      <w:tr w:rsidR="00E86446" w14:paraId="40DE5F4A" w14:textId="77777777" w:rsidTr="0073443F">
        <w:trPr>
          <w:trHeight w:val="249"/>
        </w:trPr>
        <w:tc>
          <w:tcPr>
            <w:tcW w:w="3011" w:type="dxa"/>
          </w:tcPr>
          <w:p w14:paraId="08373383" w14:textId="77777777" w:rsidR="00E86446" w:rsidRDefault="00345E63">
            <w:pPr>
              <w:spacing w:line="230" w:lineRule="exact"/>
              <w:ind w:left="124"/>
              <w:rPr>
                <w:lang w:val="en-GB" w:eastAsia="en-US"/>
              </w:rPr>
            </w:pPr>
            <w:proofErr w:type="spellStart"/>
            <w:r>
              <w:rPr>
                <w:lang w:val="en-GB" w:eastAsia="en-US"/>
              </w:rPr>
              <w:t>vartojant</w:t>
            </w:r>
            <w:proofErr w:type="spellEnd"/>
            <w:r>
              <w:rPr>
                <w:lang w:val="en-GB" w:eastAsia="en-US"/>
              </w:rPr>
              <w:t xml:space="preserve"> </w:t>
            </w:r>
            <w:proofErr w:type="spellStart"/>
            <w:r>
              <w:rPr>
                <w:lang w:val="en-GB" w:eastAsia="en-US"/>
              </w:rPr>
              <w:t>derinį</w:t>
            </w:r>
            <w:proofErr w:type="spellEnd"/>
            <w:r>
              <w:rPr>
                <w:lang w:val="en-GB" w:eastAsia="en-US"/>
              </w:rPr>
              <w:t xml:space="preserve"> </w:t>
            </w:r>
            <w:proofErr w:type="spellStart"/>
            <w:r>
              <w:rPr>
                <w:lang w:val="en-GB" w:eastAsia="en-US"/>
              </w:rPr>
              <w:t>ir</w:t>
            </w:r>
            <w:proofErr w:type="spellEnd"/>
            <w:r>
              <w:rPr>
                <w:lang w:val="en-GB" w:eastAsia="en-US"/>
              </w:rPr>
              <w:t xml:space="preserve"> </w:t>
            </w:r>
            <w:proofErr w:type="spellStart"/>
            <w:r>
              <w:rPr>
                <w:lang w:val="en-GB" w:eastAsia="en-US"/>
              </w:rPr>
              <w:t>atskirus</w:t>
            </w:r>
            <w:proofErr w:type="spellEnd"/>
          </w:p>
        </w:tc>
        <w:tc>
          <w:tcPr>
            <w:tcW w:w="2468" w:type="dxa"/>
          </w:tcPr>
          <w:p w14:paraId="48BFD000" w14:textId="77777777" w:rsidR="00E86446" w:rsidRDefault="00E86446">
            <w:pPr>
              <w:rPr>
                <w:lang w:val="en-GB" w:eastAsia="en-US"/>
              </w:rPr>
            </w:pPr>
          </w:p>
        </w:tc>
        <w:tc>
          <w:tcPr>
            <w:tcW w:w="2379" w:type="dxa"/>
          </w:tcPr>
          <w:p w14:paraId="019B7EAC" w14:textId="77777777" w:rsidR="00E86446" w:rsidRDefault="00345E63">
            <w:pPr>
              <w:spacing w:line="230" w:lineRule="exact"/>
              <w:ind w:left="44"/>
              <w:jc w:val="center"/>
              <w:rPr>
                <w:lang w:val="en-GB" w:eastAsia="en-US"/>
              </w:rPr>
            </w:pPr>
            <w:r>
              <w:rPr>
                <w:lang w:val="en-GB" w:eastAsia="en-US"/>
              </w:rPr>
              <w:t>(-0,84,</w:t>
            </w:r>
            <w:r>
              <w:rPr>
                <w:spacing w:val="-3"/>
                <w:lang w:val="en-GB" w:eastAsia="en-US"/>
              </w:rPr>
              <w:t xml:space="preserve"> </w:t>
            </w:r>
            <w:r>
              <w:rPr>
                <w:lang w:val="en-GB" w:eastAsia="en-US"/>
              </w:rPr>
              <w:t>-</w:t>
            </w:r>
            <w:r>
              <w:rPr>
                <w:spacing w:val="-2"/>
                <w:lang w:val="en-GB" w:eastAsia="en-US"/>
              </w:rPr>
              <w:t>0,34)</w:t>
            </w:r>
          </w:p>
        </w:tc>
        <w:tc>
          <w:tcPr>
            <w:tcW w:w="1799" w:type="dxa"/>
          </w:tcPr>
          <w:p w14:paraId="45574AD3" w14:textId="77777777" w:rsidR="00E86446" w:rsidRDefault="00345E63">
            <w:pPr>
              <w:spacing w:line="230" w:lineRule="exact"/>
              <w:ind w:left="17" w:right="4"/>
              <w:jc w:val="center"/>
              <w:rPr>
                <w:lang w:val="en-GB" w:eastAsia="en-US"/>
              </w:rPr>
            </w:pPr>
            <w:r>
              <w:rPr>
                <w:lang w:val="en-GB" w:eastAsia="en-US"/>
              </w:rPr>
              <w:t>(-0,63,</w:t>
            </w:r>
            <w:r>
              <w:rPr>
                <w:spacing w:val="-3"/>
                <w:lang w:val="en-GB" w:eastAsia="en-US"/>
              </w:rPr>
              <w:t xml:space="preserve"> </w:t>
            </w:r>
            <w:r>
              <w:rPr>
                <w:lang w:val="en-GB" w:eastAsia="en-US"/>
              </w:rPr>
              <w:t>-</w:t>
            </w:r>
            <w:r>
              <w:rPr>
                <w:spacing w:val="-2"/>
                <w:lang w:val="en-GB" w:eastAsia="en-US"/>
              </w:rPr>
              <w:t>0,13)</w:t>
            </w:r>
          </w:p>
        </w:tc>
      </w:tr>
      <w:tr w:rsidR="00E86446" w14:paraId="450294FE" w14:textId="77777777" w:rsidTr="0073443F">
        <w:trPr>
          <w:trHeight w:val="319"/>
        </w:trPr>
        <w:tc>
          <w:tcPr>
            <w:tcW w:w="3011" w:type="dxa"/>
            <w:tcBorders>
              <w:bottom w:val="single" w:sz="4" w:space="0" w:color="000000"/>
            </w:tcBorders>
          </w:tcPr>
          <w:p w14:paraId="2DFA68A2" w14:textId="77777777" w:rsidR="00E86446" w:rsidRDefault="00345E63">
            <w:pPr>
              <w:spacing w:line="247" w:lineRule="exact"/>
              <w:ind w:left="124"/>
              <w:rPr>
                <w:lang w:val="en-GB" w:eastAsia="en-US"/>
              </w:rPr>
            </w:pPr>
            <w:proofErr w:type="spellStart"/>
            <w:r>
              <w:rPr>
                <w:lang w:val="en-GB" w:eastAsia="en-US"/>
              </w:rPr>
              <w:t>vaistinius</w:t>
            </w:r>
            <w:proofErr w:type="spellEnd"/>
            <w:r>
              <w:rPr>
                <w:lang w:val="en-GB" w:eastAsia="en-US"/>
              </w:rPr>
              <w:t xml:space="preserve"> </w:t>
            </w:r>
            <w:proofErr w:type="spellStart"/>
            <w:r>
              <w:rPr>
                <w:lang w:val="en-GB" w:eastAsia="en-US"/>
              </w:rPr>
              <w:t>preparatus</w:t>
            </w:r>
            <w:proofErr w:type="spellEnd"/>
            <w:r>
              <w:rPr>
                <w:spacing w:val="-5"/>
                <w:lang w:val="en-GB" w:eastAsia="en-US"/>
              </w:rPr>
              <w:t xml:space="preserve"> </w:t>
            </w:r>
            <w:r>
              <w:rPr>
                <w:lang w:val="en-GB" w:eastAsia="en-US"/>
              </w:rPr>
              <w:t>(95 %</w:t>
            </w:r>
            <w:r>
              <w:rPr>
                <w:spacing w:val="-5"/>
                <w:lang w:val="en-GB" w:eastAsia="en-US"/>
              </w:rPr>
              <w:t xml:space="preserve"> PI)</w:t>
            </w:r>
          </w:p>
        </w:tc>
        <w:tc>
          <w:tcPr>
            <w:tcW w:w="2468" w:type="dxa"/>
            <w:tcBorders>
              <w:bottom w:val="single" w:sz="4" w:space="0" w:color="000000"/>
            </w:tcBorders>
          </w:tcPr>
          <w:p w14:paraId="7A8CE504" w14:textId="77777777" w:rsidR="00E86446" w:rsidRDefault="00E86446">
            <w:pPr>
              <w:rPr>
                <w:lang w:val="en-GB" w:eastAsia="en-US"/>
              </w:rPr>
            </w:pPr>
          </w:p>
        </w:tc>
        <w:tc>
          <w:tcPr>
            <w:tcW w:w="2379" w:type="dxa"/>
            <w:tcBorders>
              <w:bottom w:val="single" w:sz="4" w:space="0" w:color="000000"/>
            </w:tcBorders>
          </w:tcPr>
          <w:p w14:paraId="0A3AC650" w14:textId="77777777" w:rsidR="00E86446" w:rsidRDefault="00E86446">
            <w:pPr>
              <w:rPr>
                <w:lang w:val="en-GB" w:eastAsia="en-US"/>
              </w:rPr>
            </w:pPr>
          </w:p>
        </w:tc>
        <w:tc>
          <w:tcPr>
            <w:tcW w:w="1799" w:type="dxa"/>
            <w:tcBorders>
              <w:bottom w:val="single" w:sz="4" w:space="0" w:color="000000"/>
            </w:tcBorders>
          </w:tcPr>
          <w:p w14:paraId="0BD6A848" w14:textId="77777777" w:rsidR="00E86446" w:rsidRDefault="00E86446">
            <w:pPr>
              <w:rPr>
                <w:lang w:val="en-GB" w:eastAsia="en-US"/>
              </w:rPr>
            </w:pPr>
          </w:p>
        </w:tc>
      </w:tr>
      <w:tr w:rsidR="00E86446" w14:paraId="0AD437CE" w14:textId="77777777" w:rsidTr="0073443F">
        <w:trPr>
          <w:trHeight w:val="623"/>
        </w:trPr>
        <w:tc>
          <w:tcPr>
            <w:tcW w:w="3011" w:type="dxa"/>
            <w:tcBorders>
              <w:bottom w:val="single" w:sz="4" w:space="0" w:color="000000"/>
            </w:tcBorders>
          </w:tcPr>
          <w:p w14:paraId="0F1AAF04" w14:textId="760C9E66" w:rsidR="00E86446" w:rsidRDefault="00345E63">
            <w:pPr>
              <w:spacing w:before="60" w:line="237" w:lineRule="auto"/>
              <w:ind w:left="124"/>
              <w:rPr>
                <w:b/>
                <w:lang w:val="en-GB" w:eastAsia="en-US"/>
              </w:rPr>
            </w:pPr>
            <w:proofErr w:type="spellStart"/>
            <w:r>
              <w:rPr>
                <w:b/>
                <w:lang w:val="en-GB" w:eastAsia="en-US"/>
              </w:rPr>
              <w:t>Tiriamieji</w:t>
            </w:r>
            <w:proofErr w:type="spellEnd"/>
            <w:r>
              <w:rPr>
                <w:b/>
                <w:lang w:val="en-GB" w:eastAsia="en-US"/>
              </w:rPr>
              <w:t xml:space="preserve">, </w:t>
            </w:r>
            <w:proofErr w:type="spellStart"/>
            <w:r>
              <w:rPr>
                <w:b/>
                <w:lang w:val="en-GB" w:eastAsia="en-US"/>
              </w:rPr>
              <w:t>pasiekę</w:t>
            </w:r>
            <w:proofErr w:type="spellEnd"/>
            <w:r>
              <w:rPr>
                <w:b/>
                <w:lang w:val="en-GB" w:eastAsia="en-US"/>
              </w:rPr>
              <w:t xml:space="preserve"> HbA1c</w:t>
            </w:r>
            <w:r w:rsidR="003F53AD">
              <w:rPr>
                <w:b/>
                <w:spacing w:val="-9"/>
                <w:lang w:val="en-GB" w:eastAsia="en-US"/>
              </w:rPr>
              <w:t> </w:t>
            </w:r>
            <w:r>
              <w:rPr>
                <w:lang w:val="en-GB" w:eastAsia="en-US"/>
              </w:rPr>
              <w:t>&lt;</w:t>
            </w:r>
            <w:r w:rsidR="003F53AD">
              <w:rPr>
                <w:lang w:val="en-GB" w:eastAsia="en-US"/>
              </w:rPr>
              <w:t> </w:t>
            </w:r>
            <w:r>
              <w:rPr>
                <w:b/>
                <w:lang w:val="en-GB" w:eastAsia="en-US"/>
              </w:rPr>
              <w:t>7 % (%)</w:t>
            </w:r>
          </w:p>
        </w:tc>
        <w:tc>
          <w:tcPr>
            <w:tcW w:w="2468" w:type="dxa"/>
            <w:tcBorders>
              <w:bottom w:val="single" w:sz="4" w:space="0" w:color="000000"/>
            </w:tcBorders>
          </w:tcPr>
          <w:p w14:paraId="0DB8DEA9" w14:textId="77777777" w:rsidR="00E86446" w:rsidRDefault="00345E63">
            <w:pPr>
              <w:spacing w:before="178"/>
              <w:ind w:left="127"/>
              <w:jc w:val="center"/>
              <w:rPr>
                <w:lang w:val="en-GB" w:eastAsia="en-US"/>
              </w:rPr>
            </w:pPr>
            <w:r>
              <w:rPr>
                <w:spacing w:val="-4"/>
                <w:lang w:val="en-GB" w:eastAsia="en-US"/>
              </w:rPr>
              <w:t>44,7</w:t>
            </w:r>
          </w:p>
        </w:tc>
        <w:tc>
          <w:tcPr>
            <w:tcW w:w="2379" w:type="dxa"/>
            <w:tcBorders>
              <w:bottom w:val="single" w:sz="4" w:space="0" w:color="000000"/>
            </w:tcBorders>
          </w:tcPr>
          <w:p w14:paraId="0842A156" w14:textId="77777777" w:rsidR="00E86446" w:rsidRDefault="00345E63">
            <w:pPr>
              <w:spacing w:before="178"/>
              <w:ind w:left="44"/>
              <w:jc w:val="center"/>
              <w:rPr>
                <w:lang w:val="en-GB" w:eastAsia="en-US"/>
              </w:rPr>
            </w:pPr>
            <w:r>
              <w:rPr>
                <w:spacing w:val="-4"/>
                <w:lang w:val="en-GB" w:eastAsia="en-US"/>
              </w:rPr>
              <w:t>19,1</w:t>
            </w:r>
          </w:p>
        </w:tc>
        <w:tc>
          <w:tcPr>
            <w:tcW w:w="1799" w:type="dxa"/>
            <w:tcBorders>
              <w:bottom w:val="single" w:sz="4" w:space="0" w:color="000000"/>
            </w:tcBorders>
          </w:tcPr>
          <w:p w14:paraId="7F340C99" w14:textId="77777777" w:rsidR="00E86446" w:rsidRDefault="00345E63">
            <w:pPr>
              <w:spacing w:before="178"/>
              <w:ind w:left="17" w:right="4"/>
              <w:jc w:val="center"/>
              <w:rPr>
                <w:lang w:val="en-GB" w:eastAsia="en-US"/>
              </w:rPr>
            </w:pPr>
            <w:r>
              <w:rPr>
                <w:spacing w:val="-4"/>
                <w:lang w:val="en-GB" w:eastAsia="en-US"/>
              </w:rPr>
              <w:t>26,9</w:t>
            </w:r>
          </w:p>
        </w:tc>
      </w:tr>
      <w:tr w:rsidR="00E86446" w14:paraId="2073FDEA" w14:textId="77777777" w:rsidTr="0073443F">
        <w:trPr>
          <w:trHeight w:val="256"/>
        </w:trPr>
        <w:tc>
          <w:tcPr>
            <w:tcW w:w="3011" w:type="dxa"/>
            <w:tcBorders>
              <w:top w:val="single" w:sz="4" w:space="0" w:color="000000"/>
            </w:tcBorders>
          </w:tcPr>
          <w:p w14:paraId="0A6D94CF" w14:textId="77777777" w:rsidR="00E86446" w:rsidRDefault="00345E63">
            <w:pPr>
              <w:spacing w:before="1" w:line="236" w:lineRule="exact"/>
              <w:ind w:left="124"/>
              <w:rPr>
                <w:b/>
                <w:lang w:val="en-GB" w:eastAsia="en-US"/>
              </w:rPr>
            </w:pPr>
            <w:proofErr w:type="spellStart"/>
            <w:r>
              <w:rPr>
                <w:b/>
                <w:lang w:val="en-GB" w:eastAsia="en-US"/>
              </w:rPr>
              <w:t>Kūno</w:t>
            </w:r>
            <w:proofErr w:type="spellEnd"/>
            <w:r>
              <w:rPr>
                <w:b/>
                <w:lang w:val="en-GB" w:eastAsia="en-US"/>
              </w:rPr>
              <w:t xml:space="preserve"> </w:t>
            </w:r>
            <w:proofErr w:type="spellStart"/>
            <w:r>
              <w:rPr>
                <w:b/>
                <w:lang w:val="en-GB" w:eastAsia="en-US"/>
              </w:rPr>
              <w:t>svoris</w:t>
            </w:r>
            <w:proofErr w:type="spellEnd"/>
            <w:r>
              <w:rPr>
                <w:b/>
                <w:spacing w:val="-5"/>
                <w:lang w:val="en-GB" w:eastAsia="en-US"/>
              </w:rPr>
              <w:t xml:space="preserve"> </w:t>
            </w:r>
            <w:r>
              <w:rPr>
                <w:b/>
                <w:spacing w:val="-4"/>
                <w:lang w:val="en-GB" w:eastAsia="en-US"/>
              </w:rPr>
              <w:t>(kg)</w:t>
            </w:r>
          </w:p>
        </w:tc>
        <w:tc>
          <w:tcPr>
            <w:tcW w:w="2468" w:type="dxa"/>
            <w:tcBorders>
              <w:top w:val="single" w:sz="4" w:space="0" w:color="000000"/>
            </w:tcBorders>
          </w:tcPr>
          <w:p w14:paraId="28F27ACE" w14:textId="77777777" w:rsidR="00E86446" w:rsidRDefault="00E86446">
            <w:pPr>
              <w:rPr>
                <w:lang w:val="en-GB" w:eastAsia="en-US"/>
              </w:rPr>
            </w:pPr>
          </w:p>
        </w:tc>
        <w:tc>
          <w:tcPr>
            <w:tcW w:w="2379" w:type="dxa"/>
            <w:tcBorders>
              <w:top w:val="single" w:sz="4" w:space="0" w:color="000000"/>
            </w:tcBorders>
          </w:tcPr>
          <w:p w14:paraId="795DEDC0" w14:textId="77777777" w:rsidR="00E86446" w:rsidRDefault="00E86446">
            <w:pPr>
              <w:rPr>
                <w:lang w:val="en-GB" w:eastAsia="en-US"/>
              </w:rPr>
            </w:pPr>
          </w:p>
        </w:tc>
        <w:tc>
          <w:tcPr>
            <w:tcW w:w="1799" w:type="dxa"/>
            <w:tcBorders>
              <w:top w:val="single" w:sz="4" w:space="0" w:color="000000"/>
            </w:tcBorders>
          </w:tcPr>
          <w:p w14:paraId="2376D271" w14:textId="77777777" w:rsidR="00E86446" w:rsidRDefault="00E86446">
            <w:pPr>
              <w:rPr>
                <w:lang w:val="en-GB" w:eastAsia="en-US"/>
              </w:rPr>
            </w:pPr>
          </w:p>
        </w:tc>
      </w:tr>
      <w:tr w:rsidR="00E86446" w14:paraId="31CFB448" w14:textId="77777777" w:rsidTr="0073443F">
        <w:trPr>
          <w:trHeight w:val="241"/>
        </w:trPr>
        <w:tc>
          <w:tcPr>
            <w:tcW w:w="3011" w:type="dxa"/>
          </w:tcPr>
          <w:p w14:paraId="1CE0AAB7" w14:textId="5D25AC69" w:rsidR="00E86446" w:rsidRDefault="003F53AD">
            <w:pPr>
              <w:spacing w:line="221" w:lineRule="exact"/>
              <w:ind w:left="124"/>
              <w:rPr>
                <w:lang w:val="en-GB" w:eastAsia="en-US"/>
              </w:rPr>
            </w:pPr>
            <w:proofErr w:type="spellStart"/>
            <w:r>
              <w:rPr>
                <w:lang w:val="en-GB" w:eastAsia="en-US"/>
              </w:rPr>
              <w:t>Pradinis</w:t>
            </w:r>
            <w:proofErr w:type="spellEnd"/>
            <w:r w:rsidR="00345E63">
              <w:rPr>
                <w:spacing w:val="-8"/>
                <w:lang w:val="en-GB" w:eastAsia="en-US"/>
              </w:rPr>
              <w:t xml:space="preserve"> </w:t>
            </w:r>
            <w:r w:rsidR="00345E63">
              <w:rPr>
                <w:spacing w:val="-2"/>
                <w:lang w:val="en-GB" w:eastAsia="en-US"/>
              </w:rPr>
              <w:t>(</w:t>
            </w:r>
            <w:proofErr w:type="spellStart"/>
            <w:r w:rsidR="00345E63">
              <w:rPr>
                <w:spacing w:val="-2"/>
                <w:lang w:val="en-GB" w:eastAsia="en-US"/>
              </w:rPr>
              <w:t>vidurkis</w:t>
            </w:r>
            <w:proofErr w:type="spellEnd"/>
            <w:r w:rsidR="00345E63">
              <w:rPr>
                <w:spacing w:val="-2"/>
                <w:lang w:val="en-GB" w:eastAsia="en-US"/>
              </w:rPr>
              <w:t>)</w:t>
            </w:r>
          </w:p>
        </w:tc>
        <w:tc>
          <w:tcPr>
            <w:tcW w:w="2468" w:type="dxa"/>
          </w:tcPr>
          <w:p w14:paraId="7201E480" w14:textId="77777777" w:rsidR="00E86446" w:rsidRDefault="00345E63">
            <w:pPr>
              <w:spacing w:line="221" w:lineRule="exact"/>
              <w:ind w:left="127" w:right="5"/>
              <w:jc w:val="center"/>
              <w:rPr>
                <w:lang w:val="en-GB" w:eastAsia="en-US"/>
              </w:rPr>
            </w:pPr>
            <w:r>
              <w:rPr>
                <w:spacing w:val="-2"/>
                <w:lang w:val="en-GB" w:eastAsia="en-US"/>
              </w:rPr>
              <w:t>92,13</w:t>
            </w:r>
          </w:p>
        </w:tc>
        <w:tc>
          <w:tcPr>
            <w:tcW w:w="2379" w:type="dxa"/>
          </w:tcPr>
          <w:p w14:paraId="4DA80147" w14:textId="77777777" w:rsidR="00E86446" w:rsidRDefault="00345E63">
            <w:pPr>
              <w:spacing w:line="221" w:lineRule="exact"/>
              <w:ind w:left="44" w:right="5"/>
              <w:jc w:val="center"/>
              <w:rPr>
                <w:lang w:val="en-GB" w:eastAsia="en-US"/>
              </w:rPr>
            </w:pPr>
            <w:r>
              <w:rPr>
                <w:spacing w:val="-2"/>
                <w:lang w:val="en-GB" w:eastAsia="en-US"/>
              </w:rPr>
              <w:t>90,87</w:t>
            </w:r>
          </w:p>
        </w:tc>
        <w:tc>
          <w:tcPr>
            <w:tcW w:w="1799" w:type="dxa"/>
          </w:tcPr>
          <w:p w14:paraId="4145E785" w14:textId="77777777" w:rsidR="00E86446" w:rsidRDefault="00345E63">
            <w:pPr>
              <w:spacing w:line="221" w:lineRule="exact"/>
              <w:ind w:left="17"/>
              <w:jc w:val="center"/>
              <w:rPr>
                <w:lang w:val="en-GB" w:eastAsia="en-US"/>
              </w:rPr>
            </w:pPr>
            <w:r>
              <w:rPr>
                <w:spacing w:val="-2"/>
                <w:lang w:val="en-GB" w:eastAsia="en-US"/>
              </w:rPr>
              <w:t>89,12</w:t>
            </w:r>
          </w:p>
        </w:tc>
      </w:tr>
      <w:tr w:rsidR="00E86446" w14:paraId="74AB498A" w14:textId="77777777" w:rsidTr="0073443F">
        <w:trPr>
          <w:trHeight w:val="310"/>
        </w:trPr>
        <w:tc>
          <w:tcPr>
            <w:tcW w:w="3011" w:type="dxa"/>
          </w:tcPr>
          <w:p w14:paraId="0843F544" w14:textId="77777777" w:rsidR="00E86446" w:rsidRPr="00EC24F3" w:rsidRDefault="00345E63">
            <w:pPr>
              <w:spacing w:before="21"/>
              <w:ind w:left="124"/>
              <w:rPr>
                <w:lang w:val="it-CH" w:eastAsia="en-US"/>
              </w:rPr>
            </w:pPr>
            <w:r w:rsidRPr="00EC24F3">
              <w:rPr>
                <w:lang w:val="it-CH" w:eastAsia="en-US"/>
              </w:rPr>
              <w:t>Pokytis palyginus su</w:t>
            </w:r>
          </w:p>
          <w:p w14:paraId="3224F3A4" w14:textId="77777777" w:rsidR="00E86446" w:rsidRPr="00EC24F3" w:rsidRDefault="00345E63">
            <w:pPr>
              <w:spacing w:before="21"/>
              <w:ind w:left="124"/>
              <w:rPr>
                <w:lang w:val="it-CH" w:eastAsia="en-US"/>
              </w:rPr>
            </w:pPr>
            <w:r w:rsidRPr="00EC24F3">
              <w:rPr>
                <w:lang w:val="it-CH" w:eastAsia="en-US"/>
              </w:rPr>
              <w:t>pradiniu</w:t>
            </w:r>
            <w:r w:rsidRPr="00EC24F3">
              <w:rPr>
                <w:spacing w:val="-25"/>
                <w:lang w:val="it-CH" w:eastAsia="en-US"/>
              </w:rPr>
              <w:t xml:space="preserve"> </w:t>
            </w:r>
            <w:r w:rsidRPr="00EC24F3">
              <w:rPr>
                <w:spacing w:val="-10"/>
                <w:vertAlign w:val="superscript"/>
                <w:lang w:val="it-CH" w:eastAsia="en-US"/>
              </w:rPr>
              <w:t>a</w:t>
            </w:r>
          </w:p>
        </w:tc>
        <w:tc>
          <w:tcPr>
            <w:tcW w:w="2468" w:type="dxa"/>
          </w:tcPr>
          <w:p w14:paraId="4EA3AE6C" w14:textId="77777777" w:rsidR="00E86446" w:rsidRDefault="00345E63">
            <w:pPr>
              <w:spacing w:before="16"/>
              <w:ind w:left="127" w:right="4"/>
              <w:jc w:val="center"/>
              <w:rPr>
                <w:lang w:val="en-GB" w:eastAsia="en-US"/>
              </w:rPr>
            </w:pPr>
            <w:r>
              <w:rPr>
                <w:spacing w:val="-2"/>
                <w:lang w:val="en-GB" w:eastAsia="en-US"/>
              </w:rPr>
              <w:t>-</w:t>
            </w:r>
            <w:r>
              <w:rPr>
                <w:spacing w:val="-4"/>
                <w:lang w:val="en-GB" w:eastAsia="en-US"/>
              </w:rPr>
              <w:t>3,55</w:t>
            </w:r>
          </w:p>
        </w:tc>
        <w:tc>
          <w:tcPr>
            <w:tcW w:w="2379" w:type="dxa"/>
          </w:tcPr>
          <w:p w14:paraId="786748E3" w14:textId="77777777" w:rsidR="00E86446" w:rsidRDefault="00345E63">
            <w:pPr>
              <w:spacing w:before="16"/>
              <w:ind w:left="44" w:right="5"/>
              <w:jc w:val="center"/>
              <w:rPr>
                <w:lang w:val="en-GB" w:eastAsia="en-US"/>
              </w:rPr>
            </w:pPr>
            <w:r>
              <w:rPr>
                <w:spacing w:val="-2"/>
                <w:lang w:val="en-GB" w:eastAsia="en-US"/>
              </w:rPr>
              <w:t>-</w:t>
            </w:r>
            <w:r>
              <w:rPr>
                <w:spacing w:val="-4"/>
                <w:lang w:val="en-GB" w:eastAsia="en-US"/>
              </w:rPr>
              <w:t>2,22</w:t>
            </w:r>
          </w:p>
        </w:tc>
        <w:tc>
          <w:tcPr>
            <w:tcW w:w="1799" w:type="dxa"/>
          </w:tcPr>
          <w:p w14:paraId="2D641CA2" w14:textId="77777777" w:rsidR="00E86446" w:rsidRDefault="00345E63">
            <w:pPr>
              <w:spacing w:before="16"/>
              <w:ind w:left="17"/>
              <w:jc w:val="center"/>
              <w:rPr>
                <w:lang w:val="en-GB" w:eastAsia="en-US"/>
              </w:rPr>
            </w:pPr>
            <w:r>
              <w:rPr>
                <w:spacing w:val="-2"/>
                <w:lang w:val="en-GB" w:eastAsia="en-US"/>
              </w:rPr>
              <w:t>-</w:t>
            </w:r>
            <w:r>
              <w:rPr>
                <w:spacing w:val="-4"/>
                <w:lang w:val="en-GB" w:eastAsia="en-US"/>
              </w:rPr>
              <w:t>1,56</w:t>
            </w:r>
          </w:p>
        </w:tc>
      </w:tr>
      <w:tr w:rsidR="00E86446" w14:paraId="5CD0B68A" w14:textId="77777777" w:rsidTr="0073443F">
        <w:trPr>
          <w:trHeight w:val="285"/>
        </w:trPr>
        <w:tc>
          <w:tcPr>
            <w:tcW w:w="3011" w:type="dxa"/>
          </w:tcPr>
          <w:p w14:paraId="6A313967" w14:textId="77777777" w:rsidR="00E86446" w:rsidRDefault="00345E63">
            <w:pPr>
              <w:spacing w:before="27" w:line="238" w:lineRule="exact"/>
              <w:ind w:left="124"/>
              <w:rPr>
                <w:lang w:val="en-GB" w:eastAsia="en-US"/>
              </w:rPr>
            </w:pPr>
            <w:proofErr w:type="spellStart"/>
            <w:r>
              <w:rPr>
                <w:lang w:val="en-GB" w:eastAsia="en-US"/>
              </w:rPr>
              <w:t>Vidutinis</w:t>
            </w:r>
            <w:proofErr w:type="spellEnd"/>
            <w:r>
              <w:rPr>
                <w:lang w:val="en-GB" w:eastAsia="en-US"/>
              </w:rPr>
              <w:t xml:space="preserve"> </w:t>
            </w:r>
            <w:proofErr w:type="spellStart"/>
            <w:r>
              <w:rPr>
                <w:lang w:val="en-GB" w:eastAsia="en-US"/>
              </w:rPr>
              <w:t>pokyčio</w:t>
            </w:r>
            <w:proofErr w:type="spellEnd"/>
            <w:r>
              <w:rPr>
                <w:lang w:val="en-GB" w:eastAsia="en-US"/>
              </w:rPr>
              <w:t xml:space="preserve">, </w:t>
            </w:r>
            <w:proofErr w:type="spellStart"/>
            <w:r>
              <w:rPr>
                <w:lang w:val="en-GB" w:eastAsia="en-US"/>
              </w:rPr>
              <w:t>palyginus</w:t>
            </w:r>
            <w:proofErr w:type="spellEnd"/>
          </w:p>
        </w:tc>
        <w:tc>
          <w:tcPr>
            <w:tcW w:w="2468" w:type="dxa"/>
          </w:tcPr>
          <w:p w14:paraId="7D74116F" w14:textId="77777777" w:rsidR="00E86446" w:rsidRDefault="00E86446">
            <w:pPr>
              <w:rPr>
                <w:lang w:val="en-GB" w:eastAsia="en-US"/>
              </w:rPr>
            </w:pPr>
          </w:p>
        </w:tc>
        <w:tc>
          <w:tcPr>
            <w:tcW w:w="2379" w:type="dxa"/>
          </w:tcPr>
          <w:p w14:paraId="68CDDA8A" w14:textId="77777777" w:rsidR="00E86446" w:rsidRDefault="00E86446">
            <w:pPr>
              <w:rPr>
                <w:lang w:val="en-GB" w:eastAsia="en-US"/>
              </w:rPr>
            </w:pPr>
          </w:p>
        </w:tc>
        <w:tc>
          <w:tcPr>
            <w:tcW w:w="1799" w:type="dxa"/>
          </w:tcPr>
          <w:p w14:paraId="3C45CCDB" w14:textId="77777777" w:rsidR="00E86446" w:rsidRDefault="00E86446">
            <w:pPr>
              <w:rPr>
                <w:lang w:val="en-GB" w:eastAsia="en-US"/>
              </w:rPr>
            </w:pPr>
          </w:p>
        </w:tc>
      </w:tr>
      <w:tr w:rsidR="00E86446" w14:paraId="6886A8A2" w14:textId="77777777" w:rsidTr="0073443F">
        <w:trPr>
          <w:trHeight w:val="268"/>
        </w:trPr>
        <w:tc>
          <w:tcPr>
            <w:tcW w:w="3011" w:type="dxa"/>
          </w:tcPr>
          <w:p w14:paraId="4DF7A2D3" w14:textId="09540DA4" w:rsidR="00E86446" w:rsidRDefault="003F53AD">
            <w:pPr>
              <w:spacing w:line="249" w:lineRule="exact"/>
              <w:ind w:left="124"/>
              <w:rPr>
                <w:lang w:val="en-GB" w:eastAsia="en-US"/>
              </w:rPr>
            </w:pPr>
            <w:proofErr w:type="spellStart"/>
            <w:r>
              <w:rPr>
                <w:lang w:val="en-GB" w:eastAsia="en-US"/>
              </w:rPr>
              <w:t>s</w:t>
            </w:r>
            <w:r w:rsidR="00345E63">
              <w:rPr>
                <w:lang w:val="en-GB" w:eastAsia="en-US"/>
              </w:rPr>
              <w:t>u</w:t>
            </w:r>
            <w:proofErr w:type="spellEnd"/>
            <w:r w:rsidR="00345E63">
              <w:rPr>
                <w:lang w:val="en-GB" w:eastAsia="en-US"/>
              </w:rPr>
              <w:t xml:space="preserve"> </w:t>
            </w:r>
            <w:proofErr w:type="spellStart"/>
            <w:r w:rsidR="00345E63">
              <w:rPr>
                <w:lang w:val="en-GB" w:eastAsia="en-US"/>
              </w:rPr>
              <w:t>pradiniu</w:t>
            </w:r>
            <w:proofErr w:type="spellEnd"/>
            <w:r w:rsidR="00345E63">
              <w:rPr>
                <w:lang w:val="en-GB" w:eastAsia="en-US"/>
              </w:rPr>
              <w:t xml:space="preserve">, </w:t>
            </w:r>
            <w:proofErr w:type="spellStart"/>
            <w:r w:rsidR="00345E63">
              <w:rPr>
                <w:lang w:val="en-GB" w:eastAsia="en-US"/>
              </w:rPr>
              <w:t>skirtumas</w:t>
            </w:r>
            <w:proofErr w:type="spellEnd"/>
            <w:r>
              <w:rPr>
                <w:lang w:val="en-GB" w:eastAsia="en-US"/>
              </w:rPr>
              <w:t>,</w:t>
            </w:r>
          </w:p>
        </w:tc>
        <w:tc>
          <w:tcPr>
            <w:tcW w:w="2468" w:type="dxa"/>
          </w:tcPr>
          <w:p w14:paraId="302E5890" w14:textId="77777777" w:rsidR="00E86446" w:rsidRDefault="00E86446">
            <w:pPr>
              <w:rPr>
                <w:lang w:val="en-GB" w:eastAsia="en-US"/>
              </w:rPr>
            </w:pPr>
          </w:p>
        </w:tc>
        <w:tc>
          <w:tcPr>
            <w:tcW w:w="2379" w:type="dxa"/>
          </w:tcPr>
          <w:p w14:paraId="7D0852F7" w14:textId="77777777" w:rsidR="00E86446" w:rsidRDefault="00345E63">
            <w:pPr>
              <w:spacing w:before="25" w:line="224" w:lineRule="exact"/>
              <w:ind w:left="44" w:right="1"/>
              <w:jc w:val="center"/>
              <w:rPr>
                <w:lang w:val="en-GB" w:eastAsia="en-US"/>
              </w:rPr>
            </w:pPr>
            <w:r>
              <w:rPr>
                <w:spacing w:val="-2"/>
                <w:lang w:val="en-GB" w:eastAsia="en-US"/>
              </w:rPr>
              <w:t>-1,33*</w:t>
            </w:r>
          </w:p>
        </w:tc>
        <w:tc>
          <w:tcPr>
            <w:tcW w:w="1799" w:type="dxa"/>
          </w:tcPr>
          <w:p w14:paraId="4363D8F3" w14:textId="77777777" w:rsidR="00E86446" w:rsidRDefault="00345E63">
            <w:pPr>
              <w:spacing w:before="25" w:line="224" w:lineRule="exact"/>
              <w:ind w:left="17" w:right="5"/>
              <w:jc w:val="center"/>
              <w:rPr>
                <w:lang w:val="en-GB" w:eastAsia="en-US"/>
              </w:rPr>
            </w:pPr>
            <w:r>
              <w:rPr>
                <w:spacing w:val="-2"/>
                <w:lang w:val="en-GB" w:eastAsia="en-US"/>
              </w:rPr>
              <w:t>-2,00*</w:t>
            </w:r>
          </w:p>
        </w:tc>
      </w:tr>
      <w:tr w:rsidR="00E86446" w14:paraId="06C6311B" w14:textId="77777777" w:rsidTr="0073443F">
        <w:trPr>
          <w:trHeight w:val="252"/>
        </w:trPr>
        <w:tc>
          <w:tcPr>
            <w:tcW w:w="3011" w:type="dxa"/>
          </w:tcPr>
          <w:p w14:paraId="11003E33" w14:textId="789C09B7" w:rsidR="00E86446" w:rsidRDefault="003F53AD">
            <w:pPr>
              <w:spacing w:line="232" w:lineRule="exact"/>
              <w:ind w:left="124"/>
              <w:rPr>
                <w:lang w:val="en-GB" w:eastAsia="en-US"/>
              </w:rPr>
            </w:pPr>
            <w:proofErr w:type="spellStart"/>
            <w:r>
              <w:rPr>
                <w:lang w:val="en-GB" w:eastAsia="en-US"/>
              </w:rPr>
              <w:t>s</w:t>
            </w:r>
            <w:r w:rsidR="00345E63">
              <w:rPr>
                <w:lang w:val="en-GB" w:eastAsia="en-US"/>
              </w:rPr>
              <w:t>artojant</w:t>
            </w:r>
            <w:proofErr w:type="spellEnd"/>
            <w:r w:rsidR="00345E63">
              <w:rPr>
                <w:lang w:val="en-GB" w:eastAsia="en-US"/>
              </w:rPr>
              <w:t xml:space="preserve"> </w:t>
            </w:r>
            <w:proofErr w:type="spellStart"/>
            <w:r w:rsidR="00345E63">
              <w:rPr>
                <w:lang w:val="en-GB" w:eastAsia="en-US"/>
              </w:rPr>
              <w:t>derinį</w:t>
            </w:r>
            <w:proofErr w:type="spellEnd"/>
            <w:r w:rsidR="00345E63">
              <w:rPr>
                <w:lang w:val="en-GB" w:eastAsia="en-US"/>
              </w:rPr>
              <w:t xml:space="preserve"> </w:t>
            </w:r>
            <w:proofErr w:type="spellStart"/>
            <w:r w:rsidR="00345E63">
              <w:rPr>
                <w:lang w:val="en-GB" w:eastAsia="en-US"/>
              </w:rPr>
              <w:t>ir</w:t>
            </w:r>
            <w:proofErr w:type="spellEnd"/>
            <w:r w:rsidR="00345E63">
              <w:rPr>
                <w:lang w:val="en-GB" w:eastAsia="en-US"/>
              </w:rPr>
              <w:t xml:space="preserve"> </w:t>
            </w:r>
            <w:proofErr w:type="spellStart"/>
            <w:r w:rsidR="00345E63">
              <w:rPr>
                <w:lang w:val="en-GB" w:eastAsia="en-US"/>
              </w:rPr>
              <w:t>atskirus</w:t>
            </w:r>
            <w:proofErr w:type="spellEnd"/>
          </w:p>
        </w:tc>
        <w:tc>
          <w:tcPr>
            <w:tcW w:w="2468" w:type="dxa"/>
          </w:tcPr>
          <w:p w14:paraId="515EDADB" w14:textId="77777777" w:rsidR="00E86446" w:rsidRDefault="00E86446">
            <w:pPr>
              <w:rPr>
                <w:lang w:val="en-GB" w:eastAsia="en-US"/>
              </w:rPr>
            </w:pPr>
          </w:p>
        </w:tc>
        <w:tc>
          <w:tcPr>
            <w:tcW w:w="2379" w:type="dxa"/>
          </w:tcPr>
          <w:p w14:paraId="3EFEE378" w14:textId="77777777" w:rsidR="00E86446" w:rsidRDefault="00345E63">
            <w:pPr>
              <w:spacing w:before="10" w:line="221" w:lineRule="exact"/>
              <w:ind w:left="44"/>
              <w:jc w:val="center"/>
              <w:rPr>
                <w:lang w:val="en-GB" w:eastAsia="en-US"/>
              </w:rPr>
            </w:pPr>
            <w:r>
              <w:rPr>
                <w:lang w:val="en-GB" w:eastAsia="en-US"/>
              </w:rPr>
              <w:t>(-2,12,</w:t>
            </w:r>
            <w:r>
              <w:rPr>
                <w:spacing w:val="-3"/>
                <w:lang w:val="en-GB" w:eastAsia="en-US"/>
              </w:rPr>
              <w:t xml:space="preserve"> </w:t>
            </w:r>
            <w:r>
              <w:rPr>
                <w:lang w:val="en-GB" w:eastAsia="en-US"/>
              </w:rPr>
              <w:t>-</w:t>
            </w:r>
            <w:r>
              <w:rPr>
                <w:spacing w:val="-2"/>
                <w:lang w:val="en-GB" w:eastAsia="en-US"/>
              </w:rPr>
              <w:t>0,55)</w:t>
            </w:r>
          </w:p>
        </w:tc>
        <w:tc>
          <w:tcPr>
            <w:tcW w:w="1799" w:type="dxa"/>
          </w:tcPr>
          <w:p w14:paraId="53693940" w14:textId="77777777" w:rsidR="00E86446" w:rsidRDefault="00345E63">
            <w:pPr>
              <w:spacing w:before="10" w:line="221" w:lineRule="exact"/>
              <w:ind w:left="17" w:right="4"/>
              <w:jc w:val="center"/>
              <w:rPr>
                <w:lang w:val="en-GB" w:eastAsia="en-US"/>
              </w:rPr>
            </w:pPr>
            <w:r>
              <w:rPr>
                <w:lang w:val="en-GB" w:eastAsia="en-US"/>
              </w:rPr>
              <w:t>(-2,79,</w:t>
            </w:r>
            <w:r>
              <w:rPr>
                <w:spacing w:val="-3"/>
                <w:lang w:val="en-GB" w:eastAsia="en-US"/>
              </w:rPr>
              <w:t xml:space="preserve"> </w:t>
            </w:r>
            <w:r>
              <w:rPr>
                <w:lang w:val="en-GB" w:eastAsia="en-US"/>
              </w:rPr>
              <w:t>-</w:t>
            </w:r>
            <w:r>
              <w:rPr>
                <w:spacing w:val="-2"/>
                <w:lang w:val="en-GB" w:eastAsia="en-US"/>
              </w:rPr>
              <w:t>1,20)</w:t>
            </w:r>
          </w:p>
        </w:tc>
      </w:tr>
      <w:tr w:rsidR="00E86446" w14:paraId="7420878B" w14:textId="77777777" w:rsidTr="0073443F">
        <w:trPr>
          <w:trHeight w:val="299"/>
        </w:trPr>
        <w:tc>
          <w:tcPr>
            <w:tcW w:w="3011" w:type="dxa"/>
            <w:tcBorders>
              <w:bottom w:val="single" w:sz="12" w:space="0" w:color="000000"/>
            </w:tcBorders>
          </w:tcPr>
          <w:p w14:paraId="7C569F03" w14:textId="152DBA14" w:rsidR="00E86446" w:rsidRDefault="003F53AD">
            <w:pPr>
              <w:spacing w:line="232" w:lineRule="exact"/>
              <w:ind w:left="124"/>
              <w:rPr>
                <w:lang w:val="en-GB" w:eastAsia="en-US"/>
              </w:rPr>
            </w:pPr>
            <w:proofErr w:type="spellStart"/>
            <w:r>
              <w:rPr>
                <w:lang w:val="en-GB" w:eastAsia="en-US"/>
              </w:rPr>
              <w:t>v</w:t>
            </w:r>
            <w:r w:rsidR="00345E63">
              <w:rPr>
                <w:lang w:val="en-GB" w:eastAsia="en-US"/>
              </w:rPr>
              <w:t>aistinius</w:t>
            </w:r>
            <w:proofErr w:type="spellEnd"/>
            <w:r w:rsidR="00345E63">
              <w:rPr>
                <w:lang w:val="en-GB" w:eastAsia="en-US"/>
              </w:rPr>
              <w:t xml:space="preserve"> </w:t>
            </w:r>
            <w:proofErr w:type="spellStart"/>
            <w:r w:rsidR="00345E63">
              <w:rPr>
                <w:lang w:val="en-GB" w:eastAsia="en-US"/>
              </w:rPr>
              <w:t>preparatus</w:t>
            </w:r>
            <w:proofErr w:type="spellEnd"/>
            <w:r w:rsidR="00345E63">
              <w:rPr>
                <w:spacing w:val="-5"/>
                <w:lang w:val="en-GB" w:eastAsia="en-US"/>
              </w:rPr>
              <w:t xml:space="preserve"> </w:t>
            </w:r>
            <w:r w:rsidR="00345E63">
              <w:rPr>
                <w:lang w:val="en-GB" w:eastAsia="en-US"/>
              </w:rPr>
              <w:t>(95 %</w:t>
            </w:r>
            <w:r w:rsidR="00345E63">
              <w:rPr>
                <w:spacing w:val="-5"/>
                <w:lang w:val="en-GB" w:eastAsia="en-US"/>
              </w:rPr>
              <w:t> PI)</w:t>
            </w:r>
          </w:p>
        </w:tc>
        <w:tc>
          <w:tcPr>
            <w:tcW w:w="2468" w:type="dxa"/>
            <w:tcBorders>
              <w:bottom w:val="single" w:sz="12" w:space="0" w:color="000000"/>
            </w:tcBorders>
          </w:tcPr>
          <w:p w14:paraId="221F3DDD" w14:textId="77777777" w:rsidR="00E86446" w:rsidRDefault="00E86446">
            <w:pPr>
              <w:rPr>
                <w:lang w:val="en-GB" w:eastAsia="en-US"/>
              </w:rPr>
            </w:pPr>
          </w:p>
        </w:tc>
        <w:tc>
          <w:tcPr>
            <w:tcW w:w="2379" w:type="dxa"/>
            <w:tcBorders>
              <w:bottom w:val="single" w:sz="12" w:space="0" w:color="000000"/>
            </w:tcBorders>
          </w:tcPr>
          <w:p w14:paraId="2394FFDC" w14:textId="77777777" w:rsidR="00E86446" w:rsidRDefault="00E86446">
            <w:pPr>
              <w:rPr>
                <w:lang w:val="en-GB" w:eastAsia="en-US"/>
              </w:rPr>
            </w:pPr>
          </w:p>
        </w:tc>
        <w:tc>
          <w:tcPr>
            <w:tcW w:w="1799" w:type="dxa"/>
            <w:tcBorders>
              <w:bottom w:val="single" w:sz="12" w:space="0" w:color="000000"/>
            </w:tcBorders>
          </w:tcPr>
          <w:p w14:paraId="262853B8" w14:textId="77777777" w:rsidR="00E86446" w:rsidRDefault="00E86446">
            <w:pPr>
              <w:rPr>
                <w:lang w:val="en-GB" w:eastAsia="en-US"/>
              </w:rPr>
            </w:pPr>
          </w:p>
        </w:tc>
      </w:tr>
    </w:tbl>
    <w:p w14:paraId="1EFCC733" w14:textId="2F76D842" w:rsidR="00E86446" w:rsidRPr="0073443F" w:rsidRDefault="00345E63">
      <w:pPr>
        <w:widowControl w:val="0"/>
        <w:autoSpaceDE w:val="0"/>
        <w:autoSpaceDN w:val="0"/>
        <w:adjustRightInd w:val="0"/>
        <w:rPr>
          <w:sz w:val="18"/>
          <w:szCs w:val="18"/>
        </w:rPr>
      </w:pPr>
      <w:r w:rsidRPr="0073443F">
        <w:rPr>
          <w:sz w:val="18"/>
          <w:szCs w:val="18"/>
        </w:rPr>
        <w:t xml:space="preserve">N – pacientų skaičius, PI – </w:t>
      </w:r>
      <w:proofErr w:type="spellStart"/>
      <w:r w:rsidRPr="0073443F">
        <w:rPr>
          <w:sz w:val="18"/>
          <w:szCs w:val="18"/>
        </w:rPr>
        <w:t>pasikliautinasis</w:t>
      </w:r>
      <w:proofErr w:type="spellEnd"/>
      <w:r w:rsidRPr="0073443F">
        <w:rPr>
          <w:sz w:val="18"/>
          <w:szCs w:val="18"/>
        </w:rPr>
        <w:t xml:space="preserve"> intervalas</w:t>
      </w:r>
    </w:p>
    <w:p w14:paraId="6272B1FD" w14:textId="6E78F4DA" w:rsidR="00E86446" w:rsidRPr="0073443F" w:rsidRDefault="00345E63">
      <w:pPr>
        <w:widowControl w:val="0"/>
        <w:autoSpaceDE w:val="0"/>
        <w:autoSpaceDN w:val="0"/>
        <w:adjustRightInd w:val="0"/>
        <w:rPr>
          <w:sz w:val="18"/>
          <w:szCs w:val="18"/>
        </w:rPr>
      </w:pPr>
      <w:r w:rsidRPr="0073443F">
        <w:rPr>
          <w:sz w:val="18"/>
          <w:szCs w:val="18"/>
          <w:vertAlign w:val="superscript"/>
        </w:rPr>
        <w:t>a</w:t>
      </w:r>
      <w:r w:rsidRPr="0073443F">
        <w:rPr>
          <w:sz w:val="18"/>
          <w:szCs w:val="18"/>
        </w:rPr>
        <w:t xml:space="preserve"> Koreguoti mažiausių kvadratų (</w:t>
      </w:r>
      <w:r w:rsidR="001501ED">
        <w:rPr>
          <w:sz w:val="18"/>
          <w:szCs w:val="18"/>
        </w:rPr>
        <w:t>MK</w:t>
      </w:r>
      <w:r w:rsidRPr="0073443F">
        <w:rPr>
          <w:sz w:val="18"/>
          <w:szCs w:val="18"/>
        </w:rPr>
        <w:t xml:space="preserve">) vidurkiai ir po 28 savaičių užfiksuotų pokyčių, palyginus su pradiniais duomenimis, skirtumai tarp gydymo grupių sumodeliuoti naudojant mišrų modelį su </w:t>
      </w:r>
      <w:r w:rsidR="009F5535">
        <w:rPr>
          <w:sz w:val="18"/>
          <w:szCs w:val="18"/>
        </w:rPr>
        <w:t>kartotiniais matavimais</w:t>
      </w:r>
      <w:r w:rsidRPr="0073443F">
        <w:rPr>
          <w:sz w:val="18"/>
          <w:szCs w:val="18"/>
        </w:rPr>
        <w:t xml:space="preserve"> (angl. </w:t>
      </w:r>
      <w:proofErr w:type="spellStart"/>
      <w:r w:rsidRPr="0073443F">
        <w:rPr>
          <w:i/>
          <w:iCs/>
          <w:sz w:val="18"/>
          <w:szCs w:val="18"/>
        </w:rPr>
        <w:t>mixed</w:t>
      </w:r>
      <w:proofErr w:type="spellEnd"/>
      <w:r w:rsidRPr="0073443F">
        <w:rPr>
          <w:i/>
          <w:iCs/>
          <w:sz w:val="18"/>
          <w:szCs w:val="18"/>
        </w:rPr>
        <w:t xml:space="preserve"> </w:t>
      </w:r>
      <w:proofErr w:type="spellStart"/>
      <w:r w:rsidRPr="0073443F">
        <w:rPr>
          <w:i/>
          <w:iCs/>
          <w:sz w:val="18"/>
          <w:szCs w:val="18"/>
        </w:rPr>
        <w:t>model</w:t>
      </w:r>
      <w:proofErr w:type="spellEnd"/>
      <w:r w:rsidRPr="0073443F">
        <w:rPr>
          <w:i/>
          <w:iCs/>
          <w:sz w:val="18"/>
          <w:szCs w:val="18"/>
        </w:rPr>
        <w:t xml:space="preserve"> </w:t>
      </w:r>
      <w:proofErr w:type="spellStart"/>
      <w:r w:rsidRPr="0073443F">
        <w:rPr>
          <w:i/>
          <w:iCs/>
          <w:sz w:val="18"/>
          <w:szCs w:val="18"/>
        </w:rPr>
        <w:t>with</w:t>
      </w:r>
      <w:proofErr w:type="spellEnd"/>
      <w:r w:rsidRPr="0073443F">
        <w:rPr>
          <w:i/>
          <w:iCs/>
          <w:sz w:val="18"/>
          <w:szCs w:val="18"/>
        </w:rPr>
        <w:t xml:space="preserve"> </w:t>
      </w:r>
      <w:proofErr w:type="spellStart"/>
      <w:r w:rsidRPr="0073443F">
        <w:rPr>
          <w:i/>
          <w:iCs/>
          <w:sz w:val="18"/>
          <w:szCs w:val="18"/>
        </w:rPr>
        <w:t>repeated</w:t>
      </w:r>
      <w:proofErr w:type="spellEnd"/>
      <w:r w:rsidRPr="0073443F">
        <w:rPr>
          <w:i/>
          <w:iCs/>
          <w:sz w:val="18"/>
          <w:szCs w:val="18"/>
        </w:rPr>
        <w:t xml:space="preserve"> </w:t>
      </w:r>
      <w:proofErr w:type="spellStart"/>
      <w:r w:rsidRPr="0073443F">
        <w:rPr>
          <w:i/>
          <w:iCs/>
          <w:sz w:val="18"/>
          <w:szCs w:val="18"/>
        </w:rPr>
        <w:t>measures</w:t>
      </w:r>
      <w:proofErr w:type="spellEnd"/>
      <w:r w:rsidRPr="0073443F">
        <w:rPr>
          <w:i/>
          <w:iCs/>
          <w:sz w:val="18"/>
          <w:szCs w:val="18"/>
        </w:rPr>
        <w:t>, MMRM</w:t>
      </w:r>
      <w:r w:rsidRPr="0073443F">
        <w:rPr>
          <w:sz w:val="18"/>
          <w:szCs w:val="18"/>
        </w:rPr>
        <w:t>), įskaitant gydymą, regioną, pradinę HbA1c koncentracijos kategoriją (&lt;</w:t>
      </w:r>
      <w:r w:rsidR="00246E02">
        <w:rPr>
          <w:sz w:val="18"/>
          <w:szCs w:val="18"/>
        </w:rPr>
        <w:t> </w:t>
      </w:r>
      <w:r w:rsidRPr="0073443F">
        <w:rPr>
          <w:sz w:val="18"/>
          <w:szCs w:val="18"/>
        </w:rPr>
        <w:t>9,0 % ar ≥</w:t>
      </w:r>
      <w:r w:rsidR="00246E02">
        <w:rPr>
          <w:sz w:val="18"/>
          <w:szCs w:val="18"/>
        </w:rPr>
        <w:t> </w:t>
      </w:r>
      <w:r w:rsidRPr="0073443F">
        <w:rPr>
          <w:sz w:val="18"/>
          <w:szCs w:val="18"/>
        </w:rPr>
        <w:t>9,0 %), savaitę, gydymą pagal savaites kaip fiksuotus faktorius ir pradinį rodiklį kaip kintamąjį.</w:t>
      </w:r>
    </w:p>
    <w:p w14:paraId="6523152B" w14:textId="1B407472" w:rsidR="00E86446" w:rsidRPr="0073443F" w:rsidRDefault="00345E63">
      <w:pPr>
        <w:widowControl w:val="0"/>
        <w:autoSpaceDE w:val="0"/>
        <w:autoSpaceDN w:val="0"/>
        <w:adjustRightInd w:val="0"/>
        <w:rPr>
          <w:sz w:val="18"/>
          <w:szCs w:val="18"/>
        </w:rPr>
      </w:pPr>
      <w:r w:rsidRPr="0073443F">
        <w:rPr>
          <w:sz w:val="18"/>
          <w:szCs w:val="18"/>
          <w:vertAlign w:val="superscript"/>
        </w:rPr>
        <w:t>*</w:t>
      </w:r>
      <w:r w:rsidRPr="0073443F">
        <w:rPr>
          <w:sz w:val="18"/>
          <w:szCs w:val="18"/>
        </w:rPr>
        <w:t>p</w:t>
      </w:r>
      <w:r w:rsidR="00246E02">
        <w:rPr>
          <w:sz w:val="18"/>
          <w:szCs w:val="18"/>
        </w:rPr>
        <w:t> </w:t>
      </w:r>
      <w:r w:rsidRPr="0073443F">
        <w:rPr>
          <w:sz w:val="18"/>
          <w:szCs w:val="18"/>
        </w:rPr>
        <w:t>&lt;</w:t>
      </w:r>
      <w:r w:rsidR="00246E02">
        <w:rPr>
          <w:sz w:val="18"/>
          <w:szCs w:val="18"/>
        </w:rPr>
        <w:t> </w:t>
      </w:r>
      <w:r w:rsidRPr="0073443F">
        <w:rPr>
          <w:sz w:val="18"/>
          <w:szCs w:val="18"/>
        </w:rPr>
        <w:t xml:space="preserve">0,001, </w:t>
      </w:r>
      <w:r w:rsidRPr="0073443F">
        <w:rPr>
          <w:sz w:val="18"/>
          <w:szCs w:val="18"/>
          <w:vertAlign w:val="superscript"/>
        </w:rPr>
        <w:t>**</w:t>
      </w:r>
      <w:r w:rsidRPr="0073443F">
        <w:rPr>
          <w:sz w:val="18"/>
          <w:szCs w:val="18"/>
        </w:rPr>
        <w:t>p</w:t>
      </w:r>
      <w:r w:rsidR="00246E02">
        <w:rPr>
          <w:sz w:val="18"/>
          <w:szCs w:val="18"/>
        </w:rPr>
        <w:t> </w:t>
      </w:r>
      <w:r w:rsidRPr="0073443F">
        <w:rPr>
          <w:sz w:val="18"/>
          <w:szCs w:val="18"/>
        </w:rPr>
        <w:t>&lt;</w:t>
      </w:r>
      <w:r w:rsidR="00246E02">
        <w:rPr>
          <w:sz w:val="18"/>
          <w:szCs w:val="18"/>
        </w:rPr>
        <w:t> </w:t>
      </w:r>
      <w:r w:rsidRPr="0073443F">
        <w:rPr>
          <w:sz w:val="18"/>
          <w:szCs w:val="18"/>
        </w:rPr>
        <w:t>0,01</w:t>
      </w:r>
    </w:p>
    <w:p w14:paraId="0DEFFFCC" w14:textId="77777777" w:rsidR="00E86446" w:rsidRPr="0073443F" w:rsidRDefault="00345E63">
      <w:pPr>
        <w:widowControl w:val="0"/>
        <w:autoSpaceDE w:val="0"/>
        <w:autoSpaceDN w:val="0"/>
        <w:adjustRightInd w:val="0"/>
        <w:rPr>
          <w:sz w:val="18"/>
          <w:szCs w:val="18"/>
        </w:rPr>
      </w:pPr>
      <w:r w:rsidRPr="0073443F">
        <w:rPr>
          <w:sz w:val="18"/>
          <w:szCs w:val="18"/>
        </w:rPr>
        <w:t>Visos p reikšmės yra koreguotos atsižvelgiant į daugelio faktorių buvimą.</w:t>
      </w:r>
    </w:p>
    <w:p w14:paraId="4B34DB2C" w14:textId="77777777" w:rsidR="00E86446" w:rsidRPr="0073443F" w:rsidRDefault="00345E63">
      <w:pPr>
        <w:widowControl w:val="0"/>
        <w:autoSpaceDE w:val="0"/>
        <w:autoSpaceDN w:val="0"/>
        <w:adjustRightInd w:val="0"/>
        <w:rPr>
          <w:sz w:val="18"/>
          <w:szCs w:val="18"/>
        </w:rPr>
      </w:pPr>
      <w:r w:rsidRPr="0073443F">
        <w:rPr>
          <w:sz w:val="18"/>
          <w:szCs w:val="18"/>
        </w:rPr>
        <w:t>Analizei neimti atvejai po gelbstimojo gydymo ir atvejai, kai tiriamojo vaistinio preparato vartojimas nutrauktas anksčiau negu numatyta.</w:t>
      </w:r>
    </w:p>
    <w:p w14:paraId="45C90B50" w14:textId="77777777" w:rsidR="00E86446" w:rsidRDefault="00E86446">
      <w:pPr>
        <w:widowControl w:val="0"/>
        <w:tabs>
          <w:tab w:val="left" w:pos="567"/>
        </w:tabs>
        <w:ind w:left="567" w:hanging="567"/>
        <w:outlineLvl w:val="2"/>
        <w:rPr>
          <w:rFonts w:eastAsia="TimesNewRoman"/>
          <w:sz w:val="22"/>
          <w:szCs w:val="22"/>
          <w:lang w:eastAsia="en-US"/>
        </w:rPr>
      </w:pPr>
    </w:p>
    <w:p w14:paraId="4CC3DE38"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Gliukozės koncentracija plazmoje nevalgius</w:t>
      </w:r>
    </w:p>
    <w:p w14:paraId="1130E23D" w14:textId="12C008D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Vartojus 10 mg dapagliflozino 1 kartą per parą arba po 5 mg 2 kartus per parą vien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arba jo derinio su </w:t>
      </w:r>
      <w:proofErr w:type="spellStart"/>
      <w:r>
        <w:rPr>
          <w:rFonts w:eastAsiaTheme="minorHAnsi"/>
          <w:color w:val="000000"/>
          <w:sz w:val="22"/>
          <w:szCs w:val="22"/>
          <w:lang w:eastAsia="en-US"/>
        </w:rPr>
        <w:t>sitagliptinu</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sulfonilkarbamid</w:t>
      </w:r>
      <w:r w:rsidR="00E5315A">
        <w:rPr>
          <w:rFonts w:eastAsiaTheme="minorHAnsi"/>
          <w:color w:val="000000"/>
          <w:sz w:val="22"/>
          <w:szCs w:val="22"/>
          <w:lang w:eastAsia="en-US"/>
        </w:rPr>
        <w:t>o</w:t>
      </w:r>
      <w:proofErr w:type="spellEnd"/>
      <w:r w:rsidR="00E5315A">
        <w:rPr>
          <w:rFonts w:eastAsiaTheme="minorHAnsi"/>
          <w:color w:val="000000"/>
          <w:sz w:val="22"/>
          <w:szCs w:val="22"/>
          <w:lang w:eastAsia="en-US"/>
        </w:rPr>
        <w:t xml:space="preserve"> dariniu,</w:t>
      </w:r>
      <w:r>
        <w:rPr>
          <w:rFonts w:eastAsiaTheme="minorHAnsi"/>
          <w:color w:val="000000"/>
          <w:sz w:val="22"/>
          <w:szCs w:val="22"/>
          <w:lang w:eastAsia="en-US"/>
        </w:rPr>
        <w:t xml:space="preserve"> arba insulino poveikiui papildyti, po 16 savaičių (5 mg dapagliflozino 2 kartus per parą vartojusiems pacientams) ar 24 savaičių nustatyta statistikai reikšmingai sumažėjusi gliukozės koncentracija plazmoje nevalgius palyginus su placebo grupe (jos pokytis buvo atitinkamai nuo -1,90 iki -1,20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t. y. nuo -34,2 iki -21,7 mg/dl ir nuo -0,58 iki 0,18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t. y. nuo -10,4 iki 3,3 mg/dl). Toks poveikis pastebėtas po pirmos gydymo savaitės ir išliko 104 savaites tęstų tyrimų metu.</w:t>
      </w:r>
    </w:p>
    <w:p w14:paraId="1B63F41C" w14:textId="77777777" w:rsidR="00E86446" w:rsidRDefault="00E86446">
      <w:pPr>
        <w:autoSpaceDE w:val="0"/>
        <w:autoSpaceDN w:val="0"/>
        <w:adjustRightInd w:val="0"/>
        <w:rPr>
          <w:rFonts w:eastAsiaTheme="minorHAnsi"/>
          <w:color w:val="000000"/>
          <w:sz w:val="22"/>
          <w:szCs w:val="22"/>
          <w:lang w:eastAsia="en-US"/>
        </w:rPr>
      </w:pPr>
    </w:p>
    <w:p w14:paraId="6498A79E" w14:textId="0F530488" w:rsidR="00E86446" w:rsidRDefault="00345E63">
      <w:pPr>
        <w:widowControl w:val="0"/>
        <w:autoSpaceDE w:val="0"/>
        <w:autoSpaceDN w:val="0"/>
        <w:adjustRightInd w:val="0"/>
        <w:rPr>
          <w:sz w:val="22"/>
          <w:szCs w:val="22"/>
        </w:rPr>
      </w:pPr>
      <w:r>
        <w:rPr>
          <w:sz w:val="22"/>
          <w:szCs w:val="22"/>
        </w:rPr>
        <w:t xml:space="preserve">Sudėtinis gydymas vartojant 10 mg dapagliflozino ir pailginto atpalaidavimo </w:t>
      </w:r>
      <w:proofErr w:type="spellStart"/>
      <w:r>
        <w:rPr>
          <w:sz w:val="22"/>
          <w:szCs w:val="22"/>
        </w:rPr>
        <w:t>eksenatid</w:t>
      </w:r>
      <w:r w:rsidR="001C2764">
        <w:rPr>
          <w:sz w:val="22"/>
          <w:szCs w:val="22"/>
        </w:rPr>
        <w:t>o</w:t>
      </w:r>
      <w:proofErr w:type="spellEnd"/>
      <w:r>
        <w:rPr>
          <w:sz w:val="22"/>
          <w:szCs w:val="22"/>
        </w:rPr>
        <w:t xml:space="preserve"> sukėlė reikšmingai didesnį gliukozės koncentracijos plazmoje nevalgius sumažėjimą po 28 savaičių, t. y. -3,66 </w:t>
      </w:r>
      <w:proofErr w:type="spellStart"/>
      <w:r>
        <w:rPr>
          <w:sz w:val="22"/>
          <w:szCs w:val="22"/>
        </w:rPr>
        <w:t>mmol</w:t>
      </w:r>
      <w:proofErr w:type="spellEnd"/>
      <w:r>
        <w:rPr>
          <w:sz w:val="22"/>
          <w:szCs w:val="22"/>
        </w:rPr>
        <w:t>/l (-65,8 mg/dl) palyginus su -2,73 </w:t>
      </w:r>
      <w:proofErr w:type="spellStart"/>
      <w:r>
        <w:rPr>
          <w:sz w:val="22"/>
          <w:szCs w:val="22"/>
        </w:rPr>
        <w:t>mmol</w:t>
      </w:r>
      <w:proofErr w:type="spellEnd"/>
      <w:r>
        <w:rPr>
          <w:sz w:val="22"/>
          <w:szCs w:val="22"/>
        </w:rPr>
        <w:t>/l (-49,2 mg/dl) vartojus vien dapagliflozin</w:t>
      </w:r>
      <w:r w:rsidR="00476406">
        <w:rPr>
          <w:sz w:val="22"/>
          <w:szCs w:val="22"/>
        </w:rPr>
        <w:t>o</w:t>
      </w:r>
      <w:r>
        <w:rPr>
          <w:sz w:val="22"/>
          <w:szCs w:val="22"/>
        </w:rPr>
        <w:t xml:space="preserve"> (p</w:t>
      </w:r>
      <w:r w:rsidR="00476406">
        <w:rPr>
          <w:sz w:val="22"/>
          <w:szCs w:val="22"/>
        </w:rPr>
        <w:t> </w:t>
      </w:r>
      <w:r>
        <w:rPr>
          <w:sz w:val="22"/>
          <w:szCs w:val="22"/>
        </w:rPr>
        <w:t>&lt; 0,001) ir -2,54 </w:t>
      </w:r>
      <w:proofErr w:type="spellStart"/>
      <w:r>
        <w:rPr>
          <w:sz w:val="22"/>
          <w:szCs w:val="22"/>
        </w:rPr>
        <w:t>mmol</w:t>
      </w:r>
      <w:proofErr w:type="spellEnd"/>
      <w:r>
        <w:rPr>
          <w:sz w:val="22"/>
          <w:szCs w:val="22"/>
        </w:rPr>
        <w:t xml:space="preserve">/l (-45,8 mg/dl) vartojus vien </w:t>
      </w:r>
      <w:proofErr w:type="spellStart"/>
      <w:r>
        <w:rPr>
          <w:sz w:val="22"/>
          <w:szCs w:val="22"/>
        </w:rPr>
        <w:t>eksenatid</w:t>
      </w:r>
      <w:r w:rsidR="00BD68F0">
        <w:rPr>
          <w:sz w:val="22"/>
          <w:szCs w:val="22"/>
        </w:rPr>
        <w:t>o</w:t>
      </w:r>
      <w:proofErr w:type="spellEnd"/>
      <w:r>
        <w:rPr>
          <w:sz w:val="22"/>
          <w:szCs w:val="22"/>
        </w:rPr>
        <w:t xml:space="preserve"> (p</w:t>
      </w:r>
      <w:r w:rsidR="00BD68F0">
        <w:rPr>
          <w:sz w:val="22"/>
          <w:szCs w:val="22"/>
        </w:rPr>
        <w:t> </w:t>
      </w:r>
      <w:r>
        <w:rPr>
          <w:sz w:val="22"/>
          <w:szCs w:val="22"/>
        </w:rPr>
        <w:t>&lt;</w:t>
      </w:r>
      <w:r w:rsidR="00BD68F0">
        <w:rPr>
          <w:sz w:val="22"/>
          <w:szCs w:val="22"/>
        </w:rPr>
        <w:t> </w:t>
      </w:r>
      <w:r>
        <w:rPr>
          <w:sz w:val="22"/>
          <w:szCs w:val="22"/>
        </w:rPr>
        <w:t>0,001).</w:t>
      </w:r>
    </w:p>
    <w:p w14:paraId="4F63433F" w14:textId="77777777" w:rsidR="00E86446" w:rsidRDefault="00E86446">
      <w:pPr>
        <w:widowControl w:val="0"/>
        <w:tabs>
          <w:tab w:val="left" w:pos="567"/>
        </w:tabs>
        <w:ind w:left="567" w:hanging="567"/>
        <w:outlineLvl w:val="2"/>
        <w:rPr>
          <w:rFonts w:eastAsia="TimesNewRoman"/>
          <w:sz w:val="22"/>
          <w:szCs w:val="22"/>
          <w:lang w:eastAsia="en-US"/>
        </w:rPr>
      </w:pPr>
    </w:p>
    <w:p w14:paraId="2E17A27A" w14:textId="128DA93C"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Specialaus tyrimo metu diabetu sirgusių dapagliflozino grupės pacientų, kurių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buvo nuo ≥</w:t>
      </w:r>
      <w:r w:rsidR="00BD68F0">
        <w:rPr>
          <w:rFonts w:eastAsiaTheme="minorHAnsi"/>
          <w:color w:val="000000"/>
          <w:sz w:val="22"/>
          <w:szCs w:val="22"/>
          <w:lang w:eastAsia="en-US"/>
        </w:rPr>
        <w:t> </w:t>
      </w:r>
      <w:r>
        <w:rPr>
          <w:rFonts w:eastAsiaTheme="minorHAnsi"/>
          <w:color w:val="000000"/>
          <w:sz w:val="22"/>
          <w:szCs w:val="22"/>
          <w:lang w:eastAsia="en-US"/>
        </w:rPr>
        <w:t>45 iki &lt;</w:t>
      </w:r>
      <w:r w:rsidR="00BD68F0">
        <w:rPr>
          <w:rFonts w:eastAsiaTheme="minorHAnsi"/>
          <w:color w:val="000000"/>
          <w:sz w:val="22"/>
          <w:szCs w:val="22"/>
          <w:lang w:eastAsia="en-US"/>
        </w:rPr>
        <w:t> </w:t>
      </w:r>
      <w:r>
        <w:rPr>
          <w:rFonts w:eastAsiaTheme="minorHAnsi"/>
          <w:color w:val="000000"/>
          <w:sz w:val="22"/>
          <w:szCs w:val="22"/>
          <w:lang w:eastAsia="en-US"/>
        </w:rPr>
        <w:t>60 ml/min./1,73 m</w:t>
      </w:r>
      <w:r>
        <w:rPr>
          <w:rFonts w:eastAsiaTheme="minorHAnsi"/>
          <w:color w:val="000000"/>
          <w:sz w:val="14"/>
          <w:szCs w:val="14"/>
          <w:vertAlign w:val="superscript"/>
          <w:lang w:eastAsia="en-US"/>
        </w:rPr>
        <w:t>2</w:t>
      </w:r>
      <w:r>
        <w:rPr>
          <w:rFonts w:eastAsiaTheme="minorHAnsi"/>
          <w:color w:val="000000"/>
          <w:sz w:val="22"/>
          <w:szCs w:val="22"/>
          <w:lang w:eastAsia="en-US"/>
        </w:rPr>
        <w:t>, plazmoje gliukozės koncentracija nevalgius po 24 savaičių buvo sumažėjusi 1,19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(21,46 mg/dl), o placebo – 0,27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(4,87 mg/dl) (p</w:t>
      </w:r>
      <w:r w:rsidR="00E8110A">
        <w:rPr>
          <w:rFonts w:eastAsiaTheme="minorHAnsi"/>
          <w:color w:val="000000"/>
          <w:sz w:val="22"/>
          <w:szCs w:val="22"/>
          <w:lang w:eastAsia="en-US"/>
        </w:rPr>
        <w:t> </w:t>
      </w:r>
      <w:r>
        <w:rPr>
          <w:rFonts w:eastAsiaTheme="minorHAnsi"/>
          <w:color w:val="000000"/>
          <w:sz w:val="22"/>
          <w:szCs w:val="22"/>
          <w:lang w:eastAsia="en-US"/>
        </w:rPr>
        <w:t>=</w:t>
      </w:r>
      <w:r w:rsidR="00E8110A">
        <w:rPr>
          <w:rFonts w:eastAsiaTheme="minorHAnsi"/>
          <w:color w:val="000000"/>
          <w:sz w:val="22"/>
          <w:szCs w:val="22"/>
          <w:lang w:eastAsia="en-US"/>
        </w:rPr>
        <w:t> </w:t>
      </w:r>
      <w:r>
        <w:rPr>
          <w:rFonts w:eastAsiaTheme="minorHAnsi"/>
          <w:color w:val="000000"/>
          <w:sz w:val="22"/>
          <w:szCs w:val="22"/>
          <w:lang w:eastAsia="en-US"/>
        </w:rPr>
        <w:t>0,001).</w:t>
      </w:r>
    </w:p>
    <w:p w14:paraId="5BC0ECF3" w14:textId="77777777" w:rsidR="00E86446" w:rsidRDefault="00E86446">
      <w:pPr>
        <w:autoSpaceDE w:val="0"/>
        <w:autoSpaceDN w:val="0"/>
        <w:adjustRightInd w:val="0"/>
        <w:rPr>
          <w:rFonts w:eastAsiaTheme="minorHAnsi"/>
          <w:color w:val="000000"/>
          <w:sz w:val="22"/>
          <w:szCs w:val="22"/>
          <w:lang w:eastAsia="en-US"/>
        </w:rPr>
      </w:pPr>
    </w:p>
    <w:p w14:paraId="134EFCD3"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Gliukozės koncentracija plazmoje po valgio</w:t>
      </w:r>
    </w:p>
    <w:p w14:paraId="5845D642"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 24 savaičių nustatyta, kad 10 mg dapagliflozino, vartoto </w:t>
      </w:r>
      <w:proofErr w:type="spellStart"/>
      <w:r>
        <w:rPr>
          <w:rFonts w:eastAsiaTheme="minorHAnsi"/>
          <w:color w:val="000000"/>
          <w:sz w:val="22"/>
          <w:szCs w:val="22"/>
          <w:lang w:eastAsia="en-US"/>
        </w:rPr>
        <w:t>sitagliptino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derinio poveikiui papildyti, sukėlė gliukozės koncentracijos 2 val. po valgio sumažėjimą, kuris išliko ir po 48 savaičių.</w:t>
      </w:r>
    </w:p>
    <w:p w14:paraId="0A39973E" w14:textId="5FA2170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Sudėtinis gydymas vartojant 10 mg dapagliflozino ir pailginto atpalaidavimo </w:t>
      </w:r>
      <w:proofErr w:type="spellStart"/>
      <w:r>
        <w:rPr>
          <w:rFonts w:eastAsiaTheme="minorHAnsi"/>
          <w:color w:val="000000"/>
          <w:sz w:val="22"/>
          <w:szCs w:val="22"/>
          <w:lang w:eastAsia="en-US"/>
        </w:rPr>
        <w:t>eksenatid</w:t>
      </w:r>
      <w:r w:rsidR="00E52456">
        <w:rPr>
          <w:rFonts w:eastAsiaTheme="minorHAnsi"/>
          <w:color w:val="000000"/>
          <w:sz w:val="22"/>
          <w:szCs w:val="22"/>
          <w:lang w:eastAsia="en-US"/>
        </w:rPr>
        <w:t>o</w:t>
      </w:r>
      <w:proofErr w:type="spellEnd"/>
      <w:r>
        <w:rPr>
          <w:rFonts w:eastAsiaTheme="minorHAnsi"/>
          <w:color w:val="000000"/>
          <w:sz w:val="22"/>
          <w:szCs w:val="22"/>
          <w:lang w:eastAsia="en-US"/>
        </w:rPr>
        <w:t xml:space="preserve"> sukėlė reikšmingai didesnį gliukozės koncentracijos plazmoje po valgio sumažėjimą praėjus 28 savaitėms negu bet kuris iš šių vaistinių preparatų atskirai.</w:t>
      </w:r>
    </w:p>
    <w:p w14:paraId="5E6BE343" w14:textId="77777777" w:rsidR="00E86446" w:rsidRDefault="00E86446">
      <w:pPr>
        <w:autoSpaceDE w:val="0"/>
        <w:autoSpaceDN w:val="0"/>
        <w:adjustRightInd w:val="0"/>
        <w:rPr>
          <w:rFonts w:eastAsiaTheme="minorHAnsi"/>
          <w:color w:val="000000"/>
          <w:sz w:val="22"/>
          <w:szCs w:val="22"/>
          <w:lang w:eastAsia="en-US"/>
        </w:rPr>
      </w:pPr>
    </w:p>
    <w:p w14:paraId="6BFA74F4"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Kūno svoris</w:t>
      </w:r>
    </w:p>
    <w:p w14:paraId="026598E6" w14:textId="1A6B7CFF"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Vartojus dapagliflozino vien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arba jo derinio su </w:t>
      </w:r>
      <w:proofErr w:type="spellStart"/>
      <w:r>
        <w:rPr>
          <w:rFonts w:eastAsiaTheme="minorHAnsi"/>
          <w:color w:val="000000"/>
          <w:sz w:val="22"/>
          <w:szCs w:val="22"/>
          <w:lang w:eastAsia="en-US"/>
        </w:rPr>
        <w:t>sitagliptinu</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sulfonilkarbamid</w:t>
      </w:r>
      <w:r w:rsidR="00B0424E">
        <w:rPr>
          <w:rFonts w:eastAsiaTheme="minorHAnsi"/>
          <w:color w:val="000000"/>
          <w:sz w:val="22"/>
          <w:szCs w:val="22"/>
          <w:lang w:eastAsia="en-US"/>
        </w:rPr>
        <w:t>o</w:t>
      </w:r>
      <w:proofErr w:type="spellEnd"/>
      <w:r w:rsidR="00B0424E">
        <w:rPr>
          <w:rFonts w:eastAsiaTheme="minorHAnsi"/>
          <w:color w:val="000000"/>
          <w:sz w:val="22"/>
          <w:szCs w:val="22"/>
          <w:lang w:eastAsia="en-US"/>
        </w:rPr>
        <w:t xml:space="preserve"> dariniu,</w:t>
      </w:r>
      <w:r>
        <w:rPr>
          <w:rFonts w:eastAsiaTheme="minorHAnsi"/>
          <w:color w:val="000000"/>
          <w:sz w:val="22"/>
          <w:szCs w:val="22"/>
          <w:lang w:eastAsia="en-US"/>
        </w:rPr>
        <w:t xml:space="preserve"> arba insulino (vieno arba kartu su geriamaisiais gliukozės koncentraciją mažinančiais vaistiniais preparatais, įskaitant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poveikiui papildyti, po 24 savaičių nustatytas statistikai reikšmingai sumažėjęs kūno svoris (p</w:t>
      </w:r>
      <w:r w:rsidR="00B0424E">
        <w:rPr>
          <w:rFonts w:eastAsiaTheme="minorHAnsi"/>
          <w:color w:val="000000"/>
          <w:sz w:val="22"/>
          <w:szCs w:val="22"/>
          <w:lang w:eastAsia="en-US"/>
        </w:rPr>
        <w:t> </w:t>
      </w:r>
      <w:r>
        <w:rPr>
          <w:rFonts w:eastAsiaTheme="minorHAnsi"/>
          <w:color w:val="000000"/>
          <w:sz w:val="22"/>
          <w:szCs w:val="22"/>
          <w:lang w:eastAsia="en-US"/>
        </w:rPr>
        <w:t>&lt;</w:t>
      </w:r>
      <w:r w:rsidR="00B0424E">
        <w:rPr>
          <w:rFonts w:eastAsiaTheme="minorHAnsi"/>
          <w:color w:val="000000"/>
          <w:sz w:val="22"/>
          <w:szCs w:val="22"/>
          <w:lang w:eastAsia="en-US"/>
        </w:rPr>
        <w:t> </w:t>
      </w:r>
      <w:r>
        <w:rPr>
          <w:rFonts w:eastAsiaTheme="minorHAnsi"/>
          <w:color w:val="000000"/>
          <w:sz w:val="22"/>
          <w:szCs w:val="22"/>
          <w:lang w:eastAsia="en-US"/>
        </w:rPr>
        <w:t xml:space="preserve">0,0001, 4, 5 ir 6 lentelės). Šie poveikiai išliko ir ilgesnės trukmės tyrimų metu. Pacientai, kurie </w:t>
      </w:r>
      <w:proofErr w:type="spellStart"/>
      <w:r>
        <w:rPr>
          <w:rFonts w:eastAsiaTheme="minorHAnsi"/>
          <w:color w:val="000000"/>
          <w:sz w:val="22"/>
          <w:szCs w:val="22"/>
          <w:lang w:eastAsia="en-US"/>
        </w:rPr>
        <w:lastRenderedPageBreak/>
        <w:t>metformino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sitagliptino</w:t>
      </w:r>
      <w:proofErr w:type="spellEnd"/>
      <w:r>
        <w:rPr>
          <w:rFonts w:eastAsiaTheme="minorHAnsi"/>
          <w:color w:val="000000"/>
          <w:sz w:val="22"/>
          <w:szCs w:val="22"/>
          <w:lang w:eastAsia="en-US"/>
        </w:rPr>
        <w:t xml:space="preserve"> poveikiui papildyti vartojo dapagliflozino, per 48 savaites neteko 2,07 kg svorio (palyginus su vartojusiais placebo). Po 102 savaičių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poveikiui papildyti vartoto dapagliflozino grupės pacientų svoris buvo sumažėjęs 2,14 kg, o vartoto papildyti insulino poveikiui – 2,88 kg (palyginus su vartojusiais placebo).</w:t>
      </w:r>
    </w:p>
    <w:p w14:paraId="0EA76488" w14:textId="77777777" w:rsidR="00E86446" w:rsidRDefault="00E86446">
      <w:pPr>
        <w:autoSpaceDE w:val="0"/>
        <w:autoSpaceDN w:val="0"/>
        <w:adjustRightInd w:val="0"/>
        <w:rPr>
          <w:rFonts w:eastAsiaTheme="minorHAnsi"/>
          <w:color w:val="000000"/>
          <w:sz w:val="22"/>
          <w:szCs w:val="22"/>
          <w:lang w:eastAsia="en-US"/>
        </w:rPr>
      </w:pPr>
    </w:p>
    <w:p w14:paraId="46C878FE" w14:textId="2C5898E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Aktyviai kontroliuojamo ne prastesnio poveikio gydymui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papildyti tyrimo metu po 52 savaičių nustatytas dapagliflozino sukeltas statistikai reikšmingas kūno svorio sumažėjimas 4,65 kg palyginus su vartojusiais </w:t>
      </w:r>
      <w:proofErr w:type="spellStart"/>
      <w:r>
        <w:rPr>
          <w:rFonts w:eastAsiaTheme="minorHAnsi"/>
          <w:color w:val="000000"/>
          <w:sz w:val="22"/>
          <w:szCs w:val="22"/>
          <w:lang w:eastAsia="en-US"/>
        </w:rPr>
        <w:t>glipizido</w:t>
      </w:r>
      <w:proofErr w:type="spellEnd"/>
      <w:r>
        <w:rPr>
          <w:rFonts w:eastAsiaTheme="minorHAnsi"/>
          <w:color w:val="000000"/>
          <w:sz w:val="22"/>
          <w:szCs w:val="22"/>
          <w:lang w:eastAsia="en-US"/>
        </w:rPr>
        <w:t xml:space="preserve"> (p</w:t>
      </w:r>
      <w:r w:rsidR="00315800">
        <w:rPr>
          <w:rFonts w:eastAsiaTheme="minorHAnsi"/>
          <w:color w:val="000000"/>
          <w:sz w:val="22"/>
          <w:szCs w:val="22"/>
          <w:lang w:eastAsia="en-US"/>
        </w:rPr>
        <w:t> </w:t>
      </w:r>
      <w:r>
        <w:rPr>
          <w:rFonts w:eastAsiaTheme="minorHAnsi"/>
          <w:color w:val="000000"/>
          <w:sz w:val="22"/>
          <w:szCs w:val="22"/>
          <w:lang w:eastAsia="en-US"/>
        </w:rPr>
        <w:t>&lt;</w:t>
      </w:r>
      <w:r w:rsidR="00315800">
        <w:rPr>
          <w:rFonts w:eastAsiaTheme="minorHAnsi"/>
          <w:color w:val="000000"/>
          <w:sz w:val="22"/>
          <w:szCs w:val="22"/>
          <w:lang w:eastAsia="en-US"/>
        </w:rPr>
        <w:t> </w:t>
      </w:r>
      <w:r>
        <w:rPr>
          <w:rFonts w:eastAsiaTheme="minorHAnsi"/>
          <w:color w:val="000000"/>
          <w:sz w:val="22"/>
          <w:szCs w:val="22"/>
          <w:lang w:eastAsia="en-US"/>
        </w:rPr>
        <w:t>0,0001, 3 lentelė). Dapagliflozino grupės pacientų svoris išliko sumažėjęs ir po 104 bei 208 savaičių (atitinkamai 5,06 kg ir 4,38 kg).</w:t>
      </w:r>
    </w:p>
    <w:p w14:paraId="13D692F9" w14:textId="77777777" w:rsidR="00E86446" w:rsidRDefault="00E86446">
      <w:pPr>
        <w:autoSpaceDE w:val="0"/>
        <w:autoSpaceDN w:val="0"/>
        <w:adjustRightInd w:val="0"/>
        <w:rPr>
          <w:rFonts w:eastAsiaTheme="minorHAnsi"/>
          <w:color w:val="000000"/>
          <w:sz w:val="22"/>
          <w:szCs w:val="22"/>
          <w:lang w:eastAsia="en-US"/>
        </w:rPr>
      </w:pPr>
    </w:p>
    <w:p w14:paraId="29D1271C" w14:textId="5DED96A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Sudėtinis gydymas vartojant 10 mg dapagliflozino ir pailginto atpalaidavimo </w:t>
      </w:r>
      <w:proofErr w:type="spellStart"/>
      <w:r>
        <w:rPr>
          <w:rFonts w:eastAsiaTheme="minorHAnsi"/>
          <w:color w:val="000000"/>
          <w:sz w:val="22"/>
          <w:szCs w:val="22"/>
          <w:lang w:eastAsia="en-US"/>
        </w:rPr>
        <w:t>eksenatid</w:t>
      </w:r>
      <w:r w:rsidR="00A043D3">
        <w:rPr>
          <w:rFonts w:eastAsiaTheme="minorHAnsi"/>
          <w:color w:val="000000"/>
          <w:sz w:val="22"/>
          <w:szCs w:val="22"/>
          <w:lang w:eastAsia="en-US"/>
        </w:rPr>
        <w:t>o</w:t>
      </w:r>
      <w:proofErr w:type="spellEnd"/>
      <w:r>
        <w:rPr>
          <w:rFonts w:eastAsiaTheme="minorHAnsi"/>
          <w:color w:val="000000"/>
          <w:sz w:val="22"/>
          <w:szCs w:val="22"/>
          <w:lang w:eastAsia="en-US"/>
        </w:rPr>
        <w:t xml:space="preserve"> sukėlė reikšmingai didesnį kūno svorio sumažėjimą negu bet kuris iš šių vaistinių preparatų atskirai (žr. 8 lentelę).</w:t>
      </w:r>
    </w:p>
    <w:p w14:paraId="57D6300B" w14:textId="77777777" w:rsidR="00E86446" w:rsidRDefault="00E86446">
      <w:pPr>
        <w:autoSpaceDE w:val="0"/>
        <w:autoSpaceDN w:val="0"/>
        <w:adjustRightInd w:val="0"/>
        <w:rPr>
          <w:rFonts w:eastAsiaTheme="minorHAnsi"/>
          <w:color w:val="000000"/>
          <w:sz w:val="22"/>
          <w:szCs w:val="22"/>
          <w:lang w:eastAsia="en-US"/>
        </w:rPr>
      </w:pPr>
    </w:p>
    <w:p w14:paraId="4EFDEBCA" w14:textId="3F3D69FD"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24 savaičių trukmės tyrimo metu atlikti 182 diabetu sergančių asmenų kūno sudėties dvigubos energijos rentgeno spindulių </w:t>
      </w:r>
      <w:proofErr w:type="spellStart"/>
      <w:r>
        <w:rPr>
          <w:rFonts w:eastAsiaTheme="minorHAnsi"/>
          <w:color w:val="000000"/>
          <w:sz w:val="22"/>
          <w:szCs w:val="22"/>
          <w:lang w:eastAsia="en-US"/>
        </w:rPr>
        <w:t>absorbciometrijos</w:t>
      </w:r>
      <w:proofErr w:type="spellEnd"/>
      <w:r>
        <w:rPr>
          <w:rFonts w:eastAsiaTheme="minorHAnsi"/>
          <w:color w:val="000000"/>
          <w:sz w:val="22"/>
          <w:szCs w:val="22"/>
          <w:lang w:eastAsia="en-US"/>
        </w:rPr>
        <w:t xml:space="preserve"> </w:t>
      </w:r>
      <w:r w:rsidR="000F2202">
        <w:rPr>
          <w:rFonts w:eastAsiaTheme="minorHAnsi"/>
          <w:color w:val="000000"/>
          <w:sz w:val="22"/>
          <w:szCs w:val="22"/>
          <w:lang w:eastAsia="en-US"/>
        </w:rPr>
        <w:t>(</w:t>
      </w:r>
      <w:r w:rsidR="00C870D4">
        <w:rPr>
          <w:rFonts w:eastAsiaTheme="minorHAnsi"/>
          <w:color w:val="000000"/>
          <w:sz w:val="22"/>
          <w:szCs w:val="22"/>
          <w:lang w:eastAsia="en-US"/>
        </w:rPr>
        <w:t xml:space="preserve">DXA) </w:t>
      </w:r>
      <w:r>
        <w:rPr>
          <w:rFonts w:eastAsiaTheme="minorHAnsi"/>
          <w:color w:val="000000"/>
          <w:sz w:val="22"/>
          <w:szCs w:val="22"/>
          <w:lang w:eastAsia="en-US"/>
        </w:rPr>
        <w:t xml:space="preserve">tyrimai parodė, kad dapagliflozino 10 mg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derinys, palyginus su placebo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deriniu, sumažino kūno svorį ir kūno riebalų kiekį (ne lieso audinio ar skysčių kiekį). Šio tyrimo MRT dalis parodė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derinio grupės pacientų </w:t>
      </w:r>
      <w:proofErr w:type="spellStart"/>
      <w:r>
        <w:rPr>
          <w:rFonts w:eastAsiaTheme="minorHAnsi"/>
          <w:color w:val="000000"/>
          <w:sz w:val="22"/>
          <w:szCs w:val="22"/>
          <w:lang w:eastAsia="en-US"/>
        </w:rPr>
        <w:t>visceralinio</w:t>
      </w:r>
      <w:proofErr w:type="spellEnd"/>
      <w:r>
        <w:rPr>
          <w:rFonts w:eastAsiaTheme="minorHAnsi"/>
          <w:color w:val="000000"/>
          <w:sz w:val="22"/>
          <w:szCs w:val="22"/>
          <w:lang w:eastAsia="en-US"/>
        </w:rPr>
        <w:t xml:space="preserve"> riebalinio audinio kiekio sumažėjimą palyginus su placebo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derinio grupe.</w:t>
      </w:r>
    </w:p>
    <w:p w14:paraId="7E4B7D65" w14:textId="77777777" w:rsidR="00E86446" w:rsidRDefault="00E86446">
      <w:pPr>
        <w:autoSpaceDE w:val="0"/>
        <w:autoSpaceDN w:val="0"/>
        <w:adjustRightInd w:val="0"/>
        <w:rPr>
          <w:rFonts w:eastAsiaTheme="minorHAnsi"/>
          <w:color w:val="000000"/>
          <w:sz w:val="22"/>
          <w:szCs w:val="22"/>
          <w:lang w:eastAsia="en-US"/>
        </w:rPr>
      </w:pPr>
    </w:p>
    <w:p w14:paraId="311683CD"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Kraujospūdis</w:t>
      </w:r>
    </w:p>
    <w:p w14:paraId="47CB2FE8" w14:textId="7EB85C6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Iš anksto numatyta 13 placebu kontroliuojamų tyrimų duomenų bendra analizė parodė, kad po 24 savaičių trukusio 10 mg dapagliflozino vartojimo grupės pacientų </w:t>
      </w:r>
      <w:proofErr w:type="spellStart"/>
      <w:r>
        <w:rPr>
          <w:rFonts w:eastAsiaTheme="minorHAnsi"/>
          <w:color w:val="000000"/>
          <w:sz w:val="22"/>
          <w:szCs w:val="22"/>
          <w:lang w:eastAsia="en-US"/>
        </w:rPr>
        <w:t>sistolinis</w:t>
      </w:r>
      <w:proofErr w:type="spellEnd"/>
      <w:r>
        <w:rPr>
          <w:rFonts w:eastAsiaTheme="minorHAnsi"/>
          <w:color w:val="000000"/>
          <w:sz w:val="22"/>
          <w:szCs w:val="22"/>
          <w:lang w:eastAsia="en-US"/>
        </w:rPr>
        <w:t xml:space="preserve"> kraujospūdis buvo 3,7</w:t>
      </w:r>
      <w:r w:rsidR="00D768BB">
        <w:rPr>
          <w:rFonts w:eastAsiaTheme="minorHAnsi"/>
          <w:color w:val="000000"/>
          <w:sz w:val="22"/>
          <w:szCs w:val="22"/>
          <w:lang w:eastAsia="en-US"/>
        </w:rPr>
        <w:t>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xml:space="preserve">, o </w:t>
      </w:r>
      <w:proofErr w:type="spellStart"/>
      <w:r>
        <w:rPr>
          <w:rFonts w:eastAsiaTheme="minorHAnsi"/>
          <w:color w:val="000000"/>
          <w:sz w:val="22"/>
          <w:szCs w:val="22"/>
          <w:lang w:eastAsia="en-US"/>
        </w:rPr>
        <w:t>diastolinis</w:t>
      </w:r>
      <w:proofErr w:type="spellEnd"/>
      <w:r>
        <w:rPr>
          <w:rFonts w:eastAsiaTheme="minorHAnsi"/>
          <w:color w:val="000000"/>
          <w:sz w:val="22"/>
          <w:szCs w:val="22"/>
          <w:lang w:eastAsia="en-US"/>
        </w:rPr>
        <w:t xml:space="preserve"> – 1,8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xml:space="preserve"> mažesnis už pradinį (placebo grupės pacientų – atitinkamai 0,5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xml:space="preserve"> ir 0,5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Panašus kraujospūdžio sumažėjimas buvo stebėtas iki 104 savaitės.</w:t>
      </w:r>
    </w:p>
    <w:p w14:paraId="58F9A85A" w14:textId="77777777" w:rsidR="00E86446" w:rsidRDefault="00E86446">
      <w:pPr>
        <w:autoSpaceDE w:val="0"/>
        <w:autoSpaceDN w:val="0"/>
        <w:adjustRightInd w:val="0"/>
        <w:rPr>
          <w:rFonts w:eastAsiaTheme="minorHAnsi"/>
          <w:color w:val="000000"/>
          <w:sz w:val="22"/>
          <w:szCs w:val="22"/>
          <w:lang w:eastAsia="en-US"/>
        </w:rPr>
      </w:pPr>
    </w:p>
    <w:p w14:paraId="7CBC7310" w14:textId="504921E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Sudėtinis gydymas vartojant 10</w:t>
      </w:r>
      <w:r w:rsidR="00203B8A">
        <w:rPr>
          <w:rFonts w:eastAsiaTheme="minorHAnsi"/>
          <w:color w:val="000000"/>
          <w:sz w:val="22"/>
          <w:szCs w:val="22"/>
          <w:lang w:eastAsia="en-US"/>
        </w:rPr>
        <w:t> </w:t>
      </w:r>
      <w:r>
        <w:rPr>
          <w:rFonts w:eastAsiaTheme="minorHAnsi"/>
          <w:color w:val="000000"/>
          <w:sz w:val="22"/>
          <w:szCs w:val="22"/>
          <w:lang w:eastAsia="en-US"/>
        </w:rPr>
        <w:t xml:space="preserve">mg dapagliflozino ir pailginto atpalaidavimo </w:t>
      </w:r>
      <w:proofErr w:type="spellStart"/>
      <w:r>
        <w:rPr>
          <w:rFonts w:eastAsiaTheme="minorHAnsi"/>
          <w:color w:val="000000"/>
          <w:sz w:val="22"/>
          <w:szCs w:val="22"/>
          <w:lang w:eastAsia="en-US"/>
        </w:rPr>
        <w:t>eksenatid</w:t>
      </w:r>
      <w:r w:rsidR="00203B8A">
        <w:rPr>
          <w:rFonts w:eastAsiaTheme="minorHAnsi"/>
          <w:color w:val="000000"/>
          <w:sz w:val="22"/>
          <w:szCs w:val="22"/>
          <w:lang w:eastAsia="en-US"/>
        </w:rPr>
        <w:t>o</w:t>
      </w:r>
      <w:proofErr w:type="spellEnd"/>
      <w:r>
        <w:rPr>
          <w:rFonts w:eastAsiaTheme="minorHAnsi"/>
          <w:color w:val="000000"/>
          <w:sz w:val="22"/>
          <w:szCs w:val="22"/>
          <w:lang w:eastAsia="en-US"/>
        </w:rPr>
        <w:t xml:space="preserve"> sumažino </w:t>
      </w:r>
      <w:proofErr w:type="spellStart"/>
      <w:r>
        <w:rPr>
          <w:rFonts w:eastAsiaTheme="minorHAnsi"/>
          <w:color w:val="000000"/>
          <w:sz w:val="22"/>
          <w:szCs w:val="22"/>
          <w:lang w:eastAsia="en-US"/>
        </w:rPr>
        <w:t>sistolinį</w:t>
      </w:r>
      <w:proofErr w:type="spellEnd"/>
      <w:r>
        <w:rPr>
          <w:rFonts w:eastAsiaTheme="minorHAnsi"/>
          <w:color w:val="000000"/>
          <w:sz w:val="22"/>
          <w:szCs w:val="22"/>
          <w:lang w:eastAsia="en-US"/>
        </w:rPr>
        <w:t xml:space="preserve"> kraujospūdį praėjus 28 savaitėms reikšmingai labiau (4,3</w:t>
      </w:r>
      <w:r w:rsidR="00203B8A">
        <w:rPr>
          <w:rFonts w:eastAsiaTheme="minorHAnsi"/>
          <w:color w:val="000000"/>
          <w:sz w:val="22"/>
          <w:szCs w:val="22"/>
          <w:lang w:eastAsia="en-US"/>
        </w:rPr>
        <w:t>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negu vien dapagliflozinas (1,8</w:t>
      </w:r>
      <w:r w:rsidR="00203B8A">
        <w:rPr>
          <w:rFonts w:eastAsiaTheme="minorHAnsi"/>
          <w:color w:val="000000"/>
          <w:sz w:val="22"/>
          <w:szCs w:val="22"/>
          <w:lang w:eastAsia="en-US"/>
        </w:rPr>
        <w:t>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p</w:t>
      </w:r>
      <w:r w:rsidR="00203B8A">
        <w:rPr>
          <w:rFonts w:eastAsiaTheme="minorHAnsi"/>
          <w:color w:val="000000"/>
          <w:sz w:val="22"/>
          <w:szCs w:val="22"/>
          <w:lang w:eastAsia="en-US"/>
        </w:rPr>
        <w:t> </w:t>
      </w:r>
      <w:r>
        <w:rPr>
          <w:rFonts w:eastAsiaTheme="minorHAnsi"/>
          <w:color w:val="000000"/>
          <w:sz w:val="22"/>
          <w:szCs w:val="22"/>
          <w:lang w:eastAsia="en-US"/>
        </w:rPr>
        <w:t>&lt;</w:t>
      </w:r>
      <w:r w:rsidR="00203B8A">
        <w:rPr>
          <w:rFonts w:eastAsiaTheme="minorHAnsi"/>
          <w:color w:val="000000"/>
          <w:sz w:val="22"/>
          <w:szCs w:val="22"/>
          <w:lang w:eastAsia="en-US"/>
        </w:rPr>
        <w:t> </w:t>
      </w:r>
      <w:r>
        <w:rPr>
          <w:rFonts w:eastAsiaTheme="minorHAnsi"/>
          <w:color w:val="000000"/>
          <w:sz w:val="22"/>
          <w:szCs w:val="22"/>
          <w:lang w:eastAsia="en-US"/>
        </w:rPr>
        <w:t xml:space="preserve">0,05) ar vien pailginto atpalaidavimo </w:t>
      </w:r>
      <w:proofErr w:type="spellStart"/>
      <w:r>
        <w:rPr>
          <w:rFonts w:eastAsiaTheme="minorHAnsi"/>
          <w:color w:val="000000"/>
          <w:sz w:val="22"/>
          <w:szCs w:val="22"/>
          <w:lang w:eastAsia="en-US"/>
        </w:rPr>
        <w:t>eksenatidas</w:t>
      </w:r>
      <w:proofErr w:type="spellEnd"/>
      <w:r>
        <w:rPr>
          <w:rFonts w:eastAsiaTheme="minorHAnsi"/>
          <w:color w:val="000000"/>
          <w:sz w:val="22"/>
          <w:szCs w:val="22"/>
          <w:lang w:eastAsia="en-US"/>
        </w:rPr>
        <w:t xml:space="preserve"> (1,2</w:t>
      </w:r>
      <w:r w:rsidR="00203B8A">
        <w:rPr>
          <w:rFonts w:eastAsiaTheme="minorHAnsi"/>
          <w:color w:val="000000"/>
          <w:sz w:val="22"/>
          <w:szCs w:val="22"/>
          <w:lang w:eastAsia="en-US"/>
        </w:rPr>
        <w:t>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 p</w:t>
      </w:r>
      <w:r w:rsidR="00203B8A">
        <w:rPr>
          <w:rFonts w:eastAsiaTheme="minorHAnsi"/>
          <w:color w:val="000000"/>
          <w:sz w:val="22"/>
          <w:szCs w:val="22"/>
          <w:lang w:eastAsia="en-US"/>
        </w:rPr>
        <w:t> </w:t>
      </w:r>
      <w:r>
        <w:rPr>
          <w:rFonts w:eastAsiaTheme="minorHAnsi"/>
          <w:color w:val="000000"/>
          <w:sz w:val="22"/>
          <w:szCs w:val="22"/>
          <w:lang w:eastAsia="en-US"/>
        </w:rPr>
        <w:t>&lt;</w:t>
      </w:r>
      <w:r w:rsidR="00203B8A">
        <w:rPr>
          <w:rFonts w:eastAsiaTheme="minorHAnsi"/>
          <w:color w:val="000000"/>
          <w:sz w:val="22"/>
          <w:szCs w:val="22"/>
          <w:lang w:eastAsia="en-US"/>
        </w:rPr>
        <w:t> </w:t>
      </w:r>
      <w:r>
        <w:rPr>
          <w:rFonts w:eastAsiaTheme="minorHAnsi"/>
          <w:color w:val="000000"/>
          <w:sz w:val="22"/>
          <w:szCs w:val="22"/>
          <w:lang w:eastAsia="en-US"/>
        </w:rPr>
        <w:t>0,01).</w:t>
      </w:r>
    </w:p>
    <w:p w14:paraId="64971C01" w14:textId="77777777" w:rsidR="00E86446" w:rsidRDefault="00E86446">
      <w:pPr>
        <w:autoSpaceDE w:val="0"/>
        <w:autoSpaceDN w:val="0"/>
        <w:adjustRightInd w:val="0"/>
        <w:rPr>
          <w:rFonts w:eastAsiaTheme="minorHAnsi"/>
          <w:color w:val="000000"/>
          <w:sz w:val="22"/>
          <w:szCs w:val="22"/>
          <w:lang w:eastAsia="en-US"/>
        </w:rPr>
      </w:pPr>
    </w:p>
    <w:p w14:paraId="141A417C" w14:textId="209CD51E"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Dviejų 12 savaičių trukmės placebu kontroliuojamų tyrimų metu iš viso 1</w:t>
      </w:r>
      <w:r w:rsidR="00317DCD">
        <w:rPr>
          <w:rFonts w:eastAsiaTheme="minorHAnsi"/>
          <w:color w:val="000000"/>
          <w:sz w:val="22"/>
          <w:szCs w:val="22"/>
          <w:lang w:eastAsia="en-US"/>
        </w:rPr>
        <w:t> </w:t>
      </w:r>
      <w:r>
        <w:rPr>
          <w:rFonts w:eastAsiaTheme="minorHAnsi"/>
          <w:color w:val="000000"/>
          <w:sz w:val="22"/>
          <w:szCs w:val="22"/>
          <w:lang w:eastAsia="en-US"/>
        </w:rPr>
        <w:t xml:space="preserve">062 pacientai, kurie sirgo tinkamai nekontroliuojamu 2 tipo diabetu ir hipertenzija (nepaisant nuolatinių stabilių AKF-I arba ARB dozių vartojimo vieno tyrimo metu bei jų ir dar vieno vaistinio preparato nuo hipertenzijos vartojimo kito tyrimo metu), vartojo 10 mg dapagliflozino arba placebo. Abiejų tyrimų metu po 12 savaičių nustatyta, kad 10 mg dapagliflozino kartu su įprastu diabeto gydymu sukėlė HbA1c koncentracijos sumažėjimą ir sumažino pagal placebą koreguotą </w:t>
      </w:r>
      <w:proofErr w:type="spellStart"/>
      <w:r>
        <w:rPr>
          <w:rFonts w:eastAsiaTheme="minorHAnsi"/>
          <w:color w:val="000000"/>
          <w:sz w:val="22"/>
          <w:szCs w:val="22"/>
          <w:lang w:eastAsia="en-US"/>
        </w:rPr>
        <w:t>sistolinį</w:t>
      </w:r>
      <w:proofErr w:type="spellEnd"/>
      <w:r>
        <w:rPr>
          <w:rFonts w:eastAsiaTheme="minorHAnsi"/>
          <w:color w:val="000000"/>
          <w:sz w:val="22"/>
          <w:szCs w:val="22"/>
          <w:lang w:eastAsia="en-US"/>
        </w:rPr>
        <w:t xml:space="preserve"> kraujospūdį vidutiniškai atitinkamai 3,1 ir 4.3 </w:t>
      </w:r>
      <w:proofErr w:type="spellStart"/>
      <w:r>
        <w:rPr>
          <w:rFonts w:eastAsiaTheme="minorHAnsi"/>
          <w:color w:val="000000"/>
          <w:sz w:val="22"/>
          <w:szCs w:val="22"/>
          <w:lang w:eastAsia="en-US"/>
        </w:rPr>
        <w:t>mmHg</w:t>
      </w:r>
      <w:proofErr w:type="spellEnd"/>
      <w:r>
        <w:rPr>
          <w:rFonts w:eastAsiaTheme="minorHAnsi"/>
          <w:color w:val="000000"/>
          <w:sz w:val="22"/>
          <w:szCs w:val="22"/>
          <w:lang w:eastAsia="en-US"/>
        </w:rPr>
        <w:t>.</w:t>
      </w:r>
    </w:p>
    <w:p w14:paraId="4E4EF3D5" w14:textId="77777777" w:rsidR="00E86446" w:rsidRDefault="00E86446">
      <w:pPr>
        <w:autoSpaceDE w:val="0"/>
        <w:autoSpaceDN w:val="0"/>
        <w:adjustRightInd w:val="0"/>
        <w:rPr>
          <w:sz w:val="22"/>
          <w:szCs w:val="22"/>
        </w:rPr>
      </w:pPr>
    </w:p>
    <w:p w14:paraId="45ED1EA6" w14:textId="3FE15923" w:rsidR="00E86446" w:rsidRDefault="00345E63">
      <w:pPr>
        <w:autoSpaceDE w:val="0"/>
        <w:autoSpaceDN w:val="0"/>
        <w:adjustRightInd w:val="0"/>
        <w:rPr>
          <w:sz w:val="22"/>
          <w:szCs w:val="22"/>
        </w:rPr>
      </w:pPr>
      <w:r>
        <w:rPr>
          <w:sz w:val="22"/>
          <w:szCs w:val="22"/>
        </w:rPr>
        <w:t xml:space="preserve">Specialaus tyrimo metu diabetu sirgusių dapagliflozino </w:t>
      </w:r>
      <w:r w:rsidR="00B43B03">
        <w:rPr>
          <w:sz w:val="22"/>
          <w:szCs w:val="22"/>
        </w:rPr>
        <w:t xml:space="preserve">vartojusių </w:t>
      </w:r>
      <w:r>
        <w:rPr>
          <w:sz w:val="22"/>
          <w:szCs w:val="22"/>
        </w:rPr>
        <w:t xml:space="preserve">grupės pacientų, kurių </w:t>
      </w:r>
      <w:proofErr w:type="spellStart"/>
      <w:r>
        <w:rPr>
          <w:sz w:val="22"/>
          <w:szCs w:val="22"/>
        </w:rPr>
        <w:t>aGFG</w:t>
      </w:r>
      <w:proofErr w:type="spellEnd"/>
      <w:r>
        <w:rPr>
          <w:sz w:val="22"/>
          <w:szCs w:val="22"/>
        </w:rPr>
        <w:t xml:space="preserve"> buvo nuo ≥</w:t>
      </w:r>
      <w:r w:rsidR="00B43B03">
        <w:rPr>
          <w:sz w:val="22"/>
          <w:szCs w:val="22"/>
        </w:rPr>
        <w:t> </w:t>
      </w:r>
      <w:r>
        <w:rPr>
          <w:sz w:val="22"/>
          <w:szCs w:val="22"/>
        </w:rPr>
        <w:t>45 iki &lt;</w:t>
      </w:r>
      <w:r w:rsidR="00B43B03">
        <w:rPr>
          <w:sz w:val="22"/>
          <w:szCs w:val="22"/>
        </w:rPr>
        <w:t> </w:t>
      </w:r>
      <w:r>
        <w:rPr>
          <w:sz w:val="22"/>
          <w:szCs w:val="22"/>
        </w:rPr>
        <w:t>60 ml/min./1,73 m</w:t>
      </w:r>
      <w:r>
        <w:rPr>
          <w:sz w:val="22"/>
          <w:szCs w:val="22"/>
          <w:vertAlign w:val="superscript"/>
        </w:rPr>
        <w:t>2</w:t>
      </w:r>
      <w:r>
        <w:rPr>
          <w:sz w:val="22"/>
          <w:szCs w:val="22"/>
        </w:rPr>
        <w:t xml:space="preserve">, </w:t>
      </w:r>
      <w:proofErr w:type="spellStart"/>
      <w:r>
        <w:rPr>
          <w:sz w:val="22"/>
          <w:szCs w:val="22"/>
        </w:rPr>
        <w:t>sistolinis</w:t>
      </w:r>
      <w:proofErr w:type="spellEnd"/>
      <w:r>
        <w:rPr>
          <w:sz w:val="22"/>
          <w:szCs w:val="22"/>
        </w:rPr>
        <w:t xml:space="preserve"> kraujo spaudimas sėdint po 24 savaičių buvo sumažėjęs 4,8 </w:t>
      </w:r>
      <w:proofErr w:type="spellStart"/>
      <w:r>
        <w:rPr>
          <w:sz w:val="22"/>
          <w:szCs w:val="22"/>
        </w:rPr>
        <w:t>mmHg</w:t>
      </w:r>
      <w:proofErr w:type="spellEnd"/>
      <w:r>
        <w:rPr>
          <w:sz w:val="22"/>
          <w:szCs w:val="22"/>
        </w:rPr>
        <w:t>, o placebo – 1,7 </w:t>
      </w:r>
      <w:proofErr w:type="spellStart"/>
      <w:r>
        <w:rPr>
          <w:sz w:val="22"/>
          <w:szCs w:val="22"/>
        </w:rPr>
        <w:t>mmHg</w:t>
      </w:r>
      <w:proofErr w:type="spellEnd"/>
      <w:r>
        <w:rPr>
          <w:sz w:val="22"/>
          <w:szCs w:val="22"/>
        </w:rPr>
        <w:t xml:space="preserve"> (p</w:t>
      </w:r>
      <w:r w:rsidR="00BE3DFB">
        <w:rPr>
          <w:sz w:val="22"/>
          <w:szCs w:val="22"/>
        </w:rPr>
        <w:t> </w:t>
      </w:r>
      <w:r>
        <w:rPr>
          <w:sz w:val="22"/>
          <w:szCs w:val="22"/>
        </w:rPr>
        <w:t>&lt;</w:t>
      </w:r>
      <w:r w:rsidR="00BE3DFB">
        <w:rPr>
          <w:sz w:val="22"/>
          <w:szCs w:val="22"/>
        </w:rPr>
        <w:t> </w:t>
      </w:r>
      <w:r>
        <w:rPr>
          <w:sz w:val="22"/>
          <w:szCs w:val="22"/>
        </w:rPr>
        <w:t>0,05).</w:t>
      </w:r>
    </w:p>
    <w:p w14:paraId="34BDB234" w14:textId="77777777" w:rsidR="00E86446" w:rsidRDefault="00E86446">
      <w:pPr>
        <w:autoSpaceDE w:val="0"/>
        <w:autoSpaceDN w:val="0"/>
        <w:adjustRightInd w:val="0"/>
        <w:rPr>
          <w:rFonts w:eastAsiaTheme="minorHAnsi"/>
          <w:i/>
          <w:iCs/>
          <w:color w:val="000000"/>
          <w:sz w:val="22"/>
          <w:szCs w:val="22"/>
          <w:lang w:eastAsia="en-US"/>
        </w:rPr>
      </w:pPr>
    </w:p>
    <w:p w14:paraId="6C6A3DF1" w14:textId="432572CD"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Pacientai, kurių pradinė HbA1c koncentracija ≥</w:t>
      </w:r>
      <w:r w:rsidR="00BE3DFB">
        <w:rPr>
          <w:rFonts w:eastAsiaTheme="minorHAnsi"/>
          <w:i/>
          <w:iCs/>
          <w:color w:val="000000"/>
          <w:sz w:val="22"/>
          <w:szCs w:val="22"/>
          <w:u w:val="single"/>
          <w:lang w:eastAsia="en-US"/>
        </w:rPr>
        <w:t> </w:t>
      </w:r>
      <w:r>
        <w:rPr>
          <w:rFonts w:eastAsiaTheme="minorHAnsi"/>
          <w:i/>
          <w:iCs/>
          <w:color w:val="000000"/>
          <w:sz w:val="22"/>
          <w:szCs w:val="22"/>
          <w:u w:val="single"/>
          <w:lang w:eastAsia="en-US"/>
        </w:rPr>
        <w:t>9 %</w:t>
      </w:r>
    </w:p>
    <w:p w14:paraId="42D74A93" w14:textId="0EB1E935"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Iš anksto numatyta asmenų, kurių pradinė HbA1c koncentracija buvo ≥</w:t>
      </w:r>
      <w:r w:rsidR="003E288C">
        <w:rPr>
          <w:rFonts w:eastAsiaTheme="minorHAnsi"/>
          <w:color w:val="000000"/>
          <w:sz w:val="22"/>
          <w:szCs w:val="22"/>
          <w:lang w:eastAsia="en-US"/>
        </w:rPr>
        <w:t> </w:t>
      </w:r>
      <w:r>
        <w:rPr>
          <w:rFonts w:eastAsiaTheme="minorHAnsi"/>
          <w:color w:val="000000"/>
          <w:sz w:val="22"/>
          <w:szCs w:val="22"/>
          <w:lang w:eastAsia="en-US"/>
        </w:rPr>
        <w:t xml:space="preserve">9 %, duomenų analizė parodė, kad 10 mg dapagliflozino, vartoto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poveikiui papildyti, sukėlė statistikai reikšmingą HbA1c koncentracijos po 24 savaičių sumažėjimą (koreguotas vidutinis jos sumažėjimas, palyginus su pradine vartojus dapagliflozino buvo 1,32 %, o vartojus placebo – 0,53 %).</w:t>
      </w:r>
    </w:p>
    <w:p w14:paraId="5854C557" w14:textId="77777777" w:rsidR="00E86446" w:rsidRDefault="00E86446">
      <w:pPr>
        <w:autoSpaceDE w:val="0"/>
        <w:autoSpaceDN w:val="0"/>
        <w:adjustRightInd w:val="0"/>
        <w:rPr>
          <w:rFonts w:eastAsiaTheme="minorHAnsi"/>
          <w:color w:val="000000"/>
          <w:sz w:val="22"/>
          <w:szCs w:val="22"/>
          <w:lang w:eastAsia="en-US"/>
        </w:rPr>
      </w:pPr>
    </w:p>
    <w:p w14:paraId="357C337E" w14:textId="19B1C576"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i/>
          <w:iCs/>
          <w:color w:val="000000"/>
          <w:sz w:val="22"/>
          <w:szCs w:val="22"/>
          <w:u w:val="single"/>
          <w:lang w:eastAsia="en-US"/>
        </w:rPr>
        <w:t>Glikemijos</w:t>
      </w:r>
      <w:proofErr w:type="spellEnd"/>
      <w:r>
        <w:rPr>
          <w:rFonts w:eastAsiaTheme="minorHAnsi"/>
          <w:i/>
          <w:iCs/>
          <w:color w:val="000000"/>
          <w:sz w:val="22"/>
          <w:szCs w:val="22"/>
          <w:u w:val="single"/>
          <w:lang w:eastAsia="en-US"/>
        </w:rPr>
        <w:t xml:space="preserve"> kontrolė pacientams, kurių inkstų funkcija vidutiniškai sutrikusi (3A stadijos lėtinė inkstų liga, </w:t>
      </w:r>
      <w:proofErr w:type="spellStart"/>
      <w:r>
        <w:rPr>
          <w:rFonts w:eastAsiaTheme="minorHAnsi"/>
          <w:i/>
          <w:iCs/>
          <w:color w:val="000000"/>
          <w:sz w:val="22"/>
          <w:szCs w:val="22"/>
          <w:u w:val="single"/>
          <w:lang w:eastAsia="en-US"/>
        </w:rPr>
        <w:t>aGFG</w:t>
      </w:r>
      <w:proofErr w:type="spellEnd"/>
      <w:r>
        <w:rPr>
          <w:rFonts w:eastAsiaTheme="minorHAnsi"/>
          <w:i/>
          <w:iCs/>
          <w:color w:val="000000"/>
          <w:sz w:val="22"/>
          <w:szCs w:val="22"/>
          <w:u w:val="single"/>
          <w:lang w:eastAsia="en-US"/>
        </w:rPr>
        <w:t xml:space="preserve"> nuo ≥</w:t>
      </w:r>
      <w:r w:rsidR="00CB47B2">
        <w:rPr>
          <w:rFonts w:eastAsiaTheme="minorHAnsi"/>
          <w:i/>
          <w:iCs/>
          <w:color w:val="000000"/>
          <w:sz w:val="22"/>
          <w:szCs w:val="22"/>
          <w:u w:val="single"/>
          <w:lang w:eastAsia="en-US"/>
        </w:rPr>
        <w:t> </w:t>
      </w:r>
      <w:r>
        <w:rPr>
          <w:rFonts w:eastAsiaTheme="minorHAnsi"/>
          <w:i/>
          <w:iCs/>
          <w:color w:val="000000"/>
          <w:sz w:val="22"/>
          <w:szCs w:val="22"/>
          <w:u w:val="single"/>
          <w:lang w:eastAsia="en-US"/>
        </w:rPr>
        <w:t>45 iki &lt;</w:t>
      </w:r>
      <w:r w:rsidR="00CB47B2">
        <w:rPr>
          <w:rFonts w:eastAsiaTheme="minorHAnsi"/>
          <w:i/>
          <w:iCs/>
          <w:color w:val="000000"/>
          <w:sz w:val="22"/>
          <w:szCs w:val="22"/>
          <w:u w:val="single"/>
          <w:lang w:eastAsia="en-US"/>
        </w:rPr>
        <w:t> </w:t>
      </w:r>
      <w:r>
        <w:rPr>
          <w:rFonts w:eastAsiaTheme="minorHAnsi"/>
          <w:i/>
          <w:iCs/>
          <w:color w:val="000000"/>
          <w:sz w:val="22"/>
          <w:szCs w:val="22"/>
          <w:u w:val="single"/>
          <w:lang w:eastAsia="en-US"/>
        </w:rPr>
        <w:t>60 ml/min./1,73 m</w:t>
      </w:r>
      <w:r>
        <w:rPr>
          <w:rFonts w:eastAsiaTheme="minorHAnsi"/>
          <w:i/>
          <w:iCs/>
          <w:color w:val="000000"/>
          <w:sz w:val="22"/>
          <w:szCs w:val="22"/>
          <w:u w:val="single"/>
          <w:vertAlign w:val="superscript"/>
          <w:lang w:eastAsia="en-US"/>
        </w:rPr>
        <w:t>2</w:t>
      </w:r>
      <w:r>
        <w:rPr>
          <w:rFonts w:eastAsiaTheme="minorHAnsi"/>
          <w:i/>
          <w:iCs/>
          <w:color w:val="000000"/>
          <w:sz w:val="22"/>
          <w:szCs w:val="22"/>
          <w:u w:val="single"/>
          <w:lang w:eastAsia="en-US"/>
        </w:rPr>
        <w:t>)</w:t>
      </w:r>
    </w:p>
    <w:p w14:paraId="78D0417C" w14:textId="2EC95094" w:rsidR="00E86446" w:rsidRDefault="00345E63">
      <w:pPr>
        <w:autoSpaceDE w:val="0"/>
        <w:autoSpaceDN w:val="0"/>
        <w:adjustRightInd w:val="0"/>
        <w:rPr>
          <w:sz w:val="22"/>
          <w:szCs w:val="22"/>
        </w:rPr>
      </w:pPr>
      <w:r>
        <w:rPr>
          <w:rFonts w:eastAsiaTheme="minorHAnsi"/>
          <w:color w:val="000000"/>
          <w:sz w:val="22"/>
          <w:szCs w:val="22"/>
          <w:lang w:eastAsia="en-US"/>
        </w:rPr>
        <w:t xml:space="preserve">Specialaus tyrimo metu tirtas dapagliflozino veiksmingumas diabetu sergantiems pacientams, kurių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nuo ≥</w:t>
      </w:r>
      <w:r w:rsidR="00CB47B2">
        <w:rPr>
          <w:rFonts w:eastAsiaTheme="minorHAnsi"/>
          <w:color w:val="000000"/>
          <w:sz w:val="22"/>
          <w:szCs w:val="22"/>
          <w:lang w:eastAsia="en-US"/>
        </w:rPr>
        <w:t> </w:t>
      </w:r>
      <w:r>
        <w:rPr>
          <w:rFonts w:eastAsiaTheme="minorHAnsi"/>
          <w:color w:val="000000"/>
          <w:sz w:val="22"/>
          <w:szCs w:val="22"/>
          <w:lang w:eastAsia="en-US"/>
        </w:rPr>
        <w:t>45 iki &lt;</w:t>
      </w:r>
      <w:r w:rsidR="00CB47B2">
        <w:rPr>
          <w:rFonts w:eastAsiaTheme="minorHAnsi"/>
          <w:color w:val="000000"/>
          <w:sz w:val="22"/>
          <w:szCs w:val="22"/>
          <w:lang w:eastAsia="en-US"/>
        </w:rPr>
        <w:t> </w:t>
      </w:r>
      <w:r>
        <w:rPr>
          <w:rFonts w:eastAsiaTheme="minorHAnsi"/>
          <w:color w:val="000000"/>
          <w:sz w:val="22"/>
          <w:szCs w:val="22"/>
          <w:lang w:eastAsia="en-US"/>
        </w:rPr>
        <w:t>60 ml/min./1,73 m</w:t>
      </w:r>
      <w:r>
        <w:rPr>
          <w:rFonts w:eastAsiaTheme="minorHAnsi"/>
          <w:color w:val="000000"/>
          <w:sz w:val="22"/>
          <w:szCs w:val="22"/>
          <w:vertAlign w:val="superscript"/>
          <w:lang w:eastAsia="en-US"/>
        </w:rPr>
        <w:t>2</w:t>
      </w:r>
      <w:r>
        <w:rPr>
          <w:rFonts w:eastAsiaTheme="minorHAnsi"/>
          <w:color w:val="000000"/>
          <w:sz w:val="22"/>
          <w:szCs w:val="22"/>
          <w:lang w:eastAsia="en-US"/>
        </w:rPr>
        <w:t xml:space="preserve">, ir </w:t>
      </w:r>
      <w:proofErr w:type="spellStart"/>
      <w:r>
        <w:rPr>
          <w:rFonts w:eastAsiaTheme="minorHAnsi"/>
          <w:color w:val="000000"/>
          <w:sz w:val="22"/>
          <w:szCs w:val="22"/>
          <w:lang w:eastAsia="en-US"/>
        </w:rPr>
        <w:t>glikemija</w:t>
      </w:r>
      <w:proofErr w:type="spellEnd"/>
      <w:r>
        <w:rPr>
          <w:rFonts w:eastAsiaTheme="minorHAnsi"/>
          <w:color w:val="000000"/>
          <w:sz w:val="22"/>
          <w:szCs w:val="22"/>
          <w:lang w:eastAsia="en-US"/>
        </w:rPr>
        <w:t xml:space="preserve"> nebuvo sureguliuota taikant įprastinį gydymą. Dapagliflozin</w:t>
      </w:r>
      <w:r w:rsidR="001766AB">
        <w:rPr>
          <w:rFonts w:eastAsiaTheme="minorHAnsi"/>
          <w:color w:val="000000"/>
          <w:sz w:val="22"/>
          <w:szCs w:val="22"/>
          <w:lang w:eastAsia="en-US"/>
        </w:rPr>
        <w:t>o</w:t>
      </w:r>
      <w:r>
        <w:rPr>
          <w:rFonts w:eastAsiaTheme="minorHAnsi"/>
          <w:color w:val="000000"/>
          <w:sz w:val="22"/>
          <w:szCs w:val="22"/>
          <w:lang w:eastAsia="en-US"/>
        </w:rPr>
        <w:t xml:space="preserve"> vartojusių pacientų HbA1c koncentracija ir kūno svoris buvo mažesni negu vartojusių placeb</w:t>
      </w:r>
      <w:r w:rsidR="001766AB">
        <w:rPr>
          <w:rFonts w:eastAsiaTheme="minorHAnsi"/>
          <w:color w:val="000000"/>
          <w:sz w:val="22"/>
          <w:szCs w:val="22"/>
          <w:lang w:eastAsia="en-US"/>
        </w:rPr>
        <w:t>o</w:t>
      </w:r>
      <w:r>
        <w:rPr>
          <w:rFonts w:eastAsiaTheme="minorHAnsi"/>
          <w:color w:val="000000"/>
          <w:sz w:val="22"/>
          <w:szCs w:val="22"/>
          <w:lang w:eastAsia="en-US"/>
        </w:rPr>
        <w:t xml:space="preserve"> (9 lentelė).</w:t>
      </w:r>
    </w:p>
    <w:p w14:paraId="686D34A5" w14:textId="77777777" w:rsidR="00E86446" w:rsidRDefault="00E86446">
      <w:pPr>
        <w:autoSpaceDE w:val="0"/>
        <w:autoSpaceDN w:val="0"/>
        <w:adjustRightInd w:val="0"/>
        <w:rPr>
          <w:b/>
          <w:bCs/>
          <w:sz w:val="22"/>
          <w:szCs w:val="22"/>
        </w:rPr>
      </w:pPr>
    </w:p>
    <w:p w14:paraId="40898EDC" w14:textId="34583A61" w:rsidR="00E86446" w:rsidRDefault="00345E63">
      <w:pPr>
        <w:autoSpaceDE w:val="0"/>
        <w:autoSpaceDN w:val="0"/>
        <w:adjustRightInd w:val="0"/>
        <w:rPr>
          <w:b/>
          <w:bCs/>
          <w:sz w:val="22"/>
          <w:szCs w:val="22"/>
        </w:rPr>
      </w:pPr>
      <w:r>
        <w:rPr>
          <w:b/>
          <w:bCs/>
          <w:sz w:val="22"/>
          <w:szCs w:val="22"/>
        </w:rPr>
        <w:t xml:space="preserve">9 lentelė. Placebu kontroliuojamo dapagliflozino tyrimo duomenys diabetu sergantiems pacientams, kurių </w:t>
      </w:r>
      <w:proofErr w:type="spellStart"/>
      <w:r>
        <w:rPr>
          <w:b/>
          <w:bCs/>
          <w:sz w:val="22"/>
          <w:szCs w:val="22"/>
        </w:rPr>
        <w:t>aGFG</w:t>
      </w:r>
      <w:proofErr w:type="spellEnd"/>
      <w:r>
        <w:rPr>
          <w:b/>
          <w:bCs/>
          <w:sz w:val="22"/>
          <w:szCs w:val="22"/>
        </w:rPr>
        <w:t xml:space="preserve"> nuo ≥</w:t>
      </w:r>
      <w:r w:rsidR="00FE6B02">
        <w:rPr>
          <w:b/>
          <w:bCs/>
          <w:sz w:val="22"/>
          <w:szCs w:val="22"/>
        </w:rPr>
        <w:t> </w:t>
      </w:r>
      <w:r>
        <w:rPr>
          <w:b/>
          <w:bCs/>
          <w:sz w:val="22"/>
          <w:szCs w:val="22"/>
        </w:rPr>
        <w:t>45 iki &lt;</w:t>
      </w:r>
      <w:r w:rsidR="00FE6B02">
        <w:rPr>
          <w:b/>
          <w:bCs/>
          <w:sz w:val="22"/>
          <w:szCs w:val="22"/>
        </w:rPr>
        <w:t> </w:t>
      </w:r>
      <w:r>
        <w:rPr>
          <w:b/>
          <w:bCs/>
          <w:sz w:val="22"/>
          <w:szCs w:val="22"/>
        </w:rPr>
        <w:t>60 ml/min./1,73 m</w:t>
      </w:r>
      <w:r>
        <w:rPr>
          <w:b/>
          <w:bCs/>
          <w:sz w:val="22"/>
          <w:szCs w:val="22"/>
          <w:vertAlign w:val="superscript"/>
        </w:rPr>
        <w:t>2</w:t>
      </w:r>
      <w:r>
        <w:rPr>
          <w:b/>
          <w:bCs/>
          <w:sz w:val="22"/>
          <w:szCs w:val="22"/>
        </w:rPr>
        <w:t>, po 24 savaičių</w:t>
      </w:r>
    </w:p>
    <w:p w14:paraId="783A5D7E" w14:textId="77777777" w:rsidR="00E86446" w:rsidRDefault="00345E63">
      <w:pPr>
        <w:spacing w:before="13" w:line="244" w:lineRule="auto"/>
        <w:ind w:left="5287" w:hanging="375"/>
        <w:rPr>
          <w:b/>
          <w:szCs w:val="20"/>
          <w:lang w:val="en-GB" w:eastAsia="sl-SI"/>
        </w:rPr>
      </w:pPr>
      <w:r>
        <w:rPr>
          <w:noProof/>
          <w:szCs w:val="20"/>
          <w:lang w:val="en-US" w:eastAsia="en-US"/>
        </w:rPr>
        <mc:AlternateContent>
          <mc:Choice Requires="wps">
            <w:drawing>
              <wp:anchor distT="0" distB="0" distL="0" distR="0" simplePos="0" relativeHeight="251662336" behindDoc="0" locked="0" layoutInCell="1" allowOverlap="1" wp14:anchorId="14F17E6D" wp14:editId="0F8BD359">
                <wp:simplePos x="0" y="0"/>
                <wp:positionH relativeFrom="page">
                  <wp:posOffset>877824</wp:posOffset>
                </wp:positionH>
                <wp:positionV relativeFrom="paragraph">
                  <wp:posOffset>117</wp:posOffset>
                </wp:positionV>
                <wp:extent cx="5712460" cy="184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2460" cy="18415"/>
                        </a:xfrm>
                        <a:custGeom>
                          <a:avLst/>
                          <a:gdLst/>
                          <a:ahLst/>
                          <a:cxnLst/>
                          <a:rect l="l" t="t" r="r" b="b"/>
                          <a:pathLst>
                            <a:path w="5712460" h="18415">
                              <a:moveTo>
                                <a:pt x="4236707" y="0"/>
                              </a:moveTo>
                              <a:lnTo>
                                <a:pt x="4218432" y="0"/>
                              </a:lnTo>
                              <a:lnTo>
                                <a:pt x="2566416" y="0"/>
                              </a:lnTo>
                              <a:lnTo>
                                <a:pt x="2548128" y="0"/>
                              </a:lnTo>
                              <a:lnTo>
                                <a:pt x="0" y="0"/>
                              </a:lnTo>
                              <a:lnTo>
                                <a:pt x="0" y="18288"/>
                              </a:lnTo>
                              <a:lnTo>
                                <a:pt x="2548128" y="18288"/>
                              </a:lnTo>
                              <a:lnTo>
                                <a:pt x="2566416" y="18288"/>
                              </a:lnTo>
                              <a:lnTo>
                                <a:pt x="4218432" y="18288"/>
                              </a:lnTo>
                              <a:lnTo>
                                <a:pt x="4236707" y="18288"/>
                              </a:lnTo>
                              <a:lnTo>
                                <a:pt x="4236707" y="0"/>
                              </a:lnTo>
                              <a:close/>
                            </a:path>
                            <a:path w="5712460" h="18415">
                              <a:moveTo>
                                <a:pt x="5711952" y="0"/>
                              </a:moveTo>
                              <a:lnTo>
                                <a:pt x="4236720" y="0"/>
                              </a:lnTo>
                              <a:lnTo>
                                <a:pt x="4236720" y="18288"/>
                              </a:lnTo>
                              <a:lnTo>
                                <a:pt x="5711952" y="18288"/>
                              </a:lnTo>
                              <a:lnTo>
                                <a:pt x="5711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FB16E" id="Graphic 29" o:spid="_x0000_s1026" style="position:absolute;margin-left:69.1pt;margin-top:0;width:449.8pt;height:1.4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12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" path="m4236707,r-18275,l2566416,r-18288,l,,,18288r2548128,l2566416,18288r1652016,l4236707,18288r,-18288xem5711952,l4236720,r,18288l5711952,18288r,-18288xe" fillcolor="black" stroked="f">
                <v:path arrowok="t"/>
                <w10:wrap anchorx="page"/>
              </v:shape>
            </w:pict>
          </mc:Fallback>
        </mc:AlternateContent>
      </w:r>
      <w:proofErr w:type="spellStart"/>
      <w:r>
        <w:rPr>
          <w:b/>
          <w:spacing w:val="-2"/>
          <w:sz w:val="22"/>
          <w:szCs w:val="20"/>
          <w:lang w:val="en-GB" w:eastAsia="sl-SI"/>
        </w:rPr>
        <w:t>Dapagliflozins</w:t>
      </w:r>
      <w:r>
        <w:rPr>
          <w:spacing w:val="-2"/>
          <w:sz w:val="22"/>
          <w:szCs w:val="20"/>
          <w:vertAlign w:val="superscript"/>
          <w:lang w:val="en-GB" w:eastAsia="sl-SI"/>
        </w:rPr>
        <w:t>a</w:t>
      </w:r>
      <w:proofErr w:type="spellEnd"/>
      <w:r>
        <w:rPr>
          <w:spacing w:val="-2"/>
          <w:sz w:val="22"/>
          <w:szCs w:val="20"/>
          <w:lang w:val="en-GB" w:eastAsia="sl-SI"/>
        </w:rPr>
        <w:t xml:space="preserve"> </w:t>
      </w:r>
      <w:r>
        <w:rPr>
          <w:b/>
          <w:sz w:val="22"/>
          <w:szCs w:val="20"/>
          <w:lang w:val="en-GB" w:eastAsia="sl-SI"/>
        </w:rPr>
        <w:t>10</w:t>
      </w:r>
      <w:r>
        <w:rPr>
          <w:sz w:val="22"/>
          <w:szCs w:val="20"/>
          <w:lang w:val="en-GB" w:eastAsia="sl-SI"/>
        </w:rPr>
        <w:t> </w:t>
      </w:r>
      <w:r>
        <w:rPr>
          <w:b/>
          <w:sz w:val="22"/>
          <w:szCs w:val="20"/>
          <w:lang w:val="en-GB" w:eastAsia="sl-SI"/>
        </w:rPr>
        <w:t>mg</w:t>
      </w:r>
      <w:r>
        <w:rPr>
          <w:b/>
          <w:sz w:val="22"/>
          <w:szCs w:val="20"/>
          <w:lang w:val="en-GB" w:eastAsia="sl-SI"/>
        </w:rPr>
        <w:tab/>
      </w:r>
      <w:r>
        <w:rPr>
          <w:b/>
          <w:sz w:val="22"/>
          <w:szCs w:val="20"/>
          <w:lang w:val="en-GB" w:eastAsia="sl-SI"/>
        </w:rPr>
        <w:tab/>
      </w:r>
      <w:proofErr w:type="spellStart"/>
      <w:r>
        <w:rPr>
          <w:b/>
          <w:spacing w:val="-2"/>
          <w:sz w:val="22"/>
          <w:szCs w:val="20"/>
          <w:lang w:val="en-GB" w:eastAsia="sl-SI"/>
        </w:rPr>
        <w:t>Placebas</w:t>
      </w:r>
      <w:r>
        <w:rPr>
          <w:spacing w:val="-2"/>
          <w:sz w:val="22"/>
          <w:szCs w:val="20"/>
          <w:vertAlign w:val="superscript"/>
          <w:lang w:val="en-GB" w:eastAsia="sl-SI"/>
        </w:rPr>
        <w:t>a</w:t>
      </w:r>
      <w:proofErr w:type="spellEnd"/>
    </w:p>
    <w:p w14:paraId="7221A73A" w14:textId="77777777" w:rsidR="00E86446" w:rsidRDefault="00345E63">
      <w:pPr>
        <w:numPr>
          <w:ilvl w:val="12"/>
          <w:numId w:val="0"/>
        </w:numPr>
        <w:tabs>
          <w:tab w:val="left" w:pos="8505"/>
        </w:tabs>
        <w:spacing w:line="20" w:lineRule="exact"/>
        <w:ind w:left="242" w:right="-2"/>
        <w:rPr>
          <w:sz w:val="2"/>
          <w:szCs w:val="20"/>
          <w:lang w:val="en-GB" w:eastAsia="sl-SI"/>
        </w:rPr>
      </w:pPr>
      <w:r>
        <w:rPr>
          <w:noProof/>
          <w:sz w:val="2"/>
          <w:szCs w:val="20"/>
          <w:lang w:val="en-US" w:eastAsia="en-US"/>
        </w:rPr>
        <mc:AlternateContent>
          <mc:Choice Requires="wpg">
            <w:drawing>
              <wp:inline distT="0" distB="0" distL="0" distR="0" wp14:anchorId="0237B635" wp14:editId="2E55BD90">
                <wp:extent cx="571246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2460" cy="6350"/>
                          <a:chOff x="0" y="0"/>
                          <a:chExt cx="5712460" cy="6350"/>
                        </a:xfrm>
                      </wpg:grpSpPr>
                      <wps:wsp>
                        <wps:cNvPr id="31" name="Graphic 31"/>
                        <wps:cNvSpPr/>
                        <wps:spPr>
                          <a:xfrm>
                            <a:off x="0" y="0"/>
                            <a:ext cx="5712460" cy="6350"/>
                          </a:xfrm>
                          <a:custGeom>
                            <a:avLst/>
                            <a:gdLst/>
                            <a:ahLst/>
                            <a:cxnLst/>
                            <a:rect l="l" t="t" r="r" b="b"/>
                            <a:pathLst>
                              <a:path w="5712460" h="6350">
                                <a:moveTo>
                                  <a:pt x="5711952" y="0"/>
                                </a:moveTo>
                                <a:lnTo>
                                  <a:pt x="5711952" y="0"/>
                                </a:lnTo>
                                <a:lnTo>
                                  <a:pt x="0" y="0"/>
                                </a:lnTo>
                                <a:lnTo>
                                  <a:pt x="0" y="6096"/>
                                </a:lnTo>
                                <a:lnTo>
                                  <a:pt x="5711952" y="6096"/>
                                </a:lnTo>
                                <a:lnTo>
                                  <a:pt x="57119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8AFBDD" id="Group 30" o:spid="_x0000_s1026" style="width:449.8pt;height:.5pt;mso-position-horizontal-relative:char;mso-position-vertical-relative:line" coordsize="57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">
                <v:shape id="Graphic 31" o:spid="_x0000_s1027" style="position:absolute;width:57124;height:63;visibility:visible;mso-wrap-style:square;v-text-anchor:top" coordsize="57124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" path="m5711952,r,l,,,6096r5711952,l5711952,xe" fillcolor="black" stroked="f">
                  <v:path arrowok="t"/>
                </v:shape>
                <w10:anchorlock/>
              </v:group>
            </w:pict>
          </mc:Fallback>
        </mc:AlternateContent>
      </w:r>
    </w:p>
    <w:p w14:paraId="10195109" w14:textId="77777777" w:rsidR="00E86446" w:rsidRDefault="00345E63">
      <w:pPr>
        <w:keepNext/>
        <w:tabs>
          <w:tab w:val="left" w:pos="4300"/>
          <w:tab w:val="left" w:pos="5407"/>
          <w:tab w:val="left" w:pos="5940"/>
          <w:tab w:val="left" w:pos="7898"/>
          <w:tab w:val="left" w:pos="8180"/>
        </w:tabs>
        <w:spacing w:after="5" w:line="360" w:lineRule="atLeast"/>
        <w:ind w:left="352"/>
        <w:outlineLvl w:val="1"/>
        <w:rPr>
          <w:b/>
          <w:szCs w:val="20"/>
          <w:u w:val="single"/>
          <w:lang w:val="en-GB" w:eastAsia="sl-SI"/>
        </w:rPr>
      </w:pPr>
      <w:r>
        <w:rPr>
          <w:b/>
          <w:spacing w:val="-5"/>
          <w:szCs w:val="20"/>
          <w:u w:val="single"/>
          <w:lang w:val="en-GB" w:eastAsia="sl-SI"/>
        </w:rPr>
        <w:lastRenderedPageBreak/>
        <w:t>N</w:t>
      </w:r>
      <w:r>
        <w:rPr>
          <w:b/>
          <w:spacing w:val="-5"/>
          <w:szCs w:val="20"/>
          <w:u w:val="single"/>
          <w:vertAlign w:val="superscript"/>
          <w:lang w:val="en-GB" w:eastAsia="sl-SI"/>
        </w:rPr>
        <w:t>b</w:t>
      </w:r>
      <w:r>
        <w:rPr>
          <w:b/>
          <w:szCs w:val="20"/>
          <w:u w:val="single"/>
          <w:lang w:val="en-GB" w:eastAsia="sl-SI"/>
        </w:rPr>
        <w:tab/>
      </w:r>
      <w:r>
        <w:rPr>
          <w:b/>
          <w:szCs w:val="20"/>
          <w:u w:val="single"/>
          <w:lang w:val="en-GB" w:eastAsia="sl-SI"/>
        </w:rPr>
        <w:tab/>
      </w:r>
      <w:r>
        <w:rPr>
          <w:b/>
          <w:spacing w:val="-5"/>
          <w:szCs w:val="20"/>
          <w:u w:val="single"/>
          <w:lang w:val="en-GB" w:eastAsia="sl-SI"/>
        </w:rPr>
        <w:t>159</w:t>
      </w:r>
      <w:r>
        <w:rPr>
          <w:szCs w:val="20"/>
          <w:u w:val="single"/>
          <w:lang w:val="en-GB" w:eastAsia="sl-SI"/>
        </w:rPr>
        <w:tab/>
      </w:r>
      <w:r>
        <w:rPr>
          <w:szCs w:val="20"/>
          <w:u w:val="single"/>
          <w:lang w:val="en-GB" w:eastAsia="sl-SI"/>
        </w:rPr>
        <w:tab/>
      </w:r>
      <w:r>
        <w:rPr>
          <w:b/>
          <w:spacing w:val="-5"/>
          <w:szCs w:val="20"/>
          <w:u w:val="single"/>
          <w:lang w:val="en-GB" w:eastAsia="sl-SI"/>
        </w:rPr>
        <w:t>161</w:t>
      </w:r>
    </w:p>
    <w:tbl>
      <w:tblPr>
        <w:tblStyle w:val="TableNormal1"/>
        <w:tblW w:w="0" w:type="auto"/>
        <w:tblInd w:w="249" w:type="dxa"/>
        <w:tblLayout w:type="fixed"/>
        <w:tblLook w:val="01E0" w:firstRow="1" w:lastRow="1" w:firstColumn="1" w:lastColumn="1" w:noHBand="0" w:noVBand="0"/>
      </w:tblPr>
      <w:tblGrid>
        <w:gridCol w:w="3936"/>
        <w:gridCol w:w="2810"/>
        <w:gridCol w:w="2248"/>
      </w:tblGrid>
      <w:tr w:rsidR="00E86446" w14:paraId="7CE36D35" w14:textId="77777777">
        <w:trPr>
          <w:trHeight w:val="494"/>
        </w:trPr>
        <w:tc>
          <w:tcPr>
            <w:tcW w:w="3936" w:type="dxa"/>
            <w:tcBorders>
              <w:top w:val="single" w:sz="4" w:space="0" w:color="000000"/>
            </w:tcBorders>
          </w:tcPr>
          <w:p w14:paraId="36468E94" w14:textId="77777777" w:rsidR="00E86446" w:rsidRDefault="00345E63">
            <w:pPr>
              <w:spacing w:before="1" w:line="249" w:lineRule="exact"/>
              <w:ind w:left="110"/>
              <w:rPr>
                <w:rFonts w:eastAsia="Calibri"/>
                <w:b/>
                <w:lang w:val="en-GB" w:eastAsia="en-US"/>
              </w:rPr>
            </w:pPr>
            <w:bookmarkStart w:id="4" w:name="_Hlk199920268"/>
            <w:r>
              <w:rPr>
                <w:rFonts w:eastAsia="Calibri"/>
                <w:b/>
                <w:lang w:val="en-GB" w:eastAsia="en-US"/>
              </w:rPr>
              <w:t>HbA1c</w:t>
            </w:r>
            <w:r>
              <w:rPr>
                <w:rFonts w:eastAsia="Calibri"/>
                <w:b/>
                <w:spacing w:val="-11"/>
                <w:lang w:val="en-GB" w:eastAsia="en-US"/>
              </w:rPr>
              <w:t xml:space="preserve"> </w:t>
            </w:r>
            <w:r>
              <w:rPr>
                <w:rFonts w:eastAsia="Calibri"/>
                <w:b/>
                <w:spacing w:val="-5"/>
                <w:lang w:val="en-GB" w:eastAsia="en-US"/>
              </w:rPr>
              <w:t>(%)</w:t>
            </w:r>
          </w:p>
          <w:p w14:paraId="4BD8821B" w14:textId="77777777" w:rsidR="00E86446" w:rsidRDefault="00345E63">
            <w:pPr>
              <w:spacing w:line="225" w:lineRule="exact"/>
              <w:ind w:left="110"/>
              <w:rPr>
                <w:rFonts w:eastAsia="Calibri"/>
                <w:lang w:val="en-GB" w:eastAsia="en-US"/>
              </w:rPr>
            </w:pPr>
            <w:proofErr w:type="spellStart"/>
            <w:r>
              <w:rPr>
                <w:rFonts w:eastAsia="Calibri"/>
                <w:lang w:val="en-GB" w:eastAsia="en-US"/>
              </w:rPr>
              <w:t>Pradinė</w:t>
            </w:r>
            <w:proofErr w:type="spellEnd"/>
            <w:r>
              <w:rPr>
                <w:rFonts w:eastAsia="Calibri"/>
                <w:spacing w:val="-8"/>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810" w:type="dxa"/>
            <w:tcBorders>
              <w:top w:val="single" w:sz="4" w:space="0" w:color="000000"/>
            </w:tcBorders>
          </w:tcPr>
          <w:p w14:paraId="4C042471" w14:textId="77777777" w:rsidR="00E86446" w:rsidRDefault="00345E63">
            <w:pPr>
              <w:spacing w:before="245" w:line="229" w:lineRule="exact"/>
              <w:ind w:left="141" w:right="18"/>
              <w:jc w:val="center"/>
              <w:rPr>
                <w:rFonts w:eastAsia="Calibri"/>
                <w:lang w:val="en-GB" w:eastAsia="en-US"/>
              </w:rPr>
            </w:pPr>
            <w:r>
              <w:rPr>
                <w:rFonts w:eastAsia="Calibri"/>
                <w:spacing w:val="-4"/>
                <w:lang w:val="en-GB" w:eastAsia="en-US"/>
              </w:rPr>
              <w:t>8,35</w:t>
            </w:r>
          </w:p>
        </w:tc>
        <w:tc>
          <w:tcPr>
            <w:tcW w:w="2248" w:type="dxa"/>
            <w:tcBorders>
              <w:top w:val="single" w:sz="4" w:space="0" w:color="000000"/>
            </w:tcBorders>
          </w:tcPr>
          <w:p w14:paraId="55F6ECB3" w14:textId="77777777" w:rsidR="00E86446" w:rsidRDefault="00345E63">
            <w:pPr>
              <w:spacing w:before="245" w:line="229" w:lineRule="exact"/>
              <w:ind w:left="881"/>
              <w:rPr>
                <w:rFonts w:eastAsia="Calibri"/>
                <w:lang w:val="en-GB" w:eastAsia="en-US"/>
              </w:rPr>
            </w:pPr>
            <w:r>
              <w:rPr>
                <w:rFonts w:eastAsia="Calibri"/>
                <w:spacing w:val="-4"/>
                <w:lang w:val="en-GB" w:eastAsia="en-US"/>
              </w:rPr>
              <w:t>8,03</w:t>
            </w:r>
          </w:p>
        </w:tc>
      </w:tr>
      <w:tr w:rsidR="00E86446" w14:paraId="08F63B1B" w14:textId="77777777">
        <w:trPr>
          <w:trHeight w:val="518"/>
        </w:trPr>
        <w:tc>
          <w:tcPr>
            <w:tcW w:w="3936" w:type="dxa"/>
          </w:tcPr>
          <w:p w14:paraId="3BE196D2" w14:textId="77777777" w:rsidR="00E86446" w:rsidRDefault="00345E63">
            <w:pPr>
              <w:spacing w:line="250" w:lineRule="atLeast"/>
              <w:ind w:left="110" w:right="905"/>
              <w:rPr>
                <w:rFonts w:eastAsia="Calibri"/>
                <w:lang w:val="en-GB" w:eastAsia="en-US"/>
              </w:rPr>
            </w:pPr>
            <w:proofErr w:type="spellStart"/>
            <w:r>
              <w:rPr>
                <w:rFonts w:eastAsia="Calibri"/>
                <w:lang w:val="en-GB" w:eastAsia="en-US"/>
              </w:rPr>
              <w:t>Pokytis</w:t>
            </w:r>
            <w:proofErr w:type="spellEnd"/>
            <w:r>
              <w:rPr>
                <w:rFonts w:eastAsia="Calibri"/>
                <w:lang w:val="en-GB" w:eastAsia="en-US"/>
              </w:rPr>
              <w:t xml:space="preserve"> </w:t>
            </w:r>
            <w:proofErr w:type="spellStart"/>
            <w:r>
              <w:rPr>
                <w:rFonts w:eastAsia="Calibri"/>
                <w:lang w:val="en-GB" w:eastAsia="en-US"/>
              </w:rPr>
              <w:t>palyginus</w:t>
            </w:r>
            <w:proofErr w:type="spellEnd"/>
            <w:r>
              <w:rPr>
                <w:rFonts w:eastAsia="Calibri"/>
                <w:lang w:val="en-GB" w:eastAsia="en-US"/>
              </w:rPr>
              <w:t xml:space="preserve"> </w:t>
            </w:r>
            <w:proofErr w:type="spellStart"/>
            <w:r>
              <w:rPr>
                <w:rFonts w:eastAsia="Calibri"/>
                <w:lang w:val="en-GB" w:eastAsia="en-US"/>
              </w:rPr>
              <w:t>su</w:t>
            </w:r>
            <w:proofErr w:type="spellEnd"/>
            <w:r>
              <w:rPr>
                <w:rFonts w:eastAsia="Calibri"/>
                <w:lang w:val="en-GB" w:eastAsia="en-US"/>
              </w:rPr>
              <w:t xml:space="preserve"> </w:t>
            </w:r>
            <w:proofErr w:type="spellStart"/>
            <w:r>
              <w:rPr>
                <w:rFonts w:eastAsia="Calibri"/>
                <w:lang w:val="en-GB" w:eastAsia="en-US"/>
              </w:rPr>
              <w:t>pradine</w:t>
            </w:r>
            <w:r>
              <w:rPr>
                <w:rFonts w:eastAsia="Calibri"/>
                <w:vertAlign w:val="superscript"/>
                <w:lang w:val="en-GB" w:eastAsia="en-US"/>
              </w:rPr>
              <w:t>b</w:t>
            </w:r>
            <w:proofErr w:type="spellEnd"/>
            <w:r>
              <w:rPr>
                <w:rFonts w:eastAsia="Calibri"/>
                <w:lang w:val="en-GB" w:eastAsia="en-US"/>
              </w:rPr>
              <w:t xml:space="preserve"> </w:t>
            </w:r>
            <w:proofErr w:type="spellStart"/>
            <w:r>
              <w:rPr>
                <w:rFonts w:eastAsia="Calibri"/>
                <w:lang w:val="en-GB" w:eastAsia="en-US"/>
              </w:rPr>
              <w:t>Skirtumas</w:t>
            </w:r>
            <w:proofErr w:type="spellEnd"/>
            <w:r>
              <w:rPr>
                <w:rFonts w:eastAsia="Calibri"/>
                <w:lang w:val="en-GB" w:eastAsia="en-US"/>
              </w:rPr>
              <w:t xml:space="preserve"> </w:t>
            </w:r>
            <w:proofErr w:type="spellStart"/>
            <w:r>
              <w:rPr>
                <w:rFonts w:eastAsia="Calibri"/>
                <w:lang w:val="en-GB" w:eastAsia="en-US"/>
              </w:rPr>
              <w:t>nuo</w:t>
            </w:r>
            <w:proofErr w:type="spellEnd"/>
            <w:r>
              <w:rPr>
                <w:rFonts w:eastAsia="Calibri"/>
                <w:lang w:val="en-GB" w:eastAsia="en-US"/>
              </w:rPr>
              <w:t xml:space="preserve"> </w:t>
            </w:r>
            <w:proofErr w:type="spellStart"/>
            <w:r>
              <w:rPr>
                <w:rFonts w:eastAsia="Calibri"/>
                <w:lang w:val="en-GB" w:eastAsia="en-US"/>
              </w:rPr>
              <w:t>placebo</w:t>
            </w:r>
            <w:r>
              <w:rPr>
                <w:rFonts w:eastAsia="Calibri"/>
                <w:vertAlign w:val="superscript"/>
                <w:lang w:val="en-GB" w:eastAsia="en-US"/>
              </w:rPr>
              <w:t>b</w:t>
            </w:r>
            <w:proofErr w:type="spellEnd"/>
          </w:p>
        </w:tc>
        <w:tc>
          <w:tcPr>
            <w:tcW w:w="2810" w:type="dxa"/>
          </w:tcPr>
          <w:p w14:paraId="5863C6D6" w14:textId="77777777" w:rsidR="00E86446" w:rsidRDefault="00345E63">
            <w:pPr>
              <w:spacing w:before="5"/>
              <w:ind w:left="1166"/>
              <w:rPr>
                <w:rFonts w:eastAsia="Calibri"/>
                <w:lang w:val="en-GB" w:eastAsia="en-US"/>
              </w:rPr>
            </w:pPr>
            <w:r>
              <w:rPr>
                <w:rFonts w:eastAsia="Calibri"/>
                <w:spacing w:val="-2"/>
                <w:lang w:val="en-GB" w:eastAsia="en-US"/>
              </w:rPr>
              <w:t>-</w:t>
            </w:r>
            <w:r>
              <w:rPr>
                <w:rFonts w:eastAsia="Calibri"/>
                <w:spacing w:val="-4"/>
                <w:lang w:val="en-GB" w:eastAsia="en-US"/>
              </w:rPr>
              <w:t>0,37</w:t>
            </w:r>
          </w:p>
          <w:p w14:paraId="06CFE3B3" w14:textId="77777777" w:rsidR="00E86446" w:rsidRDefault="00345E63">
            <w:pPr>
              <w:spacing w:before="2" w:line="238" w:lineRule="exact"/>
              <w:ind w:left="1180"/>
              <w:rPr>
                <w:rFonts w:eastAsia="Calibri"/>
                <w:lang w:val="en-GB" w:eastAsia="en-US"/>
              </w:rPr>
            </w:pPr>
            <w:r>
              <w:rPr>
                <w:rFonts w:eastAsia="Calibri"/>
                <w:spacing w:val="-2"/>
                <w:lang w:val="en-GB" w:eastAsia="en-US"/>
              </w:rPr>
              <w:t>-0,34*</w:t>
            </w:r>
          </w:p>
        </w:tc>
        <w:tc>
          <w:tcPr>
            <w:tcW w:w="2248" w:type="dxa"/>
          </w:tcPr>
          <w:p w14:paraId="705F0957" w14:textId="77777777" w:rsidR="00E86446" w:rsidRDefault="00345E63">
            <w:pPr>
              <w:spacing w:before="5"/>
              <w:ind w:left="847"/>
              <w:rPr>
                <w:rFonts w:eastAsia="Calibri"/>
                <w:lang w:val="en-GB" w:eastAsia="en-US"/>
              </w:rPr>
            </w:pPr>
            <w:r>
              <w:rPr>
                <w:rFonts w:eastAsia="Calibri"/>
                <w:spacing w:val="-2"/>
                <w:lang w:val="en-GB" w:eastAsia="en-US"/>
              </w:rPr>
              <w:t>-</w:t>
            </w:r>
            <w:r>
              <w:rPr>
                <w:rFonts w:eastAsia="Calibri"/>
                <w:spacing w:val="-4"/>
                <w:lang w:val="en-GB" w:eastAsia="en-US"/>
              </w:rPr>
              <w:t>0,03</w:t>
            </w:r>
          </w:p>
        </w:tc>
      </w:tr>
      <w:tr w:rsidR="00E86446" w14:paraId="6542ACA5" w14:textId="77777777">
        <w:trPr>
          <w:trHeight w:val="254"/>
        </w:trPr>
        <w:tc>
          <w:tcPr>
            <w:tcW w:w="3936" w:type="dxa"/>
            <w:tcBorders>
              <w:bottom w:val="single" w:sz="4" w:space="0" w:color="000000"/>
            </w:tcBorders>
          </w:tcPr>
          <w:p w14:paraId="69462EE2" w14:textId="77777777" w:rsidR="00E86446" w:rsidRDefault="00345E63">
            <w:pPr>
              <w:spacing w:line="234" w:lineRule="exact"/>
              <w:ind w:left="335"/>
              <w:rPr>
                <w:rFonts w:eastAsia="Calibri"/>
                <w:lang w:val="en-GB" w:eastAsia="en-US"/>
              </w:rPr>
            </w:pPr>
            <w:r>
              <w:rPr>
                <w:rFonts w:eastAsia="Calibri"/>
                <w:lang w:val="en-GB" w:eastAsia="en-US"/>
              </w:rPr>
              <w:t>(95 %</w:t>
            </w:r>
            <w:r>
              <w:rPr>
                <w:rFonts w:eastAsia="Calibri"/>
                <w:spacing w:val="-5"/>
                <w:lang w:val="en-GB" w:eastAsia="en-US"/>
              </w:rPr>
              <w:t xml:space="preserve"> PI)</w:t>
            </w:r>
          </w:p>
        </w:tc>
        <w:tc>
          <w:tcPr>
            <w:tcW w:w="2810" w:type="dxa"/>
            <w:tcBorders>
              <w:bottom w:val="single" w:sz="4" w:space="0" w:color="000000"/>
            </w:tcBorders>
          </w:tcPr>
          <w:p w14:paraId="44817728" w14:textId="77777777" w:rsidR="00E86446" w:rsidRDefault="00345E63">
            <w:pPr>
              <w:spacing w:line="234" w:lineRule="exact"/>
              <w:ind w:left="806"/>
              <w:rPr>
                <w:rFonts w:eastAsia="Calibri"/>
                <w:lang w:val="en-GB" w:eastAsia="en-US"/>
              </w:rPr>
            </w:pPr>
            <w:r>
              <w:rPr>
                <w:rFonts w:eastAsia="Calibri"/>
                <w:lang w:val="en-GB" w:eastAsia="en-US"/>
              </w:rPr>
              <w:t>(-0,53,</w:t>
            </w:r>
            <w:r>
              <w:rPr>
                <w:rFonts w:eastAsia="Calibri"/>
                <w:spacing w:val="-3"/>
                <w:lang w:val="en-GB" w:eastAsia="en-US"/>
              </w:rPr>
              <w:t xml:space="preserve"> </w:t>
            </w:r>
            <w:r>
              <w:rPr>
                <w:rFonts w:eastAsia="Calibri"/>
                <w:lang w:val="en-GB" w:eastAsia="en-US"/>
              </w:rPr>
              <w:t>-</w:t>
            </w:r>
            <w:r>
              <w:rPr>
                <w:rFonts w:eastAsia="Calibri"/>
                <w:spacing w:val="-2"/>
                <w:lang w:val="en-GB" w:eastAsia="en-US"/>
              </w:rPr>
              <w:t>0,15)</w:t>
            </w:r>
          </w:p>
        </w:tc>
        <w:tc>
          <w:tcPr>
            <w:tcW w:w="2248" w:type="dxa"/>
            <w:tcBorders>
              <w:bottom w:val="single" w:sz="4" w:space="0" w:color="000000"/>
            </w:tcBorders>
          </w:tcPr>
          <w:p w14:paraId="35C51851" w14:textId="77777777" w:rsidR="00E86446" w:rsidRDefault="00E86446">
            <w:pPr>
              <w:rPr>
                <w:rFonts w:eastAsia="Calibri"/>
                <w:sz w:val="18"/>
                <w:lang w:val="en-GB" w:eastAsia="en-US"/>
              </w:rPr>
            </w:pPr>
          </w:p>
        </w:tc>
      </w:tr>
      <w:tr w:rsidR="00E86446" w14:paraId="52F7E7C7" w14:textId="77777777">
        <w:trPr>
          <w:trHeight w:val="251"/>
        </w:trPr>
        <w:tc>
          <w:tcPr>
            <w:tcW w:w="3936" w:type="dxa"/>
            <w:tcBorders>
              <w:top w:val="single" w:sz="4" w:space="0" w:color="000000"/>
            </w:tcBorders>
          </w:tcPr>
          <w:p w14:paraId="49E6323F" w14:textId="37C478F9" w:rsidR="00E86446" w:rsidRDefault="00345E63">
            <w:pPr>
              <w:spacing w:line="232" w:lineRule="exact"/>
              <w:ind w:left="110"/>
              <w:rPr>
                <w:rFonts w:eastAsia="Calibri"/>
                <w:b/>
                <w:lang w:val="en-GB" w:eastAsia="en-US"/>
              </w:rPr>
            </w:pPr>
            <w:proofErr w:type="spellStart"/>
            <w:r>
              <w:rPr>
                <w:rFonts w:eastAsia="Calibri"/>
                <w:b/>
                <w:lang w:val="en-GB" w:eastAsia="en-US"/>
              </w:rPr>
              <w:t>K</w:t>
            </w:r>
            <w:r w:rsidR="00794E67">
              <w:rPr>
                <w:rFonts w:eastAsia="Calibri"/>
                <w:b/>
                <w:lang w:val="en-GB" w:eastAsia="en-US"/>
              </w:rPr>
              <w:t>ū</w:t>
            </w:r>
            <w:r>
              <w:rPr>
                <w:rFonts w:eastAsia="Calibri"/>
                <w:b/>
                <w:lang w:val="en-GB" w:eastAsia="en-US"/>
              </w:rPr>
              <w:t>no</w:t>
            </w:r>
            <w:proofErr w:type="spellEnd"/>
            <w:r>
              <w:rPr>
                <w:rFonts w:eastAsia="Calibri"/>
                <w:b/>
                <w:lang w:val="en-GB" w:eastAsia="en-US"/>
              </w:rPr>
              <w:t xml:space="preserve"> </w:t>
            </w:r>
            <w:proofErr w:type="spellStart"/>
            <w:r>
              <w:rPr>
                <w:rFonts w:eastAsia="Calibri"/>
                <w:b/>
                <w:lang w:val="en-GB" w:eastAsia="en-US"/>
              </w:rPr>
              <w:t>svoris</w:t>
            </w:r>
            <w:proofErr w:type="spellEnd"/>
            <w:r>
              <w:rPr>
                <w:rFonts w:eastAsia="Calibri"/>
                <w:b/>
                <w:spacing w:val="-5"/>
                <w:lang w:val="en-GB" w:eastAsia="en-US"/>
              </w:rPr>
              <w:t xml:space="preserve"> </w:t>
            </w:r>
            <w:r>
              <w:rPr>
                <w:rFonts w:eastAsia="Calibri"/>
                <w:b/>
                <w:spacing w:val="-4"/>
                <w:lang w:val="en-GB" w:eastAsia="en-US"/>
              </w:rPr>
              <w:t>(kg)</w:t>
            </w:r>
          </w:p>
        </w:tc>
        <w:tc>
          <w:tcPr>
            <w:tcW w:w="2810" w:type="dxa"/>
            <w:tcBorders>
              <w:top w:val="single" w:sz="4" w:space="0" w:color="000000"/>
            </w:tcBorders>
          </w:tcPr>
          <w:p w14:paraId="1F2281D7" w14:textId="77777777" w:rsidR="00E86446" w:rsidRDefault="00E86446">
            <w:pPr>
              <w:rPr>
                <w:rFonts w:eastAsia="Calibri"/>
                <w:sz w:val="18"/>
                <w:lang w:val="en-GB" w:eastAsia="en-US"/>
              </w:rPr>
            </w:pPr>
          </w:p>
        </w:tc>
        <w:tc>
          <w:tcPr>
            <w:tcW w:w="2248" w:type="dxa"/>
            <w:tcBorders>
              <w:top w:val="single" w:sz="4" w:space="0" w:color="000000"/>
            </w:tcBorders>
          </w:tcPr>
          <w:p w14:paraId="09DBDE9D" w14:textId="77777777" w:rsidR="00E86446" w:rsidRDefault="00E86446">
            <w:pPr>
              <w:rPr>
                <w:rFonts w:eastAsia="Calibri"/>
                <w:sz w:val="18"/>
                <w:lang w:val="en-GB" w:eastAsia="en-US"/>
              </w:rPr>
            </w:pPr>
          </w:p>
        </w:tc>
      </w:tr>
      <w:tr w:rsidR="00E86446" w14:paraId="34D8E971" w14:textId="77777777">
        <w:trPr>
          <w:trHeight w:val="242"/>
        </w:trPr>
        <w:tc>
          <w:tcPr>
            <w:tcW w:w="3936" w:type="dxa"/>
          </w:tcPr>
          <w:p w14:paraId="0B83A6B8" w14:textId="77777777" w:rsidR="00E86446" w:rsidRDefault="00345E63">
            <w:pPr>
              <w:spacing w:line="223" w:lineRule="exact"/>
              <w:ind w:left="110"/>
              <w:rPr>
                <w:rFonts w:eastAsia="Calibri"/>
                <w:lang w:val="en-GB" w:eastAsia="en-US"/>
              </w:rPr>
            </w:pPr>
            <w:proofErr w:type="spellStart"/>
            <w:r>
              <w:rPr>
                <w:rFonts w:eastAsia="Calibri"/>
                <w:lang w:val="en-GB" w:eastAsia="en-US"/>
              </w:rPr>
              <w:t>Pradinis</w:t>
            </w:r>
            <w:proofErr w:type="spellEnd"/>
            <w:r>
              <w:rPr>
                <w:rFonts w:eastAsia="Calibri"/>
                <w:spacing w:val="-9"/>
                <w:lang w:val="en-GB" w:eastAsia="en-US"/>
              </w:rPr>
              <w:t xml:space="preserve"> </w:t>
            </w:r>
            <w:r>
              <w:rPr>
                <w:rFonts w:eastAsia="Calibri"/>
                <w:spacing w:val="-2"/>
                <w:lang w:val="en-GB" w:eastAsia="en-US"/>
              </w:rPr>
              <w:t>(</w:t>
            </w:r>
            <w:proofErr w:type="spellStart"/>
            <w:r>
              <w:rPr>
                <w:rFonts w:eastAsia="Calibri"/>
                <w:spacing w:val="-2"/>
                <w:lang w:val="en-GB" w:eastAsia="en-US"/>
              </w:rPr>
              <w:t>vidurkis</w:t>
            </w:r>
            <w:proofErr w:type="spellEnd"/>
            <w:r>
              <w:rPr>
                <w:rFonts w:eastAsia="Calibri"/>
                <w:spacing w:val="-2"/>
                <w:lang w:val="en-GB" w:eastAsia="en-US"/>
              </w:rPr>
              <w:t>)</w:t>
            </w:r>
          </w:p>
        </w:tc>
        <w:tc>
          <w:tcPr>
            <w:tcW w:w="2810" w:type="dxa"/>
          </w:tcPr>
          <w:p w14:paraId="549FAA1F" w14:textId="77777777" w:rsidR="00E86446" w:rsidRDefault="00345E63">
            <w:pPr>
              <w:spacing w:line="223" w:lineRule="exact"/>
              <w:ind w:left="123" w:right="136"/>
              <w:jc w:val="center"/>
              <w:rPr>
                <w:rFonts w:eastAsia="Calibri"/>
                <w:lang w:val="en-GB" w:eastAsia="en-US"/>
              </w:rPr>
            </w:pPr>
            <w:r>
              <w:rPr>
                <w:rFonts w:eastAsia="Calibri"/>
                <w:spacing w:val="-2"/>
                <w:lang w:val="en-GB" w:eastAsia="en-US"/>
              </w:rPr>
              <w:t>92,51</w:t>
            </w:r>
          </w:p>
        </w:tc>
        <w:tc>
          <w:tcPr>
            <w:tcW w:w="2248" w:type="dxa"/>
          </w:tcPr>
          <w:p w14:paraId="0C4E59D5" w14:textId="77777777" w:rsidR="00E86446" w:rsidRDefault="00345E63">
            <w:pPr>
              <w:spacing w:line="223" w:lineRule="exact"/>
              <w:ind w:left="828"/>
              <w:rPr>
                <w:rFonts w:eastAsia="Calibri"/>
                <w:lang w:val="en-GB" w:eastAsia="en-US"/>
              </w:rPr>
            </w:pPr>
            <w:r>
              <w:rPr>
                <w:rFonts w:eastAsia="Calibri"/>
                <w:spacing w:val="-2"/>
                <w:lang w:val="en-GB" w:eastAsia="en-US"/>
              </w:rPr>
              <w:t>88,30</w:t>
            </w:r>
          </w:p>
        </w:tc>
      </w:tr>
      <w:tr w:rsidR="00E86446" w14:paraId="671B9CAA" w14:textId="77777777">
        <w:trPr>
          <w:trHeight w:val="261"/>
        </w:trPr>
        <w:tc>
          <w:tcPr>
            <w:tcW w:w="3936" w:type="dxa"/>
          </w:tcPr>
          <w:p w14:paraId="00805C36" w14:textId="77777777" w:rsidR="00E86446" w:rsidRDefault="00345E63">
            <w:pPr>
              <w:spacing w:before="5" w:line="236" w:lineRule="exact"/>
              <w:ind w:left="110"/>
              <w:rPr>
                <w:rFonts w:eastAsia="Calibri"/>
                <w:lang w:val="en-GB" w:eastAsia="en-US"/>
              </w:rPr>
            </w:pPr>
            <w:proofErr w:type="spellStart"/>
            <w:r>
              <w:rPr>
                <w:rFonts w:eastAsia="Calibri"/>
                <w:lang w:val="en-GB" w:eastAsia="en-US"/>
              </w:rPr>
              <w:t>Pokytis</w:t>
            </w:r>
            <w:proofErr w:type="spellEnd"/>
            <w:r>
              <w:rPr>
                <w:rFonts w:eastAsia="Calibri"/>
                <w:lang w:val="en-GB" w:eastAsia="en-US"/>
              </w:rPr>
              <w:t xml:space="preserve"> </w:t>
            </w:r>
            <w:proofErr w:type="spellStart"/>
            <w:r>
              <w:rPr>
                <w:rFonts w:eastAsia="Calibri"/>
                <w:lang w:val="en-GB" w:eastAsia="en-US"/>
              </w:rPr>
              <w:t>palyginus</w:t>
            </w:r>
            <w:proofErr w:type="spellEnd"/>
            <w:r>
              <w:rPr>
                <w:rFonts w:eastAsia="Calibri"/>
                <w:lang w:val="en-GB" w:eastAsia="en-US"/>
              </w:rPr>
              <w:t xml:space="preserve"> </w:t>
            </w:r>
            <w:proofErr w:type="spellStart"/>
            <w:r>
              <w:rPr>
                <w:rFonts w:eastAsia="Calibri"/>
                <w:lang w:val="en-GB" w:eastAsia="en-US"/>
              </w:rPr>
              <w:t>su</w:t>
            </w:r>
            <w:proofErr w:type="spellEnd"/>
            <w:r>
              <w:rPr>
                <w:rFonts w:eastAsia="Calibri"/>
                <w:lang w:val="en-GB" w:eastAsia="en-US"/>
              </w:rPr>
              <w:t xml:space="preserve"> </w:t>
            </w:r>
            <w:proofErr w:type="spellStart"/>
            <w:r>
              <w:rPr>
                <w:rFonts w:eastAsia="Calibri"/>
                <w:lang w:val="en-GB" w:eastAsia="en-US"/>
              </w:rPr>
              <w:t>pradiniu</w:t>
            </w:r>
            <w:r>
              <w:rPr>
                <w:rFonts w:eastAsia="Calibri"/>
                <w:spacing w:val="-2"/>
                <w:vertAlign w:val="superscript"/>
                <w:lang w:val="en-GB" w:eastAsia="en-US"/>
              </w:rPr>
              <w:t>c</w:t>
            </w:r>
            <w:proofErr w:type="spellEnd"/>
          </w:p>
        </w:tc>
        <w:tc>
          <w:tcPr>
            <w:tcW w:w="2810" w:type="dxa"/>
          </w:tcPr>
          <w:p w14:paraId="575E3405" w14:textId="77777777" w:rsidR="00E86446" w:rsidRDefault="00345E63">
            <w:pPr>
              <w:spacing w:before="5" w:line="236" w:lineRule="exact"/>
              <w:ind w:left="123" w:right="136"/>
              <w:jc w:val="center"/>
              <w:rPr>
                <w:rFonts w:eastAsia="Calibri"/>
                <w:lang w:val="en-GB" w:eastAsia="en-US"/>
              </w:rPr>
            </w:pPr>
            <w:r>
              <w:rPr>
                <w:rFonts w:eastAsia="Calibri"/>
                <w:spacing w:val="-2"/>
                <w:lang w:val="en-GB" w:eastAsia="en-US"/>
              </w:rPr>
              <w:t>-</w:t>
            </w:r>
            <w:r>
              <w:rPr>
                <w:rFonts w:eastAsia="Calibri"/>
                <w:spacing w:val="-4"/>
                <w:lang w:val="en-GB" w:eastAsia="en-US"/>
              </w:rPr>
              <w:t>3,42</w:t>
            </w:r>
          </w:p>
        </w:tc>
        <w:tc>
          <w:tcPr>
            <w:tcW w:w="2248" w:type="dxa"/>
          </w:tcPr>
          <w:p w14:paraId="53FE8AB1" w14:textId="77777777" w:rsidR="00E86446" w:rsidRDefault="00345E63">
            <w:pPr>
              <w:spacing w:before="5" w:line="236" w:lineRule="exact"/>
              <w:ind w:left="847"/>
              <w:rPr>
                <w:rFonts w:eastAsia="Calibri"/>
                <w:lang w:val="en-GB" w:eastAsia="en-US"/>
              </w:rPr>
            </w:pPr>
            <w:r>
              <w:rPr>
                <w:rFonts w:eastAsia="Calibri"/>
                <w:spacing w:val="-2"/>
                <w:lang w:val="en-GB" w:eastAsia="en-US"/>
              </w:rPr>
              <w:t>-</w:t>
            </w:r>
            <w:r>
              <w:rPr>
                <w:rFonts w:eastAsia="Calibri"/>
                <w:spacing w:val="-4"/>
                <w:lang w:val="en-GB" w:eastAsia="en-US"/>
              </w:rPr>
              <w:t>2,02</w:t>
            </w:r>
          </w:p>
        </w:tc>
      </w:tr>
      <w:tr w:rsidR="00E86446" w14:paraId="3B466537" w14:textId="77777777">
        <w:trPr>
          <w:trHeight w:val="506"/>
        </w:trPr>
        <w:tc>
          <w:tcPr>
            <w:tcW w:w="3936" w:type="dxa"/>
          </w:tcPr>
          <w:p w14:paraId="295602F8" w14:textId="77777777" w:rsidR="00E86446" w:rsidRPr="0073443F" w:rsidRDefault="00345E63">
            <w:pPr>
              <w:spacing w:line="247" w:lineRule="exact"/>
              <w:ind w:left="110"/>
              <w:rPr>
                <w:rFonts w:eastAsia="Calibri"/>
                <w:lang w:val="pt-PT" w:eastAsia="en-US"/>
              </w:rPr>
            </w:pPr>
            <w:r w:rsidRPr="0073443F">
              <w:rPr>
                <w:rFonts w:eastAsia="Calibri"/>
                <w:lang w:val="pt-PT" w:eastAsia="en-US"/>
              </w:rPr>
              <w:t>Procentinio pokyčio skirtumas nuo</w:t>
            </w:r>
          </w:p>
          <w:p w14:paraId="63BCBC6F" w14:textId="77777777" w:rsidR="00E86446" w:rsidRPr="0073443F" w:rsidRDefault="00345E63">
            <w:pPr>
              <w:spacing w:before="1" w:line="238" w:lineRule="exact"/>
              <w:ind w:left="143"/>
              <w:rPr>
                <w:rFonts w:eastAsia="Calibri"/>
                <w:lang w:val="pt-PT" w:eastAsia="en-US"/>
              </w:rPr>
            </w:pPr>
            <w:r w:rsidRPr="0073443F">
              <w:rPr>
                <w:rFonts w:eastAsia="Calibri"/>
                <w:spacing w:val="-2"/>
                <w:lang w:val="pt-PT" w:eastAsia="en-US"/>
              </w:rPr>
              <w:t>placebo</w:t>
            </w:r>
            <w:r w:rsidRPr="0073443F">
              <w:rPr>
                <w:rFonts w:eastAsia="Calibri"/>
                <w:spacing w:val="-2"/>
                <w:vertAlign w:val="superscript"/>
                <w:lang w:val="pt-PT" w:eastAsia="en-US"/>
              </w:rPr>
              <w:t>c</w:t>
            </w:r>
          </w:p>
        </w:tc>
        <w:tc>
          <w:tcPr>
            <w:tcW w:w="2810" w:type="dxa"/>
          </w:tcPr>
          <w:p w14:paraId="5A95CE15" w14:textId="77777777" w:rsidR="00E86446" w:rsidRDefault="00345E63">
            <w:pPr>
              <w:spacing w:line="247" w:lineRule="exact"/>
              <w:ind w:left="123" w:right="141"/>
              <w:jc w:val="center"/>
              <w:rPr>
                <w:rFonts w:eastAsia="Calibri"/>
                <w:lang w:val="en-GB" w:eastAsia="en-US"/>
              </w:rPr>
            </w:pPr>
            <w:r>
              <w:rPr>
                <w:rFonts w:eastAsia="Calibri"/>
                <w:spacing w:val="-2"/>
                <w:lang w:val="en-GB" w:eastAsia="en-US"/>
              </w:rPr>
              <w:t>-1,43*</w:t>
            </w:r>
          </w:p>
        </w:tc>
        <w:tc>
          <w:tcPr>
            <w:tcW w:w="2248" w:type="dxa"/>
          </w:tcPr>
          <w:p w14:paraId="400FDAB7" w14:textId="77777777" w:rsidR="00E86446" w:rsidRDefault="00E86446">
            <w:pPr>
              <w:rPr>
                <w:rFonts w:eastAsia="Calibri"/>
                <w:sz w:val="20"/>
                <w:lang w:val="en-GB" w:eastAsia="en-US"/>
              </w:rPr>
            </w:pPr>
          </w:p>
        </w:tc>
      </w:tr>
      <w:tr w:rsidR="00E86446" w14:paraId="284F00A0" w14:textId="77777777">
        <w:trPr>
          <w:trHeight w:val="254"/>
        </w:trPr>
        <w:tc>
          <w:tcPr>
            <w:tcW w:w="3936" w:type="dxa"/>
            <w:tcBorders>
              <w:bottom w:val="single" w:sz="4" w:space="0" w:color="000000"/>
            </w:tcBorders>
          </w:tcPr>
          <w:p w14:paraId="16A5B471" w14:textId="77777777" w:rsidR="00E86446" w:rsidRDefault="00345E63">
            <w:pPr>
              <w:spacing w:line="234" w:lineRule="exact"/>
              <w:ind w:left="335"/>
              <w:rPr>
                <w:rFonts w:eastAsia="Calibri"/>
                <w:lang w:val="en-GB" w:eastAsia="en-US"/>
              </w:rPr>
            </w:pPr>
            <w:r>
              <w:rPr>
                <w:rFonts w:eastAsia="Calibri"/>
                <w:lang w:val="en-GB" w:eastAsia="en-US"/>
              </w:rPr>
              <w:t>(95 %</w:t>
            </w:r>
            <w:r>
              <w:rPr>
                <w:rFonts w:eastAsia="Calibri"/>
                <w:spacing w:val="-5"/>
                <w:lang w:val="en-GB" w:eastAsia="en-US"/>
              </w:rPr>
              <w:t xml:space="preserve"> PI)</w:t>
            </w:r>
          </w:p>
        </w:tc>
        <w:tc>
          <w:tcPr>
            <w:tcW w:w="2810" w:type="dxa"/>
            <w:tcBorders>
              <w:bottom w:val="single" w:sz="4" w:space="0" w:color="000000"/>
            </w:tcBorders>
          </w:tcPr>
          <w:p w14:paraId="6E081523" w14:textId="77777777" w:rsidR="00E86446" w:rsidRDefault="00345E63">
            <w:pPr>
              <w:spacing w:line="234" w:lineRule="exact"/>
              <w:ind w:left="806"/>
              <w:rPr>
                <w:rFonts w:eastAsia="Calibri"/>
                <w:lang w:val="en-GB" w:eastAsia="en-US"/>
              </w:rPr>
            </w:pPr>
            <w:r>
              <w:rPr>
                <w:rFonts w:eastAsia="Calibri"/>
                <w:lang w:val="en-GB" w:eastAsia="en-US"/>
              </w:rPr>
              <w:t>(-2,15,</w:t>
            </w:r>
            <w:r>
              <w:rPr>
                <w:rFonts w:eastAsia="Calibri"/>
                <w:spacing w:val="-3"/>
                <w:lang w:val="en-GB" w:eastAsia="en-US"/>
              </w:rPr>
              <w:t xml:space="preserve"> </w:t>
            </w:r>
            <w:r>
              <w:rPr>
                <w:rFonts w:eastAsia="Calibri"/>
                <w:lang w:val="en-GB" w:eastAsia="en-US"/>
              </w:rPr>
              <w:t>-</w:t>
            </w:r>
            <w:r>
              <w:rPr>
                <w:rFonts w:eastAsia="Calibri"/>
                <w:spacing w:val="-2"/>
                <w:lang w:val="en-GB" w:eastAsia="en-US"/>
              </w:rPr>
              <w:t>0,69)</w:t>
            </w:r>
          </w:p>
        </w:tc>
        <w:tc>
          <w:tcPr>
            <w:tcW w:w="2248" w:type="dxa"/>
            <w:tcBorders>
              <w:bottom w:val="single" w:sz="4" w:space="0" w:color="000000"/>
            </w:tcBorders>
          </w:tcPr>
          <w:p w14:paraId="471FC17F" w14:textId="77777777" w:rsidR="00E86446" w:rsidRDefault="00E86446">
            <w:pPr>
              <w:rPr>
                <w:rFonts w:eastAsia="Calibri"/>
                <w:sz w:val="18"/>
                <w:lang w:val="en-GB" w:eastAsia="en-US"/>
              </w:rPr>
            </w:pPr>
          </w:p>
        </w:tc>
      </w:tr>
    </w:tbl>
    <w:bookmarkEnd w:id="4"/>
    <w:p w14:paraId="79D7CBA5" w14:textId="777777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a</w:t>
      </w:r>
      <w:r w:rsidRPr="0073443F">
        <w:rPr>
          <w:rFonts w:eastAsiaTheme="minorHAnsi"/>
          <w:color w:val="000000"/>
          <w:sz w:val="18"/>
          <w:szCs w:val="18"/>
          <w:lang w:eastAsia="en-US"/>
        </w:rPr>
        <w:t xml:space="preserve"> Metforminas arba </w:t>
      </w:r>
      <w:proofErr w:type="spellStart"/>
      <w:r w:rsidRPr="0073443F">
        <w:rPr>
          <w:rFonts w:eastAsiaTheme="minorHAnsi"/>
          <w:color w:val="000000"/>
          <w:sz w:val="18"/>
          <w:szCs w:val="18"/>
          <w:lang w:eastAsia="en-US"/>
        </w:rPr>
        <w:t>metformino</w:t>
      </w:r>
      <w:proofErr w:type="spellEnd"/>
      <w:r w:rsidRPr="0073443F">
        <w:rPr>
          <w:rFonts w:eastAsiaTheme="minorHAnsi"/>
          <w:color w:val="000000"/>
          <w:sz w:val="18"/>
          <w:szCs w:val="18"/>
          <w:lang w:eastAsia="en-US"/>
        </w:rPr>
        <w:t xml:space="preserve"> hidrochloridas buvo įprastinio gydymo dalis 69,4 % ir 64,0 % atitinkamai dapagliflozino ir placebo grupių pacientų.</w:t>
      </w:r>
    </w:p>
    <w:p w14:paraId="66AC6AC1" w14:textId="777777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b</w:t>
      </w:r>
      <w:r w:rsidRPr="0073443F">
        <w:rPr>
          <w:rFonts w:eastAsiaTheme="minorHAnsi"/>
          <w:color w:val="000000"/>
          <w:sz w:val="18"/>
          <w:szCs w:val="18"/>
          <w:lang w:eastAsia="en-US"/>
        </w:rPr>
        <w:t xml:space="preserve"> Mažiausių kvadratų metodu apskaičiuotas vidurkis, koreguotas pagal pradinę reikšmę.</w:t>
      </w:r>
    </w:p>
    <w:p w14:paraId="7F886B04" w14:textId="7F609C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vertAlign w:val="superscript"/>
          <w:lang w:eastAsia="en-US"/>
        </w:rPr>
        <w:t>c</w:t>
      </w:r>
      <w:r w:rsidRPr="0073443F">
        <w:rPr>
          <w:rFonts w:eastAsiaTheme="minorHAnsi"/>
          <w:color w:val="000000"/>
          <w:sz w:val="18"/>
          <w:szCs w:val="18"/>
          <w:lang w:eastAsia="en-US"/>
        </w:rPr>
        <w:t xml:space="preserve"> </w:t>
      </w:r>
      <w:r w:rsidR="00C55DB7">
        <w:rPr>
          <w:rFonts w:eastAsiaTheme="minorHAnsi"/>
          <w:color w:val="000000"/>
          <w:sz w:val="18"/>
          <w:szCs w:val="18"/>
          <w:lang w:eastAsia="en-US"/>
        </w:rPr>
        <w:t>Išvestinė m</w:t>
      </w:r>
      <w:r w:rsidRPr="0073443F">
        <w:rPr>
          <w:rFonts w:eastAsiaTheme="minorHAnsi"/>
          <w:color w:val="000000"/>
          <w:sz w:val="18"/>
          <w:szCs w:val="18"/>
          <w:lang w:eastAsia="en-US"/>
        </w:rPr>
        <w:t>ažiausių kvadratų metodu apskaičiuot</w:t>
      </w:r>
      <w:r w:rsidR="00C55DB7">
        <w:rPr>
          <w:rFonts w:eastAsiaTheme="minorHAnsi"/>
          <w:color w:val="000000"/>
          <w:sz w:val="18"/>
          <w:szCs w:val="18"/>
          <w:lang w:eastAsia="en-US"/>
        </w:rPr>
        <w:t>o</w:t>
      </w:r>
      <w:r w:rsidRPr="0073443F">
        <w:rPr>
          <w:rFonts w:eastAsiaTheme="minorHAnsi"/>
          <w:color w:val="000000"/>
          <w:sz w:val="18"/>
          <w:szCs w:val="18"/>
          <w:lang w:eastAsia="en-US"/>
        </w:rPr>
        <w:t xml:space="preserve"> vidurki</w:t>
      </w:r>
      <w:r w:rsidR="00C55DB7">
        <w:rPr>
          <w:rFonts w:eastAsiaTheme="minorHAnsi"/>
          <w:color w:val="000000"/>
          <w:sz w:val="18"/>
          <w:szCs w:val="18"/>
          <w:lang w:eastAsia="en-US"/>
        </w:rPr>
        <w:t>o</w:t>
      </w:r>
      <w:r w:rsidRPr="0073443F">
        <w:rPr>
          <w:rFonts w:eastAsiaTheme="minorHAnsi"/>
          <w:color w:val="000000"/>
          <w:sz w:val="18"/>
          <w:szCs w:val="18"/>
          <w:lang w:eastAsia="en-US"/>
        </w:rPr>
        <w:t>, koreguot</w:t>
      </w:r>
      <w:r w:rsidR="00C55DB7">
        <w:rPr>
          <w:rFonts w:eastAsiaTheme="minorHAnsi"/>
          <w:color w:val="000000"/>
          <w:sz w:val="18"/>
          <w:szCs w:val="18"/>
          <w:lang w:eastAsia="en-US"/>
        </w:rPr>
        <w:t>o</w:t>
      </w:r>
      <w:r w:rsidRPr="0073443F">
        <w:rPr>
          <w:rFonts w:eastAsiaTheme="minorHAnsi"/>
          <w:color w:val="000000"/>
          <w:sz w:val="18"/>
          <w:szCs w:val="18"/>
          <w:lang w:eastAsia="en-US"/>
        </w:rPr>
        <w:t xml:space="preserve"> pagal pradinę reikšmę.</w:t>
      </w:r>
    </w:p>
    <w:p w14:paraId="2F7E70CA" w14:textId="44D83B58" w:rsidR="00E86446" w:rsidRPr="0073443F" w:rsidRDefault="00345E63">
      <w:pPr>
        <w:widowControl w:val="0"/>
        <w:tabs>
          <w:tab w:val="left" w:pos="567"/>
        </w:tabs>
        <w:ind w:left="567" w:hanging="567"/>
        <w:outlineLvl w:val="2"/>
        <w:rPr>
          <w:rFonts w:eastAsia="TimesNewRoman"/>
          <w:sz w:val="18"/>
          <w:szCs w:val="18"/>
          <w:lang w:eastAsia="en-US"/>
        </w:rPr>
      </w:pPr>
      <w:r w:rsidRPr="0073443F">
        <w:rPr>
          <w:rFonts w:eastAsiaTheme="minorHAnsi"/>
          <w:color w:val="000000"/>
          <w:sz w:val="18"/>
          <w:szCs w:val="18"/>
          <w:vertAlign w:val="superscript"/>
          <w:lang w:eastAsia="en-US"/>
        </w:rPr>
        <w:t>*</w:t>
      </w:r>
      <w:r w:rsidRPr="0073443F">
        <w:rPr>
          <w:rFonts w:eastAsiaTheme="minorHAnsi"/>
          <w:color w:val="000000"/>
          <w:sz w:val="18"/>
          <w:szCs w:val="18"/>
          <w:lang w:eastAsia="en-US"/>
        </w:rPr>
        <w:t xml:space="preserve"> p</w:t>
      </w:r>
      <w:r w:rsidR="00DD29B6">
        <w:rPr>
          <w:rFonts w:eastAsiaTheme="minorHAnsi"/>
          <w:color w:val="000000"/>
          <w:sz w:val="18"/>
          <w:szCs w:val="18"/>
          <w:lang w:eastAsia="en-US"/>
        </w:rPr>
        <w:t> </w:t>
      </w:r>
      <w:r w:rsidRPr="0073443F">
        <w:rPr>
          <w:rFonts w:eastAsiaTheme="minorHAnsi"/>
          <w:color w:val="000000"/>
          <w:sz w:val="18"/>
          <w:szCs w:val="18"/>
          <w:lang w:eastAsia="en-US"/>
        </w:rPr>
        <w:t>&lt;</w:t>
      </w:r>
      <w:r w:rsidR="00DD29B6">
        <w:rPr>
          <w:rFonts w:eastAsiaTheme="minorHAnsi"/>
          <w:color w:val="000000"/>
          <w:sz w:val="18"/>
          <w:szCs w:val="18"/>
          <w:lang w:eastAsia="en-US"/>
        </w:rPr>
        <w:t> </w:t>
      </w:r>
      <w:r w:rsidRPr="0073443F">
        <w:rPr>
          <w:rFonts w:eastAsiaTheme="minorHAnsi"/>
          <w:color w:val="000000"/>
          <w:sz w:val="18"/>
          <w:szCs w:val="18"/>
          <w:lang w:eastAsia="en-US"/>
        </w:rPr>
        <w:t>0,001</w:t>
      </w:r>
    </w:p>
    <w:p w14:paraId="20B9C46F" w14:textId="77777777" w:rsidR="00E86446" w:rsidRDefault="00E86446">
      <w:pPr>
        <w:widowControl w:val="0"/>
        <w:tabs>
          <w:tab w:val="left" w:pos="567"/>
        </w:tabs>
        <w:ind w:left="567" w:hanging="567"/>
        <w:outlineLvl w:val="2"/>
        <w:rPr>
          <w:rFonts w:eastAsia="TimesNewRoman"/>
          <w:sz w:val="22"/>
          <w:szCs w:val="22"/>
          <w:lang w:eastAsia="en-US"/>
        </w:rPr>
      </w:pPr>
    </w:p>
    <w:p w14:paraId="11B1A201"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Kardiovaskulinės ir inkstų komplikacijos</w:t>
      </w:r>
    </w:p>
    <w:p w14:paraId="66A0C55F" w14:textId="080186BA"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Dapagliflozino poveikio kardiovaskulinėms komplikacijoms (</w:t>
      </w:r>
      <w:r>
        <w:rPr>
          <w:rFonts w:eastAsiaTheme="minorHAnsi"/>
          <w:i/>
          <w:iCs/>
          <w:color w:val="000000"/>
          <w:sz w:val="22"/>
          <w:szCs w:val="22"/>
          <w:lang w:eastAsia="en-US"/>
        </w:rPr>
        <w:t>DECLARE</w:t>
      </w:r>
      <w:r>
        <w:rPr>
          <w:rFonts w:eastAsiaTheme="minorHAnsi"/>
          <w:color w:val="000000"/>
          <w:sz w:val="22"/>
          <w:szCs w:val="22"/>
          <w:lang w:eastAsia="en-US"/>
        </w:rPr>
        <w:t xml:space="preserve">) tyrimas buvo tarptautinis daugelio centrų </w:t>
      </w:r>
      <w:proofErr w:type="spellStart"/>
      <w:r>
        <w:rPr>
          <w:rFonts w:eastAsiaTheme="minorHAnsi"/>
          <w:color w:val="000000"/>
          <w:sz w:val="22"/>
          <w:szCs w:val="22"/>
          <w:lang w:eastAsia="en-US"/>
        </w:rPr>
        <w:t>randomizuotas</w:t>
      </w:r>
      <w:proofErr w:type="spellEnd"/>
      <w:r>
        <w:rPr>
          <w:rFonts w:eastAsiaTheme="minorHAnsi"/>
          <w:color w:val="000000"/>
          <w:sz w:val="22"/>
          <w:szCs w:val="22"/>
          <w:lang w:eastAsia="en-US"/>
        </w:rPr>
        <w:t xml:space="preserve"> dvigubai aklas placebu kontroliuotas klinikinis tyrimas, skirtas palyginti kartu su kitais vaistiniais preparatais papildomai vartojamo dapagliflozino ir placebo įtaką kardiovaskulinėms komplikacijoms. Visi pacientai sirgo 2 tipo cukriniu diabetu ir turėjo bent 2 papildomus kardiovaskulinės rizikos faktorius (vyrai </w:t>
      </w:r>
      <w:r w:rsidR="00235DE4">
        <w:rPr>
          <w:rFonts w:eastAsiaTheme="minorHAnsi"/>
          <w:color w:val="000000"/>
          <w:sz w:val="22"/>
          <w:szCs w:val="22"/>
          <w:lang w:eastAsia="en-US"/>
        </w:rPr>
        <w:t>buvo bent</w:t>
      </w:r>
      <w:r>
        <w:rPr>
          <w:rFonts w:eastAsiaTheme="minorHAnsi"/>
          <w:color w:val="000000"/>
          <w:sz w:val="22"/>
          <w:szCs w:val="22"/>
          <w:lang w:eastAsia="en-US"/>
        </w:rPr>
        <w:t xml:space="preserve"> 55 met</w:t>
      </w:r>
      <w:r w:rsidR="00235DE4">
        <w:rPr>
          <w:rFonts w:eastAsiaTheme="minorHAnsi"/>
          <w:color w:val="000000"/>
          <w:sz w:val="22"/>
          <w:szCs w:val="22"/>
          <w:lang w:eastAsia="en-US"/>
        </w:rPr>
        <w:t>ų</w:t>
      </w:r>
      <w:r>
        <w:rPr>
          <w:rFonts w:eastAsiaTheme="minorHAnsi"/>
          <w:color w:val="000000"/>
          <w:sz w:val="22"/>
          <w:szCs w:val="22"/>
          <w:lang w:eastAsia="en-US"/>
        </w:rPr>
        <w:t xml:space="preserve">, moterys – bent 60 metų ir bent vieną iš šių sutrikimų: </w:t>
      </w:r>
      <w:proofErr w:type="spellStart"/>
      <w:r>
        <w:rPr>
          <w:rFonts w:eastAsiaTheme="minorHAnsi"/>
          <w:color w:val="000000"/>
          <w:sz w:val="22"/>
          <w:szCs w:val="22"/>
          <w:lang w:eastAsia="en-US"/>
        </w:rPr>
        <w:t>dislipidemija</w:t>
      </w:r>
      <w:proofErr w:type="spellEnd"/>
      <w:r>
        <w:rPr>
          <w:rFonts w:eastAsiaTheme="minorHAnsi"/>
          <w:color w:val="000000"/>
          <w:sz w:val="22"/>
          <w:szCs w:val="22"/>
          <w:lang w:eastAsia="en-US"/>
        </w:rPr>
        <w:t>, hipertenzija arba rūkymas šiuo metu) arba sirgo kardiovaskuline liga.</w:t>
      </w:r>
    </w:p>
    <w:p w14:paraId="40C0B284" w14:textId="3421F3DF"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6</w:t>
      </w:r>
      <w:r w:rsidR="00BC1EAA">
        <w:rPr>
          <w:rFonts w:eastAsiaTheme="minorHAnsi"/>
          <w:color w:val="000000"/>
          <w:sz w:val="22"/>
          <w:szCs w:val="22"/>
          <w:lang w:eastAsia="en-US"/>
        </w:rPr>
        <w:t> </w:t>
      </w:r>
      <w:r>
        <w:rPr>
          <w:rFonts w:eastAsiaTheme="minorHAnsi"/>
          <w:color w:val="000000"/>
          <w:sz w:val="22"/>
          <w:szCs w:val="22"/>
          <w:lang w:eastAsia="en-US"/>
        </w:rPr>
        <w:t>974 iš 17</w:t>
      </w:r>
      <w:r w:rsidR="00BC1EAA">
        <w:rPr>
          <w:rFonts w:eastAsiaTheme="minorHAnsi"/>
          <w:color w:val="000000"/>
          <w:sz w:val="22"/>
          <w:szCs w:val="22"/>
          <w:lang w:eastAsia="en-US"/>
        </w:rPr>
        <w:t> </w:t>
      </w:r>
      <w:r>
        <w:rPr>
          <w:rFonts w:eastAsiaTheme="minorHAnsi"/>
          <w:color w:val="000000"/>
          <w:sz w:val="22"/>
          <w:szCs w:val="22"/>
          <w:lang w:eastAsia="en-US"/>
        </w:rPr>
        <w:t xml:space="preserve">160 (40,6 %) </w:t>
      </w:r>
      <w:proofErr w:type="spellStart"/>
      <w:r>
        <w:rPr>
          <w:rFonts w:eastAsiaTheme="minorHAnsi"/>
          <w:color w:val="000000"/>
          <w:sz w:val="22"/>
          <w:szCs w:val="22"/>
          <w:lang w:eastAsia="en-US"/>
        </w:rPr>
        <w:t>randomizuotų</w:t>
      </w:r>
      <w:proofErr w:type="spellEnd"/>
      <w:r>
        <w:rPr>
          <w:rFonts w:eastAsiaTheme="minorHAnsi"/>
          <w:color w:val="000000"/>
          <w:sz w:val="22"/>
          <w:szCs w:val="22"/>
          <w:lang w:eastAsia="en-US"/>
        </w:rPr>
        <w:t xml:space="preserve"> pacientų sirgo kardiovaskulinėmis ligomis, o 10</w:t>
      </w:r>
      <w:r w:rsidR="000D3154">
        <w:rPr>
          <w:rFonts w:eastAsiaTheme="minorHAnsi"/>
          <w:color w:val="000000"/>
          <w:sz w:val="22"/>
          <w:szCs w:val="22"/>
          <w:lang w:eastAsia="en-US"/>
        </w:rPr>
        <w:t> </w:t>
      </w:r>
      <w:r>
        <w:rPr>
          <w:rFonts w:eastAsiaTheme="minorHAnsi"/>
          <w:color w:val="000000"/>
          <w:sz w:val="22"/>
          <w:szCs w:val="22"/>
          <w:lang w:eastAsia="en-US"/>
        </w:rPr>
        <w:t>186 (59,4 %) jų nebuvo diagnozuota. 8</w:t>
      </w:r>
      <w:r w:rsidR="000D3154">
        <w:rPr>
          <w:rFonts w:eastAsiaTheme="minorHAnsi"/>
          <w:color w:val="000000"/>
          <w:sz w:val="22"/>
          <w:szCs w:val="22"/>
          <w:lang w:eastAsia="en-US"/>
        </w:rPr>
        <w:t> </w:t>
      </w:r>
      <w:r>
        <w:rPr>
          <w:rFonts w:eastAsiaTheme="minorHAnsi"/>
          <w:color w:val="000000"/>
          <w:sz w:val="22"/>
          <w:szCs w:val="22"/>
          <w:lang w:eastAsia="en-US"/>
        </w:rPr>
        <w:t xml:space="preserve">582 pacientai buvo </w:t>
      </w:r>
      <w:proofErr w:type="spellStart"/>
      <w:r>
        <w:rPr>
          <w:rFonts w:eastAsiaTheme="minorHAnsi"/>
          <w:color w:val="000000"/>
          <w:sz w:val="22"/>
          <w:szCs w:val="22"/>
          <w:lang w:eastAsia="en-US"/>
        </w:rPr>
        <w:t>randomizuoti</w:t>
      </w:r>
      <w:proofErr w:type="spellEnd"/>
      <w:r>
        <w:rPr>
          <w:rFonts w:eastAsiaTheme="minorHAnsi"/>
          <w:color w:val="000000"/>
          <w:sz w:val="22"/>
          <w:szCs w:val="22"/>
          <w:lang w:eastAsia="en-US"/>
        </w:rPr>
        <w:t xml:space="preserve"> vartoti 10 mg dapagliflozino, o 8</w:t>
      </w:r>
      <w:r w:rsidR="000D3154">
        <w:rPr>
          <w:rFonts w:eastAsiaTheme="minorHAnsi"/>
          <w:color w:val="000000"/>
          <w:sz w:val="22"/>
          <w:szCs w:val="22"/>
          <w:lang w:eastAsia="en-US"/>
        </w:rPr>
        <w:t> </w:t>
      </w:r>
      <w:r>
        <w:rPr>
          <w:rFonts w:eastAsiaTheme="minorHAnsi"/>
          <w:color w:val="000000"/>
          <w:sz w:val="22"/>
          <w:szCs w:val="22"/>
          <w:lang w:eastAsia="en-US"/>
        </w:rPr>
        <w:t>578 – placeb</w:t>
      </w:r>
      <w:r w:rsidR="000D3154">
        <w:rPr>
          <w:rFonts w:eastAsiaTheme="minorHAnsi"/>
          <w:color w:val="000000"/>
          <w:sz w:val="22"/>
          <w:szCs w:val="22"/>
          <w:lang w:eastAsia="en-US"/>
        </w:rPr>
        <w:t>o</w:t>
      </w:r>
      <w:r>
        <w:rPr>
          <w:rFonts w:eastAsiaTheme="minorHAnsi"/>
          <w:color w:val="000000"/>
          <w:sz w:val="22"/>
          <w:szCs w:val="22"/>
          <w:lang w:eastAsia="en-US"/>
        </w:rPr>
        <w:t xml:space="preserve">. Jie stebėti </w:t>
      </w:r>
      <w:r w:rsidR="001F6E7A">
        <w:rPr>
          <w:rFonts w:eastAsiaTheme="minorHAnsi"/>
          <w:color w:val="000000"/>
          <w:sz w:val="22"/>
          <w:szCs w:val="22"/>
          <w:lang w:eastAsia="en-US"/>
        </w:rPr>
        <w:t>vidutiniškai</w:t>
      </w:r>
      <w:r>
        <w:rPr>
          <w:rFonts w:eastAsiaTheme="minorHAnsi"/>
          <w:color w:val="000000"/>
          <w:sz w:val="22"/>
          <w:szCs w:val="22"/>
          <w:lang w:eastAsia="en-US"/>
        </w:rPr>
        <w:t xml:space="preserve"> 4,2 metų.</w:t>
      </w:r>
    </w:p>
    <w:p w14:paraId="3B8D4619" w14:textId="15958BB4"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Tirtų pacientų vidutinis amžius buvo 63,9 metų, 37,4 % buvo moterys. Iš viso 22,4 % sirgo diabetu ≤</w:t>
      </w:r>
      <w:r w:rsidR="001F6E7A">
        <w:rPr>
          <w:rFonts w:eastAsiaTheme="minorHAnsi"/>
          <w:color w:val="000000"/>
          <w:sz w:val="22"/>
          <w:szCs w:val="22"/>
          <w:lang w:eastAsia="en-US"/>
        </w:rPr>
        <w:t> </w:t>
      </w:r>
      <w:r>
        <w:rPr>
          <w:rFonts w:eastAsiaTheme="minorHAnsi"/>
          <w:color w:val="000000"/>
          <w:sz w:val="22"/>
          <w:szCs w:val="22"/>
          <w:lang w:eastAsia="en-US"/>
        </w:rPr>
        <w:t>5 metus, vidutinė sirgimo diabetu trukmė buvo 11,9 metų. Vidutinė HbA1c koncentracija buvo 8,3 %, o vidutinis KMI – 32,1 kg/m</w:t>
      </w:r>
      <w:r>
        <w:rPr>
          <w:rFonts w:eastAsiaTheme="minorHAnsi"/>
          <w:color w:val="000000"/>
          <w:sz w:val="22"/>
          <w:szCs w:val="22"/>
          <w:vertAlign w:val="superscript"/>
          <w:lang w:eastAsia="en-US"/>
        </w:rPr>
        <w:t>2</w:t>
      </w:r>
      <w:r>
        <w:rPr>
          <w:rFonts w:eastAsiaTheme="minorHAnsi"/>
          <w:color w:val="000000"/>
          <w:sz w:val="22"/>
          <w:szCs w:val="22"/>
          <w:lang w:eastAsia="en-US"/>
        </w:rPr>
        <w:t>.</w:t>
      </w:r>
    </w:p>
    <w:p w14:paraId="35C7063F" w14:textId="77777777" w:rsidR="00E86446" w:rsidRDefault="00E86446">
      <w:pPr>
        <w:widowControl w:val="0"/>
        <w:autoSpaceDE w:val="0"/>
        <w:autoSpaceDN w:val="0"/>
        <w:adjustRightInd w:val="0"/>
        <w:rPr>
          <w:sz w:val="22"/>
          <w:szCs w:val="22"/>
        </w:rPr>
      </w:pPr>
    </w:p>
    <w:p w14:paraId="2F477E92" w14:textId="02E7BFC2" w:rsidR="00E86446" w:rsidRDefault="00345E63">
      <w:pPr>
        <w:widowControl w:val="0"/>
        <w:autoSpaceDE w:val="0"/>
        <w:autoSpaceDN w:val="0"/>
        <w:adjustRightInd w:val="0"/>
        <w:rPr>
          <w:sz w:val="22"/>
          <w:szCs w:val="22"/>
        </w:rPr>
      </w:pPr>
      <w:r>
        <w:rPr>
          <w:sz w:val="22"/>
          <w:szCs w:val="22"/>
        </w:rPr>
        <w:t xml:space="preserve">Įtraukiant į tyrimą, 10,0 % pacientų anamnezėje buvo širdies nepakankamumas. Vidutinis </w:t>
      </w:r>
      <w:proofErr w:type="spellStart"/>
      <w:r>
        <w:rPr>
          <w:sz w:val="22"/>
          <w:szCs w:val="22"/>
        </w:rPr>
        <w:t>aGFG</w:t>
      </w:r>
      <w:proofErr w:type="spellEnd"/>
      <w:r>
        <w:rPr>
          <w:sz w:val="22"/>
          <w:szCs w:val="22"/>
        </w:rPr>
        <w:t xml:space="preserve"> buvo 85,2 ml/min./1,73 m</w:t>
      </w:r>
      <w:r>
        <w:rPr>
          <w:sz w:val="22"/>
          <w:szCs w:val="22"/>
          <w:vertAlign w:val="superscript"/>
        </w:rPr>
        <w:t>2</w:t>
      </w:r>
      <w:r>
        <w:rPr>
          <w:sz w:val="22"/>
          <w:szCs w:val="22"/>
        </w:rPr>
        <w:t xml:space="preserve">, 7,4 % pacientų </w:t>
      </w:r>
      <w:proofErr w:type="spellStart"/>
      <w:r>
        <w:rPr>
          <w:sz w:val="22"/>
          <w:szCs w:val="22"/>
        </w:rPr>
        <w:t>aGFG</w:t>
      </w:r>
      <w:proofErr w:type="spellEnd"/>
      <w:r>
        <w:rPr>
          <w:sz w:val="22"/>
          <w:szCs w:val="22"/>
        </w:rPr>
        <w:t xml:space="preserve"> buvo &lt;</w:t>
      </w:r>
      <w:r w:rsidR="00A917BC">
        <w:rPr>
          <w:sz w:val="22"/>
          <w:szCs w:val="22"/>
        </w:rPr>
        <w:t> </w:t>
      </w:r>
      <w:r>
        <w:rPr>
          <w:sz w:val="22"/>
          <w:szCs w:val="22"/>
        </w:rPr>
        <w:t>60 ml/min./1,73 m</w:t>
      </w:r>
      <w:r>
        <w:rPr>
          <w:sz w:val="22"/>
          <w:szCs w:val="22"/>
          <w:vertAlign w:val="superscript"/>
        </w:rPr>
        <w:t>2</w:t>
      </w:r>
      <w:r>
        <w:rPr>
          <w:sz w:val="22"/>
          <w:szCs w:val="22"/>
        </w:rPr>
        <w:t xml:space="preserve">, 30,3 % pacientų rasta </w:t>
      </w:r>
      <w:proofErr w:type="spellStart"/>
      <w:r>
        <w:rPr>
          <w:sz w:val="22"/>
          <w:szCs w:val="22"/>
        </w:rPr>
        <w:t>mikro</w:t>
      </w:r>
      <w:proofErr w:type="spellEnd"/>
      <w:r>
        <w:rPr>
          <w:sz w:val="22"/>
          <w:szCs w:val="22"/>
        </w:rPr>
        <w:t xml:space="preserve">- arba </w:t>
      </w:r>
      <w:proofErr w:type="spellStart"/>
      <w:r>
        <w:rPr>
          <w:sz w:val="22"/>
          <w:szCs w:val="22"/>
        </w:rPr>
        <w:t>makroalbuminurija</w:t>
      </w:r>
      <w:proofErr w:type="spellEnd"/>
      <w:r>
        <w:rPr>
          <w:sz w:val="22"/>
          <w:szCs w:val="22"/>
        </w:rPr>
        <w:t xml:space="preserve">, t. y. </w:t>
      </w:r>
      <w:proofErr w:type="spellStart"/>
      <w:r>
        <w:rPr>
          <w:sz w:val="22"/>
          <w:szCs w:val="22"/>
        </w:rPr>
        <w:t>albumino</w:t>
      </w:r>
      <w:proofErr w:type="spellEnd"/>
      <w:r>
        <w:rPr>
          <w:sz w:val="22"/>
          <w:szCs w:val="22"/>
        </w:rPr>
        <w:t xml:space="preserve"> ir kreatinino </w:t>
      </w:r>
      <w:r w:rsidR="00E35B2C">
        <w:rPr>
          <w:sz w:val="22"/>
          <w:szCs w:val="22"/>
        </w:rPr>
        <w:t xml:space="preserve">koncentracijos </w:t>
      </w:r>
      <w:r>
        <w:rPr>
          <w:sz w:val="22"/>
          <w:szCs w:val="22"/>
        </w:rPr>
        <w:t xml:space="preserve">šlapime santykis (angl. </w:t>
      </w:r>
      <w:proofErr w:type="spellStart"/>
      <w:r>
        <w:rPr>
          <w:i/>
          <w:iCs/>
          <w:sz w:val="22"/>
          <w:szCs w:val="22"/>
        </w:rPr>
        <w:t>urine</w:t>
      </w:r>
      <w:proofErr w:type="spellEnd"/>
      <w:r>
        <w:rPr>
          <w:i/>
          <w:iCs/>
          <w:sz w:val="22"/>
          <w:szCs w:val="22"/>
        </w:rPr>
        <w:t xml:space="preserve"> </w:t>
      </w:r>
      <w:proofErr w:type="spellStart"/>
      <w:r>
        <w:rPr>
          <w:i/>
          <w:iCs/>
          <w:sz w:val="22"/>
          <w:szCs w:val="22"/>
        </w:rPr>
        <w:t>albumin</w:t>
      </w:r>
      <w:proofErr w:type="spellEnd"/>
      <w:r>
        <w:rPr>
          <w:i/>
          <w:iCs/>
          <w:sz w:val="22"/>
          <w:szCs w:val="22"/>
        </w:rPr>
        <w:t xml:space="preserve"> to </w:t>
      </w:r>
      <w:proofErr w:type="spellStart"/>
      <w:r>
        <w:rPr>
          <w:i/>
          <w:iCs/>
          <w:sz w:val="22"/>
          <w:szCs w:val="22"/>
        </w:rPr>
        <w:t>creatinine</w:t>
      </w:r>
      <w:proofErr w:type="spellEnd"/>
      <w:r>
        <w:rPr>
          <w:i/>
          <w:iCs/>
          <w:sz w:val="22"/>
          <w:szCs w:val="22"/>
        </w:rPr>
        <w:t xml:space="preserve"> </w:t>
      </w:r>
      <w:proofErr w:type="spellStart"/>
      <w:r>
        <w:rPr>
          <w:i/>
          <w:iCs/>
          <w:sz w:val="22"/>
          <w:szCs w:val="22"/>
        </w:rPr>
        <w:t>ratio</w:t>
      </w:r>
      <w:proofErr w:type="spellEnd"/>
      <w:r>
        <w:rPr>
          <w:sz w:val="22"/>
          <w:szCs w:val="22"/>
        </w:rPr>
        <w:t>, UACR) buvo atitinkamai nuo ≥</w:t>
      </w:r>
      <w:r w:rsidR="00E35B2C">
        <w:rPr>
          <w:sz w:val="22"/>
          <w:szCs w:val="22"/>
        </w:rPr>
        <w:t> </w:t>
      </w:r>
      <w:r>
        <w:rPr>
          <w:sz w:val="22"/>
          <w:szCs w:val="22"/>
        </w:rPr>
        <w:t>30 iki ≤</w:t>
      </w:r>
      <w:r w:rsidR="00E35B2C">
        <w:rPr>
          <w:sz w:val="22"/>
          <w:szCs w:val="22"/>
        </w:rPr>
        <w:t> </w:t>
      </w:r>
      <w:r>
        <w:rPr>
          <w:sz w:val="22"/>
          <w:szCs w:val="22"/>
        </w:rPr>
        <w:t>300 mg/g arba &gt;</w:t>
      </w:r>
      <w:r w:rsidR="00E35B2C">
        <w:rPr>
          <w:sz w:val="22"/>
          <w:szCs w:val="22"/>
        </w:rPr>
        <w:t> </w:t>
      </w:r>
      <w:r>
        <w:rPr>
          <w:sz w:val="22"/>
          <w:szCs w:val="22"/>
        </w:rPr>
        <w:t>300 mg/g.</w:t>
      </w:r>
    </w:p>
    <w:p w14:paraId="64CF7F27" w14:textId="77777777" w:rsidR="00E86446" w:rsidRDefault="00E86446">
      <w:pPr>
        <w:autoSpaceDE w:val="0"/>
        <w:autoSpaceDN w:val="0"/>
        <w:adjustRightInd w:val="0"/>
        <w:rPr>
          <w:rFonts w:eastAsiaTheme="minorHAnsi"/>
          <w:color w:val="000000"/>
          <w:sz w:val="22"/>
          <w:szCs w:val="22"/>
          <w:lang w:eastAsia="en-US"/>
        </w:rPr>
      </w:pPr>
    </w:p>
    <w:p w14:paraId="074DEC63" w14:textId="0FB4240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Dauguma (98 %) pacientų įtraukiant į tyrimą vartojo vieną arba kelis vaistinius preparatus nuo diabeto, įskaitant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xml:space="preserve"> (82 %), insuliną (41 %) ir </w:t>
      </w:r>
      <w:proofErr w:type="spellStart"/>
      <w:r>
        <w:rPr>
          <w:rFonts w:eastAsiaTheme="minorHAnsi"/>
          <w:color w:val="000000"/>
          <w:sz w:val="22"/>
          <w:szCs w:val="22"/>
          <w:lang w:eastAsia="en-US"/>
        </w:rPr>
        <w:t>sulfonilkarbamid</w:t>
      </w:r>
      <w:r w:rsidR="00B66746">
        <w:rPr>
          <w:rFonts w:eastAsiaTheme="minorHAnsi"/>
          <w:color w:val="000000"/>
          <w:sz w:val="22"/>
          <w:szCs w:val="22"/>
          <w:lang w:eastAsia="en-US"/>
        </w:rPr>
        <w:t>o</w:t>
      </w:r>
      <w:proofErr w:type="spellEnd"/>
      <w:r w:rsidR="00B66746">
        <w:rPr>
          <w:rFonts w:eastAsiaTheme="minorHAnsi"/>
          <w:color w:val="000000"/>
          <w:sz w:val="22"/>
          <w:szCs w:val="22"/>
          <w:lang w:eastAsia="en-US"/>
        </w:rPr>
        <w:t xml:space="preserve"> darinį</w:t>
      </w:r>
      <w:r>
        <w:rPr>
          <w:rFonts w:eastAsiaTheme="minorHAnsi"/>
          <w:color w:val="000000"/>
          <w:sz w:val="22"/>
          <w:szCs w:val="22"/>
          <w:lang w:eastAsia="en-US"/>
        </w:rPr>
        <w:t xml:space="preserve"> (43 %).</w:t>
      </w:r>
    </w:p>
    <w:p w14:paraId="5372570C" w14:textId="77777777" w:rsidR="00E86446" w:rsidRDefault="00E86446">
      <w:pPr>
        <w:autoSpaceDE w:val="0"/>
        <w:autoSpaceDN w:val="0"/>
        <w:adjustRightInd w:val="0"/>
        <w:rPr>
          <w:rFonts w:eastAsiaTheme="minorHAnsi"/>
          <w:color w:val="000000"/>
          <w:sz w:val="22"/>
          <w:szCs w:val="22"/>
          <w:lang w:eastAsia="en-US"/>
        </w:rPr>
      </w:pPr>
    </w:p>
    <w:p w14:paraId="64825354" w14:textId="1069A2AD"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Pagrindinės vertinamosios baigtys buvo laikas iki pirmosios komplikacijos iš šių: kardiovaskulinė mirtis, miokardo infarktas arba išeminis insultas (</w:t>
      </w:r>
      <w:r>
        <w:rPr>
          <w:rFonts w:eastAsiaTheme="minorHAnsi"/>
          <w:i/>
          <w:iCs/>
          <w:color w:val="000000"/>
          <w:sz w:val="22"/>
          <w:szCs w:val="22"/>
          <w:lang w:eastAsia="en-US"/>
        </w:rPr>
        <w:t>MACE</w:t>
      </w:r>
      <w:r>
        <w:rPr>
          <w:rFonts w:eastAsiaTheme="minorHAnsi"/>
          <w:color w:val="000000"/>
          <w:sz w:val="22"/>
          <w:szCs w:val="22"/>
          <w:lang w:eastAsia="en-US"/>
        </w:rPr>
        <w:t>) ir laikas iki pirmosios hospitalizacijos dėl širdies nepakankamumo arba kardiovaskulinės mirties. Antrinės vertinamosios baigtys buvo sudėtin</w:t>
      </w:r>
      <w:r w:rsidR="00753DD2">
        <w:rPr>
          <w:rFonts w:eastAsiaTheme="minorHAnsi"/>
          <w:color w:val="000000"/>
          <w:sz w:val="22"/>
          <w:szCs w:val="22"/>
          <w:lang w:eastAsia="en-US"/>
        </w:rPr>
        <w:t>is</w:t>
      </w:r>
      <w:r>
        <w:rPr>
          <w:rFonts w:eastAsiaTheme="minorHAnsi"/>
          <w:color w:val="000000"/>
          <w:sz w:val="22"/>
          <w:szCs w:val="22"/>
          <w:lang w:eastAsia="en-US"/>
        </w:rPr>
        <w:t xml:space="preserve"> inkstų </w:t>
      </w:r>
      <w:r w:rsidR="00E46473">
        <w:rPr>
          <w:rFonts w:eastAsiaTheme="minorHAnsi"/>
          <w:color w:val="000000"/>
          <w:sz w:val="22"/>
          <w:szCs w:val="22"/>
          <w:lang w:eastAsia="en-US"/>
        </w:rPr>
        <w:t xml:space="preserve">funkcijos </w:t>
      </w:r>
      <w:r w:rsidR="00753DD2">
        <w:rPr>
          <w:rFonts w:eastAsiaTheme="minorHAnsi"/>
          <w:color w:val="000000"/>
          <w:sz w:val="22"/>
          <w:szCs w:val="22"/>
          <w:lang w:eastAsia="en-US"/>
        </w:rPr>
        <w:t xml:space="preserve">rodiklis </w:t>
      </w:r>
      <w:r>
        <w:rPr>
          <w:rFonts w:eastAsiaTheme="minorHAnsi"/>
          <w:color w:val="000000"/>
          <w:sz w:val="22"/>
          <w:szCs w:val="22"/>
          <w:lang w:eastAsia="en-US"/>
        </w:rPr>
        <w:t>ir mirtys dėl visų priežasčių.</w:t>
      </w:r>
    </w:p>
    <w:p w14:paraId="76C3B3E6" w14:textId="77777777" w:rsidR="00E86446" w:rsidRDefault="00E86446">
      <w:pPr>
        <w:autoSpaceDE w:val="0"/>
        <w:autoSpaceDN w:val="0"/>
        <w:adjustRightInd w:val="0"/>
        <w:rPr>
          <w:rFonts w:eastAsiaTheme="minorHAnsi"/>
          <w:i/>
          <w:iCs/>
          <w:color w:val="000000"/>
          <w:sz w:val="22"/>
          <w:szCs w:val="22"/>
          <w:lang w:eastAsia="en-US"/>
        </w:rPr>
      </w:pPr>
    </w:p>
    <w:p w14:paraId="4CD97E75"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Didžiosios kardiovaskulinės komplikacijos</w:t>
      </w:r>
    </w:p>
    <w:p w14:paraId="4ED52ABD" w14:textId="4937FD52"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Nustatyta, kad 10</w:t>
      </w:r>
      <w:r w:rsidR="00753DD2">
        <w:rPr>
          <w:rFonts w:eastAsiaTheme="minorHAnsi"/>
          <w:color w:val="000000"/>
          <w:sz w:val="22"/>
          <w:szCs w:val="22"/>
          <w:lang w:eastAsia="en-US"/>
        </w:rPr>
        <w:t> </w:t>
      </w:r>
      <w:r>
        <w:rPr>
          <w:rFonts w:eastAsiaTheme="minorHAnsi"/>
          <w:color w:val="000000"/>
          <w:sz w:val="22"/>
          <w:szCs w:val="22"/>
          <w:lang w:eastAsia="en-US"/>
        </w:rPr>
        <w:t>mg dapagliflozino poveikis sudėtinei baigčiai (kardiovaskulinė mirtis, miokardo infarktas, išeminis insultas) yra ne prastesnis negu placebo (vienos pusės p</w:t>
      </w:r>
      <w:r w:rsidR="009F519D">
        <w:rPr>
          <w:rFonts w:eastAsiaTheme="minorHAnsi"/>
          <w:color w:val="000000"/>
          <w:sz w:val="22"/>
          <w:szCs w:val="22"/>
          <w:lang w:eastAsia="en-US"/>
        </w:rPr>
        <w:t> </w:t>
      </w:r>
      <w:r>
        <w:rPr>
          <w:rFonts w:eastAsiaTheme="minorHAnsi"/>
          <w:color w:val="000000"/>
          <w:sz w:val="22"/>
          <w:szCs w:val="22"/>
          <w:lang w:eastAsia="en-US"/>
        </w:rPr>
        <w:t>&lt;</w:t>
      </w:r>
      <w:r w:rsidR="009F519D">
        <w:rPr>
          <w:rFonts w:eastAsiaTheme="minorHAnsi"/>
          <w:color w:val="000000"/>
          <w:sz w:val="22"/>
          <w:szCs w:val="22"/>
          <w:lang w:eastAsia="en-US"/>
        </w:rPr>
        <w:t> </w:t>
      </w:r>
      <w:r>
        <w:rPr>
          <w:rFonts w:eastAsiaTheme="minorHAnsi"/>
          <w:color w:val="000000"/>
          <w:sz w:val="22"/>
          <w:szCs w:val="22"/>
          <w:lang w:eastAsia="en-US"/>
        </w:rPr>
        <w:t>0,001).</w:t>
      </w:r>
    </w:p>
    <w:p w14:paraId="62D58580" w14:textId="77777777" w:rsidR="00E86446" w:rsidRDefault="00E86446">
      <w:pPr>
        <w:autoSpaceDE w:val="0"/>
        <w:autoSpaceDN w:val="0"/>
        <w:adjustRightInd w:val="0"/>
        <w:rPr>
          <w:rFonts w:eastAsiaTheme="minorHAnsi"/>
          <w:color w:val="000000"/>
          <w:sz w:val="22"/>
          <w:szCs w:val="22"/>
          <w:lang w:eastAsia="en-US"/>
        </w:rPr>
      </w:pPr>
    </w:p>
    <w:p w14:paraId="346F6E78"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Širdies nepakankamumas ir kardiovaskulinės mirtys</w:t>
      </w:r>
    </w:p>
    <w:p w14:paraId="31EDCBCF" w14:textId="59F0008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Nustatytas 10</w:t>
      </w:r>
      <w:r w:rsidR="005B0853">
        <w:rPr>
          <w:rFonts w:eastAsiaTheme="minorHAnsi"/>
          <w:color w:val="000000"/>
          <w:sz w:val="22"/>
          <w:szCs w:val="22"/>
          <w:lang w:eastAsia="en-US"/>
        </w:rPr>
        <w:t> </w:t>
      </w:r>
      <w:r>
        <w:rPr>
          <w:rFonts w:eastAsiaTheme="minorHAnsi"/>
          <w:color w:val="000000"/>
          <w:sz w:val="22"/>
          <w:szCs w:val="22"/>
          <w:lang w:eastAsia="en-US"/>
        </w:rPr>
        <w:t>mg dapagliflozino pranašumas prieš placebą išvengiant sudėtinės baigties, kurią sudarė hospitalizacijos dėl širdies nepakankamumo ir kardiovaskulinės mirtys (1</w:t>
      </w:r>
      <w:r w:rsidR="005B0853">
        <w:rPr>
          <w:rFonts w:eastAsiaTheme="minorHAnsi"/>
          <w:color w:val="000000"/>
          <w:sz w:val="22"/>
          <w:szCs w:val="22"/>
          <w:lang w:eastAsia="en-US"/>
        </w:rPr>
        <w:t> </w:t>
      </w:r>
      <w:r>
        <w:rPr>
          <w:rFonts w:eastAsiaTheme="minorHAnsi"/>
          <w:color w:val="000000"/>
          <w:sz w:val="22"/>
          <w:szCs w:val="22"/>
          <w:lang w:eastAsia="en-US"/>
        </w:rPr>
        <w:t>pav.). Tą nulėmė skirtingas hospitalizacijų dėl širdies nepakankamumo dažnis, o kardiovaskulinių mirčių dažnis nesiskyrė (2</w:t>
      </w:r>
      <w:r w:rsidR="00E505BF">
        <w:rPr>
          <w:rFonts w:eastAsiaTheme="minorHAnsi"/>
          <w:color w:val="000000"/>
          <w:sz w:val="22"/>
          <w:szCs w:val="22"/>
          <w:lang w:eastAsia="en-US"/>
        </w:rPr>
        <w:t> </w:t>
      </w:r>
      <w:r>
        <w:rPr>
          <w:rFonts w:eastAsiaTheme="minorHAnsi"/>
          <w:color w:val="000000"/>
          <w:sz w:val="22"/>
          <w:szCs w:val="22"/>
          <w:lang w:eastAsia="en-US"/>
        </w:rPr>
        <w:t>pav.).</w:t>
      </w:r>
    </w:p>
    <w:p w14:paraId="0AB0925A" w14:textId="77777777" w:rsidR="00E86446" w:rsidRDefault="00345E63">
      <w:pPr>
        <w:widowControl w:val="0"/>
        <w:autoSpaceDE w:val="0"/>
        <w:autoSpaceDN w:val="0"/>
        <w:adjustRightInd w:val="0"/>
        <w:rPr>
          <w:sz w:val="22"/>
          <w:szCs w:val="22"/>
        </w:rPr>
      </w:pPr>
      <w:r>
        <w:rPr>
          <w:sz w:val="22"/>
          <w:szCs w:val="22"/>
        </w:rPr>
        <w:t>Dapagliflozino pranašumas prieš placebą nustatytas iki tyrimo kardiovaskulinėmis ligomis sirgusiems ir jomis nesirgusiems pacientams, taip pat iki tyrimo širdies nepakankamumu sirgusiems ir juo nesirgusiems pacientams. Šis pranašumas nuosekliai pastebėtas pagrindiniuose pogrupiuose, sudarytuose pagal amžių, lytį, inkstų funkciją (</w:t>
      </w:r>
      <w:proofErr w:type="spellStart"/>
      <w:r>
        <w:rPr>
          <w:sz w:val="22"/>
          <w:szCs w:val="22"/>
        </w:rPr>
        <w:t>aGFG</w:t>
      </w:r>
      <w:proofErr w:type="spellEnd"/>
      <w:r>
        <w:rPr>
          <w:sz w:val="22"/>
          <w:szCs w:val="22"/>
        </w:rPr>
        <w:t>) ir regioną.</w:t>
      </w:r>
    </w:p>
    <w:p w14:paraId="32EB4B7B" w14:textId="77777777" w:rsidR="00E86446" w:rsidRDefault="00E86446">
      <w:pPr>
        <w:widowControl w:val="0"/>
        <w:autoSpaceDE w:val="0"/>
        <w:autoSpaceDN w:val="0"/>
        <w:adjustRightInd w:val="0"/>
        <w:rPr>
          <w:sz w:val="22"/>
          <w:szCs w:val="22"/>
        </w:rPr>
      </w:pPr>
    </w:p>
    <w:p w14:paraId="07BB7DC9" w14:textId="77777777" w:rsidR="00E86446" w:rsidRDefault="00345E63">
      <w:pPr>
        <w:autoSpaceDE w:val="0"/>
        <w:autoSpaceDN w:val="0"/>
        <w:adjustRightInd w:val="0"/>
        <w:rPr>
          <w:rFonts w:eastAsiaTheme="minorHAnsi"/>
          <w:color w:val="000000"/>
          <w:sz w:val="22"/>
          <w:szCs w:val="22"/>
          <w:lang w:eastAsia="en-US"/>
        </w:rPr>
      </w:pPr>
      <w:r>
        <w:rPr>
          <w:b/>
          <w:bCs/>
          <w:sz w:val="22"/>
          <w:szCs w:val="22"/>
        </w:rPr>
        <w:t>1 pav. Laikas iki pirmosios hospitalizacijos dėl širdies nepakankamumo arba kardiovaskulinės mirties</w:t>
      </w:r>
    </w:p>
    <w:p w14:paraId="3ED5422A" w14:textId="208CB36F" w:rsidR="00E86446" w:rsidRDefault="00345E63">
      <w:pPr>
        <w:widowControl w:val="0"/>
        <w:tabs>
          <w:tab w:val="left" w:pos="567"/>
        </w:tabs>
        <w:ind w:left="567" w:hanging="567"/>
        <w:outlineLvl w:val="2"/>
        <w:rPr>
          <w:rFonts w:eastAsia="TimesNewRoman"/>
          <w:sz w:val="22"/>
          <w:szCs w:val="22"/>
          <w:lang w:eastAsia="en-US"/>
        </w:rPr>
      </w:pPr>
      <w:r>
        <w:rPr>
          <w:rFonts w:eastAsia="TimesNewRoman"/>
          <w:noProof/>
          <w:sz w:val="22"/>
          <w:szCs w:val="22"/>
          <w:lang w:val="en-US" w:eastAsia="en-US"/>
        </w:rPr>
        <w:drawing>
          <wp:inline distT="0" distB="0" distL="0" distR="0" wp14:anchorId="2A55FA88" wp14:editId="3F790D3F">
            <wp:extent cx="5743575" cy="3667125"/>
            <wp:effectExtent l="0" t="0" r="9525" b="9525"/>
            <wp:docPr id="16573323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667125"/>
                    </a:xfrm>
                    <a:prstGeom prst="rect">
                      <a:avLst/>
                    </a:prstGeom>
                    <a:noFill/>
                    <a:ln>
                      <a:noFill/>
                    </a:ln>
                  </pic:spPr>
                </pic:pic>
              </a:graphicData>
            </a:graphic>
          </wp:inline>
        </w:drawing>
      </w:r>
      <w:proofErr w:type="spellStart"/>
      <w:r w:rsidR="002F57E5">
        <w:rPr>
          <w:rFonts w:eastAsia="TimesNewRoman"/>
          <w:sz w:val="22"/>
          <w:szCs w:val="22"/>
          <w:lang w:eastAsia="en-US"/>
        </w:rPr>
        <w:t>Pr</w:t>
      </w:r>
      <w:proofErr w:type="spellEnd"/>
    </w:p>
    <w:p w14:paraId="16581D4D" w14:textId="77777777" w:rsidR="00E86446" w:rsidRPr="0073443F" w:rsidRDefault="00345E63">
      <w:pPr>
        <w:autoSpaceDE w:val="0"/>
        <w:autoSpaceDN w:val="0"/>
        <w:adjustRightInd w:val="0"/>
        <w:rPr>
          <w:rFonts w:eastAsiaTheme="minorHAnsi"/>
          <w:color w:val="000000"/>
          <w:sz w:val="18"/>
          <w:szCs w:val="18"/>
          <w:lang w:eastAsia="en-US"/>
        </w:rPr>
      </w:pPr>
      <w:r w:rsidRPr="0073443F">
        <w:rPr>
          <w:rFonts w:eastAsiaTheme="minorHAnsi"/>
          <w:color w:val="000000"/>
          <w:sz w:val="18"/>
          <w:szCs w:val="18"/>
          <w:lang w:eastAsia="en-US"/>
        </w:rPr>
        <w:t>Pacientų su rizika skaičius – jų skaičius tam tikro laikotarpio pradžioje.</w:t>
      </w:r>
    </w:p>
    <w:p w14:paraId="4D68D6DB" w14:textId="30132BD0" w:rsidR="00E86446" w:rsidRPr="0073443F" w:rsidRDefault="002F57E5">
      <w:pPr>
        <w:widowControl w:val="0"/>
        <w:tabs>
          <w:tab w:val="left" w:pos="567"/>
        </w:tabs>
        <w:ind w:left="567" w:hanging="567"/>
        <w:outlineLvl w:val="2"/>
        <w:rPr>
          <w:rFonts w:eastAsiaTheme="minorHAnsi"/>
          <w:color w:val="000000"/>
          <w:sz w:val="18"/>
          <w:szCs w:val="18"/>
          <w:lang w:eastAsia="en-US"/>
        </w:rPr>
      </w:pPr>
      <w:r>
        <w:rPr>
          <w:rFonts w:eastAsiaTheme="minorHAnsi"/>
          <w:color w:val="000000"/>
          <w:sz w:val="18"/>
          <w:szCs w:val="18"/>
          <w:lang w:eastAsia="en-US"/>
        </w:rPr>
        <w:t>RS</w:t>
      </w:r>
      <w:r w:rsidRPr="0073443F">
        <w:rPr>
          <w:rFonts w:eastAsiaTheme="minorHAnsi"/>
          <w:color w:val="000000"/>
          <w:sz w:val="18"/>
          <w:szCs w:val="18"/>
          <w:lang w:eastAsia="en-US"/>
        </w:rPr>
        <w:t xml:space="preserve"> </w:t>
      </w:r>
      <w:r w:rsidR="00345E63" w:rsidRPr="0073443F">
        <w:rPr>
          <w:rFonts w:eastAsiaTheme="minorHAnsi"/>
          <w:color w:val="000000"/>
          <w:sz w:val="18"/>
          <w:szCs w:val="18"/>
          <w:lang w:eastAsia="en-US"/>
        </w:rPr>
        <w:t xml:space="preserve">– (angl. </w:t>
      </w:r>
      <w:proofErr w:type="spellStart"/>
      <w:r w:rsidR="00345E63" w:rsidRPr="0073443F">
        <w:rPr>
          <w:rFonts w:eastAsiaTheme="minorHAnsi"/>
          <w:i/>
          <w:iCs/>
          <w:color w:val="000000"/>
          <w:sz w:val="18"/>
          <w:szCs w:val="18"/>
          <w:lang w:eastAsia="en-US"/>
        </w:rPr>
        <w:t>Hazard</w:t>
      </w:r>
      <w:proofErr w:type="spellEnd"/>
      <w:r w:rsidR="00345E63" w:rsidRPr="0073443F">
        <w:rPr>
          <w:rFonts w:eastAsiaTheme="minorHAnsi"/>
          <w:i/>
          <w:iCs/>
          <w:color w:val="000000"/>
          <w:sz w:val="18"/>
          <w:szCs w:val="18"/>
          <w:lang w:eastAsia="en-US"/>
        </w:rPr>
        <w:t xml:space="preserve"> </w:t>
      </w:r>
      <w:proofErr w:type="spellStart"/>
      <w:r w:rsidR="00345E63" w:rsidRPr="0073443F">
        <w:rPr>
          <w:rFonts w:eastAsiaTheme="minorHAnsi"/>
          <w:i/>
          <w:iCs/>
          <w:color w:val="000000"/>
          <w:sz w:val="18"/>
          <w:szCs w:val="18"/>
          <w:lang w:eastAsia="en-US"/>
        </w:rPr>
        <w:t>ratio</w:t>
      </w:r>
      <w:proofErr w:type="spellEnd"/>
      <w:r w:rsidR="00345E63" w:rsidRPr="0073443F">
        <w:rPr>
          <w:rFonts w:eastAsiaTheme="minorHAnsi"/>
          <w:color w:val="000000"/>
          <w:sz w:val="18"/>
          <w:szCs w:val="18"/>
          <w:lang w:eastAsia="en-US"/>
        </w:rPr>
        <w:t xml:space="preserve">) – rizikos santykis, </w:t>
      </w:r>
      <w:r>
        <w:rPr>
          <w:rFonts w:eastAsiaTheme="minorHAnsi"/>
          <w:color w:val="000000"/>
          <w:sz w:val="18"/>
          <w:szCs w:val="18"/>
          <w:lang w:eastAsia="en-US"/>
        </w:rPr>
        <w:t>PI</w:t>
      </w:r>
      <w:r w:rsidRPr="0073443F">
        <w:rPr>
          <w:rFonts w:eastAsiaTheme="minorHAnsi"/>
          <w:color w:val="000000"/>
          <w:sz w:val="18"/>
          <w:szCs w:val="18"/>
          <w:lang w:eastAsia="en-US"/>
        </w:rPr>
        <w:t xml:space="preserve"> </w:t>
      </w:r>
      <w:r w:rsidR="00345E63" w:rsidRPr="0073443F">
        <w:rPr>
          <w:rFonts w:eastAsiaTheme="minorHAnsi"/>
          <w:color w:val="000000"/>
          <w:sz w:val="18"/>
          <w:szCs w:val="18"/>
          <w:lang w:eastAsia="en-US"/>
        </w:rPr>
        <w:t xml:space="preserve">(angl. </w:t>
      </w:r>
      <w:proofErr w:type="spellStart"/>
      <w:r w:rsidR="00345E63" w:rsidRPr="0073443F">
        <w:rPr>
          <w:rFonts w:eastAsiaTheme="minorHAnsi"/>
          <w:i/>
          <w:iCs/>
          <w:color w:val="000000"/>
          <w:sz w:val="18"/>
          <w:szCs w:val="18"/>
          <w:lang w:eastAsia="en-US"/>
        </w:rPr>
        <w:t>confidence</w:t>
      </w:r>
      <w:proofErr w:type="spellEnd"/>
      <w:r w:rsidR="00345E63" w:rsidRPr="0073443F">
        <w:rPr>
          <w:rFonts w:eastAsiaTheme="minorHAnsi"/>
          <w:i/>
          <w:iCs/>
          <w:color w:val="000000"/>
          <w:sz w:val="18"/>
          <w:szCs w:val="18"/>
          <w:lang w:eastAsia="en-US"/>
        </w:rPr>
        <w:t xml:space="preserve"> </w:t>
      </w:r>
      <w:proofErr w:type="spellStart"/>
      <w:r w:rsidR="00345E63" w:rsidRPr="0073443F">
        <w:rPr>
          <w:rFonts w:eastAsiaTheme="minorHAnsi"/>
          <w:i/>
          <w:iCs/>
          <w:color w:val="000000"/>
          <w:sz w:val="18"/>
          <w:szCs w:val="18"/>
          <w:lang w:eastAsia="en-US"/>
        </w:rPr>
        <w:t>interval</w:t>
      </w:r>
      <w:proofErr w:type="spellEnd"/>
      <w:r w:rsidR="00345E63" w:rsidRPr="0073443F">
        <w:rPr>
          <w:rFonts w:eastAsiaTheme="minorHAnsi"/>
          <w:color w:val="000000"/>
          <w:sz w:val="18"/>
          <w:szCs w:val="18"/>
          <w:lang w:eastAsia="en-US"/>
        </w:rPr>
        <w:t xml:space="preserve">) – </w:t>
      </w:r>
      <w:proofErr w:type="spellStart"/>
      <w:r w:rsidR="00345E63" w:rsidRPr="0073443F">
        <w:rPr>
          <w:rFonts w:eastAsiaTheme="minorHAnsi"/>
          <w:color w:val="000000"/>
          <w:sz w:val="18"/>
          <w:szCs w:val="18"/>
          <w:lang w:eastAsia="en-US"/>
        </w:rPr>
        <w:t>pasikliautinasis</w:t>
      </w:r>
      <w:proofErr w:type="spellEnd"/>
      <w:r w:rsidR="00345E63" w:rsidRPr="0073443F">
        <w:rPr>
          <w:rFonts w:eastAsiaTheme="minorHAnsi"/>
          <w:color w:val="000000"/>
          <w:sz w:val="18"/>
          <w:szCs w:val="18"/>
          <w:lang w:eastAsia="en-US"/>
        </w:rPr>
        <w:t xml:space="preserve"> intervalas</w:t>
      </w:r>
    </w:p>
    <w:p w14:paraId="4A077F20" w14:textId="77777777" w:rsidR="00E86446" w:rsidRDefault="00E86446">
      <w:pPr>
        <w:widowControl w:val="0"/>
        <w:tabs>
          <w:tab w:val="left" w:pos="567"/>
        </w:tabs>
        <w:ind w:left="567" w:hanging="567"/>
        <w:outlineLvl w:val="2"/>
        <w:rPr>
          <w:rFonts w:eastAsia="TimesNewRoman"/>
          <w:sz w:val="22"/>
          <w:szCs w:val="22"/>
          <w:lang w:eastAsia="en-US"/>
        </w:rPr>
      </w:pPr>
    </w:p>
    <w:p w14:paraId="1CA4DA39" w14:textId="6A849C88" w:rsidR="00E86446" w:rsidRDefault="00345E63">
      <w:pPr>
        <w:widowControl w:val="0"/>
        <w:autoSpaceDE w:val="0"/>
        <w:autoSpaceDN w:val="0"/>
        <w:adjustRightInd w:val="0"/>
        <w:rPr>
          <w:sz w:val="22"/>
          <w:szCs w:val="22"/>
        </w:rPr>
      </w:pPr>
      <w:r>
        <w:rPr>
          <w:sz w:val="22"/>
          <w:szCs w:val="22"/>
        </w:rPr>
        <w:t>Pirminių ir antrinių vertinamųjų baigčių duomenys pateikiami 2</w:t>
      </w:r>
      <w:r w:rsidR="00C638C1">
        <w:rPr>
          <w:sz w:val="22"/>
          <w:szCs w:val="22"/>
        </w:rPr>
        <w:t> </w:t>
      </w:r>
      <w:r>
        <w:rPr>
          <w:sz w:val="22"/>
          <w:szCs w:val="22"/>
        </w:rPr>
        <w:t xml:space="preserve">pav. Dapagliflozino pranašumo prieš placebą pagal </w:t>
      </w:r>
      <w:r>
        <w:rPr>
          <w:i/>
          <w:iCs/>
          <w:sz w:val="22"/>
          <w:szCs w:val="22"/>
        </w:rPr>
        <w:t xml:space="preserve">MACE </w:t>
      </w:r>
      <w:r>
        <w:rPr>
          <w:sz w:val="22"/>
          <w:szCs w:val="22"/>
        </w:rPr>
        <w:t>nenustatyta (p = 0,172), todėl sudėtinė inkstų vertinamoji baigtis ir mirštamumas dėl visų priežasčių nebuvo tiriami kaip patvirtinamosios testavimo procedūros dalis.</w:t>
      </w:r>
    </w:p>
    <w:p w14:paraId="7B549040" w14:textId="77777777" w:rsidR="00E86446" w:rsidRDefault="00E86446">
      <w:pPr>
        <w:widowControl w:val="0"/>
        <w:tabs>
          <w:tab w:val="left" w:pos="567"/>
        </w:tabs>
        <w:ind w:left="567" w:hanging="567"/>
        <w:outlineLvl w:val="2"/>
        <w:rPr>
          <w:rFonts w:eastAsia="TimesNewRoman"/>
          <w:sz w:val="22"/>
          <w:szCs w:val="22"/>
          <w:lang w:eastAsia="en-US"/>
        </w:rPr>
      </w:pPr>
    </w:p>
    <w:p w14:paraId="762ED564" w14:textId="77777777" w:rsidR="00E86446" w:rsidRDefault="00345E63">
      <w:pPr>
        <w:widowControl w:val="0"/>
        <w:tabs>
          <w:tab w:val="left" w:pos="567"/>
        </w:tabs>
        <w:ind w:left="567" w:hanging="567"/>
        <w:outlineLvl w:val="2"/>
        <w:rPr>
          <w:b/>
          <w:bCs/>
          <w:sz w:val="22"/>
          <w:szCs w:val="22"/>
        </w:rPr>
      </w:pPr>
      <w:r>
        <w:rPr>
          <w:b/>
          <w:bCs/>
          <w:sz w:val="22"/>
          <w:szCs w:val="22"/>
        </w:rPr>
        <w:t>2 pav. Gydymo poveikis pagrindinėms ir antrinėms vertinamosioms baigtims bei jų komponentams</w:t>
      </w:r>
    </w:p>
    <w:p w14:paraId="7DBD5E20" w14:textId="67F51411" w:rsidR="00E86446" w:rsidRDefault="00345E63">
      <w:pPr>
        <w:widowControl w:val="0"/>
        <w:tabs>
          <w:tab w:val="left" w:pos="567"/>
        </w:tabs>
        <w:ind w:left="567" w:hanging="567"/>
        <w:outlineLvl w:val="2"/>
        <w:rPr>
          <w:b/>
          <w:bCs/>
          <w:sz w:val="22"/>
          <w:szCs w:val="22"/>
        </w:rPr>
      </w:pPr>
      <w:r>
        <w:rPr>
          <w:b/>
          <w:bCs/>
          <w:noProof/>
          <w:sz w:val="22"/>
          <w:szCs w:val="22"/>
          <w:lang w:val="en-US" w:eastAsia="en-US"/>
        </w:rPr>
        <w:drawing>
          <wp:inline distT="0" distB="0" distL="0" distR="0" wp14:anchorId="21FDFB90" wp14:editId="27A87657">
            <wp:extent cx="6162675" cy="3105150"/>
            <wp:effectExtent l="0" t="0" r="9525" b="0"/>
            <wp:docPr id="13063248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3105150"/>
                    </a:xfrm>
                    <a:prstGeom prst="rect">
                      <a:avLst/>
                    </a:prstGeom>
                    <a:noFill/>
                    <a:ln>
                      <a:noFill/>
                    </a:ln>
                  </pic:spPr>
                </pic:pic>
              </a:graphicData>
            </a:graphic>
          </wp:inline>
        </w:drawing>
      </w:r>
    </w:p>
    <w:p w14:paraId="64D0FB1E" w14:textId="6E9F85ED" w:rsidR="00E86446" w:rsidRDefault="00345E63">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Sudėtinė inkstų vertinamoji baigtis apibrėžta kaip nuolatinis patvirtintas </w:t>
      </w:r>
      <w:proofErr w:type="spellStart"/>
      <w:r>
        <w:rPr>
          <w:rFonts w:eastAsiaTheme="minorHAnsi"/>
          <w:color w:val="000000"/>
          <w:sz w:val="18"/>
          <w:szCs w:val="18"/>
          <w:lang w:eastAsia="en-US"/>
        </w:rPr>
        <w:t>aGFG</w:t>
      </w:r>
      <w:proofErr w:type="spellEnd"/>
      <w:r>
        <w:rPr>
          <w:rFonts w:eastAsiaTheme="minorHAnsi"/>
          <w:color w:val="000000"/>
          <w:sz w:val="18"/>
          <w:szCs w:val="18"/>
          <w:lang w:eastAsia="en-US"/>
        </w:rPr>
        <w:t xml:space="preserve"> sumažėjimas ≥</w:t>
      </w:r>
      <w:r w:rsidR="00FF16FE">
        <w:rPr>
          <w:rFonts w:eastAsiaTheme="minorHAnsi"/>
          <w:color w:val="000000"/>
          <w:sz w:val="18"/>
          <w:szCs w:val="18"/>
          <w:lang w:eastAsia="en-US"/>
        </w:rPr>
        <w:t> </w:t>
      </w:r>
      <w:r>
        <w:rPr>
          <w:rFonts w:eastAsiaTheme="minorHAnsi"/>
          <w:color w:val="000000"/>
          <w:sz w:val="18"/>
          <w:szCs w:val="18"/>
          <w:lang w:eastAsia="en-US"/>
        </w:rPr>
        <w:t xml:space="preserve">40 % iki </w:t>
      </w:r>
      <w:proofErr w:type="spellStart"/>
      <w:r>
        <w:rPr>
          <w:rFonts w:eastAsiaTheme="minorHAnsi"/>
          <w:color w:val="000000"/>
          <w:sz w:val="18"/>
          <w:szCs w:val="18"/>
          <w:lang w:eastAsia="en-US"/>
        </w:rPr>
        <w:t>aGFG</w:t>
      </w:r>
      <w:proofErr w:type="spellEnd"/>
      <w:r w:rsidR="00FF16FE">
        <w:rPr>
          <w:rFonts w:eastAsiaTheme="minorHAnsi"/>
          <w:color w:val="000000"/>
          <w:sz w:val="18"/>
          <w:szCs w:val="18"/>
          <w:lang w:eastAsia="en-US"/>
        </w:rPr>
        <w:t> </w:t>
      </w:r>
      <w:r>
        <w:rPr>
          <w:rFonts w:eastAsiaTheme="minorHAnsi"/>
          <w:color w:val="000000"/>
          <w:sz w:val="18"/>
          <w:szCs w:val="18"/>
          <w:lang w:eastAsia="en-US"/>
        </w:rPr>
        <w:t>&lt; 60 ml/min./1,73 m</w:t>
      </w:r>
      <w:r>
        <w:rPr>
          <w:rFonts w:eastAsiaTheme="minorHAnsi"/>
          <w:color w:val="000000"/>
          <w:sz w:val="18"/>
          <w:szCs w:val="18"/>
          <w:vertAlign w:val="superscript"/>
          <w:lang w:eastAsia="en-US"/>
        </w:rPr>
        <w:t>2</w:t>
      </w:r>
      <w:r>
        <w:rPr>
          <w:rFonts w:eastAsiaTheme="minorHAnsi"/>
          <w:color w:val="000000"/>
          <w:sz w:val="18"/>
          <w:szCs w:val="18"/>
          <w:lang w:eastAsia="en-US"/>
        </w:rPr>
        <w:t xml:space="preserve"> ir (arba) galutinės stadijos inkstų liga (dializės ≥</w:t>
      </w:r>
      <w:r w:rsidR="00FF16FE">
        <w:rPr>
          <w:rFonts w:eastAsiaTheme="minorHAnsi"/>
          <w:color w:val="000000"/>
          <w:sz w:val="18"/>
          <w:szCs w:val="18"/>
          <w:lang w:eastAsia="en-US"/>
        </w:rPr>
        <w:t> </w:t>
      </w:r>
      <w:r>
        <w:rPr>
          <w:rFonts w:eastAsiaTheme="minorHAnsi"/>
          <w:color w:val="000000"/>
          <w:sz w:val="18"/>
          <w:szCs w:val="18"/>
          <w:lang w:eastAsia="en-US"/>
        </w:rPr>
        <w:t xml:space="preserve">90 dienų arba inksto persodinimas, nuolatinis patvirtintas </w:t>
      </w:r>
      <w:proofErr w:type="spellStart"/>
      <w:r>
        <w:rPr>
          <w:rFonts w:eastAsiaTheme="minorHAnsi"/>
          <w:color w:val="000000"/>
          <w:sz w:val="18"/>
          <w:szCs w:val="18"/>
          <w:lang w:eastAsia="en-US"/>
        </w:rPr>
        <w:t>aGFG</w:t>
      </w:r>
      <w:proofErr w:type="spellEnd"/>
      <w:r w:rsidR="00BC313E">
        <w:rPr>
          <w:rFonts w:eastAsiaTheme="minorHAnsi"/>
          <w:color w:val="000000"/>
          <w:sz w:val="18"/>
          <w:szCs w:val="18"/>
          <w:lang w:eastAsia="en-US"/>
        </w:rPr>
        <w:t> </w:t>
      </w:r>
      <w:r>
        <w:rPr>
          <w:rFonts w:eastAsiaTheme="minorHAnsi"/>
          <w:color w:val="000000"/>
          <w:sz w:val="18"/>
          <w:szCs w:val="18"/>
          <w:lang w:eastAsia="en-US"/>
        </w:rPr>
        <w:t>&lt;</w:t>
      </w:r>
      <w:r w:rsidR="00BC313E">
        <w:rPr>
          <w:rFonts w:eastAsiaTheme="minorHAnsi"/>
          <w:color w:val="000000"/>
          <w:sz w:val="18"/>
          <w:szCs w:val="18"/>
          <w:lang w:eastAsia="en-US"/>
        </w:rPr>
        <w:t> </w:t>
      </w:r>
      <w:r>
        <w:rPr>
          <w:rFonts w:eastAsiaTheme="minorHAnsi"/>
          <w:color w:val="000000"/>
          <w:sz w:val="18"/>
          <w:szCs w:val="18"/>
          <w:lang w:eastAsia="en-US"/>
        </w:rPr>
        <w:t>15 ml/min./1,73 m</w:t>
      </w:r>
      <w:r>
        <w:rPr>
          <w:rFonts w:eastAsiaTheme="minorHAnsi"/>
          <w:color w:val="000000"/>
          <w:sz w:val="18"/>
          <w:szCs w:val="18"/>
          <w:vertAlign w:val="superscript"/>
          <w:lang w:eastAsia="en-US"/>
        </w:rPr>
        <w:t>2</w:t>
      </w:r>
      <w:r>
        <w:rPr>
          <w:rFonts w:eastAsiaTheme="minorHAnsi"/>
          <w:color w:val="000000"/>
          <w:sz w:val="18"/>
          <w:szCs w:val="18"/>
          <w:lang w:eastAsia="en-US"/>
        </w:rPr>
        <w:t>)</w:t>
      </w:r>
      <w:r w:rsidR="00BC313E">
        <w:rPr>
          <w:rFonts w:eastAsiaTheme="minorHAnsi"/>
          <w:color w:val="000000"/>
          <w:sz w:val="18"/>
          <w:szCs w:val="18"/>
          <w:lang w:eastAsia="en-US"/>
        </w:rPr>
        <w:t>,</w:t>
      </w:r>
      <w:r>
        <w:rPr>
          <w:rFonts w:eastAsiaTheme="minorHAnsi"/>
          <w:color w:val="000000"/>
          <w:sz w:val="18"/>
          <w:szCs w:val="18"/>
          <w:lang w:eastAsia="en-US"/>
        </w:rPr>
        <w:t xml:space="preserve"> ir (arba) </w:t>
      </w:r>
      <w:r w:rsidR="00BC313E">
        <w:rPr>
          <w:rFonts w:eastAsiaTheme="minorHAnsi"/>
          <w:color w:val="000000"/>
          <w:sz w:val="18"/>
          <w:szCs w:val="18"/>
          <w:lang w:eastAsia="en-US"/>
        </w:rPr>
        <w:t xml:space="preserve">mirtis dėl </w:t>
      </w:r>
      <w:r>
        <w:rPr>
          <w:rFonts w:eastAsiaTheme="minorHAnsi"/>
          <w:color w:val="000000"/>
          <w:sz w:val="18"/>
          <w:szCs w:val="18"/>
          <w:lang w:eastAsia="en-US"/>
        </w:rPr>
        <w:t>inkst</w:t>
      </w:r>
      <w:r w:rsidR="00BC313E">
        <w:rPr>
          <w:rFonts w:eastAsiaTheme="minorHAnsi"/>
          <w:color w:val="000000"/>
          <w:sz w:val="18"/>
          <w:szCs w:val="18"/>
          <w:lang w:eastAsia="en-US"/>
        </w:rPr>
        <w:t>ų</w:t>
      </w:r>
      <w:r>
        <w:rPr>
          <w:rFonts w:eastAsiaTheme="minorHAnsi"/>
          <w:color w:val="000000"/>
          <w:sz w:val="18"/>
          <w:szCs w:val="18"/>
          <w:lang w:eastAsia="en-US"/>
        </w:rPr>
        <w:t xml:space="preserve"> arba kardiovaskulinė</w:t>
      </w:r>
      <w:r w:rsidR="00BC313E">
        <w:rPr>
          <w:rFonts w:eastAsiaTheme="minorHAnsi"/>
          <w:color w:val="000000"/>
          <w:sz w:val="18"/>
          <w:szCs w:val="18"/>
          <w:lang w:eastAsia="en-US"/>
        </w:rPr>
        <w:t>s sistemos sutrikimų</w:t>
      </w:r>
      <w:r>
        <w:rPr>
          <w:rFonts w:eastAsiaTheme="minorHAnsi"/>
          <w:color w:val="000000"/>
          <w:sz w:val="18"/>
          <w:szCs w:val="18"/>
          <w:lang w:eastAsia="en-US"/>
        </w:rPr>
        <w:t>.</w:t>
      </w:r>
    </w:p>
    <w:p w14:paraId="403E93BA" w14:textId="77777777" w:rsidR="00E86446" w:rsidRDefault="00E86446">
      <w:pPr>
        <w:autoSpaceDE w:val="0"/>
        <w:autoSpaceDN w:val="0"/>
        <w:adjustRightInd w:val="0"/>
        <w:rPr>
          <w:rFonts w:eastAsiaTheme="minorHAnsi"/>
          <w:color w:val="000000"/>
          <w:sz w:val="18"/>
          <w:szCs w:val="18"/>
          <w:lang w:eastAsia="en-US"/>
        </w:rPr>
      </w:pPr>
    </w:p>
    <w:p w14:paraId="3BB61AA4" w14:textId="78E1D06D" w:rsidR="00E86446" w:rsidRDefault="00BC313E">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P</w:t>
      </w:r>
      <w:r w:rsidR="00345E63">
        <w:rPr>
          <w:rFonts w:eastAsiaTheme="minorHAnsi"/>
          <w:color w:val="000000"/>
          <w:sz w:val="18"/>
          <w:szCs w:val="18"/>
          <w:lang w:eastAsia="en-US"/>
        </w:rPr>
        <w:t xml:space="preserve"> reikšmės yra dvipusės. Antrinių vertinamųjų baigčių ir atskirų komponentų p reikšmės yra nominalios. Laikas iki pirmosios komplikacijos analizuotas </w:t>
      </w:r>
      <w:proofErr w:type="spellStart"/>
      <w:r w:rsidR="00345E63">
        <w:rPr>
          <w:rFonts w:eastAsiaTheme="minorHAnsi"/>
          <w:i/>
          <w:iCs/>
          <w:color w:val="000000"/>
          <w:sz w:val="18"/>
          <w:szCs w:val="18"/>
          <w:lang w:eastAsia="en-US"/>
        </w:rPr>
        <w:t>Cox</w:t>
      </w:r>
      <w:proofErr w:type="spellEnd"/>
      <w:r w:rsidR="00345E63">
        <w:rPr>
          <w:rFonts w:eastAsiaTheme="minorHAnsi"/>
          <w:i/>
          <w:iCs/>
          <w:color w:val="000000"/>
          <w:sz w:val="18"/>
          <w:szCs w:val="18"/>
          <w:lang w:eastAsia="en-US"/>
        </w:rPr>
        <w:t xml:space="preserve"> </w:t>
      </w:r>
      <w:r w:rsidR="00345E63">
        <w:rPr>
          <w:rFonts w:eastAsiaTheme="minorHAnsi"/>
          <w:color w:val="000000"/>
          <w:sz w:val="18"/>
          <w:szCs w:val="18"/>
          <w:lang w:eastAsia="en-US"/>
        </w:rPr>
        <w:t>proporcingos rizikos modeliu. Nurodytas pirmųjų komplikacijų skaičius pagal atskirus komponentus; vėlesnių komplikacijų skaičius nepridėtas ir prie sudėtinės vertinamosios baigties komplikacijų.</w:t>
      </w:r>
    </w:p>
    <w:p w14:paraId="5428D7C6" w14:textId="77777777" w:rsidR="00E86446" w:rsidRDefault="00345E63">
      <w:pPr>
        <w:widowControl w:val="0"/>
        <w:tabs>
          <w:tab w:val="left" w:pos="567"/>
        </w:tabs>
        <w:ind w:left="567" w:hanging="567"/>
        <w:outlineLvl w:val="2"/>
        <w:rPr>
          <w:rFonts w:eastAsia="TimesNewRoman"/>
          <w:sz w:val="18"/>
          <w:szCs w:val="18"/>
          <w:lang w:eastAsia="en-US"/>
        </w:rPr>
      </w:pPr>
      <w:r>
        <w:rPr>
          <w:rFonts w:eastAsiaTheme="minorHAnsi"/>
          <w:color w:val="000000"/>
          <w:sz w:val="18"/>
          <w:szCs w:val="18"/>
          <w:lang w:eastAsia="en-US"/>
        </w:rPr>
        <w:t xml:space="preserve">PI – </w:t>
      </w:r>
      <w:proofErr w:type="spellStart"/>
      <w:r>
        <w:rPr>
          <w:rFonts w:eastAsiaTheme="minorHAnsi"/>
          <w:color w:val="000000"/>
          <w:sz w:val="18"/>
          <w:szCs w:val="18"/>
          <w:lang w:eastAsia="en-US"/>
        </w:rPr>
        <w:t>pasikliautinasis</w:t>
      </w:r>
      <w:proofErr w:type="spellEnd"/>
      <w:r>
        <w:rPr>
          <w:rFonts w:eastAsiaTheme="minorHAnsi"/>
          <w:color w:val="000000"/>
          <w:sz w:val="18"/>
          <w:szCs w:val="18"/>
          <w:lang w:eastAsia="en-US"/>
        </w:rPr>
        <w:t xml:space="preserve"> intervalas</w:t>
      </w:r>
    </w:p>
    <w:p w14:paraId="3DEAAABC" w14:textId="77777777" w:rsidR="00E86446" w:rsidRDefault="00E86446">
      <w:pPr>
        <w:widowControl w:val="0"/>
        <w:tabs>
          <w:tab w:val="left" w:pos="567"/>
        </w:tabs>
        <w:ind w:left="567" w:hanging="567"/>
        <w:outlineLvl w:val="2"/>
        <w:rPr>
          <w:rFonts w:eastAsia="TimesNewRoman"/>
          <w:sz w:val="22"/>
          <w:szCs w:val="22"/>
          <w:lang w:eastAsia="en-US"/>
        </w:rPr>
      </w:pPr>
    </w:p>
    <w:p w14:paraId="6EA4C609" w14:textId="77777777"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i/>
          <w:iCs/>
          <w:color w:val="000000"/>
          <w:sz w:val="22"/>
          <w:szCs w:val="22"/>
          <w:u w:val="single"/>
          <w:lang w:eastAsia="en-US"/>
        </w:rPr>
        <w:t>Nefropatija</w:t>
      </w:r>
      <w:proofErr w:type="spellEnd"/>
    </w:p>
    <w:p w14:paraId="424E3C02" w14:textId="7B58FFE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Dapagliflozinas sumažino sudėtinės vertinamosios baigties, kurią sudarė patvirtintas nuolatinis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sumažėjimas, galutinės stadijos inkstų liga bei </w:t>
      </w:r>
      <w:r w:rsidR="00E3002E">
        <w:rPr>
          <w:rFonts w:eastAsiaTheme="minorHAnsi"/>
          <w:color w:val="000000"/>
          <w:sz w:val="22"/>
          <w:szCs w:val="22"/>
          <w:lang w:eastAsia="en-US"/>
        </w:rPr>
        <w:t xml:space="preserve">mirtys dėl </w:t>
      </w:r>
      <w:r>
        <w:rPr>
          <w:rFonts w:eastAsiaTheme="minorHAnsi"/>
          <w:color w:val="000000"/>
          <w:sz w:val="22"/>
          <w:szCs w:val="22"/>
          <w:lang w:eastAsia="en-US"/>
        </w:rPr>
        <w:t>inkst</w:t>
      </w:r>
      <w:r w:rsidR="00E3002E">
        <w:rPr>
          <w:rFonts w:eastAsiaTheme="minorHAnsi"/>
          <w:color w:val="000000"/>
          <w:sz w:val="22"/>
          <w:szCs w:val="22"/>
          <w:lang w:eastAsia="en-US"/>
        </w:rPr>
        <w:t>ų</w:t>
      </w:r>
      <w:r>
        <w:rPr>
          <w:rFonts w:eastAsiaTheme="minorHAnsi"/>
          <w:color w:val="000000"/>
          <w:sz w:val="22"/>
          <w:szCs w:val="22"/>
          <w:lang w:eastAsia="en-US"/>
        </w:rPr>
        <w:t xml:space="preserve"> ir kardiovaskulin</w:t>
      </w:r>
      <w:r w:rsidR="00E95F42">
        <w:rPr>
          <w:rFonts w:eastAsiaTheme="minorHAnsi"/>
          <w:color w:val="000000"/>
          <w:sz w:val="22"/>
          <w:szCs w:val="22"/>
          <w:lang w:eastAsia="en-US"/>
        </w:rPr>
        <w:t>ių</w:t>
      </w:r>
      <w:r>
        <w:rPr>
          <w:rFonts w:eastAsiaTheme="minorHAnsi"/>
          <w:color w:val="000000"/>
          <w:sz w:val="22"/>
          <w:szCs w:val="22"/>
          <w:lang w:eastAsia="en-US"/>
        </w:rPr>
        <w:t xml:space="preserve"> </w:t>
      </w:r>
      <w:r w:rsidR="00E95F42">
        <w:rPr>
          <w:rFonts w:eastAsiaTheme="minorHAnsi"/>
          <w:color w:val="000000"/>
          <w:sz w:val="22"/>
          <w:szCs w:val="22"/>
          <w:lang w:eastAsia="en-US"/>
        </w:rPr>
        <w:t>ligų</w:t>
      </w:r>
      <w:r>
        <w:rPr>
          <w:rFonts w:eastAsiaTheme="minorHAnsi"/>
          <w:color w:val="000000"/>
          <w:sz w:val="22"/>
          <w:szCs w:val="22"/>
          <w:lang w:eastAsia="en-US"/>
        </w:rPr>
        <w:t xml:space="preserve">, atvejų skaičių. Skirtumą tarp grupių nulėmė inkstų baigčių komponentai – užfiksuota mažiau nuolatinio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sumažėjimo, galutinės stadijos inkstų ligos ir </w:t>
      </w:r>
      <w:r w:rsidR="00E95F42">
        <w:rPr>
          <w:rFonts w:eastAsiaTheme="minorHAnsi"/>
          <w:color w:val="000000"/>
          <w:sz w:val="22"/>
          <w:szCs w:val="22"/>
          <w:lang w:eastAsia="en-US"/>
        </w:rPr>
        <w:t xml:space="preserve">mirties nuo </w:t>
      </w:r>
      <w:r>
        <w:rPr>
          <w:rFonts w:eastAsiaTheme="minorHAnsi"/>
          <w:color w:val="000000"/>
          <w:sz w:val="22"/>
          <w:szCs w:val="22"/>
          <w:lang w:eastAsia="en-US"/>
        </w:rPr>
        <w:t>inkst</w:t>
      </w:r>
      <w:r w:rsidR="00E95F42">
        <w:rPr>
          <w:rFonts w:eastAsiaTheme="minorHAnsi"/>
          <w:color w:val="000000"/>
          <w:sz w:val="22"/>
          <w:szCs w:val="22"/>
          <w:lang w:eastAsia="en-US"/>
        </w:rPr>
        <w:t>ų</w:t>
      </w:r>
      <w:r>
        <w:rPr>
          <w:rFonts w:eastAsiaTheme="minorHAnsi"/>
          <w:color w:val="000000"/>
          <w:sz w:val="22"/>
          <w:szCs w:val="22"/>
          <w:lang w:eastAsia="en-US"/>
        </w:rPr>
        <w:t xml:space="preserve"> </w:t>
      </w:r>
      <w:r w:rsidR="00E95F42">
        <w:rPr>
          <w:rFonts w:eastAsiaTheme="minorHAnsi"/>
          <w:color w:val="000000"/>
          <w:sz w:val="22"/>
          <w:szCs w:val="22"/>
          <w:lang w:eastAsia="en-US"/>
        </w:rPr>
        <w:t xml:space="preserve">ligos </w:t>
      </w:r>
      <w:r>
        <w:rPr>
          <w:rFonts w:eastAsiaTheme="minorHAnsi"/>
          <w:color w:val="000000"/>
          <w:sz w:val="22"/>
          <w:szCs w:val="22"/>
          <w:lang w:eastAsia="en-US"/>
        </w:rPr>
        <w:t>atvejų (2</w:t>
      </w:r>
      <w:r w:rsidR="00E95F42">
        <w:rPr>
          <w:rFonts w:eastAsiaTheme="minorHAnsi"/>
          <w:color w:val="000000"/>
          <w:sz w:val="22"/>
          <w:szCs w:val="22"/>
          <w:lang w:eastAsia="en-US"/>
        </w:rPr>
        <w:t> </w:t>
      </w:r>
      <w:r>
        <w:rPr>
          <w:rFonts w:eastAsiaTheme="minorHAnsi"/>
          <w:color w:val="000000"/>
          <w:sz w:val="22"/>
          <w:szCs w:val="22"/>
          <w:lang w:eastAsia="en-US"/>
        </w:rPr>
        <w:t>pav.).</w:t>
      </w:r>
    </w:p>
    <w:p w14:paraId="4E60F291" w14:textId="77777777" w:rsidR="00E86446" w:rsidRDefault="00E86446">
      <w:pPr>
        <w:autoSpaceDE w:val="0"/>
        <w:autoSpaceDN w:val="0"/>
        <w:adjustRightInd w:val="0"/>
        <w:rPr>
          <w:rFonts w:eastAsiaTheme="minorHAnsi"/>
          <w:color w:val="000000"/>
          <w:sz w:val="22"/>
          <w:szCs w:val="22"/>
          <w:lang w:eastAsia="en-US"/>
        </w:rPr>
      </w:pPr>
    </w:p>
    <w:p w14:paraId="78467658" w14:textId="5C6DA324"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Laiko iki </w:t>
      </w:r>
      <w:proofErr w:type="spellStart"/>
      <w:r>
        <w:rPr>
          <w:rFonts w:eastAsiaTheme="minorHAnsi"/>
          <w:color w:val="000000"/>
          <w:sz w:val="22"/>
          <w:szCs w:val="22"/>
          <w:lang w:eastAsia="en-US"/>
        </w:rPr>
        <w:t>nefropatijos</w:t>
      </w:r>
      <w:proofErr w:type="spellEnd"/>
      <w:r>
        <w:rPr>
          <w:rFonts w:eastAsiaTheme="minorHAnsi"/>
          <w:color w:val="000000"/>
          <w:sz w:val="22"/>
          <w:szCs w:val="22"/>
          <w:lang w:eastAsia="en-US"/>
        </w:rPr>
        <w:t xml:space="preserve"> (nuolatinio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sumažėjimo, galutinės stadijos inkstų ligos arba </w:t>
      </w:r>
      <w:r w:rsidR="00E95F42">
        <w:rPr>
          <w:rFonts w:eastAsiaTheme="minorHAnsi"/>
          <w:color w:val="000000"/>
          <w:sz w:val="22"/>
          <w:szCs w:val="22"/>
          <w:lang w:eastAsia="en-US"/>
        </w:rPr>
        <w:t xml:space="preserve">mirties nuo </w:t>
      </w:r>
      <w:proofErr w:type="spellStart"/>
      <w:r>
        <w:rPr>
          <w:rFonts w:eastAsiaTheme="minorHAnsi"/>
          <w:color w:val="000000"/>
          <w:sz w:val="22"/>
          <w:szCs w:val="22"/>
          <w:lang w:eastAsia="en-US"/>
        </w:rPr>
        <w:t>inkst</w:t>
      </w:r>
      <w:r w:rsidR="00E95F42">
        <w:rPr>
          <w:rFonts w:eastAsiaTheme="minorHAnsi"/>
          <w:color w:val="000000"/>
          <w:sz w:val="22"/>
          <w:szCs w:val="22"/>
          <w:lang w:eastAsia="en-US"/>
        </w:rPr>
        <w:t>ų</w:t>
      </w:r>
      <w:r>
        <w:rPr>
          <w:rFonts w:eastAsiaTheme="minorHAnsi"/>
          <w:color w:val="000000"/>
          <w:sz w:val="22"/>
          <w:szCs w:val="22"/>
          <w:lang w:eastAsia="en-US"/>
        </w:rPr>
        <w:t>s</w:t>
      </w:r>
      <w:proofErr w:type="spellEnd"/>
      <w:r>
        <w:rPr>
          <w:rFonts w:eastAsiaTheme="minorHAnsi"/>
          <w:color w:val="000000"/>
          <w:sz w:val="22"/>
          <w:szCs w:val="22"/>
          <w:lang w:eastAsia="en-US"/>
        </w:rPr>
        <w:t xml:space="preserve"> </w:t>
      </w:r>
      <w:r w:rsidR="00E95F42">
        <w:rPr>
          <w:rFonts w:eastAsiaTheme="minorHAnsi"/>
          <w:color w:val="000000"/>
          <w:sz w:val="22"/>
          <w:szCs w:val="22"/>
          <w:lang w:eastAsia="en-US"/>
        </w:rPr>
        <w:t>ligos</w:t>
      </w:r>
      <w:r>
        <w:rPr>
          <w:rFonts w:eastAsiaTheme="minorHAnsi"/>
          <w:color w:val="000000"/>
          <w:sz w:val="22"/>
          <w:szCs w:val="22"/>
          <w:lang w:eastAsia="en-US"/>
        </w:rPr>
        <w:t>) pasireiškimo rizikos santykis, palyginus dapaglifloziną su placebu, buvo 0,53 (95 % PI – nuo 0,43 iki 0,66).</w:t>
      </w:r>
    </w:p>
    <w:p w14:paraId="42370DB9" w14:textId="77777777" w:rsidR="00E86446" w:rsidRDefault="00E86446">
      <w:pPr>
        <w:autoSpaceDE w:val="0"/>
        <w:autoSpaceDN w:val="0"/>
        <w:adjustRightInd w:val="0"/>
        <w:rPr>
          <w:rFonts w:eastAsiaTheme="minorHAnsi"/>
          <w:color w:val="000000"/>
          <w:sz w:val="22"/>
          <w:szCs w:val="22"/>
          <w:lang w:eastAsia="en-US"/>
        </w:rPr>
      </w:pPr>
    </w:p>
    <w:p w14:paraId="55164082"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Be to, dapagliflozinas (palyginus su placebu) sumažino nuolatinės </w:t>
      </w:r>
      <w:proofErr w:type="spellStart"/>
      <w:r>
        <w:rPr>
          <w:rFonts w:eastAsiaTheme="minorHAnsi"/>
          <w:color w:val="000000"/>
          <w:sz w:val="22"/>
          <w:szCs w:val="22"/>
          <w:lang w:eastAsia="en-US"/>
        </w:rPr>
        <w:t>albuminurijos</w:t>
      </w:r>
      <w:proofErr w:type="spellEnd"/>
      <w:r>
        <w:rPr>
          <w:rFonts w:eastAsiaTheme="minorHAnsi"/>
          <w:color w:val="000000"/>
          <w:sz w:val="22"/>
          <w:szCs w:val="22"/>
          <w:lang w:eastAsia="en-US"/>
        </w:rPr>
        <w:t xml:space="preserve"> pirmojo pasireiškimo riziką (rizikos santykis – 0,79, 95 % PI – nuo 0,72 iki 0,87) ir labiau sumažino </w:t>
      </w:r>
      <w:proofErr w:type="spellStart"/>
      <w:r>
        <w:rPr>
          <w:rFonts w:eastAsiaTheme="minorHAnsi"/>
          <w:color w:val="000000"/>
          <w:sz w:val="22"/>
          <w:szCs w:val="22"/>
          <w:lang w:eastAsia="en-US"/>
        </w:rPr>
        <w:t>makroalbuminuriją</w:t>
      </w:r>
      <w:proofErr w:type="spellEnd"/>
      <w:r>
        <w:rPr>
          <w:rFonts w:eastAsiaTheme="minorHAnsi"/>
          <w:color w:val="000000"/>
          <w:sz w:val="22"/>
          <w:szCs w:val="22"/>
          <w:lang w:eastAsia="en-US"/>
        </w:rPr>
        <w:t xml:space="preserve"> (rizikos santykis – 1,82, 95 % PI – nuo 1,51 iki 2,20).</w:t>
      </w:r>
    </w:p>
    <w:p w14:paraId="51B58DF2" w14:textId="77777777" w:rsidR="00E86446" w:rsidRDefault="00E86446">
      <w:pPr>
        <w:autoSpaceDE w:val="0"/>
        <w:autoSpaceDN w:val="0"/>
        <w:adjustRightInd w:val="0"/>
        <w:rPr>
          <w:rFonts w:eastAsiaTheme="minorHAnsi"/>
          <w:color w:val="000000"/>
          <w:sz w:val="22"/>
          <w:szCs w:val="22"/>
          <w:lang w:eastAsia="en-US"/>
        </w:rPr>
      </w:pPr>
    </w:p>
    <w:p w14:paraId="3D136B22" w14:textId="77777777" w:rsidR="00E86446" w:rsidRDefault="00345E63">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Metforminas</w:t>
      </w:r>
    </w:p>
    <w:p w14:paraId="2D01D89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Perspektyviniu atsitiktinės atrankos (UKPDS) tyrimu įrodyta intensyvaus gliukozės koncentracijos 2 tipo cukriniu diabetu sergančių pacientų kraujyje reguliavimo ilgalaikė nauda. Antsvorį turinčių pacientų, gydytų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po to, kai vien dieta buvo neveiksminga, duomenų analizė parodė:</w:t>
      </w:r>
    </w:p>
    <w:p w14:paraId="3ADFA9AC" w14:textId="4954A9CD" w:rsidR="00E86446" w:rsidRPr="003171F5" w:rsidRDefault="00345E63">
      <w:pPr>
        <w:widowControl w:val="0"/>
        <w:numPr>
          <w:ilvl w:val="0"/>
          <w:numId w:val="24"/>
        </w:numPr>
        <w:tabs>
          <w:tab w:val="left" w:pos="842"/>
        </w:tabs>
        <w:autoSpaceDE w:val="0"/>
        <w:autoSpaceDN w:val="0"/>
        <w:ind w:left="567" w:right="-1" w:hanging="566"/>
        <w:rPr>
          <w:szCs w:val="20"/>
          <w:lang w:eastAsia="sl-SI"/>
        </w:rPr>
      </w:pPr>
      <w:r>
        <w:rPr>
          <w:rFonts w:eastAsiaTheme="minorHAnsi"/>
          <w:color w:val="000000"/>
          <w:sz w:val="22"/>
          <w:szCs w:val="22"/>
          <w:lang w:eastAsia="en-US"/>
        </w:rPr>
        <w:t xml:space="preserve">reikšmingą kiekvienos su diabetu susijusios komplikacijos absoliučios rizikos sumažėjimą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grupės pacientams (jie patyrė 29,8 tokio atvejo per 1</w:t>
      </w:r>
      <w:r w:rsidR="00F64EF2">
        <w:rPr>
          <w:rFonts w:eastAsiaTheme="minorHAnsi"/>
          <w:color w:val="000000"/>
          <w:sz w:val="22"/>
          <w:szCs w:val="22"/>
          <w:lang w:eastAsia="en-US"/>
        </w:rPr>
        <w:t> </w:t>
      </w:r>
      <w:r>
        <w:rPr>
          <w:rFonts w:eastAsiaTheme="minorHAnsi"/>
          <w:color w:val="000000"/>
          <w:sz w:val="22"/>
          <w:szCs w:val="22"/>
          <w:lang w:eastAsia="en-US"/>
        </w:rPr>
        <w:t>000 paciento metų) palyginus su vien dieta gydyta grupe (43,3 atvejo per 1</w:t>
      </w:r>
      <w:r w:rsidR="00F64EF2">
        <w:rPr>
          <w:rFonts w:eastAsiaTheme="minorHAnsi"/>
          <w:color w:val="000000"/>
          <w:sz w:val="22"/>
          <w:szCs w:val="22"/>
          <w:lang w:eastAsia="en-US"/>
        </w:rPr>
        <w:t> </w:t>
      </w:r>
      <w:r>
        <w:rPr>
          <w:rFonts w:eastAsiaTheme="minorHAnsi"/>
          <w:color w:val="000000"/>
          <w:sz w:val="22"/>
          <w:szCs w:val="22"/>
          <w:lang w:eastAsia="en-US"/>
        </w:rPr>
        <w:t>000 paciento metų) (p</w:t>
      </w:r>
      <w:r w:rsidR="00F64EF2">
        <w:rPr>
          <w:rFonts w:eastAsiaTheme="minorHAnsi"/>
          <w:color w:val="000000"/>
          <w:sz w:val="22"/>
          <w:szCs w:val="22"/>
          <w:lang w:eastAsia="en-US"/>
        </w:rPr>
        <w:t> </w:t>
      </w:r>
      <w:r>
        <w:rPr>
          <w:rFonts w:eastAsiaTheme="minorHAnsi"/>
          <w:color w:val="000000"/>
          <w:sz w:val="22"/>
          <w:szCs w:val="22"/>
          <w:lang w:eastAsia="en-US"/>
        </w:rPr>
        <w:t>=</w:t>
      </w:r>
      <w:r w:rsidR="00F64EF2">
        <w:rPr>
          <w:rFonts w:eastAsiaTheme="minorHAnsi"/>
          <w:color w:val="000000"/>
          <w:sz w:val="22"/>
          <w:szCs w:val="22"/>
          <w:lang w:eastAsia="en-US"/>
        </w:rPr>
        <w:t> </w:t>
      </w:r>
      <w:r>
        <w:rPr>
          <w:rFonts w:eastAsiaTheme="minorHAnsi"/>
          <w:color w:val="000000"/>
          <w:sz w:val="22"/>
          <w:szCs w:val="22"/>
          <w:lang w:eastAsia="en-US"/>
        </w:rPr>
        <w:t xml:space="preserve">0,0023) ir su kartu paimtomis </w:t>
      </w:r>
      <w:proofErr w:type="spellStart"/>
      <w:r>
        <w:rPr>
          <w:rFonts w:eastAsiaTheme="minorHAnsi"/>
          <w:color w:val="000000"/>
          <w:sz w:val="22"/>
          <w:szCs w:val="22"/>
          <w:lang w:eastAsia="en-US"/>
        </w:rPr>
        <w:t>sulfonilkarbamido</w:t>
      </w:r>
      <w:proofErr w:type="spellEnd"/>
      <w:r w:rsidR="00F64EF2">
        <w:rPr>
          <w:rFonts w:eastAsiaTheme="minorHAnsi"/>
          <w:color w:val="000000"/>
          <w:sz w:val="22"/>
          <w:szCs w:val="22"/>
          <w:lang w:eastAsia="en-US"/>
        </w:rPr>
        <w:t xml:space="preserve"> darinių</w:t>
      </w:r>
      <w:r>
        <w:rPr>
          <w:rFonts w:eastAsiaTheme="minorHAnsi"/>
          <w:color w:val="000000"/>
          <w:sz w:val="22"/>
          <w:szCs w:val="22"/>
          <w:lang w:eastAsia="en-US"/>
        </w:rPr>
        <w:t xml:space="preserve"> ir insulino </w:t>
      </w:r>
      <w:proofErr w:type="spellStart"/>
      <w:r>
        <w:rPr>
          <w:rFonts w:eastAsiaTheme="minorHAnsi"/>
          <w:color w:val="000000"/>
          <w:sz w:val="22"/>
          <w:szCs w:val="22"/>
          <w:lang w:eastAsia="en-US"/>
        </w:rPr>
        <w:t>monoterapijos</w:t>
      </w:r>
      <w:proofErr w:type="spellEnd"/>
      <w:r>
        <w:rPr>
          <w:rFonts w:eastAsiaTheme="minorHAnsi"/>
          <w:color w:val="000000"/>
          <w:sz w:val="22"/>
          <w:szCs w:val="22"/>
          <w:lang w:eastAsia="en-US"/>
        </w:rPr>
        <w:t xml:space="preserve"> grupėmis (40,1 atvejo per 1</w:t>
      </w:r>
      <w:r w:rsidR="00F64EF2">
        <w:rPr>
          <w:rFonts w:eastAsiaTheme="minorHAnsi"/>
          <w:color w:val="000000"/>
          <w:sz w:val="22"/>
          <w:szCs w:val="22"/>
          <w:lang w:eastAsia="en-US"/>
        </w:rPr>
        <w:t> </w:t>
      </w:r>
      <w:r>
        <w:rPr>
          <w:rFonts w:eastAsiaTheme="minorHAnsi"/>
          <w:color w:val="000000"/>
          <w:sz w:val="22"/>
          <w:szCs w:val="22"/>
          <w:lang w:eastAsia="en-US"/>
        </w:rPr>
        <w:t>000 paciento metų) (p</w:t>
      </w:r>
      <w:r w:rsidR="00F64EF2">
        <w:rPr>
          <w:rFonts w:eastAsiaTheme="minorHAnsi"/>
          <w:color w:val="000000"/>
          <w:sz w:val="22"/>
          <w:szCs w:val="22"/>
          <w:lang w:eastAsia="en-US"/>
        </w:rPr>
        <w:t> </w:t>
      </w:r>
      <w:r>
        <w:rPr>
          <w:rFonts w:eastAsiaTheme="minorHAnsi"/>
          <w:color w:val="000000"/>
          <w:sz w:val="22"/>
          <w:szCs w:val="22"/>
          <w:lang w:eastAsia="en-US"/>
        </w:rPr>
        <w:t>=</w:t>
      </w:r>
      <w:r w:rsidR="00F64EF2">
        <w:rPr>
          <w:rFonts w:eastAsiaTheme="minorHAnsi"/>
          <w:color w:val="000000"/>
          <w:sz w:val="22"/>
          <w:szCs w:val="22"/>
          <w:lang w:eastAsia="en-US"/>
        </w:rPr>
        <w:t> </w:t>
      </w:r>
      <w:r>
        <w:rPr>
          <w:rFonts w:eastAsiaTheme="minorHAnsi"/>
          <w:color w:val="000000"/>
          <w:sz w:val="22"/>
          <w:szCs w:val="22"/>
          <w:lang w:eastAsia="en-US"/>
        </w:rPr>
        <w:t>0,0034);</w:t>
      </w:r>
    </w:p>
    <w:p w14:paraId="317CEC86" w14:textId="0F844EE9" w:rsidR="00E86446" w:rsidRPr="003171F5" w:rsidRDefault="00345E63">
      <w:pPr>
        <w:widowControl w:val="0"/>
        <w:numPr>
          <w:ilvl w:val="0"/>
          <w:numId w:val="24"/>
        </w:numPr>
        <w:tabs>
          <w:tab w:val="left" w:pos="842"/>
        </w:tabs>
        <w:autoSpaceDE w:val="0"/>
        <w:autoSpaceDN w:val="0"/>
        <w:ind w:left="567" w:right="-1" w:hanging="566"/>
        <w:rPr>
          <w:szCs w:val="20"/>
          <w:lang w:eastAsia="sl-SI"/>
        </w:rPr>
      </w:pPr>
      <w:r>
        <w:rPr>
          <w:rFonts w:eastAsiaTheme="minorHAnsi"/>
          <w:color w:val="000000"/>
          <w:sz w:val="22"/>
          <w:szCs w:val="22"/>
          <w:lang w:eastAsia="en-US"/>
        </w:rPr>
        <w:t xml:space="preserve">reikšmingą mirties dėl bet kurios su diabetu susijusios priežasties absoliučios rizikos sumažėjimą: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grupės pacientams užfiksuota 7,5 tokio atvejo per 1</w:t>
      </w:r>
      <w:r w:rsidR="00440B1A">
        <w:rPr>
          <w:rFonts w:eastAsiaTheme="minorHAnsi"/>
          <w:color w:val="000000"/>
          <w:sz w:val="22"/>
          <w:szCs w:val="22"/>
          <w:lang w:eastAsia="en-US"/>
        </w:rPr>
        <w:t> </w:t>
      </w:r>
      <w:r>
        <w:rPr>
          <w:rFonts w:eastAsiaTheme="minorHAnsi"/>
          <w:color w:val="000000"/>
          <w:sz w:val="22"/>
          <w:szCs w:val="22"/>
          <w:lang w:eastAsia="en-US"/>
        </w:rPr>
        <w:t>000 paciento metų, vien dietos grupės – 12,7 atvejo per 1</w:t>
      </w:r>
      <w:r w:rsidR="00440B1A">
        <w:rPr>
          <w:rFonts w:eastAsiaTheme="minorHAnsi"/>
          <w:color w:val="000000"/>
          <w:sz w:val="22"/>
          <w:szCs w:val="22"/>
          <w:lang w:eastAsia="en-US"/>
        </w:rPr>
        <w:t> </w:t>
      </w:r>
      <w:r>
        <w:rPr>
          <w:rFonts w:eastAsiaTheme="minorHAnsi"/>
          <w:color w:val="000000"/>
          <w:sz w:val="22"/>
          <w:szCs w:val="22"/>
          <w:lang w:eastAsia="en-US"/>
        </w:rPr>
        <w:t>000 paciento metų (p</w:t>
      </w:r>
      <w:r w:rsidR="00440B1A">
        <w:rPr>
          <w:rFonts w:eastAsiaTheme="minorHAnsi"/>
          <w:color w:val="000000"/>
          <w:sz w:val="22"/>
          <w:szCs w:val="22"/>
          <w:lang w:eastAsia="en-US"/>
        </w:rPr>
        <w:t> </w:t>
      </w:r>
      <w:r>
        <w:rPr>
          <w:rFonts w:eastAsiaTheme="minorHAnsi"/>
          <w:color w:val="000000"/>
          <w:sz w:val="22"/>
          <w:szCs w:val="22"/>
          <w:lang w:eastAsia="en-US"/>
        </w:rPr>
        <w:t>=</w:t>
      </w:r>
      <w:r w:rsidR="00440B1A">
        <w:rPr>
          <w:rFonts w:eastAsiaTheme="minorHAnsi"/>
          <w:color w:val="000000"/>
          <w:sz w:val="22"/>
          <w:szCs w:val="22"/>
          <w:lang w:eastAsia="en-US"/>
        </w:rPr>
        <w:t> </w:t>
      </w:r>
      <w:r>
        <w:rPr>
          <w:rFonts w:eastAsiaTheme="minorHAnsi"/>
          <w:color w:val="000000"/>
          <w:sz w:val="22"/>
          <w:szCs w:val="22"/>
          <w:lang w:eastAsia="en-US"/>
        </w:rPr>
        <w:t>0,017);</w:t>
      </w:r>
    </w:p>
    <w:p w14:paraId="208A9DA2" w14:textId="468E3B86" w:rsidR="00E86446" w:rsidRPr="003171F5" w:rsidRDefault="00345E63">
      <w:pPr>
        <w:widowControl w:val="0"/>
        <w:numPr>
          <w:ilvl w:val="0"/>
          <w:numId w:val="24"/>
        </w:numPr>
        <w:tabs>
          <w:tab w:val="left" w:pos="842"/>
        </w:tabs>
        <w:autoSpaceDE w:val="0"/>
        <w:autoSpaceDN w:val="0"/>
        <w:ind w:left="567" w:right="-1" w:hanging="566"/>
        <w:rPr>
          <w:szCs w:val="20"/>
          <w:lang w:eastAsia="sl-SI"/>
        </w:rPr>
      </w:pPr>
      <w:r>
        <w:rPr>
          <w:sz w:val="22"/>
          <w:szCs w:val="22"/>
        </w:rPr>
        <w:t xml:space="preserve">reikšmingą mirties dėl bet kurios priežasties absoliučios rizikos sumažėjimą: </w:t>
      </w:r>
      <w:proofErr w:type="spellStart"/>
      <w:r>
        <w:rPr>
          <w:sz w:val="22"/>
          <w:szCs w:val="22"/>
        </w:rPr>
        <w:t>metformino</w:t>
      </w:r>
      <w:proofErr w:type="spellEnd"/>
      <w:r>
        <w:rPr>
          <w:sz w:val="22"/>
          <w:szCs w:val="22"/>
        </w:rPr>
        <w:t xml:space="preserve"> grupės pacientams užfiksuota 13,5 tokio atvejo per 1 000 paciento metų, vien dietos grupės – 20,6 atvejo per</w:t>
      </w:r>
      <w:r w:rsidRPr="003171F5">
        <w:rPr>
          <w:szCs w:val="20"/>
          <w:lang w:eastAsia="sl-SI"/>
        </w:rPr>
        <w:t xml:space="preserve"> </w:t>
      </w:r>
      <w:r>
        <w:rPr>
          <w:rFonts w:eastAsiaTheme="minorHAnsi"/>
          <w:color w:val="000000"/>
          <w:sz w:val="22"/>
          <w:szCs w:val="22"/>
          <w:lang w:eastAsia="en-US"/>
        </w:rPr>
        <w:t>1 000 paciento metų (p</w:t>
      </w:r>
      <w:r w:rsidR="00440B1A">
        <w:rPr>
          <w:rFonts w:eastAsiaTheme="minorHAnsi"/>
          <w:color w:val="000000"/>
          <w:sz w:val="22"/>
          <w:szCs w:val="22"/>
          <w:lang w:eastAsia="en-US"/>
        </w:rPr>
        <w:t> </w:t>
      </w:r>
      <w:r>
        <w:rPr>
          <w:rFonts w:eastAsiaTheme="minorHAnsi"/>
          <w:color w:val="000000"/>
          <w:sz w:val="22"/>
          <w:szCs w:val="22"/>
          <w:lang w:eastAsia="en-US"/>
        </w:rPr>
        <w:t>=</w:t>
      </w:r>
      <w:r w:rsidR="00440B1A">
        <w:rPr>
          <w:rFonts w:eastAsiaTheme="minorHAnsi"/>
          <w:color w:val="000000"/>
          <w:sz w:val="22"/>
          <w:szCs w:val="22"/>
          <w:lang w:eastAsia="en-US"/>
        </w:rPr>
        <w:t> </w:t>
      </w:r>
      <w:r>
        <w:rPr>
          <w:rFonts w:eastAsiaTheme="minorHAnsi"/>
          <w:color w:val="000000"/>
          <w:sz w:val="22"/>
          <w:szCs w:val="22"/>
          <w:lang w:eastAsia="en-US"/>
        </w:rPr>
        <w:t xml:space="preserve">0,011), kartu paimtų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w:t>
      </w:r>
      <w:r w:rsidR="00440B1A">
        <w:rPr>
          <w:rFonts w:eastAsiaTheme="minorHAnsi"/>
          <w:color w:val="000000"/>
          <w:sz w:val="22"/>
          <w:szCs w:val="22"/>
          <w:lang w:eastAsia="en-US"/>
        </w:rPr>
        <w:t xml:space="preserve">darinių </w:t>
      </w:r>
      <w:r>
        <w:rPr>
          <w:rFonts w:eastAsiaTheme="minorHAnsi"/>
          <w:color w:val="000000"/>
          <w:sz w:val="22"/>
          <w:szCs w:val="22"/>
          <w:lang w:eastAsia="en-US"/>
        </w:rPr>
        <w:t xml:space="preserve">ir insulino </w:t>
      </w:r>
      <w:proofErr w:type="spellStart"/>
      <w:r>
        <w:rPr>
          <w:rFonts w:eastAsiaTheme="minorHAnsi"/>
          <w:color w:val="000000"/>
          <w:sz w:val="22"/>
          <w:szCs w:val="22"/>
          <w:lang w:eastAsia="en-US"/>
        </w:rPr>
        <w:t>monoterapijos</w:t>
      </w:r>
      <w:proofErr w:type="spellEnd"/>
      <w:r>
        <w:rPr>
          <w:rFonts w:eastAsiaTheme="minorHAnsi"/>
          <w:color w:val="000000"/>
          <w:sz w:val="22"/>
          <w:szCs w:val="22"/>
          <w:lang w:eastAsia="en-US"/>
        </w:rPr>
        <w:t xml:space="preserve"> grupių – 18,9 atvejo per 1 000 paciento metų (p</w:t>
      </w:r>
      <w:r w:rsidR="00440B1A">
        <w:rPr>
          <w:rFonts w:eastAsiaTheme="minorHAnsi"/>
          <w:color w:val="000000"/>
          <w:sz w:val="22"/>
          <w:szCs w:val="22"/>
          <w:lang w:eastAsia="en-US"/>
        </w:rPr>
        <w:t> </w:t>
      </w:r>
      <w:r>
        <w:rPr>
          <w:rFonts w:eastAsiaTheme="minorHAnsi"/>
          <w:color w:val="000000"/>
          <w:sz w:val="22"/>
          <w:szCs w:val="22"/>
          <w:lang w:eastAsia="en-US"/>
        </w:rPr>
        <w:t>=</w:t>
      </w:r>
      <w:r w:rsidR="00440B1A">
        <w:rPr>
          <w:rFonts w:eastAsiaTheme="minorHAnsi"/>
          <w:color w:val="000000"/>
          <w:sz w:val="22"/>
          <w:szCs w:val="22"/>
          <w:lang w:eastAsia="en-US"/>
        </w:rPr>
        <w:t> </w:t>
      </w:r>
      <w:r>
        <w:rPr>
          <w:rFonts w:eastAsiaTheme="minorHAnsi"/>
          <w:color w:val="000000"/>
          <w:sz w:val="22"/>
          <w:szCs w:val="22"/>
          <w:lang w:eastAsia="en-US"/>
        </w:rPr>
        <w:t>0,021);</w:t>
      </w:r>
    </w:p>
    <w:p w14:paraId="00CE183D" w14:textId="16E3428E" w:rsidR="00E86446" w:rsidRPr="003171F5" w:rsidRDefault="00345E63">
      <w:pPr>
        <w:widowControl w:val="0"/>
        <w:numPr>
          <w:ilvl w:val="0"/>
          <w:numId w:val="24"/>
        </w:numPr>
        <w:tabs>
          <w:tab w:val="left" w:pos="842"/>
        </w:tabs>
        <w:autoSpaceDE w:val="0"/>
        <w:autoSpaceDN w:val="0"/>
        <w:ind w:left="567" w:right="-1" w:hanging="566"/>
        <w:rPr>
          <w:szCs w:val="20"/>
          <w:lang w:eastAsia="sl-SI"/>
        </w:rPr>
      </w:pPr>
      <w:r>
        <w:rPr>
          <w:rFonts w:eastAsiaTheme="minorHAnsi"/>
          <w:color w:val="000000"/>
          <w:sz w:val="22"/>
          <w:szCs w:val="22"/>
          <w:lang w:eastAsia="en-US"/>
        </w:rPr>
        <w:t xml:space="preserve">reikšmingą miokardo infarkto absoliučios rizikos sumažėjimą: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grupės pacientams užfiksuota 11 jo atvejų per 1</w:t>
      </w:r>
      <w:r w:rsidR="00440B1A">
        <w:rPr>
          <w:rFonts w:eastAsiaTheme="minorHAnsi"/>
          <w:color w:val="000000"/>
          <w:sz w:val="22"/>
          <w:szCs w:val="22"/>
          <w:lang w:eastAsia="en-US"/>
        </w:rPr>
        <w:t> </w:t>
      </w:r>
      <w:r>
        <w:rPr>
          <w:rFonts w:eastAsiaTheme="minorHAnsi"/>
          <w:color w:val="000000"/>
          <w:sz w:val="22"/>
          <w:szCs w:val="22"/>
          <w:lang w:eastAsia="en-US"/>
        </w:rPr>
        <w:t>000 paciento metų, vien dietos grupės – 18 per 1 000 paciento metų (p</w:t>
      </w:r>
      <w:r w:rsidR="00440B1A">
        <w:rPr>
          <w:rFonts w:eastAsiaTheme="minorHAnsi"/>
          <w:color w:val="000000"/>
          <w:sz w:val="22"/>
          <w:szCs w:val="22"/>
          <w:lang w:eastAsia="en-US"/>
        </w:rPr>
        <w:t> </w:t>
      </w:r>
      <w:r>
        <w:rPr>
          <w:rFonts w:eastAsiaTheme="minorHAnsi"/>
          <w:color w:val="000000"/>
          <w:sz w:val="22"/>
          <w:szCs w:val="22"/>
          <w:lang w:eastAsia="en-US"/>
        </w:rPr>
        <w:t>=</w:t>
      </w:r>
      <w:r w:rsidR="00440B1A">
        <w:rPr>
          <w:rFonts w:eastAsiaTheme="minorHAnsi"/>
          <w:color w:val="000000"/>
          <w:sz w:val="22"/>
          <w:szCs w:val="22"/>
          <w:lang w:eastAsia="en-US"/>
        </w:rPr>
        <w:t> </w:t>
      </w:r>
      <w:r>
        <w:rPr>
          <w:rFonts w:eastAsiaTheme="minorHAnsi"/>
          <w:color w:val="000000"/>
          <w:sz w:val="22"/>
          <w:szCs w:val="22"/>
          <w:lang w:eastAsia="en-US"/>
        </w:rPr>
        <w:t>0,01).</w:t>
      </w:r>
    </w:p>
    <w:p w14:paraId="7D847B1A" w14:textId="77777777" w:rsidR="00E86446" w:rsidRDefault="00E86446">
      <w:pPr>
        <w:widowControl w:val="0"/>
        <w:tabs>
          <w:tab w:val="left" w:pos="567"/>
        </w:tabs>
        <w:ind w:left="567" w:hanging="567"/>
        <w:outlineLvl w:val="2"/>
        <w:rPr>
          <w:rFonts w:eastAsia="TimesNewRoman"/>
          <w:sz w:val="22"/>
          <w:szCs w:val="22"/>
          <w:lang w:eastAsia="en-US"/>
        </w:rPr>
      </w:pPr>
    </w:p>
    <w:p w14:paraId="5E739552"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1334605B" w14:textId="77777777" w:rsidR="00E86446" w:rsidRDefault="00345E63">
      <w:pPr>
        <w:widowControl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Europos vaistų agentūra atleido nuo įpareigojimo pateikti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tyrimų su visais 2 tipo cukriniu diabetu sergančių vaikų populiacijos pogrupiais duomenis (vartojimo vaikams informacija pateikiama 4.2 skyriuje).</w:t>
      </w:r>
    </w:p>
    <w:p w14:paraId="5B61364F" w14:textId="77777777" w:rsidR="00E86446" w:rsidRDefault="00E86446">
      <w:pPr>
        <w:widowControl w:val="0"/>
        <w:tabs>
          <w:tab w:val="left" w:pos="567"/>
        </w:tabs>
        <w:ind w:left="567" w:hanging="567"/>
        <w:outlineLvl w:val="2"/>
        <w:rPr>
          <w:rFonts w:eastAsia="TimesNewRoman"/>
          <w:sz w:val="22"/>
          <w:szCs w:val="22"/>
          <w:lang w:eastAsia="en-US"/>
        </w:rPr>
      </w:pPr>
    </w:p>
    <w:p w14:paraId="3B6D57D4" w14:textId="77777777" w:rsidR="00E86446" w:rsidRDefault="00345E63">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6CCF45C4" w14:textId="77777777" w:rsidR="00E86446" w:rsidRDefault="00E86446">
      <w:pPr>
        <w:widowControl w:val="0"/>
        <w:ind w:left="567" w:hanging="567"/>
        <w:rPr>
          <w:bCs/>
          <w:sz w:val="22"/>
          <w:szCs w:val="22"/>
          <w:lang w:eastAsia="en-US"/>
        </w:rPr>
      </w:pPr>
    </w:p>
    <w:p w14:paraId="66B463AA"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sudėtinės tabletės laikomos biologiškai ekvivalentiškomis kartu tokiomis pačiomis dozėmis vartojamoms atskiroms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tabletėms.</w:t>
      </w:r>
    </w:p>
    <w:p w14:paraId="31606D84" w14:textId="77777777" w:rsidR="00E86446" w:rsidRDefault="00E86446">
      <w:pPr>
        <w:autoSpaceDE w:val="0"/>
        <w:autoSpaceDN w:val="0"/>
        <w:adjustRightInd w:val="0"/>
        <w:rPr>
          <w:rFonts w:eastAsiaTheme="minorHAnsi"/>
          <w:color w:val="000000"/>
          <w:sz w:val="22"/>
          <w:szCs w:val="22"/>
          <w:lang w:eastAsia="en-US"/>
        </w:rPr>
      </w:pPr>
    </w:p>
    <w:p w14:paraId="5B5624FD" w14:textId="029278CE"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Palyginta po 5</w:t>
      </w:r>
      <w:r w:rsidR="00F31199">
        <w:rPr>
          <w:rFonts w:eastAsiaTheme="minorHAnsi"/>
          <w:color w:val="000000"/>
          <w:sz w:val="22"/>
          <w:szCs w:val="22"/>
          <w:lang w:eastAsia="en-US"/>
        </w:rPr>
        <w:t> </w:t>
      </w:r>
      <w:r>
        <w:rPr>
          <w:rFonts w:eastAsiaTheme="minorHAnsi"/>
          <w:color w:val="000000"/>
          <w:sz w:val="22"/>
          <w:szCs w:val="22"/>
          <w:lang w:eastAsia="en-US"/>
        </w:rPr>
        <w:t>mg 2 kartus per parą ir 10 mg 1 kartą per parą vartojamo dapagliflozino farmakokinetika sveikų žmonių organizme. Vartojant po 5 mg dapagliflozino 2 kartus per parą, 24</w:t>
      </w:r>
      <w:r w:rsidR="00F31199">
        <w:rPr>
          <w:rFonts w:eastAsiaTheme="minorHAnsi"/>
          <w:color w:val="000000"/>
          <w:sz w:val="22"/>
          <w:szCs w:val="22"/>
          <w:lang w:eastAsia="en-US"/>
        </w:rPr>
        <w:t> </w:t>
      </w:r>
      <w:r>
        <w:rPr>
          <w:rFonts w:eastAsiaTheme="minorHAnsi"/>
          <w:color w:val="000000"/>
          <w:sz w:val="22"/>
          <w:szCs w:val="22"/>
          <w:lang w:eastAsia="en-US"/>
        </w:rPr>
        <w:t xml:space="preserve">val.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xml:space="preserve"> ekspozicija (</w:t>
      </w:r>
      <w:proofErr w:type="spellStart"/>
      <w:r>
        <w:rPr>
          <w:rFonts w:eastAsiaTheme="minorHAnsi"/>
          <w:color w:val="000000"/>
          <w:sz w:val="22"/>
          <w:szCs w:val="22"/>
          <w:lang w:eastAsia="en-US"/>
        </w:rPr>
        <w:t>AUC</w:t>
      </w:r>
      <w:r>
        <w:rPr>
          <w:rFonts w:eastAsiaTheme="minorHAnsi"/>
          <w:color w:val="000000"/>
          <w:sz w:val="14"/>
          <w:szCs w:val="14"/>
          <w:lang w:eastAsia="en-US"/>
        </w:rPr>
        <w:t>ss</w:t>
      </w:r>
      <w:proofErr w:type="spellEnd"/>
      <w:r>
        <w:rPr>
          <w:rFonts w:eastAsiaTheme="minorHAnsi"/>
          <w:color w:val="000000"/>
          <w:sz w:val="22"/>
          <w:szCs w:val="22"/>
          <w:lang w:eastAsia="en-US"/>
        </w:rPr>
        <w:t>) buvo panaši kaip vartojant 10 mg 1 kartą per parą. Kaip ir tikėtasi, vartojant po 5 mg dapagliflozino 2 kartus per parą, jo didžiausia koncentracija plazmoje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22"/>
          <w:szCs w:val="22"/>
          <w:lang w:eastAsia="en-US"/>
        </w:rPr>
        <w:t>) buvo mažesnė, o mažiausia koncentracija plazmoje (</w:t>
      </w:r>
      <w:proofErr w:type="spellStart"/>
      <w:r>
        <w:rPr>
          <w:rFonts w:eastAsiaTheme="minorHAnsi"/>
          <w:color w:val="000000"/>
          <w:sz w:val="22"/>
          <w:szCs w:val="22"/>
          <w:lang w:eastAsia="en-US"/>
        </w:rPr>
        <w:t>C</w:t>
      </w:r>
      <w:r>
        <w:rPr>
          <w:rFonts w:eastAsiaTheme="minorHAnsi"/>
          <w:color w:val="000000"/>
          <w:sz w:val="14"/>
          <w:szCs w:val="14"/>
          <w:lang w:eastAsia="en-US"/>
        </w:rPr>
        <w:t>min</w:t>
      </w:r>
      <w:proofErr w:type="spellEnd"/>
      <w:r>
        <w:rPr>
          <w:rFonts w:eastAsiaTheme="minorHAnsi"/>
          <w:color w:val="000000"/>
          <w:sz w:val="22"/>
          <w:szCs w:val="22"/>
          <w:lang w:eastAsia="en-US"/>
        </w:rPr>
        <w:t>) – didesnė negu vartojant 10 mg 1 kartą per parą.</w:t>
      </w:r>
    </w:p>
    <w:p w14:paraId="12D5D50E" w14:textId="77777777" w:rsidR="00E86446" w:rsidRDefault="00E86446">
      <w:pPr>
        <w:autoSpaceDE w:val="0"/>
        <w:autoSpaceDN w:val="0"/>
        <w:adjustRightInd w:val="0"/>
        <w:rPr>
          <w:rFonts w:eastAsiaTheme="minorHAnsi"/>
          <w:color w:val="000000"/>
          <w:sz w:val="22"/>
          <w:szCs w:val="22"/>
          <w:lang w:eastAsia="en-US"/>
        </w:rPr>
      </w:pPr>
    </w:p>
    <w:p w14:paraId="305B3714" w14:textId="48311DA6" w:rsidR="00E86446" w:rsidRDefault="00F54F44">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Maisto įtaka</w:t>
      </w:r>
    </w:p>
    <w:p w14:paraId="365CCE90" w14:textId="1F4B469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Sveikiems savanoriams pavartojus šio vaistinio preparato po riebaus maisto, susidarė tokia pati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ekspozicija kaip jo pavartojus nevalgius. Maistas nulėmė 1-2</w:t>
      </w:r>
      <w:r w:rsidR="00565C35">
        <w:rPr>
          <w:rFonts w:eastAsiaTheme="minorHAnsi"/>
          <w:color w:val="000000"/>
          <w:sz w:val="22"/>
          <w:szCs w:val="22"/>
          <w:lang w:eastAsia="en-US"/>
        </w:rPr>
        <w:t> </w:t>
      </w:r>
      <w:r>
        <w:rPr>
          <w:rFonts w:eastAsiaTheme="minorHAnsi"/>
          <w:color w:val="000000"/>
          <w:sz w:val="22"/>
          <w:szCs w:val="22"/>
          <w:lang w:eastAsia="en-US"/>
        </w:rPr>
        <w:t xml:space="preserve">val. vėlesnį didžiausių koncentracijų susidarymą, 29 % mažesnės didžiausios dapagliflozino koncentracijos plazmoje ir </w:t>
      </w:r>
      <w:r>
        <w:rPr>
          <w:rFonts w:eastAsiaTheme="minorHAnsi"/>
          <w:color w:val="000000"/>
          <w:sz w:val="22"/>
          <w:szCs w:val="22"/>
          <w:lang w:eastAsia="en-US"/>
        </w:rPr>
        <w:lastRenderedPageBreak/>
        <w:t xml:space="preserve">17 % mažesnės didžiausios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koncentracijos plazmoje susidarymą. Šie pokyčiai nelaikomi reikšmingais klinikai.</w:t>
      </w:r>
    </w:p>
    <w:p w14:paraId="216D2B0E" w14:textId="77777777" w:rsidR="00E86446" w:rsidRDefault="00E86446">
      <w:pPr>
        <w:autoSpaceDE w:val="0"/>
        <w:autoSpaceDN w:val="0"/>
        <w:adjustRightInd w:val="0"/>
        <w:rPr>
          <w:rFonts w:eastAsiaTheme="minorHAnsi"/>
          <w:color w:val="000000"/>
          <w:sz w:val="22"/>
          <w:szCs w:val="22"/>
          <w:lang w:eastAsia="en-US"/>
        </w:rPr>
      </w:pPr>
    </w:p>
    <w:p w14:paraId="74196929"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0DE44920"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Farmakokinetika vaikų organizme netirta.</w:t>
      </w:r>
    </w:p>
    <w:p w14:paraId="09D61497" w14:textId="77777777" w:rsidR="00E86446" w:rsidRDefault="00E86446">
      <w:pPr>
        <w:autoSpaceDE w:val="0"/>
        <w:autoSpaceDN w:val="0"/>
        <w:adjustRightInd w:val="0"/>
        <w:rPr>
          <w:rFonts w:eastAsiaTheme="minorHAnsi"/>
          <w:color w:val="000000"/>
          <w:sz w:val="22"/>
          <w:szCs w:val="22"/>
          <w:lang w:eastAsia="en-US"/>
        </w:rPr>
      </w:pPr>
    </w:p>
    <w:p w14:paraId="74E08EAA"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Žemiau pateikiamos atskirų šio vaistinio preparato veikliųjų medžiagų </w:t>
      </w:r>
      <w:proofErr w:type="spellStart"/>
      <w:r>
        <w:rPr>
          <w:rFonts w:eastAsiaTheme="minorHAnsi"/>
          <w:color w:val="000000"/>
          <w:sz w:val="22"/>
          <w:szCs w:val="22"/>
          <w:lang w:eastAsia="en-US"/>
        </w:rPr>
        <w:t>farmakokinetinės</w:t>
      </w:r>
      <w:proofErr w:type="spellEnd"/>
      <w:r>
        <w:rPr>
          <w:rFonts w:eastAsiaTheme="minorHAnsi"/>
          <w:color w:val="000000"/>
          <w:sz w:val="22"/>
          <w:szCs w:val="22"/>
          <w:lang w:eastAsia="en-US"/>
        </w:rPr>
        <w:t xml:space="preserve"> savybės.</w:t>
      </w:r>
    </w:p>
    <w:p w14:paraId="65CDF73B" w14:textId="77777777" w:rsidR="00E86446" w:rsidRDefault="00E86446">
      <w:pPr>
        <w:autoSpaceDE w:val="0"/>
        <w:autoSpaceDN w:val="0"/>
        <w:adjustRightInd w:val="0"/>
        <w:rPr>
          <w:rFonts w:eastAsiaTheme="minorHAnsi"/>
          <w:color w:val="000000"/>
          <w:sz w:val="22"/>
          <w:szCs w:val="22"/>
          <w:lang w:eastAsia="en-US"/>
        </w:rPr>
      </w:pPr>
    </w:p>
    <w:p w14:paraId="29928CCB"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Dapagliflozinas</w:t>
      </w:r>
    </w:p>
    <w:p w14:paraId="763012F9" w14:textId="77777777" w:rsidR="00E86446" w:rsidRPr="00F54F44"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Absorbcija</w:t>
      </w:r>
    </w:p>
    <w:p w14:paraId="2D54C262" w14:textId="0954E422"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Per burną pavartotas dapagliflozinas absorbuojamas greitai ir gerai. Didžiausia nevalgius pavartoto dapagliflozino koncentracija plazmoje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22"/>
          <w:szCs w:val="22"/>
          <w:lang w:eastAsia="en-US"/>
        </w:rPr>
        <w:t>) paprastai susidaro per 2</w:t>
      </w:r>
      <w:r w:rsidR="003D1CE0">
        <w:rPr>
          <w:rFonts w:eastAsiaTheme="minorHAnsi"/>
          <w:color w:val="000000"/>
          <w:sz w:val="22"/>
          <w:szCs w:val="22"/>
          <w:lang w:eastAsia="en-US"/>
        </w:rPr>
        <w:t> </w:t>
      </w:r>
      <w:r>
        <w:rPr>
          <w:rFonts w:eastAsiaTheme="minorHAnsi"/>
          <w:color w:val="000000"/>
          <w:sz w:val="22"/>
          <w:szCs w:val="22"/>
          <w:lang w:eastAsia="en-US"/>
        </w:rPr>
        <w:t xml:space="preserve">val. Geometrinis </w:t>
      </w:r>
      <w:proofErr w:type="spellStart"/>
      <w:r>
        <w:rPr>
          <w:rFonts w:eastAsiaTheme="minorHAnsi"/>
          <w:color w:val="000000"/>
          <w:sz w:val="22"/>
          <w:szCs w:val="22"/>
          <w:lang w:eastAsia="en-US"/>
        </w:rPr>
        <w:t>pusiausvyrinės</w:t>
      </w:r>
      <w:proofErr w:type="spellEnd"/>
      <w:r>
        <w:rPr>
          <w:rFonts w:eastAsiaTheme="minorHAnsi"/>
          <w:color w:val="000000"/>
          <w:sz w:val="22"/>
          <w:szCs w:val="22"/>
          <w:lang w:eastAsia="en-US"/>
        </w:rPr>
        <w:t xml:space="preserve"> dapagliflozino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vidurkis vartojant 10 mg 1 kartą per parą būna 158</w:t>
      </w:r>
      <w:r w:rsidR="003D1CE0">
        <w:rPr>
          <w:rFonts w:eastAsiaTheme="minorHAnsi"/>
          <w:color w:val="000000"/>
          <w:sz w:val="22"/>
          <w:szCs w:val="22"/>
          <w:lang w:eastAsia="en-US"/>
        </w:rPr>
        <w:t> </w:t>
      </w:r>
      <w:proofErr w:type="spellStart"/>
      <w:r>
        <w:rPr>
          <w:rFonts w:eastAsiaTheme="minorHAnsi"/>
          <w:color w:val="000000"/>
          <w:sz w:val="22"/>
          <w:szCs w:val="22"/>
          <w:lang w:eastAsia="en-US"/>
        </w:rPr>
        <w:t>ng</w:t>
      </w:r>
      <w:proofErr w:type="spellEnd"/>
      <w:r>
        <w:rPr>
          <w:rFonts w:eastAsiaTheme="minorHAnsi"/>
          <w:color w:val="000000"/>
          <w:sz w:val="22"/>
          <w:szCs w:val="22"/>
          <w:lang w:eastAsia="en-US"/>
        </w:rPr>
        <w:t xml:space="preserve">/ml, </w:t>
      </w:r>
      <w:proofErr w:type="spellStart"/>
      <w:r>
        <w:rPr>
          <w:rFonts w:eastAsiaTheme="minorHAnsi"/>
          <w:color w:val="000000"/>
          <w:sz w:val="22"/>
          <w:szCs w:val="22"/>
          <w:lang w:eastAsia="en-US"/>
        </w:rPr>
        <w:t>AUC</w:t>
      </w:r>
      <w:r>
        <w:rPr>
          <w:rFonts w:eastAsiaTheme="minorHAnsi"/>
          <w:color w:val="000000"/>
          <w:sz w:val="14"/>
          <w:szCs w:val="14"/>
          <w:lang w:eastAsia="en-US"/>
        </w:rPr>
        <w:t>τ</w:t>
      </w:r>
      <w:proofErr w:type="spellEnd"/>
      <w:r>
        <w:rPr>
          <w:rFonts w:eastAsiaTheme="minorHAnsi"/>
          <w:color w:val="000000"/>
          <w:sz w:val="14"/>
          <w:szCs w:val="14"/>
          <w:lang w:eastAsia="en-US"/>
        </w:rPr>
        <w:t xml:space="preserve"> </w:t>
      </w:r>
      <w:r>
        <w:rPr>
          <w:rFonts w:eastAsiaTheme="minorHAnsi"/>
          <w:color w:val="000000"/>
          <w:sz w:val="22"/>
          <w:szCs w:val="22"/>
          <w:lang w:eastAsia="en-US"/>
        </w:rPr>
        <w:t>– 628</w:t>
      </w:r>
      <w:r w:rsidR="003D1CE0">
        <w:rPr>
          <w:rFonts w:eastAsiaTheme="minorHAnsi"/>
          <w:color w:val="000000"/>
          <w:sz w:val="22"/>
          <w:szCs w:val="22"/>
          <w:lang w:eastAsia="en-US"/>
        </w:rPr>
        <w:t> </w:t>
      </w:r>
      <w:proofErr w:type="spellStart"/>
      <w:r>
        <w:rPr>
          <w:rFonts w:eastAsiaTheme="minorHAnsi"/>
          <w:color w:val="000000"/>
          <w:sz w:val="22"/>
          <w:szCs w:val="22"/>
          <w:lang w:eastAsia="en-US"/>
        </w:rPr>
        <w:t>ng</w:t>
      </w:r>
      <w:proofErr w:type="spellEnd"/>
      <w:r>
        <w:rPr>
          <w:rFonts w:eastAsiaTheme="minorHAnsi"/>
          <w:color w:val="000000"/>
          <w:sz w:val="22"/>
          <w:szCs w:val="22"/>
          <w:lang w:eastAsia="en-US"/>
        </w:rPr>
        <w:t xml:space="preserve">*val./ml. Dapagliflozino absoliutus biologinis </w:t>
      </w:r>
      <w:r w:rsidR="003D1CE0">
        <w:rPr>
          <w:rFonts w:eastAsiaTheme="minorHAnsi"/>
          <w:color w:val="000000"/>
          <w:sz w:val="22"/>
          <w:szCs w:val="22"/>
          <w:lang w:eastAsia="en-US"/>
        </w:rPr>
        <w:t xml:space="preserve">prieinamumas </w:t>
      </w:r>
      <w:r>
        <w:rPr>
          <w:rFonts w:eastAsiaTheme="minorHAnsi"/>
          <w:color w:val="000000"/>
          <w:sz w:val="22"/>
          <w:szCs w:val="22"/>
          <w:lang w:eastAsia="en-US"/>
        </w:rPr>
        <w:t>pavartojus 10 mg per burną yra 78 %.</w:t>
      </w:r>
    </w:p>
    <w:p w14:paraId="27B2010B" w14:textId="77777777" w:rsidR="00E86446" w:rsidRDefault="00E86446">
      <w:pPr>
        <w:autoSpaceDE w:val="0"/>
        <w:autoSpaceDN w:val="0"/>
        <w:adjustRightInd w:val="0"/>
        <w:rPr>
          <w:rFonts w:eastAsiaTheme="minorHAnsi"/>
          <w:color w:val="000000"/>
          <w:sz w:val="22"/>
          <w:szCs w:val="22"/>
          <w:lang w:eastAsia="en-US"/>
        </w:rPr>
      </w:pPr>
    </w:p>
    <w:p w14:paraId="72DEDBDC" w14:textId="77777777" w:rsidR="00E86446" w:rsidRPr="00F54F44"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Pasiskirstymas</w:t>
      </w:r>
    </w:p>
    <w:p w14:paraId="6AA57118"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Maždaug 91 % dapagliflozino būna prisijungusio prie plazmos baltymų. Sergant įvairiomis ligomis (pvz., sutrikus inkstų ar kepenų funkcijai), prie baltymų prisijungęs jo kiekis nepakinta. Vidutinis </w:t>
      </w:r>
      <w:proofErr w:type="spellStart"/>
      <w:r>
        <w:rPr>
          <w:rFonts w:eastAsiaTheme="minorHAnsi"/>
          <w:color w:val="000000"/>
          <w:sz w:val="22"/>
          <w:szCs w:val="22"/>
          <w:lang w:eastAsia="en-US"/>
        </w:rPr>
        <w:t>pusiausvyrinis</w:t>
      </w:r>
      <w:proofErr w:type="spellEnd"/>
      <w:r>
        <w:rPr>
          <w:rFonts w:eastAsiaTheme="minorHAnsi"/>
          <w:color w:val="000000"/>
          <w:sz w:val="22"/>
          <w:szCs w:val="22"/>
          <w:lang w:eastAsia="en-US"/>
        </w:rPr>
        <w:t xml:space="preserve"> dapagliflozino pasiskirstymo tūris yra 118 litrų.</w:t>
      </w:r>
    </w:p>
    <w:p w14:paraId="67F08E64" w14:textId="77777777" w:rsidR="00E86446" w:rsidRDefault="00E86446">
      <w:pPr>
        <w:autoSpaceDE w:val="0"/>
        <w:autoSpaceDN w:val="0"/>
        <w:adjustRightInd w:val="0"/>
        <w:rPr>
          <w:rFonts w:eastAsiaTheme="minorHAnsi"/>
          <w:color w:val="000000"/>
          <w:sz w:val="22"/>
          <w:szCs w:val="22"/>
          <w:lang w:eastAsia="en-US"/>
        </w:rPr>
      </w:pPr>
    </w:p>
    <w:p w14:paraId="12938905" w14:textId="77777777" w:rsidR="00E86446" w:rsidRPr="004617A0" w:rsidRDefault="00345E63">
      <w:pPr>
        <w:autoSpaceDE w:val="0"/>
        <w:autoSpaceDN w:val="0"/>
        <w:adjustRightInd w:val="0"/>
        <w:rPr>
          <w:rFonts w:eastAsiaTheme="minorHAnsi"/>
          <w:color w:val="000000"/>
          <w:sz w:val="22"/>
          <w:szCs w:val="22"/>
          <w:u w:val="single"/>
          <w:lang w:eastAsia="en-US"/>
        </w:rPr>
      </w:pPr>
      <w:proofErr w:type="spellStart"/>
      <w:r w:rsidRPr="0073443F">
        <w:rPr>
          <w:rFonts w:eastAsiaTheme="minorHAnsi"/>
          <w:color w:val="000000"/>
          <w:sz w:val="22"/>
          <w:szCs w:val="22"/>
          <w:u w:val="single"/>
          <w:lang w:eastAsia="en-US"/>
        </w:rPr>
        <w:t>Biotransformacija</w:t>
      </w:r>
      <w:proofErr w:type="spellEnd"/>
    </w:p>
    <w:p w14:paraId="40FC2D81"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Dapagliflozinas ekstensyviai </w:t>
      </w:r>
      <w:proofErr w:type="spellStart"/>
      <w:r>
        <w:rPr>
          <w:rFonts w:eastAsiaTheme="minorHAnsi"/>
          <w:color w:val="000000"/>
          <w:sz w:val="22"/>
          <w:szCs w:val="22"/>
          <w:lang w:eastAsia="en-US"/>
        </w:rPr>
        <w:t>metabolizuojamas</w:t>
      </w:r>
      <w:proofErr w:type="spellEnd"/>
      <w:r>
        <w:rPr>
          <w:rFonts w:eastAsiaTheme="minorHAnsi"/>
          <w:color w:val="000000"/>
          <w:sz w:val="22"/>
          <w:szCs w:val="22"/>
          <w:lang w:eastAsia="en-US"/>
        </w:rPr>
        <w:t>, daugiausia į neaktyvų metabolitą – dapagliflozino 3-O-gliukuronidą. Dapagliflozino 3-O-gliukuronidas ir kiti metabolitai neturi įtakos gliukozės koncentraciją mažinančiam poveikiui. Dapagliflozino 3-O-gliukuronido susidarymą katalizuoja UGT1A9 (fermentas, kurio yra kepenyse ir inkstuose), o nuo CYP priklausomo metabolizmo žmogaus organizme sąlygojamas klirensas yra nedidelis.</w:t>
      </w:r>
    </w:p>
    <w:p w14:paraId="256A798B" w14:textId="77777777" w:rsidR="00E86446" w:rsidRDefault="00E86446">
      <w:pPr>
        <w:autoSpaceDE w:val="0"/>
        <w:autoSpaceDN w:val="0"/>
        <w:adjustRightInd w:val="0"/>
        <w:rPr>
          <w:rFonts w:eastAsiaTheme="minorHAnsi"/>
          <w:color w:val="000000"/>
          <w:sz w:val="22"/>
          <w:szCs w:val="22"/>
          <w:lang w:eastAsia="en-US"/>
        </w:rPr>
      </w:pPr>
    </w:p>
    <w:p w14:paraId="00C58E82"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Eliminacija</w:t>
      </w:r>
    </w:p>
    <w:p w14:paraId="35F8CFDE" w14:textId="18C0963D" w:rsidR="00E86446" w:rsidRDefault="00345E63">
      <w:pPr>
        <w:widowControl w:val="0"/>
        <w:autoSpaceDE w:val="0"/>
        <w:autoSpaceDN w:val="0"/>
        <w:adjustRightInd w:val="0"/>
        <w:rPr>
          <w:sz w:val="22"/>
          <w:szCs w:val="22"/>
        </w:rPr>
      </w:pPr>
      <w:r>
        <w:rPr>
          <w:rFonts w:eastAsiaTheme="minorHAnsi"/>
          <w:color w:val="000000"/>
          <w:sz w:val="22"/>
          <w:szCs w:val="22"/>
          <w:lang w:eastAsia="en-US"/>
        </w:rPr>
        <w:t>Dapagliflozino vidutinis galutinis pusinio buvimo periodas sveikų asmenų, pavartojusių vieną 10 mg dozę per burną, plazmoje (t</w:t>
      </w:r>
      <w:r>
        <w:rPr>
          <w:rFonts w:eastAsiaTheme="minorHAnsi"/>
          <w:color w:val="000000"/>
          <w:sz w:val="14"/>
          <w:szCs w:val="14"/>
          <w:lang w:eastAsia="en-US"/>
        </w:rPr>
        <w:t>1/2</w:t>
      </w:r>
      <w:r>
        <w:rPr>
          <w:rFonts w:eastAsiaTheme="minorHAnsi"/>
          <w:color w:val="000000"/>
          <w:sz w:val="22"/>
          <w:szCs w:val="22"/>
          <w:lang w:eastAsia="en-US"/>
        </w:rPr>
        <w:t xml:space="preserve">) yra 12,9 val. Į veną </w:t>
      </w:r>
      <w:r w:rsidR="0035524A">
        <w:rPr>
          <w:rFonts w:eastAsiaTheme="minorHAnsi"/>
          <w:color w:val="000000"/>
          <w:sz w:val="22"/>
          <w:szCs w:val="22"/>
          <w:lang w:eastAsia="en-US"/>
        </w:rPr>
        <w:t xml:space="preserve">suleisto </w:t>
      </w:r>
      <w:r>
        <w:rPr>
          <w:rFonts w:eastAsiaTheme="minorHAnsi"/>
          <w:color w:val="000000"/>
          <w:sz w:val="22"/>
          <w:szCs w:val="22"/>
          <w:lang w:eastAsia="en-US"/>
        </w:rPr>
        <w:t xml:space="preserve">dapagliflozino vidutinis bendras sisteminis klirensas yra 207 ml/min. Daugiausia dapagliflozino ir su juo susijusių metabolitų eliminuojama su šlapimu, nepakitęs dapagliflozinas jame sudaro mažiau kaip 2 %. Pavartojus 50 mg </w:t>
      </w:r>
      <w:r w:rsidRPr="003171F5">
        <w:rPr>
          <w:szCs w:val="20"/>
          <w:lang w:eastAsia="sl-SI"/>
        </w:rPr>
        <w:t>[</w:t>
      </w:r>
      <w:r w:rsidRPr="003171F5">
        <w:rPr>
          <w:szCs w:val="20"/>
          <w:vertAlign w:val="superscript"/>
          <w:lang w:eastAsia="sl-SI"/>
        </w:rPr>
        <w:t>14</w:t>
      </w:r>
      <w:r w:rsidRPr="003171F5">
        <w:rPr>
          <w:szCs w:val="20"/>
          <w:lang w:eastAsia="sl-SI"/>
        </w:rPr>
        <w:t>C]-</w:t>
      </w:r>
      <w:r>
        <w:rPr>
          <w:rFonts w:eastAsiaTheme="minorHAnsi"/>
          <w:color w:val="000000"/>
          <w:sz w:val="22"/>
          <w:szCs w:val="22"/>
          <w:lang w:eastAsia="en-US"/>
        </w:rPr>
        <w:t xml:space="preserve"> žymėto dapagliflozino, eliminuoto rasta </w:t>
      </w:r>
      <w:r>
        <w:rPr>
          <w:sz w:val="22"/>
          <w:szCs w:val="22"/>
        </w:rPr>
        <w:t>96 % radioaktyvumo (75 % šlapime ir 21 % išmatose). Maždaug 15 % išmatose randamo kiekio sudaro nepakitęs dapagliflozinas.</w:t>
      </w:r>
    </w:p>
    <w:p w14:paraId="254B4BCC" w14:textId="77777777" w:rsidR="00E86446" w:rsidRDefault="00E86446">
      <w:pPr>
        <w:widowControl w:val="0"/>
        <w:autoSpaceDE w:val="0"/>
        <w:autoSpaceDN w:val="0"/>
        <w:adjustRightInd w:val="0"/>
        <w:rPr>
          <w:sz w:val="22"/>
          <w:szCs w:val="22"/>
        </w:rPr>
      </w:pPr>
    </w:p>
    <w:p w14:paraId="54A78F60"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Tiesinis pobūdis</w:t>
      </w:r>
    </w:p>
    <w:p w14:paraId="3B342D8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Dapagliflozino ekspozicija didėja proporcingai jo dozės didinimui diapazone nuo 0,1 iki 500 mg. Kartotinai jo vartojant iki 24 savaičių, farmakokinetika nepakito.</w:t>
      </w:r>
    </w:p>
    <w:p w14:paraId="5BC3F4E7" w14:textId="77777777" w:rsidR="00E86446" w:rsidRDefault="00E86446">
      <w:pPr>
        <w:autoSpaceDE w:val="0"/>
        <w:autoSpaceDN w:val="0"/>
        <w:adjustRightInd w:val="0"/>
        <w:rPr>
          <w:rFonts w:eastAsiaTheme="minorHAnsi"/>
          <w:color w:val="000000"/>
          <w:sz w:val="22"/>
          <w:szCs w:val="22"/>
          <w:lang w:eastAsia="en-US"/>
        </w:rPr>
      </w:pPr>
    </w:p>
    <w:p w14:paraId="07971FBB"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Ypatingos populiacijos</w:t>
      </w:r>
    </w:p>
    <w:p w14:paraId="4BA90C4B" w14:textId="77777777" w:rsidR="00E86446" w:rsidRPr="0073443F"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Sutrikusi inkstų funkcija</w:t>
      </w:r>
    </w:p>
    <w:p w14:paraId="2F497E67"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Esant </w:t>
      </w:r>
      <w:proofErr w:type="spellStart"/>
      <w:r>
        <w:rPr>
          <w:rFonts w:eastAsiaTheme="minorHAnsi"/>
          <w:color w:val="000000"/>
          <w:sz w:val="22"/>
          <w:szCs w:val="22"/>
          <w:lang w:eastAsia="en-US"/>
        </w:rPr>
        <w:t>pusiausvyrinei</w:t>
      </w:r>
      <w:proofErr w:type="spellEnd"/>
      <w:r>
        <w:rPr>
          <w:rFonts w:eastAsiaTheme="minorHAnsi"/>
          <w:color w:val="000000"/>
          <w:sz w:val="22"/>
          <w:szCs w:val="22"/>
          <w:lang w:eastAsia="en-US"/>
        </w:rPr>
        <w:t xml:space="preserve"> būklei (7 paras vartojus 20 mg dapagliflozino 1 kartą per parą), 2 tipo cukriniu diabetu sirgusiems asmenims, kurių inkstų funkcija lengvai, vidutiniškai ar sunkiai sutrikusi (pagal </w:t>
      </w:r>
      <w:proofErr w:type="spellStart"/>
      <w:r>
        <w:rPr>
          <w:rFonts w:eastAsiaTheme="minorHAnsi"/>
          <w:color w:val="000000"/>
          <w:sz w:val="22"/>
          <w:szCs w:val="22"/>
          <w:lang w:eastAsia="en-US"/>
        </w:rPr>
        <w:t>joheksolio</w:t>
      </w:r>
      <w:proofErr w:type="spellEnd"/>
      <w:r>
        <w:rPr>
          <w:rFonts w:eastAsiaTheme="minorHAnsi"/>
          <w:color w:val="000000"/>
          <w:sz w:val="22"/>
          <w:szCs w:val="22"/>
          <w:lang w:eastAsia="en-US"/>
        </w:rPr>
        <w:t xml:space="preserve"> plazmos klirensą), vidutinė sisteminė dapagliflozino ekspozicija buvo atitinkamai 32 %, 60 % ir 87 % didesnė negu sirgusiems 2 tipo cukriniu diabetu ir turėjusiems normalią inkstų funkciją. Gliukozės kiekis paros šlapime esant </w:t>
      </w:r>
      <w:proofErr w:type="spellStart"/>
      <w:r>
        <w:rPr>
          <w:rFonts w:eastAsiaTheme="minorHAnsi"/>
          <w:color w:val="000000"/>
          <w:sz w:val="22"/>
          <w:szCs w:val="22"/>
          <w:lang w:eastAsia="en-US"/>
        </w:rPr>
        <w:t>pusiausvyrinei</w:t>
      </w:r>
      <w:proofErr w:type="spellEnd"/>
      <w:r>
        <w:rPr>
          <w:rFonts w:eastAsiaTheme="minorHAnsi"/>
          <w:color w:val="000000"/>
          <w:sz w:val="22"/>
          <w:szCs w:val="22"/>
          <w:lang w:eastAsia="en-US"/>
        </w:rPr>
        <w:t xml:space="preserve"> koncentracijai labai priklausė nuo inkstų funkcijos: 2 tipo cukriniu diabetu sirgusių pacientų, kurių inkstų funkcija buvo normali, lengvai, vidutiniškai arba sunkiai sutrikusi, paros šlapime rasta atitinkamai 85 g, 52 g, 18 g ir 11 g gliukozės. Hemodializės įtaka dapagliflozino ekspozicijai nežinoma.</w:t>
      </w:r>
    </w:p>
    <w:p w14:paraId="3182F123" w14:textId="77777777" w:rsidR="00E86446" w:rsidRDefault="00E86446">
      <w:pPr>
        <w:autoSpaceDE w:val="0"/>
        <w:autoSpaceDN w:val="0"/>
        <w:adjustRightInd w:val="0"/>
        <w:rPr>
          <w:rFonts w:eastAsiaTheme="minorHAnsi"/>
          <w:color w:val="000000"/>
          <w:sz w:val="22"/>
          <w:szCs w:val="22"/>
          <w:lang w:eastAsia="en-US"/>
        </w:rPr>
      </w:pPr>
    </w:p>
    <w:p w14:paraId="07699CA4" w14:textId="77777777" w:rsidR="00E86446" w:rsidRPr="0073443F"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Sutrikusi kepenų funkcija</w:t>
      </w:r>
    </w:p>
    <w:p w14:paraId="79AAF9A5" w14:textId="5461E0C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Žmonėms, kurių kepenų funkcija lengvai ar vidutiniškai sutrikusi (</w:t>
      </w:r>
      <w:proofErr w:type="spellStart"/>
      <w:r>
        <w:rPr>
          <w:rFonts w:eastAsiaTheme="minorHAnsi"/>
          <w:color w:val="000000"/>
          <w:sz w:val="22"/>
          <w:szCs w:val="22"/>
          <w:lang w:eastAsia="en-US"/>
        </w:rPr>
        <w:t>Child-Pugh</w:t>
      </w:r>
      <w:proofErr w:type="spellEnd"/>
      <w:r>
        <w:rPr>
          <w:rFonts w:eastAsiaTheme="minorHAnsi"/>
          <w:color w:val="000000"/>
          <w:sz w:val="22"/>
          <w:szCs w:val="22"/>
          <w:lang w:eastAsia="en-US"/>
        </w:rPr>
        <w:t xml:space="preserve"> A ir B klasių), dapagliflozino vidutinis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yra iki 12 %, o AUC – iki 36 % didesnis negu atitinkamiems sveikiems kontrolin</w:t>
      </w:r>
      <w:r w:rsidR="001E5B1D">
        <w:rPr>
          <w:rFonts w:eastAsiaTheme="minorHAnsi"/>
          <w:color w:val="000000"/>
          <w:sz w:val="22"/>
          <w:szCs w:val="22"/>
          <w:lang w:eastAsia="en-US"/>
        </w:rPr>
        <w:t>ės grupės pacientams</w:t>
      </w:r>
      <w:r>
        <w:rPr>
          <w:rFonts w:eastAsiaTheme="minorHAnsi"/>
          <w:color w:val="000000"/>
          <w:sz w:val="22"/>
          <w:szCs w:val="22"/>
          <w:lang w:eastAsia="en-US"/>
        </w:rPr>
        <w:t xml:space="preserve">. Šie skirtumai </w:t>
      </w:r>
      <w:r w:rsidR="001E5B1D">
        <w:rPr>
          <w:rFonts w:eastAsiaTheme="minorHAnsi"/>
          <w:color w:val="000000"/>
          <w:sz w:val="22"/>
          <w:szCs w:val="22"/>
          <w:lang w:eastAsia="en-US"/>
        </w:rPr>
        <w:t xml:space="preserve">kliniškai </w:t>
      </w:r>
      <w:r>
        <w:rPr>
          <w:rFonts w:eastAsiaTheme="minorHAnsi"/>
          <w:color w:val="000000"/>
          <w:sz w:val="22"/>
          <w:szCs w:val="22"/>
          <w:lang w:eastAsia="en-US"/>
        </w:rPr>
        <w:t>reikšmingais nelaikomi. Žmonėms, kurių kepenų funkcija sunkiai sutrikusi (</w:t>
      </w:r>
      <w:proofErr w:type="spellStart"/>
      <w:r>
        <w:rPr>
          <w:rFonts w:eastAsiaTheme="minorHAnsi"/>
          <w:color w:val="000000"/>
          <w:sz w:val="22"/>
          <w:szCs w:val="22"/>
          <w:lang w:eastAsia="en-US"/>
        </w:rPr>
        <w:t>Child-Pugh</w:t>
      </w:r>
      <w:proofErr w:type="spellEnd"/>
      <w:r>
        <w:rPr>
          <w:rFonts w:eastAsiaTheme="minorHAnsi"/>
          <w:color w:val="000000"/>
          <w:sz w:val="22"/>
          <w:szCs w:val="22"/>
          <w:lang w:eastAsia="en-US"/>
        </w:rPr>
        <w:t xml:space="preserve"> C klasės), dapagliflozino vidutinis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 xml:space="preserve">yra 40 %, o AUC 67 % didesnis negu atitinkamiems sveikiems </w:t>
      </w:r>
      <w:r w:rsidR="00505DEE">
        <w:rPr>
          <w:rFonts w:eastAsiaTheme="minorHAnsi"/>
          <w:color w:val="000000"/>
          <w:sz w:val="22"/>
          <w:szCs w:val="22"/>
          <w:lang w:eastAsia="en-US"/>
        </w:rPr>
        <w:t>kontrolinės grupės pacientams</w:t>
      </w:r>
      <w:r>
        <w:rPr>
          <w:rFonts w:eastAsiaTheme="minorHAnsi"/>
          <w:color w:val="000000"/>
          <w:sz w:val="22"/>
          <w:szCs w:val="22"/>
          <w:lang w:eastAsia="en-US"/>
        </w:rPr>
        <w:t>.</w:t>
      </w:r>
    </w:p>
    <w:p w14:paraId="2F382661" w14:textId="77777777" w:rsidR="00E86446" w:rsidRDefault="00E86446">
      <w:pPr>
        <w:autoSpaceDE w:val="0"/>
        <w:autoSpaceDN w:val="0"/>
        <w:adjustRightInd w:val="0"/>
        <w:rPr>
          <w:rFonts w:eastAsiaTheme="minorHAnsi"/>
          <w:color w:val="000000"/>
          <w:sz w:val="22"/>
          <w:szCs w:val="22"/>
          <w:lang w:eastAsia="en-US"/>
        </w:rPr>
      </w:pPr>
    </w:p>
    <w:p w14:paraId="18251F66"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lastRenderedPageBreak/>
        <w:t>Senyvi (65 metų ir vyresni) žmonės</w:t>
      </w:r>
    </w:p>
    <w:p w14:paraId="63323C75" w14:textId="0742D02F"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Vien dėl </w:t>
      </w:r>
      <w:r w:rsidR="00E754BC">
        <w:rPr>
          <w:rFonts w:eastAsiaTheme="minorHAnsi"/>
          <w:color w:val="000000"/>
          <w:sz w:val="22"/>
          <w:szCs w:val="22"/>
          <w:lang w:eastAsia="en-US"/>
        </w:rPr>
        <w:t>vyresnio (</w:t>
      </w:r>
      <w:r>
        <w:rPr>
          <w:rFonts w:eastAsiaTheme="minorHAnsi"/>
          <w:color w:val="000000"/>
          <w:sz w:val="22"/>
          <w:szCs w:val="22"/>
          <w:lang w:eastAsia="en-US"/>
        </w:rPr>
        <w:t>iki 70 metų</w:t>
      </w:r>
      <w:r w:rsidR="00E754BC">
        <w:rPr>
          <w:rFonts w:eastAsiaTheme="minorHAnsi"/>
          <w:color w:val="000000"/>
          <w:sz w:val="22"/>
          <w:szCs w:val="22"/>
          <w:lang w:eastAsia="en-US"/>
        </w:rPr>
        <w:t>)</w:t>
      </w:r>
      <w:r>
        <w:rPr>
          <w:rFonts w:eastAsiaTheme="minorHAnsi"/>
          <w:color w:val="000000"/>
          <w:sz w:val="22"/>
          <w:szCs w:val="22"/>
          <w:lang w:eastAsia="en-US"/>
        </w:rPr>
        <w:t xml:space="preserve"> amžiaus ekspozicija reikšmingai klini</w:t>
      </w:r>
      <w:r w:rsidR="00E754BC">
        <w:rPr>
          <w:rFonts w:eastAsiaTheme="minorHAnsi"/>
          <w:color w:val="000000"/>
          <w:sz w:val="22"/>
          <w:szCs w:val="22"/>
          <w:lang w:eastAsia="en-US"/>
        </w:rPr>
        <w:t>š</w:t>
      </w:r>
      <w:r>
        <w:rPr>
          <w:rFonts w:eastAsiaTheme="minorHAnsi"/>
          <w:color w:val="000000"/>
          <w:sz w:val="22"/>
          <w:szCs w:val="22"/>
          <w:lang w:eastAsia="en-US"/>
        </w:rPr>
        <w:t xml:space="preserve">kai nepadidėja. Vis dėlto galima tikėtis ekspozicijos padidėjimo dėl su amžiumi susijusio inkstų funkcijos silpnėjimo. </w:t>
      </w:r>
      <w:r w:rsidR="00871C11">
        <w:rPr>
          <w:rFonts w:eastAsiaTheme="minorHAnsi"/>
          <w:color w:val="000000"/>
          <w:sz w:val="22"/>
          <w:szCs w:val="22"/>
          <w:lang w:eastAsia="en-US"/>
        </w:rPr>
        <w:t>Nepakanka d</w:t>
      </w:r>
      <w:r>
        <w:rPr>
          <w:rFonts w:eastAsiaTheme="minorHAnsi"/>
          <w:color w:val="000000"/>
          <w:sz w:val="22"/>
          <w:szCs w:val="22"/>
          <w:lang w:eastAsia="en-US"/>
        </w:rPr>
        <w:t xml:space="preserve">uomenų </w:t>
      </w:r>
      <w:r w:rsidR="00871C11">
        <w:rPr>
          <w:rFonts w:eastAsiaTheme="minorHAnsi"/>
          <w:color w:val="000000"/>
          <w:sz w:val="22"/>
          <w:szCs w:val="22"/>
          <w:lang w:eastAsia="en-US"/>
        </w:rPr>
        <w:t xml:space="preserve">, kad būtų galima daryti </w:t>
      </w:r>
      <w:r>
        <w:rPr>
          <w:rFonts w:eastAsiaTheme="minorHAnsi"/>
          <w:color w:val="000000"/>
          <w:sz w:val="22"/>
          <w:szCs w:val="22"/>
          <w:lang w:eastAsia="en-US"/>
        </w:rPr>
        <w:t>išvad</w:t>
      </w:r>
      <w:r w:rsidR="00871C11">
        <w:rPr>
          <w:rFonts w:eastAsiaTheme="minorHAnsi"/>
          <w:color w:val="000000"/>
          <w:sz w:val="22"/>
          <w:szCs w:val="22"/>
          <w:lang w:eastAsia="en-US"/>
        </w:rPr>
        <w:t>as</w:t>
      </w:r>
      <w:r>
        <w:rPr>
          <w:rFonts w:eastAsiaTheme="minorHAnsi"/>
          <w:color w:val="000000"/>
          <w:sz w:val="22"/>
          <w:szCs w:val="22"/>
          <w:lang w:eastAsia="en-US"/>
        </w:rPr>
        <w:t xml:space="preserve"> dėl vyresnių kaip 70 metų pacientų ekspozicijos.</w:t>
      </w:r>
    </w:p>
    <w:p w14:paraId="19463B62" w14:textId="77777777" w:rsidR="00E86446" w:rsidRDefault="00E86446">
      <w:pPr>
        <w:autoSpaceDE w:val="0"/>
        <w:autoSpaceDN w:val="0"/>
        <w:adjustRightInd w:val="0"/>
        <w:rPr>
          <w:rFonts w:eastAsiaTheme="minorHAnsi"/>
          <w:color w:val="000000"/>
          <w:sz w:val="22"/>
          <w:szCs w:val="22"/>
          <w:lang w:eastAsia="en-US"/>
        </w:rPr>
      </w:pPr>
    </w:p>
    <w:p w14:paraId="3660E124"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Lytis</w:t>
      </w:r>
    </w:p>
    <w:p w14:paraId="3DA9E0F2"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Apskaičiuotas vidutinis </w:t>
      </w:r>
      <w:proofErr w:type="spellStart"/>
      <w:r>
        <w:rPr>
          <w:rFonts w:eastAsiaTheme="minorHAnsi"/>
          <w:color w:val="000000"/>
          <w:sz w:val="22"/>
          <w:szCs w:val="22"/>
          <w:lang w:eastAsia="en-US"/>
        </w:rPr>
        <w:t>pusiausvyrinis</w:t>
      </w:r>
      <w:proofErr w:type="spellEnd"/>
      <w:r>
        <w:rPr>
          <w:rFonts w:eastAsiaTheme="minorHAnsi"/>
          <w:color w:val="000000"/>
          <w:sz w:val="22"/>
          <w:szCs w:val="22"/>
          <w:lang w:eastAsia="en-US"/>
        </w:rPr>
        <w:t xml:space="preserve"> dapagliflozino AUC moterims yra maždaug 22 % didesnis negu vyrams.</w:t>
      </w:r>
    </w:p>
    <w:p w14:paraId="3927669A" w14:textId="77777777" w:rsidR="00E86446" w:rsidRDefault="00E86446">
      <w:pPr>
        <w:autoSpaceDE w:val="0"/>
        <w:autoSpaceDN w:val="0"/>
        <w:adjustRightInd w:val="0"/>
        <w:rPr>
          <w:rFonts w:eastAsiaTheme="minorHAnsi"/>
          <w:color w:val="000000"/>
          <w:sz w:val="22"/>
          <w:szCs w:val="22"/>
          <w:lang w:eastAsia="en-US"/>
        </w:rPr>
      </w:pPr>
    </w:p>
    <w:p w14:paraId="3797EEBF"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Rasė</w:t>
      </w:r>
    </w:p>
    <w:p w14:paraId="5AAEF631" w14:textId="144B504A"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Klini</w:t>
      </w:r>
      <w:r w:rsidR="00871C11">
        <w:rPr>
          <w:rFonts w:eastAsiaTheme="minorHAnsi"/>
          <w:color w:val="000000"/>
          <w:sz w:val="22"/>
          <w:szCs w:val="22"/>
          <w:lang w:eastAsia="en-US"/>
        </w:rPr>
        <w:t>š</w:t>
      </w:r>
      <w:r>
        <w:rPr>
          <w:rFonts w:eastAsiaTheme="minorHAnsi"/>
          <w:color w:val="000000"/>
          <w:sz w:val="22"/>
          <w:szCs w:val="22"/>
          <w:lang w:eastAsia="en-US"/>
        </w:rPr>
        <w:t>kai reikšmingų sisteminės ekspozicijos skirtumų tarp balt</w:t>
      </w:r>
      <w:r w:rsidR="00BA568B">
        <w:rPr>
          <w:rFonts w:eastAsiaTheme="minorHAnsi"/>
          <w:color w:val="000000"/>
          <w:sz w:val="22"/>
          <w:szCs w:val="22"/>
          <w:lang w:eastAsia="en-US"/>
        </w:rPr>
        <w:t>aodžių</w:t>
      </w:r>
      <w:r>
        <w:rPr>
          <w:rFonts w:eastAsiaTheme="minorHAnsi"/>
          <w:color w:val="000000"/>
          <w:sz w:val="22"/>
          <w:szCs w:val="22"/>
          <w:lang w:eastAsia="en-US"/>
        </w:rPr>
        <w:t>, juod</w:t>
      </w:r>
      <w:r w:rsidR="00BA568B">
        <w:rPr>
          <w:rFonts w:eastAsiaTheme="minorHAnsi"/>
          <w:color w:val="000000"/>
          <w:sz w:val="22"/>
          <w:szCs w:val="22"/>
          <w:lang w:eastAsia="en-US"/>
        </w:rPr>
        <w:t>aodžių</w:t>
      </w:r>
      <w:r>
        <w:rPr>
          <w:rFonts w:eastAsiaTheme="minorHAnsi"/>
          <w:color w:val="000000"/>
          <w:sz w:val="22"/>
          <w:szCs w:val="22"/>
          <w:lang w:eastAsia="en-US"/>
        </w:rPr>
        <w:t xml:space="preserve"> ir azijiečių </w:t>
      </w:r>
      <w:r w:rsidR="00BA568B">
        <w:rPr>
          <w:rFonts w:eastAsiaTheme="minorHAnsi"/>
          <w:color w:val="000000"/>
          <w:sz w:val="22"/>
          <w:szCs w:val="22"/>
          <w:lang w:eastAsia="en-US"/>
        </w:rPr>
        <w:t xml:space="preserve">rasių </w:t>
      </w:r>
      <w:r>
        <w:rPr>
          <w:rFonts w:eastAsiaTheme="minorHAnsi"/>
          <w:color w:val="000000"/>
          <w:sz w:val="22"/>
          <w:szCs w:val="22"/>
          <w:lang w:eastAsia="en-US"/>
        </w:rPr>
        <w:t>nenustatyta.</w:t>
      </w:r>
    </w:p>
    <w:p w14:paraId="0527A9B8" w14:textId="77777777" w:rsidR="00E86446" w:rsidRDefault="00E86446">
      <w:pPr>
        <w:autoSpaceDE w:val="0"/>
        <w:autoSpaceDN w:val="0"/>
        <w:adjustRightInd w:val="0"/>
        <w:rPr>
          <w:rFonts w:eastAsiaTheme="minorHAnsi"/>
          <w:color w:val="000000"/>
          <w:sz w:val="22"/>
          <w:szCs w:val="22"/>
          <w:lang w:eastAsia="en-US"/>
        </w:rPr>
      </w:pPr>
    </w:p>
    <w:p w14:paraId="5DA6AB3E" w14:textId="77777777" w:rsidR="00E86446" w:rsidRDefault="00345E63">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Kūno svoris</w:t>
      </w:r>
    </w:p>
    <w:p w14:paraId="5E045A97" w14:textId="23B8F8CB"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Nustatyta, kad didėjant kūno svoriui dapagliflozino ekspozicija mažėja, todėl mažo svorio pacientų ekspozicija gali būti šiek tiek didesnė, o didelio – šiek tiek mažesnė. Vis dėlto šie ekspozicijos skirtumai reikšmingais klini</w:t>
      </w:r>
      <w:r w:rsidR="00BA568B">
        <w:rPr>
          <w:rFonts w:eastAsiaTheme="minorHAnsi"/>
          <w:color w:val="000000"/>
          <w:sz w:val="22"/>
          <w:szCs w:val="22"/>
          <w:lang w:eastAsia="en-US"/>
        </w:rPr>
        <w:t>š</w:t>
      </w:r>
      <w:r>
        <w:rPr>
          <w:rFonts w:eastAsiaTheme="minorHAnsi"/>
          <w:color w:val="000000"/>
          <w:sz w:val="22"/>
          <w:szCs w:val="22"/>
          <w:lang w:eastAsia="en-US"/>
        </w:rPr>
        <w:t>kai nelaikomi.</w:t>
      </w:r>
    </w:p>
    <w:p w14:paraId="6814305D" w14:textId="77777777" w:rsidR="00E86446" w:rsidRDefault="00E86446">
      <w:pPr>
        <w:autoSpaceDE w:val="0"/>
        <w:autoSpaceDN w:val="0"/>
        <w:adjustRightInd w:val="0"/>
        <w:rPr>
          <w:rFonts w:eastAsiaTheme="minorHAnsi"/>
          <w:color w:val="000000"/>
          <w:sz w:val="22"/>
          <w:szCs w:val="22"/>
          <w:lang w:eastAsia="en-US"/>
        </w:rPr>
      </w:pPr>
    </w:p>
    <w:p w14:paraId="699053FF" w14:textId="77777777" w:rsidR="00E86446" w:rsidRPr="0073443F"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Vaikų populiacija</w:t>
      </w:r>
    </w:p>
    <w:p w14:paraId="60F35346"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Farmakokinetika ir farmakodinamika (</w:t>
      </w:r>
      <w:proofErr w:type="spellStart"/>
      <w:r>
        <w:rPr>
          <w:rFonts w:eastAsiaTheme="minorHAnsi"/>
          <w:color w:val="000000"/>
          <w:sz w:val="22"/>
          <w:szCs w:val="22"/>
          <w:lang w:eastAsia="en-US"/>
        </w:rPr>
        <w:t>gliukozurija</w:t>
      </w:r>
      <w:proofErr w:type="spellEnd"/>
      <w:r>
        <w:rPr>
          <w:rFonts w:eastAsiaTheme="minorHAnsi"/>
          <w:color w:val="000000"/>
          <w:sz w:val="22"/>
          <w:szCs w:val="22"/>
          <w:lang w:eastAsia="en-US"/>
        </w:rPr>
        <w:t>) 2 tipo cukriniu diabetu sirgusiems 10-17 metų vaikams buvo panaši kaip 2 tipo cukriniu diabetu sirgusiems suaugusiesiems.</w:t>
      </w:r>
    </w:p>
    <w:p w14:paraId="71CE8502" w14:textId="77777777" w:rsidR="00E86446" w:rsidRDefault="00E86446">
      <w:pPr>
        <w:autoSpaceDE w:val="0"/>
        <w:autoSpaceDN w:val="0"/>
        <w:adjustRightInd w:val="0"/>
        <w:rPr>
          <w:rFonts w:eastAsiaTheme="minorHAnsi"/>
          <w:color w:val="000000"/>
          <w:sz w:val="22"/>
          <w:szCs w:val="22"/>
          <w:lang w:eastAsia="en-US"/>
        </w:rPr>
      </w:pPr>
    </w:p>
    <w:p w14:paraId="1AD1A31A"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776ADC35"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Absorbcija</w:t>
      </w:r>
    </w:p>
    <w:p w14:paraId="598ECD32" w14:textId="352EBE9C"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Pavartojus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per burną, jo didžiausia koncentracija susidaro per 2,5 val. Absoliutus biologinis </w:t>
      </w:r>
      <w:r w:rsidR="009E1EC4">
        <w:rPr>
          <w:rFonts w:eastAsiaTheme="minorHAnsi"/>
          <w:color w:val="000000"/>
          <w:sz w:val="22"/>
          <w:szCs w:val="22"/>
          <w:lang w:eastAsia="en-US"/>
        </w:rPr>
        <w:t xml:space="preserve">prieinamumas </w:t>
      </w:r>
      <w:r>
        <w:rPr>
          <w:rFonts w:eastAsiaTheme="minorHAnsi"/>
          <w:color w:val="000000"/>
          <w:sz w:val="22"/>
          <w:szCs w:val="22"/>
          <w:lang w:eastAsia="en-US"/>
        </w:rPr>
        <w:t xml:space="preserve">sveikiems žmonėms, išgėrusiems 500 mg arba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tabletę, yra maždaug 50-60</w:t>
      </w:r>
      <w:r w:rsidR="009E1EC4">
        <w:rPr>
          <w:rFonts w:eastAsiaTheme="minorHAnsi"/>
          <w:color w:val="000000"/>
          <w:sz w:val="22"/>
          <w:szCs w:val="22"/>
          <w:lang w:eastAsia="en-US"/>
        </w:rPr>
        <w:t> </w:t>
      </w:r>
      <w:r>
        <w:rPr>
          <w:rFonts w:eastAsiaTheme="minorHAnsi"/>
          <w:color w:val="000000"/>
          <w:sz w:val="22"/>
          <w:szCs w:val="22"/>
          <w:lang w:eastAsia="en-US"/>
        </w:rPr>
        <w:t xml:space="preserve">%. Išgėrus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jo 20-30 % randama išmatose neabsorbuoto.</w:t>
      </w:r>
    </w:p>
    <w:p w14:paraId="5662DF63" w14:textId="77777777" w:rsidR="00E86446" w:rsidRDefault="00E86446">
      <w:pPr>
        <w:autoSpaceDE w:val="0"/>
        <w:autoSpaceDN w:val="0"/>
        <w:adjustRightInd w:val="0"/>
        <w:rPr>
          <w:rFonts w:eastAsiaTheme="minorHAnsi"/>
          <w:color w:val="000000"/>
          <w:sz w:val="22"/>
          <w:szCs w:val="22"/>
          <w:lang w:eastAsia="en-US"/>
        </w:rPr>
      </w:pPr>
    </w:p>
    <w:p w14:paraId="2A20CC35" w14:textId="5D9F761B" w:rsidR="00E86446" w:rsidRDefault="00345E63">
      <w:pPr>
        <w:widowControl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Per burną pavartoto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absorbcija yra įsotinama ir nevisiška.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absorbcijos kinetika laikoma netiesine. Vartojant </w:t>
      </w:r>
      <w:proofErr w:type="spellStart"/>
      <w:r>
        <w:rPr>
          <w:rFonts w:eastAsiaTheme="minorHAnsi"/>
          <w:color w:val="000000"/>
          <w:sz w:val="22"/>
          <w:szCs w:val="22"/>
          <w:lang w:eastAsia="en-US"/>
        </w:rPr>
        <w:t>metformin</w:t>
      </w:r>
      <w:r w:rsidR="00800BE0">
        <w:rPr>
          <w:rFonts w:eastAsiaTheme="minorHAnsi"/>
          <w:color w:val="000000"/>
          <w:sz w:val="22"/>
          <w:szCs w:val="22"/>
          <w:lang w:eastAsia="en-US"/>
        </w:rPr>
        <w:t>o</w:t>
      </w:r>
      <w:proofErr w:type="spellEnd"/>
      <w:r>
        <w:rPr>
          <w:rFonts w:eastAsiaTheme="minorHAnsi"/>
          <w:color w:val="000000"/>
          <w:sz w:val="22"/>
          <w:szCs w:val="22"/>
          <w:lang w:eastAsia="en-US"/>
        </w:rPr>
        <w:t xml:space="preserve"> įprastomis dozėmis ir įprasta tvarka,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xml:space="preserve"> apykaita plazmoje nusistovi per 24-48 val. ir paprastai būna mažesnė kaip 1 </w:t>
      </w:r>
      <w:proofErr w:type="spellStart"/>
      <w:r>
        <w:rPr>
          <w:rFonts w:eastAsiaTheme="minorHAnsi"/>
          <w:color w:val="000000"/>
          <w:sz w:val="22"/>
          <w:szCs w:val="22"/>
          <w:lang w:eastAsia="en-US"/>
        </w:rPr>
        <w:t>μg</w:t>
      </w:r>
      <w:proofErr w:type="spellEnd"/>
      <w:r>
        <w:rPr>
          <w:rFonts w:eastAsiaTheme="minorHAnsi"/>
          <w:color w:val="000000"/>
          <w:sz w:val="22"/>
          <w:szCs w:val="22"/>
          <w:lang w:eastAsia="en-US"/>
        </w:rPr>
        <w:t xml:space="preserve">/ml. Kontroliuojamų klinikinių tyrimų metu didžiausia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koncentracija plazmoje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22"/>
          <w:szCs w:val="22"/>
          <w:lang w:eastAsia="en-US"/>
        </w:rPr>
        <w:t xml:space="preserve">) neviršijo </w:t>
      </w:r>
      <w:r w:rsidR="00800BE0">
        <w:rPr>
          <w:rFonts w:eastAsiaTheme="minorHAnsi"/>
          <w:color w:val="000000"/>
          <w:sz w:val="22"/>
          <w:szCs w:val="22"/>
          <w:lang w:eastAsia="en-US"/>
        </w:rPr>
        <w:t>5 </w:t>
      </w:r>
      <w:proofErr w:type="spellStart"/>
      <w:r>
        <w:rPr>
          <w:rFonts w:eastAsiaTheme="minorHAnsi"/>
          <w:color w:val="000000"/>
          <w:sz w:val="22"/>
          <w:szCs w:val="22"/>
          <w:lang w:eastAsia="en-US"/>
        </w:rPr>
        <w:t>μg</w:t>
      </w:r>
      <w:proofErr w:type="spellEnd"/>
      <w:r>
        <w:rPr>
          <w:rFonts w:eastAsiaTheme="minorHAnsi"/>
          <w:color w:val="000000"/>
          <w:sz w:val="22"/>
          <w:szCs w:val="22"/>
          <w:lang w:eastAsia="en-US"/>
        </w:rPr>
        <w:t>/ml, net jį vartojant didžiausiomis dozėmis.</w:t>
      </w:r>
    </w:p>
    <w:p w14:paraId="4746CEAB" w14:textId="77777777" w:rsidR="00E86446" w:rsidRDefault="00E86446">
      <w:pPr>
        <w:widowControl w:val="0"/>
        <w:autoSpaceDE w:val="0"/>
        <w:autoSpaceDN w:val="0"/>
        <w:adjustRightInd w:val="0"/>
        <w:rPr>
          <w:rFonts w:eastAsiaTheme="minorHAnsi"/>
          <w:color w:val="000000"/>
          <w:sz w:val="22"/>
          <w:szCs w:val="22"/>
          <w:lang w:eastAsia="en-US"/>
        </w:rPr>
      </w:pPr>
    </w:p>
    <w:p w14:paraId="02733F8E"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Pasiskirstymas</w:t>
      </w:r>
    </w:p>
    <w:p w14:paraId="1A59DE5D"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Jungimasis prie plazmos baltymų yra nereikšmingas.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patenka į eritrocitus. Didžiausia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koncentracija kraujyje būna mažesnė negu plazmoje ir susidaro maždaug tuo pačiu metu. Eritrocitai tikriausiai yra antrinis pasiskirstymo skyrius. Vidutinio pasiskirstymo tūrio diapazonas – 63-276 litrai.</w:t>
      </w:r>
    </w:p>
    <w:p w14:paraId="04B45CF9" w14:textId="77777777" w:rsidR="00E86446" w:rsidRDefault="00E86446">
      <w:pPr>
        <w:autoSpaceDE w:val="0"/>
        <w:autoSpaceDN w:val="0"/>
        <w:adjustRightInd w:val="0"/>
        <w:rPr>
          <w:rFonts w:eastAsiaTheme="minorHAnsi"/>
          <w:color w:val="000000"/>
          <w:sz w:val="22"/>
          <w:szCs w:val="22"/>
          <w:lang w:eastAsia="en-US"/>
        </w:rPr>
      </w:pPr>
    </w:p>
    <w:p w14:paraId="165F7601" w14:textId="77777777" w:rsidR="00E86446" w:rsidRPr="004617A0" w:rsidRDefault="00345E63">
      <w:pPr>
        <w:autoSpaceDE w:val="0"/>
        <w:autoSpaceDN w:val="0"/>
        <w:adjustRightInd w:val="0"/>
        <w:rPr>
          <w:rFonts w:eastAsiaTheme="minorHAnsi"/>
          <w:color w:val="000000"/>
          <w:sz w:val="22"/>
          <w:szCs w:val="22"/>
          <w:u w:val="single"/>
          <w:lang w:eastAsia="en-US"/>
        </w:rPr>
      </w:pPr>
      <w:proofErr w:type="spellStart"/>
      <w:r w:rsidRPr="0073443F">
        <w:rPr>
          <w:rFonts w:eastAsiaTheme="minorHAnsi"/>
          <w:color w:val="000000"/>
          <w:sz w:val="22"/>
          <w:szCs w:val="22"/>
          <w:u w:val="single"/>
          <w:lang w:eastAsia="en-US"/>
        </w:rPr>
        <w:t>Biotransformacija</w:t>
      </w:r>
      <w:proofErr w:type="spellEnd"/>
    </w:p>
    <w:p w14:paraId="673ECB05"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Metforminas nepakitęs išskiriamas su šlapimu. Metabolitų žmogaus organizme nerasta.</w:t>
      </w:r>
    </w:p>
    <w:p w14:paraId="6EFF63AB" w14:textId="77777777" w:rsidR="00E86446" w:rsidRDefault="00E86446">
      <w:pPr>
        <w:autoSpaceDE w:val="0"/>
        <w:autoSpaceDN w:val="0"/>
        <w:adjustRightInd w:val="0"/>
        <w:rPr>
          <w:rFonts w:eastAsiaTheme="minorHAnsi"/>
          <w:color w:val="000000"/>
          <w:sz w:val="22"/>
          <w:szCs w:val="22"/>
          <w:lang w:eastAsia="en-US"/>
        </w:rPr>
      </w:pPr>
    </w:p>
    <w:p w14:paraId="569F83B1"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Eliminacija</w:t>
      </w:r>
    </w:p>
    <w:p w14:paraId="408BFEC8" w14:textId="4982D122"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w:t>
      </w:r>
      <w:r w:rsidR="00B27460">
        <w:rPr>
          <w:rFonts w:eastAsiaTheme="minorHAnsi"/>
          <w:color w:val="000000"/>
          <w:sz w:val="22"/>
          <w:szCs w:val="22"/>
          <w:lang w:eastAsia="en-US"/>
        </w:rPr>
        <w:t xml:space="preserve">inkstų </w:t>
      </w:r>
      <w:r>
        <w:rPr>
          <w:rFonts w:eastAsiaTheme="minorHAnsi"/>
          <w:color w:val="000000"/>
          <w:sz w:val="22"/>
          <w:szCs w:val="22"/>
          <w:lang w:eastAsia="en-US"/>
        </w:rPr>
        <w:t xml:space="preserve">klirensas viršija 400 ml/min. (tai rodo eliminaciją </w:t>
      </w:r>
      <w:proofErr w:type="spellStart"/>
      <w:r>
        <w:rPr>
          <w:rFonts w:eastAsiaTheme="minorHAnsi"/>
          <w:color w:val="000000"/>
          <w:sz w:val="22"/>
          <w:szCs w:val="22"/>
          <w:lang w:eastAsia="en-US"/>
        </w:rPr>
        <w:t>glomerulų</w:t>
      </w:r>
      <w:proofErr w:type="spellEnd"/>
      <w:r>
        <w:rPr>
          <w:rFonts w:eastAsiaTheme="minorHAnsi"/>
          <w:color w:val="000000"/>
          <w:sz w:val="22"/>
          <w:szCs w:val="22"/>
          <w:lang w:eastAsia="en-US"/>
        </w:rPr>
        <w:t xml:space="preserve"> filtracijos ir kanalėlių sekrecijos būdais). Pavartojus vieną dozę per burną, tariamasis galutinis pusinės eliminacijos periodas būna maždaug 6,5 val.</w:t>
      </w:r>
    </w:p>
    <w:p w14:paraId="55BA248F" w14:textId="77777777" w:rsidR="00E86446" w:rsidRDefault="00E86446">
      <w:pPr>
        <w:autoSpaceDE w:val="0"/>
        <w:autoSpaceDN w:val="0"/>
        <w:adjustRightInd w:val="0"/>
        <w:rPr>
          <w:rFonts w:eastAsiaTheme="minorHAnsi"/>
          <w:color w:val="000000"/>
          <w:sz w:val="22"/>
          <w:szCs w:val="22"/>
          <w:lang w:eastAsia="en-US"/>
        </w:rPr>
      </w:pPr>
    </w:p>
    <w:p w14:paraId="61195CFC" w14:textId="77777777" w:rsidR="00E86446" w:rsidRPr="004617A0"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Ypatingos populiacijos</w:t>
      </w:r>
    </w:p>
    <w:p w14:paraId="251123FD" w14:textId="77777777" w:rsidR="00E86446" w:rsidRPr="0073443F" w:rsidRDefault="00345E63">
      <w:pPr>
        <w:autoSpaceDE w:val="0"/>
        <w:autoSpaceDN w:val="0"/>
        <w:adjustRightInd w:val="0"/>
        <w:rPr>
          <w:rFonts w:eastAsiaTheme="minorHAnsi"/>
          <w:color w:val="000000"/>
          <w:sz w:val="22"/>
          <w:szCs w:val="22"/>
          <w:u w:val="single"/>
          <w:lang w:eastAsia="en-US"/>
        </w:rPr>
      </w:pPr>
      <w:r w:rsidRPr="0073443F">
        <w:rPr>
          <w:rFonts w:eastAsiaTheme="minorHAnsi"/>
          <w:color w:val="000000"/>
          <w:sz w:val="22"/>
          <w:szCs w:val="22"/>
          <w:u w:val="single"/>
          <w:lang w:eastAsia="en-US"/>
        </w:rPr>
        <w:t>Sutrikusi inkstų funkcija</w:t>
      </w:r>
    </w:p>
    <w:p w14:paraId="1D9E5EBA" w14:textId="77777777" w:rsidR="00E86446" w:rsidRDefault="00345E63">
      <w:pPr>
        <w:widowControl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Susilpnėjus inkstų funkcijai (vertinant pagal kreatinino klirensą),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pusinio buvimo periodas plazmoje ir kraujyje pailgėja, o inkstų klirensas sumažėja proporcingai kreatinino klirenso sumažėjimui, todėl koncentracija plazmoje būna didesnė.</w:t>
      </w:r>
    </w:p>
    <w:p w14:paraId="5FA4D9CA" w14:textId="77777777" w:rsidR="00E86446" w:rsidRDefault="00E86446">
      <w:pPr>
        <w:widowControl w:val="0"/>
        <w:autoSpaceDE w:val="0"/>
        <w:autoSpaceDN w:val="0"/>
        <w:adjustRightInd w:val="0"/>
        <w:rPr>
          <w:rFonts w:eastAsia="TimesNewRoman"/>
          <w:sz w:val="22"/>
          <w:szCs w:val="22"/>
          <w:lang w:eastAsia="en-US"/>
        </w:rPr>
      </w:pPr>
    </w:p>
    <w:p w14:paraId="5243FA84" w14:textId="77777777" w:rsidR="00E86446" w:rsidRDefault="00345E63">
      <w:pPr>
        <w:widowControl w:val="0"/>
        <w:tabs>
          <w:tab w:val="left" w:pos="567"/>
        </w:tabs>
        <w:ind w:left="567" w:hanging="567"/>
        <w:outlineLvl w:val="2"/>
        <w:rPr>
          <w:b/>
          <w:kern w:val="28"/>
          <w:sz w:val="22"/>
          <w:szCs w:val="22"/>
          <w:lang w:eastAsia="en-US"/>
        </w:rPr>
      </w:pPr>
      <w:r>
        <w:rPr>
          <w:b/>
          <w:kern w:val="28"/>
          <w:sz w:val="22"/>
          <w:szCs w:val="22"/>
          <w:lang w:eastAsia="en-US"/>
        </w:rPr>
        <w:t>5.3</w:t>
      </w:r>
      <w:r>
        <w:rPr>
          <w:b/>
          <w:kern w:val="28"/>
          <w:sz w:val="22"/>
          <w:szCs w:val="22"/>
          <w:lang w:eastAsia="en-US"/>
        </w:rPr>
        <w:tab/>
      </w:r>
      <w:proofErr w:type="spellStart"/>
      <w:r>
        <w:rPr>
          <w:b/>
          <w:kern w:val="28"/>
          <w:sz w:val="22"/>
          <w:szCs w:val="22"/>
          <w:lang w:eastAsia="en-US"/>
        </w:rPr>
        <w:t>Ikiklinikinių</w:t>
      </w:r>
      <w:proofErr w:type="spellEnd"/>
      <w:r>
        <w:rPr>
          <w:b/>
          <w:kern w:val="28"/>
          <w:sz w:val="22"/>
          <w:szCs w:val="22"/>
          <w:lang w:eastAsia="en-US"/>
        </w:rPr>
        <w:t xml:space="preserve"> saugumo tyrimų duomenys</w:t>
      </w:r>
    </w:p>
    <w:p w14:paraId="14EE7585" w14:textId="77777777" w:rsidR="00E86446" w:rsidRDefault="00E86446">
      <w:pPr>
        <w:widowControl w:val="0"/>
        <w:autoSpaceDE w:val="0"/>
        <w:autoSpaceDN w:val="0"/>
        <w:adjustRightInd w:val="0"/>
        <w:rPr>
          <w:rFonts w:eastAsia="TimesNewRoman"/>
          <w:sz w:val="22"/>
          <w:szCs w:val="22"/>
          <w:lang w:eastAsia="en-US"/>
        </w:rPr>
      </w:pPr>
    </w:p>
    <w:p w14:paraId="1B1F2172"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Kartu vartomi dapagliflozinas ir </w:t>
      </w:r>
      <w:proofErr w:type="spellStart"/>
      <w:r>
        <w:rPr>
          <w:rFonts w:eastAsiaTheme="minorHAnsi"/>
          <w:color w:val="000000"/>
          <w:sz w:val="22"/>
          <w:szCs w:val="22"/>
          <w:u w:val="single"/>
          <w:lang w:eastAsia="en-US"/>
        </w:rPr>
        <w:t>metforminas</w:t>
      </w:r>
      <w:proofErr w:type="spellEnd"/>
    </w:p>
    <w:p w14:paraId="1452D9C0"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Įprastų kartotinių dozių toksiškumo </w:t>
      </w:r>
      <w:proofErr w:type="spellStart"/>
      <w:r>
        <w:rPr>
          <w:rFonts w:eastAsiaTheme="minorHAnsi"/>
          <w:color w:val="000000"/>
          <w:sz w:val="22"/>
          <w:szCs w:val="22"/>
          <w:lang w:eastAsia="en-US"/>
        </w:rPr>
        <w:t>ikiklinikinių</w:t>
      </w:r>
      <w:proofErr w:type="spellEnd"/>
      <w:r>
        <w:rPr>
          <w:rFonts w:eastAsiaTheme="minorHAnsi"/>
          <w:color w:val="000000"/>
          <w:sz w:val="22"/>
          <w:szCs w:val="22"/>
          <w:lang w:eastAsia="en-US"/>
        </w:rPr>
        <w:t xml:space="preserve"> tyrimų duomenys specifinio pavojaus žmogui nerodo.</w:t>
      </w:r>
    </w:p>
    <w:p w14:paraId="49784B3A" w14:textId="77777777" w:rsidR="00E86446" w:rsidRDefault="00E86446">
      <w:pPr>
        <w:autoSpaceDE w:val="0"/>
        <w:autoSpaceDN w:val="0"/>
        <w:adjustRightInd w:val="0"/>
        <w:rPr>
          <w:rFonts w:eastAsiaTheme="minorHAnsi"/>
          <w:color w:val="000000"/>
          <w:sz w:val="22"/>
          <w:szCs w:val="22"/>
          <w:lang w:eastAsia="en-US"/>
        </w:rPr>
      </w:pPr>
    </w:p>
    <w:p w14:paraId="26EADDE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Žemiau pateikiami atskirų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veikliųjų medžiagų </w:t>
      </w:r>
      <w:proofErr w:type="spellStart"/>
      <w:r>
        <w:rPr>
          <w:rFonts w:eastAsiaTheme="minorHAnsi"/>
          <w:color w:val="000000"/>
          <w:sz w:val="22"/>
          <w:szCs w:val="22"/>
          <w:lang w:eastAsia="en-US"/>
        </w:rPr>
        <w:t>ikiklinikinio</w:t>
      </w:r>
      <w:proofErr w:type="spellEnd"/>
      <w:r>
        <w:rPr>
          <w:rFonts w:eastAsiaTheme="minorHAnsi"/>
          <w:color w:val="000000"/>
          <w:sz w:val="22"/>
          <w:szCs w:val="22"/>
          <w:lang w:eastAsia="en-US"/>
        </w:rPr>
        <w:t xml:space="preserve"> saugumo duomenys.</w:t>
      </w:r>
    </w:p>
    <w:p w14:paraId="1B503ECA" w14:textId="77777777" w:rsidR="00E86446" w:rsidRDefault="00E86446">
      <w:pPr>
        <w:autoSpaceDE w:val="0"/>
        <w:autoSpaceDN w:val="0"/>
        <w:adjustRightInd w:val="0"/>
        <w:rPr>
          <w:rFonts w:eastAsiaTheme="minorHAnsi"/>
          <w:color w:val="000000"/>
          <w:sz w:val="22"/>
          <w:szCs w:val="22"/>
          <w:lang w:eastAsia="en-US"/>
        </w:rPr>
      </w:pPr>
    </w:p>
    <w:p w14:paraId="70858A9F"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Dapagliflozinas</w:t>
      </w:r>
    </w:p>
    <w:p w14:paraId="4E23DB4A"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Įprastų farmakologinio saugumo, kartotinių dozių toksiškumo, </w:t>
      </w:r>
      <w:proofErr w:type="spellStart"/>
      <w:r>
        <w:rPr>
          <w:rFonts w:eastAsiaTheme="minorHAnsi"/>
          <w:color w:val="000000"/>
          <w:sz w:val="22"/>
          <w:szCs w:val="22"/>
          <w:lang w:eastAsia="en-US"/>
        </w:rPr>
        <w:t>genotoksiškumo</w:t>
      </w:r>
      <w:proofErr w:type="spellEnd"/>
      <w:r>
        <w:rPr>
          <w:rFonts w:eastAsiaTheme="minorHAnsi"/>
          <w:color w:val="000000"/>
          <w:sz w:val="22"/>
          <w:szCs w:val="22"/>
          <w:lang w:eastAsia="en-US"/>
        </w:rPr>
        <w:t xml:space="preserve">, galimo </w:t>
      </w:r>
      <w:proofErr w:type="spellStart"/>
      <w:r>
        <w:rPr>
          <w:rFonts w:eastAsiaTheme="minorHAnsi"/>
          <w:color w:val="000000"/>
          <w:sz w:val="22"/>
          <w:szCs w:val="22"/>
          <w:lang w:eastAsia="en-US"/>
        </w:rPr>
        <w:t>kancerogeniškumo</w:t>
      </w:r>
      <w:proofErr w:type="spellEnd"/>
      <w:r>
        <w:rPr>
          <w:rFonts w:eastAsiaTheme="minorHAnsi"/>
          <w:color w:val="000000"/>
          <w:sz w:val="22"/>
          <w:szCs w:val="22"/>
          <w:lang w:eastAsia="en-US"/>
        </w:rPr>
        <w:t xml:space="preserve"> ir poveikio vaisingumui </w:t>
      </w:r>
      <w:proofErr w:type="spellStart"/>
      <w:r>
        <w:rPr>
          <w:rFonts w:eastAsiaTheme="minorHAnsi"/>
          <w:color w:val="000000"/>
          <w:sz w:val="22"/>
          <w:szCs w:val="22"/>
          <w:lang w:eastAsia="en-US"/>
        </w:rPr>
        <w:t>ikiklinikinių</w:t>
      </w:r>
      <w:proofErr w:type="spellEnd"/>
      <w:r>
        <w:rPr>
          <w:rFonts w:eastAsiaTheme="minorHAnsi"/>
          <w:color w:val="000000"/>
          <w:sz w:val="22"/>
          <w:szCs w:val="22"/>
          <w:lang w:eastAsia="en-US"/>
        </w:rPr>
        <w:t xml:space="preserve"> tyrimų duomenys specifinio pavojaus žmogui nerodo. 2 metų trukmės </w:t>
      </w:r>
      <w:proofErr w:type="spellStart"/>
      <w:r>
        <w:rPr>
          <w:rFonts w:eastAsiaTheme="minorHAnsi"/>
          <w:color w:val="000000"/>
          <w:sz w:val="22"/>
          <w:szCs w:val="22"/>
          <w:lang w:eastAsia="en-US"/>
        </w:rPr>
        <w:t>kancerogeniškumo</w:t>
      </w:r>
      <w:proofErr w:type="spellEnd"/>
      <w:r>
        <w:rPr>
          <w:rFonts w:eastAsiaTheme="minorHAnsi"/>
          <w:color w:val="000000"/>
          <w:sz w:val="22"/>
          <w:szCs w:val="22"/>
          <w:lang w:eastAsia="en-US"/>
        </w:rPr>
        <w:t xml:space="preserve"> tyrimų metu jokia dapagliflozino dozė navikų pelėms ir žiurkėms nesukėlė.</w:t>
      </w:r>
    </w:p>
    <w:p w14:paraId="50A08484" w14:textId="77777777" w:rsidR="00E86446" w:rsidRDefault="00E86446">
      <w:pPr>
        <w:autoSpaceDE w:val="0"/>
        <w:autoSpaceDN w:val="0"/>
        <w:adjustRightInd w:val="0"/>
        <w:rPr>
          <w:rFonts w:eastAsiaTheme="minorHAnsi"/>
          <w:color w:val="000000"/>
          <w:sz w:val="22"/>
          <w:szCs w:val="22"/>
          <w:lang w:eastAsia="en-US"/>
        </w:rPr>
      </w:pPr>
    </w:p>
    <w:p w14:paraId="3908A59A"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Toksinis poveikis reprodukcijai ir vystymuisi</w:t>
      </w:r>
    </w:p>
    <w:p w14:paraId="1BC5E322" w14:textId="3A9DF1B3"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Tiesioginis dapagliflozino davimas nujunkomiems žiurkių jaunikliams, netiesioginė jo ekspozicija vaikingumo pabaigoje (pagal inkstų vystymąsi antrąjį ir trečiąjį žmogaus nėštumo trimestrus atitinkančiu laiku) ir žindymo laikotarpiu </w:t>
      </w:r>
      <w:proofErr w:type="spellStart"/>
      <w:r>
        <w:rPr>
          <w:rFonts w:eastAsiaTheme="minorHAnsi"/>
          <w:color w:val="000000"/>
          <w:sz w:val="22"/>
          <w:szCs w:val="22"/>
          <w:lang w:eastAsia="en-US"/>
        </w:rPr>
        <w:t>palikuonims</w:t>
      </w:r>
      <w:proofErr w:type="spellEnd"/>
      <w:r>
        <w:rPr>
          <w:rFonts w:eastAsiaTheme="minorHAnsi"/>
          <w:color w:val="000000"/>
          <w:sz w:val="22"/>
          <w:szCs w:val="22"/>
          <w:lang w:eastAsia="en-US"/>
        </w:rPr>
        <w:t xml:space="preserve"> sukėlė inkstų geldelių ir kanalėlių išsiplėtimo padažnėjimą ir (arba) pasunkėjimą (kiekvienu iš šių atvejų).</w:t>
      </w:r>
    </w:p>
    <w:p w14:paraId="11A74F32" w14:textId="77777777" w:rsidR="00E86446" w:rsidRDefault="00E86446">
      <w:pPr>
        <w:autoSpaceDE w:val="0"/>
        <w:autoSpaceDN w:val="0"/>
        <w:adjustRightInd w:val="0"/>
        <w:rPr>
          <w:rFonts w:eastAsiaTheme="minorHAnsi"/>
          <w:color w:val="000000"/>
          <w:sz w:val="22"/>
          <w:szCs w:val="22"/>
          <w:lang w:eastAsia="en-US"/>
        </w:rPr>
      </w:pPr>
    </w:p>
    <w:p w14:paraId="5A95DB59" w14:textId="584E2C8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Toksinio poveikio jaunikliams tyrimo metu dapagliflozino duodant tiesiogiai žiurkių jaunikliams nuo 21-os iki 90-os jų gyvenimo dienos, visų dozių grupių gyvūnams rasta išsiplėtusių inkstų geldelių ir kanalėlių (mažiausios tirtos dozės sukelta ekspozicija jaunikliams 15 ar daugiau kartų viršijo susidarančią žmogui vartojant didžiausią rekomenduojamą dozę). Šie radiniai visų dozių grupių gyvūnams buvo susiję su nuo dozės priklausomu inkstų svorio padidėjimu ir </w:t>
      </w:r>
      <w:proofErr w:type="spellStart"/>
      <w:r>
        <w:rPr>
          <w:rFonts w:eastAsiaTheme="minorHAnsi"/>
          <w:color w:val="000000"/>
          <w:sz w:val="22"/>
          <w:szCs w:val="22"/>
          <w:lang w:eastAsia="en-US"/>
        </w:rPr>
        <w:t>makroskopiniu</w:t>
      </w:r>
      <w:proofErr w:type="spellEnd"/>
      <w:r>
        <w:rPr>
          <w:rFonts w:eastAsiaTheme="minorHAnsi"/>
          <w:color w:val="000000"/>
          <w:sz w:val="22"/>
          <w:szCs w:val="22"/>
          <w:lang w:eastAsia="en-US"/>
        </w:rPr>
        <w:t xml:space="preserve"> inkstų padidėjimu. Maždaug 1</w:t>
      </w:r>
      <w:r w:rsidR="00BF5429">
        <w:rPr>
          <w:rFonts w:eastAsiaTheme="minorHAnsi"/>
          <w:color w:val="000000"/>
          <w:sz w:val="22"/>
          <w:szCs w:val="22"/>
          <w:lang w:eastAsia="en-US"/>
        </w:rPr>
        <w:t> </w:t>
      </w:r>
      <w:r>
        <w:rPr>
          <w:rFonts w:eastAsiaTheme="minorHAnsi"/>
          <w:color w:val="000000"/>
          <w:sz w:val="22"/>
          <w:szCs w:val="22"/>
          <w:lang w:eastAsia="en-US"/>
        </w:rPr>
        <w:t>mėn. vaistinio preparato nedavus, žiurkių jauniklių inkstų geldelių ir inkstų kanalėlių išsiplėtimas pilnai nepraėjo.</w:t>
      </w:r>
    </w:p>
    <w:p w14:paraId="420CC949" w14:textId="77777777" w:rsidR="00E86446" w:rsidRDefault="00E86446">
      <w:pPr>
        <w:autoSpaceDE w:val="0"/>
        <w:autoSpaceDN w:val="0"/>
        <w:adjustRightInd w:val="0"/>
        <w:rPr>
          <w:rFonts w:eastAsiaTheme="minorHAnsi"/>
          <w:color w:val="000000"/>
          <w:sz w:val="22"/>
          <w:szCs w:val="22"/>
          <w:lang w:eastAsia="en-US"/>
        </w:rPr>
      </w:pPr>
    </w:p>
    <w:p w14:paraId="7F92DB32" w14:textId="7BD408D7" w:rsidR="00E86446" w:rsidRDefault="00345E63">
      <w:pPr>
        <w:pStyle w:val="Default"/>
        <w:rPr>
          <w:rFonts w:eastAsiaTheme="minorHAnsi"/>
          <w:sz w:val="22"/>
          <w:szCs w:val="22"/>
          <w:lang w:val="lt-LT" w:eastAsia="en-US"/>
        </w:rPr>
      </w:pPr>
      <w:r w:rsidRPr="003171F5">
        <w:rPr>
          <w:rFonts w:eastAsiaTheme="minorHAnsi"/>
          <w:sz w:val="22"/>
          <w:szCs w:val="22"/>
          <w:lang w:val="lt-LT" w:eastAsia="en-US"/>
        </w:rPr>
        <w:t xml:space="preserve">Atskirai tiriant poveikį </w:t>
      </w:r>
      <w:proofErr w:type="spellStart"/>
      <w:r w:rsidRPr="003171F5">
        <w:rPr>
          <w:rFonts w:eastAsiaTheme="minorHAnsi"/>
          <w:sz w:val="22"/>
          <w:szCs w:val="22"/>
          <w:lang w:val="lt-LT" w:eastAsia="en-US"/>
        </w:rPr>
        <w:t>prenataliniam</w:t>
      </w:r>
      <w:proofErr w:type="spellEnd"/>
      <w:r w:rsidRPr="003171F5">
        <w:rPr>
          <w:rFonts w:eastAsiaTheme="minorHAnsi"/>
          <w:sz w:val="22"/>
          <w:szCs w:val="22"/>
          <w:lang w:val="lt-LT" w:eastAsia="en-US"/>
        </w:rPr>
        <w:t xml:space="preserve"> ir </w:t>
      </w:r>
      <w:proofErr w:type="spellStart"/>
      <w:r w:rsidRPr="003171F5">
        <w:rPr>
          <w:rFonts w:eastAsiaTheme="minorHAnsi"/>
          <w:sz w:val="22"/>
          <w:szCs w:val="22"/>
          <w:lang w:val="lt-LT" w:eastAsia="en-US"/>
        </w:rPr>
        <w:t>postnataliniam</w:t>
      </w:r>
      <w:proofErr w:type="spellEnd"/>
      <w:r w:rsidRPr="003171F5">
        <w:rPr>
          <w:rFonts w:eastAsiaTheme="minorHAnsi"/>
          <w:sz w:val="22"/>
          <w:szCs w:val="22"/>
          <w:lang w:val="lt-LT" w:eastAsia="en-US"/>
        </w:rPr>
        <w:t xml:space="preserve"> vystymuisi, vaikingoms žiurkių patelėms duota dapagliflozino nuo 6-os vaikingumo dienos iki 21-os dienos po atsivedimo – tokiu būdu buvo </w:t>
      </w:r>
      <w:proofErr w:type="spellStart"/>
      <w:r w:rsidRPr="003171F5">
        <w:rPr>
          <w:rFonts w:eastAsiaTheme="minorHAnsi"/>
          <w:sz w:val="22"/>
          <w:szCs w:val="22"/>
          <w:lang w:val="lt-LT" w:eastAsia="en-US"/>
        </w:rPr>
        <w:t>palikuonims</w:t>
      </w:r>
      <w:proofErr w:type="spellEnd"/>
      <w:r w:rsidRPr="003171F5">
        <w:rPr>
          <w:rFonts w:eastAsiaTheme="minorHAnsi"/>
          <w:sz w:val="22"/>
          <w:szCs w:val="22"/>
          <w:lang w:val="lt-LT" w:eastAsia="en-US"/>
        </w:rPr>
        <w:t xml:space="preserve"> </w:t>
      </w:r>
      <w:proofErr w:type="spellStart"/>
      <w:r w:rsidRPr="003171F5">
        <w:rPr>
          <w:rFonts w:eastAsiaTheme="minorHAnsi"/>
          <w:i/>
          <w:iCs/>
          <w:sz w:val="22"/>
          <w:szCs w:val="22"/>
          <w:lang w:val="lt-LT" w:eastAsia="en-US"/>
        </w:rPr>
        <w:t>in</w:t>
      </w:r>
      <w:proofErr w:type="spellEnd"/>
      <w:r w:rsidRPr="003171F5">
        <w:rPr>
          <w:rFonts w:eastAsiaTheme="minorHAnsi"/>
          <w:i/>
          <w:iCs/>
          <w:sz w:val="22"/>
          <w:szCs w:val="22"/>
          <w:lang w:val="lt-LT" w:eastAsia="en-US"/>
        </w:rPr>
        <w:t xml:space="preserve"> </w:t>
      </w:r>
      <w:proofErr w:type="spellStart"/>
      <w:r w:rsidRPr="003171F5">
        <w:rPr>
          <w:rFonts w:eastAsiaTheme="minorHAnsi"/>
          <w:i/>
          <w:iCs/>
          <w:sz w:val="22"/>
          <w:szCs w:val="22"/>
          <w:lang w:val="lt-LT" w:eastAsia="en-US"/>
        </w:rPr>
        <w:t>utero</w:t>
      </w:r>
      <w:proofErr w:type="spellEnd"/>
      <w:r w:rsidRPr="003171F5">
        <w:rPr>
          <w:rFonts w:eastAsiaTheme="minorHAnsi"/>
          <w:i/>
          <w:iCs/>
          <w:sz w:val="22"/>
          <w:szCs w:val="22"/>
          <w:lang w:val="lt-LT" w:eastAsia="en-US"/>
        </w:rPr>
        <w:t xml:space="preserve"> </w:t>
      </w:r>
      <w:r w:rsidRPr="003171F5">
        <w:rPr>
          <w:rFonts w:eastAsiaTheme="minorHAnsi"/>
          <w:sz w:val="22"/>
          <w:szCs w:val="22"/>
          <w:lang w:val="lt-LT" w:eastAsia="en-US"/>
        </w:rPr>
        <w:t xml:space="preserve">ir žindymo laikotarpiu sukelta netiesioginė jo ekspozicija (kartu atliktas satelitinis dapagliflozino ekspozicijos piene ir </w:t>
      </w:r>
      <w:proofErr w:type="spellStart"/>
      <w:r w:rsidRPr="003171F5">
        <w:rPr>
          <w:rFonts w:eastAsiaTheme="minorHAnsi"/>
          <w:sz w:val="22"/>
          <w:szCs w:val="22"/>
          <w:lang w:val="lt-LT" w:eastAsia="en-US"/>
        </w:rPr>
        <w:t>palikuonims</w:t>
      </w:r>
      <w:proofErr w:type="spellEnd"/>
      <w:r w:rsidRPr="003171F5">
        <w:rPr>
          <w:rFonts w:eastAsiaTheme="minorHAnsi"/>
          <w:sz w:val="22"/>
          <w:szCs w:val="22"/>
          <w:lang w:val="lt-LT" w:eastAsia="en-US"/>
        </w:rPr>
        <w:t xml:space="preserve"> tyrimas). Dapagliflozino gavusių patelių suaugusiems </w:t>
      </w:r>
      <w:proofErr w:type="spellStart"/>
      <w:r w:rsidRPr="003171F5">
        <w:rPr>
          <w:rFonts w:eastAsiaTheme="minorHAnsi"/>
          <w:sz w:val="22"/>
          <w:szCs w:val="22"/>
          <w:lang w:val="lt-LT" w:eastAsia="en-US"/>
        </w:rPr>
        <w:t>palikuonims</w:t>
      </w:r>
      <w:proofErr w:type="spellEnd"/>
      <w:r w:rsidRPr="003171F5">
        <w:rPr>
          <w:rFonts w:eastAsiaTheme="minorHAnsi"/>
          <w:sz w:val="22"/>
          <w:szCs w:val="22"/>
          <w:lang w:val="lt-LT" w:eastAsia="en-US"/>
        </w:rPr>
        <w:t xml:space="preserve"> inkstų geldelių išsiplėtimas rastas dažniau ir (ar) sunkesnio laipsnio, tačiau tik didžiausios tirtos dozės grupėje (kai dapagliflozino ekspozicija patelėms 1</w:t>
      </w:r>
      <w:r w:rsidR="00902CA2">
        <w:rPr>
          <w:rFonts w:eastAsiaTheme="minorHAnsi"/>
          <w:sz w:val="22"/>
          <w:szCs w:val="22"/>
          <w:lang w:val="lt-LT" w:eastAsia="en-US"/>
        </w:rPr>
        <w:t> </w:t>
      </w:r>
      <w:r w:rsidRPr="003171F5">
        <w:rPr>
          <w:rFonts w:eastAsiaTheme="minorHAnsi"/>
          <w:sz w:val="22"/>
          <w:szCs w:val="22"/>
          <w:lang w:val="lt-LT" w:eastAsia="en-US"/>
        </w:rPr>
        <w:t xml:space="preserve">415 kartų, o jų </w:t>
      </w:r>
      <w:proofErr w:type="spellStart"/>
      <w:r w:rsidRPr="003171F5">
        <w:rPr>
          <w:rFonts w:eastAsiaTheme="minorHAnsi"/>
          <w:sz w:val="22"/>
          <w:szCs w:val="22"/>
          <w:lang w:val="lt-LT" w:eastAsia="en-US"/>
        </w:rPr>
        <w:t>palikuonims</w:t>
      </w:r>
      <w:proofErr w:type="spellEnd"/>
      <w:r w:rsidRPr="003171F5">
        <w:rPr>
          <w:rFonts w:eastAsiaTheme="minorHAnsi"/>
          <w:sz w:val="22"/>
          <w:szCs w:val="22"/>
          <w:lang w:val="lt-LT" w:eastAsia="en-US"/>
        </w:rPr>
        <w:t xml:space="preserve"> – 137 kartus viršijo susidarančią žmogui vartojant didžiausią rekomenduojamą dozę). Kitoks toksinis poveikis vystymuisi pasireiškė tik su doze susijusiu palikuonių kūno svorio sumažėjimu, pasireiškusiu tik nuo ≥</w:t>
      </w:r>
      <w:r w:rsidR="00902CA2">
        <w:rPr>
          <w:rFonts w:eastAsiaTheme="minorHAnsi"/>
          <w:sz w:val="22"/>
          <w:szCs w:val="22"/>
          <w:lang w:val="lt-LT" w:eastAsia="en-US"/>
        </w:rPr>
        <w:t> </w:t>
      </w:r>
      <w:r w:rsidRPr="003171F5">
        <w:rPr>
          <w:rFonts w:eastAsiaTheme="minorHAnsi"/>
          <w:sz w:val="22"/>
          <w:szCs w:val="22"/>
          <w:lang w:val="lt-LT" w:eastAsia="en-US"/>
        </w:rPr>
        <w:t>15 mg/kg paros dozių (palikuonių ekspozicija tuomet ≥</w:t>
      </w:r>
      <w:r w:rsidR="0055146C">
        <w:rPr>
          <w:rFonts w:eastAsiaTheme="minorHAnsi"/>
          <w:sz w:val="22"/>
          <w:szCs w:val="22"/>
          <w:lang w:val="lt-LT" w:eastAsia="en-US"/>
        </w:rPr>
        <w:t> </w:t>
      </w:r>
      <w:r w:rsidRPr="003171F5">
        <w:rPr>
          <w:rFonts w:eastAsiaTheme="minorHAnsi"/>
          <w:sz w:val="22"/>
          <w:szCs w:val="22"/>
          <w:lang w:val="lt-LT" w:eastAsia="en-US"/>
        </w:rPr>
        <w:t xml:space="preserve">29 kartų viršijo susidarančią žmogui vartojant didžiausią rekomenduojamą dozę). Toksinis poveikis vaikingai ar atsivedusiai patelei nustatytas tik tiriant didžiausią dozę. Jis pasireiškė tik trumpalaikiu kūno svorio ir maisto suvartojimo sumažėjimu. Tiriant toksinį poveikį vystymuisi nustatyta, </w:t>
      </w:r>
      <w:r>
        <w:rPr>
          <w:rFonts w:eastAsiaTheme="minorHAnsi"/>
          <w:sz w:val="22"/>
          <w:szCs w:val="22"/>
          <w:lang w:val="lt-LT" w:eastAsia="en-US"/>
        </w:rPr>
        <w:t xml:space="preserve">kad jam nekenkia tokia mažiausia dozė (NOAEL, </w:t>
      </w:r>
      <w:r>
        <w:rPr>
          <w:rFonts w:eastAsiaTheme="minorHAnsi"/>
          <w:i/>
          <w:iCs/>
          <w:sz w:val="22"/>
          <w:szCs w:val="22"/>
          <w:lang w:val="lt-LT" w:eastAsia="en-US"/>
        </w:rPr>
        <w:t xml:space="preserve">angl. </w:t>
      </w:r>
      <w:proofErr w:type="spellStart"/>
      <w:r>
        <w:rPr>
          <w:rFonts w:eastAsiaTheme="minorHAnsi"/>
          <w:i/>
          <w:iCs/>
          <w:sz w:val="22"/>
          <w:szCs w:val="22"/>
          <w:lang w:val="lt-LT" w:eastAsia="en-US"/>
        </w:rPr>
        <w:t>no</w:t>
      </w:r>
      <w:proofErr w:type="spellEnd"/>
      <w:r>
        <w:rPr>
          <w:rFonts w:eastAsiaTheme="minorHAnsi"/>
          <w:i/>
          <w:iCs/>
          <w:sz w:val="22"/>
          <w:szCs w:val="22"/>
          <w:lang w:val="lt-LT" w:eastAsia="en-US"/>
        </w:rPr>
        <w:t xml:space="preserve"> </w:t>
      </w:r>
      <w:proofErr w:type="spellStart"/>
      <w:r>
        <w:rPr>
          <w:rFonts w:eastAsiaTheme="minorHAnsi"/>
          <w:i/>
          <w:iCs/>
          <w:sz w:val="22"/>
          <w:szCs w:val="22"/>
          <w:lang w:val="lt-LT" w:eastAsia="en-US"/>
        </w:rPr>
        <w:t>observed</w:t>
      </w:r>
      <w:proofErr w:type="spellEnd"/>
      <w:r>
        <w:rPr>
          <w:rFonts w:eastAsiaTheme="minorHAnsi"/>
          <w:i/>
          <w:iCs/>
          <w:sz w:val="22"/>
          <w:szCs w:val="22"/>
          <w:lang w:val="lt-LT" w:eastAsia="en-US"/>
        </w:rPr>
        <w:t xml:space="preserve"> </w:t>
      </w:r>
      <w:proofErr w:type="spellStart"/>
      <w:r>
        <w:rPr>
          <w:rFonts w:eastAsiaTheme="minorHAnsi"/>
          <w:i/>
          <w:iCs/>
          <w:sz w:val="22"/>
          <w:szCs w:val="22"/>
          <w:lang w:val="lt-LT" w:eastAsia="en-US"/>
        </w:rPr>
        <w:t>adverse</w:t>
      </w:r>
      <w:proofErr w:type="spellEnd"/>
      <w:r>
        <w:rPr>
          <w:rFonts w:eastAsiaTheme="minorHAnsi"/>
          <w:i/>
          <w:iCs/>
          <w:sz w:val="22"/>
          <w:szCs w:val="22"/>
          <w:lang w:val="lt-LT" w:eastAsia="en-US"/>
        </w:rPr>
        <w:t xml:space="preserve"> </w:t>
      </w:r>
      <w:proofErr w:type="spellStart"/>
      <w:r>
        <w:rPr>
          <w:rFonts w:eastAsiaTheme="minorHAnsi"/>
          <w:i/>
          <w:iCs/>
          <w:sz w:val="22"/>
          <w:szCs w:val="22"/>
          <w:lang w:val="lt-LT" w:eastAsia="en-US"/>
        </w:rPr>
        <w:t>effect</w:t>
      </w:r>
      <w:proofErr w:type="spellEnd"/>
      <w:r>
        <w:rPr>
          <w:rFonts w:eastAsiaTheme="minorHAnsi"/>
          <w:i/>
          <w:iCs/>
          <w:sz w:val="22"/>
          <w:szCs w:val="22"/>
          <w:lang w:val="lt-LT" w:eastAsia="en-US"/>
        </w:rPr>
        <w:t xml:space="preserve"> </w:t>
      </w:r>
      <w:proofErr w:type="spellStart"/>
      <w:r>
        <w:rPr>
          <w:rFonts w:eastAsiaTheme="minorHAnsi"/>
          <w:i/>
          <w:iCs/>
          <w:sz w:val="22"/>
          <w:szCs w:val="22"/>
          <w:lang w:val="lt-LT" w:eastAsia="en-US"/>
        </w:rPr>
        <w:t>level</w:t>
      </w:r>
      <w:proofErr w:type="spellEnd"/>
      <w:r>
        <w:rPr>
          <w:rFonts w:eastAsiaTheme="minorHAnsi"/>
          <w:sz w:val="22"/>
          <w:szCs w:val="22"/>
          <w:lang w:val="lt-LT" w:eastAsia="en-US"/>
        </w:rPr>
        <w:t>), kurios sukelta sisteminė ekspozicija vaikingai ar atsivedusiai patelei maždaug 19 kartų viršija susidarančią žmogui vartojant didžiausią rekomenduojamą dozę.</w:t>
      </w:r>
    </w:p>
    <w:p w14:paraId="3FEFF9A9" w14:textId="77777777" w:rsidR="00E86446" w:rsidRDefault="00E86446">
      <w:pPr>
        <w:pStyle w:val="Default"/>
        <w:rPr>
          <w:rFonts w:eastAsiaTheme="minorHAnsi"/>
          <w:sz w:val="22"/>
          <w:szCs w:val="22"/>
          <w:lang w:val="lt-LT" w:eastAsia="en-US"/>
        </w:rPr>
      </w:pPr>
    </w:p>
    <w:p w14:paraId="7449A2D5" w14:textId="3E66534E"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Papildomų poveikio žiurkių ir triušių embrionų ir vaisių vystymuisi tyrimų metu dapagliflozino buvo duodama intervalais, atitinkančiais pagrindinius kiekvienos rūšies </w:t>
      </w:r>
      <w:proofErr w:type="spellStart"/>
      <w:r>
        <w:rPr>
          <w:rFonts w:eastAsiaTheme="minorHAnsi"/>
          <w:color w:val="000000"/>
          <w:sz w:val="22"/>
          <w:szCs w:val="22"/>
          <w:lang w:eastAsia="en-US"/>
        </w:rPr>
        <w:t>organogenezės</w:t>
      </w:r>
      <w:proofErr w:type="spellEnd"/>
      <w:r>
        <w:rPr>
          <w:rFonts w:eastAsiaTheme="minorHAnsi"/>
          <w:color w:val="000000"/>
          <w:sz w:val="22"/>
          <w:szCs w:val="22"/>
          <w:lang w:eastAsia="en-US"/>
        </w:rPr>
        <w:t xml:space="preserve"> laikotarpius. Jokios tirtos dozės toksinio poveikio vaikingoms triušių patelėms ar jų atsivestų jauniklių vystymuisi nenustatyta (didžiausios tirtos dozės sukelta sisteminė ekspozicija maždaug 1</w:t>
      </w:r>
      <w:r w:rsidR="00715511">
        <w:rPr>
          <w:rFonts w:eastAsiaTheme="minorHAnsi"/>
          <w:color w:val="000000"/>
          <w:sz w:val="22"/>
          <w:szCs w:val="22"/>
          <w:lang w:eastAsia="en-US"/>
        </w:rPr>
        <w:t> </w:t>
      </w:r>
      <w:r>
        <w:rPr>
          <w:rFonts w:eastAsiaTheme="minorHAnsi"/>
          <w:color w:val="000000"/>
          <w:sz w:val="22"/>
          <w:szCs w:val="22"/>
          <w:lang w:eastAsia="en-US"/>
        </w:rPr>
        <w:t>191 kart</w:t>
      </w:r>
      <w:r w:rsidR="00715511">
        <w:rPr>
          <w:rFonts w:eastAsiaTheme="minorHAnsi"/>
          <w:color w:val="000000"/>
          <w:sz w:val="22"/>
          <w:szCs w:val="22"/>
          <w:lang w:eastAsia="en-US"/>
        </w:rPr>
        <w:t>ą</w:t>
      </w:r>
      <w:r>
        <w:rPr>
          <w:rFonts w:eastAsiaTheme="minorHAnsi"/>
          <w:color w:val="000000"/>
          <w:sz w:val="22"/>
          <w:szCs w:val="22"/>
          <w:lang w:eastAsia="en-US"/>
        </w:rPr>
        <w:t xml:space="preserve"> viršijo susidarančią žmogui vartojant didžiausią rekomenduojamą dozę). Žiurkių ekspozicijai iki 1</w:t>
      </w:r>
      <w:r w:rsidR="00715511">
        <w:rPr>
          <w:rFonts w:eastAsiaTheme="minorHAnsi"/>
          <w:color w:val="000000"/>
          <w:sz w:val="22"/>
          <w:szCs w:val="22"/>
          <w:lang w:eastAsia="en-US"/>
        </w:rPr>
        <w:t> </w:t>
      </w:r>
      <w:r>
        <w:rPr>
          <w:rFonts w:eastAsiaTheme="minorHAnsi"/>
          <w:color w:val="000000"/>
          <w:sz w:val="22"/>
          <w:szCs w:val="22"/>
          <w:lang w:eastAsia="en-US"/>
        </w:rPr>
        <w:t xml:space="preserve">441 karto viršijus susidarančią žmogui vartojant didžiausią rekomenduojamą dozę, embrionų žuvimo ar </w:t>
      </w:r>
      <w:proofErr w:type="spellStart"/>
      <w:r>
        <w:rPr>
          <w:rFonts w:eastAsiaTheme="minorHAnsi"/>
          <w:color w:val="000000"/>
          <w:sz w:val="22"/>
          <w:szCs w:val="22"/>
          <w:lang w:eastAsia="en-US"/>
        </w:rPr>
        <w:t>teratogeninio</w:t>
      </w:r>
      <w:proofErr w:type="spellEnd"/>
      <w:r>
        <w:rPr>
          <w:rFonts w:eastAsiaTheme="minorHAnsi"/>
          <w:color w:val="000000"/>
          <w:sz w:val="22"/>
          <w:szCs w:val="22"/>
          <w:lang w:eastAsia="en-US"/>
        </w:rPr>
        <w:t xml:space="preserve"> poveikio dapagliflozinas nesukėlė.</w:t>
      </w:r>
    </w:p>
    <w:p w14:paraId="47F8A86F" w14:textId="77777777" w:rsidR="00E86446" w:rsidRDefault="00E86446">
      <w:pPr>
        <w:autoSpaceDE w:val="0"/>
        <w:autoSpaceDN w:val="0"/>
        <w:adjustRightInd w:val="0"/>
        <w:rPr>
          <w:rFonts w:eastAsiaTheme="minorHAnsi"/>
          <w:color w:val="000000"/>
          <w:sz w:val="22"/>
          <w:szCs w:val="22"/>
          <w:lang w:eastAsia="en-US"/>
        </w:rPr>
      </w:pPr>
    </w:p>
    <w:p w14:paraId="29628943"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44388823" w14:textId="76969C31" w:rsidR="00E86446" w:rsidRDefault="00345E63">
      <w:pPr>
        <w:rPr>
          <w:rFonts w:eastAsia="Calibri"/>
          <w:sz w:val="22"/>
          <w:szCs w:val="22"/>
          <w:lang w:eastAsia="en-US"/>
        </w:rPr>
      </w:pPr>
      <w:r>
        <w:rPr>
          <w:rFonts w:eastAsiaTheme="minorHAnsi"/>
          <w:color w:val="000000"/>
          <w:sz w:val="22"/>
          <w:szCs w:val="22"/>
          <w:lang w:eastAsia="en-US"/>
        </w:rPr>
        <w:t xml:space="preserve">Įprastų farmakologinio saugumo, kartotinių dozių toksiškumo, </w:t>
      </w:r>
      <w:proofErr w:type="spellStart"/>
      <w:r>
        <w:rPr>
          <w:rFonts w:eastAsiaTheme="minorHAnsi"/>
          <w:color w:val="000000"/>
          <w:sz w:val="22"/>
          <w:szCs w:val="22"/>
          <w:lang w:eastAsia="en-US"/>
        </w:rPr>
        <w:t>genotoksiškumo</w:t>
      </w:r>
      <w:proofErr w:type="spellEnd"/>
      <w:r>
        <w:rPr>
          <w:rFonts w:eastAsiaTheme="minorHAnsi"/>
          <w:color w:val="000000"/>
          <w:sz w:val="22"/>
          <w:szCs w:val="22"/>
          <w:lang w:eastAsia="en-US"/>
        </w:rPr>
        <w:t xml:space="preserve">, galimo </w:t>
      </w:r>
      <w:proofErr w:type="spellStart"/>
      <w:r>
        <w:rPr>
          <w:rFonts w:eastAsiaTheme="minorHAnsi"/>
          <w:color w:val="000000"/>
          <w:sz w:val="22"/>
          <w:szCs w:val="22"/>
          <w:lang w:eastAsia="en-US"/>
        </w:rPr>
        <w:t>kancerogeniškumo</w:t>
      </w:r>
      <w:proofErr w:type="spellEnd"/>
      <w:r>
        <w:rPr>
          <w:rFonts w:eastAsiaTheme="minorHAnsi"/>
          <w:color w:val="000000"/>
          <w:sz w:val="22"/>
          <w:szCs w:val="22"/>
          <w:lang w:eastAsia="en-US"/>
        </w:rPr>
        <w:t xml:space="preserve"> bei toksinio poveikio reprodukcijai ir vystymuisi </w:t>
      </w:r>
      <w:proofErr w:type="spellStart"/>
      <w:r>
        <w:rPr>
          <w:rFonts w:eastAsiaTheme="minorHAnsi"/>
          <w:color w:val="000000"/>
          <w:sz w:val="22"/>
          <w:szCs w:val="22"/>
          <w:lang w:eastAsia="en-US"/>
        </w:rPr>
        <w:t>ikiklinikinių</w:t>
      </w:r>
      <w:proofErr w:type="spellEnd"/>
      <w:r>
        <w:rPr>
          <w:rFonts w:eastAsiaTheme="minorHAnsi"/>
          <w:color w:val="000000"/>
          <w:sz w:val="22"/>
          <w:szCs w:val="22"/>
          <w:lang w:eastAsia="en-US"/>
        </w:rPr>
        <w:t xml:space="preserve"> tyrimų duomenys specifinio pavojaus žmogui nerodo.</w:t>
      </w:r>
    </w:p>
    <w:p w14:paraId="47CB746A" w14:textId="77777777" w:rsidR="00E86446" w:rsidRDefault="00E86446">
      <w:pPr>
        <w:rPr>
          <w:rFonts w:eastAsia="Calibri"/>
          <w:sz w:val="22"/>
          <w:szCs w:val="22"/>
          <w:lang w:eastAsia="en-US"/>
        </w:rPr>
      </w:pPr>
    </w:p>
    <w:p w14:paraId="633DEE35" w14:textId="77777777" w:rsidR="00E86446" w:rsidRDefault="00345E63">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59E85014" w14:textId="77777777" w:rsidR="00E86446" w:rsidRDefault="00E86446">
      <w:pPr>
        <w:widowControl w:val="0"/>
        <w:rPr>
          <w:snapToGrid w:val="0"/>
          <w:sz w:val="22"/>
          <w:szCs w:val="22"/>
          <w:lang w:eastAsia="en-US"/>
        </w:rPr>
      </w:pPr>
    </w:p>
    <w:p w14:paraId="4054ED87" w14:textId="77777777" w:rsidR="00E86446" w:rsidRDefault="00345E63">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15291ADA" w14:textId="77777777" w:rsidR="00E86446" w:rsidRDefault="00E86446">
      <w:pPr>
        <w:widowControl w:val="0"/>
        <w:rPr>
          <w:snapToGrid w:val="0"/>
          <w:sz w:val="22"/>
          <w:szCs w:val="22"/>
          <w:lang w:eastAsia="en-US"/>
        </w:rPr>
      </w:pPr>
    </w:p>
    <w:p w14:paraId="64F7E99F" w14:textId="77777777" w:rsidR="00E86446" w:rsidRDefault="00345E63">
      <w:pPr>
        <w:widowControl w:val="0"/>
        <w:rPr>
          <w:sz w:val="22"/>
          <w:szCs w:val="22"/>
          <w:u w:val="single"/>
          <w:lang w:eastAsia="en-US"/>
        </w:rPr>
      </w:pPr>
      <w:r>
        <w:rPr>
          <w:sz w:val="22"/>
          <w:szCs w:val="22"/>
          <w:u w:val="single"/>
          <w:lang w:eastAsia="en-US"/>
        </w:rPr>
        <w:t>Tabletės branduolys</w:t>
      </w:r>
    </w:p>
    <w:p w14:paraId="15CA5D18" w14:textId="77777777" w:rsidR="00E86446" w:rsidRDefault="00345E63">
      <w:pPr>
        <w:widowControl w:val="0"/>
        <w:rPr>
          <w:sz w:val="22"/>
          <w:szCs w:val="22"/>
          <w:lang w:eastAsia="en-US"/>
        </w:rPr>
      </w:pPr>
      <w:bookmarkStart w:id="5" w:name="_Hlk190774534"/>
      <w:bookmarkStart w:id="6" w:name="_Hlk198627583"/>
      <w:proofErr w:type="spellStart"/>
      <w:r>
        <w:rPr>
          <w:sz w:val="22"/>
          <w:szCs w:val="22"/>
          <w:lang w:eastAsia="en-US"/>
        </w:rPr>
        <w:t>Krospovidonas</w:t>
      </w:r>
      <w:proofErr w:type="spellEnd"/>
    </w:p>
    <w:p w14:paraId="0F621D84" w14:textId="77777777" w:rsidR="00E86446" w:rsidRDefault="00345E63">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4213027B" w14:textId="77777777" w:rsidR="00E86446" w:rsidRDefault="00345E63">
      <w:pPr>
        <w:widowControl w:val="0"/>
        <w:rPr>
          <w:sz w:val="22"/>
          <w:szCs w:val="22"/>
          <w:lang w:eastAsia="en-US"/>
        </w:rPr>
      </w:pPr>
      <w:proofErr w:type="spellStart"/>
      <w:r>
        <w:rPr>
          <w:sz w:val="22"/>
          <w:szCs w:val="22"/>
          <w:lang w:eastAsia="en-US"/>
        </w:rPr>
        <w:lastRenderedPageBreak/>
        <w:t>Mikrokristalinė</w:t>
      </w:r>
      <w:proofErr w:type="spellEnd"/>
      <w:r>
        <w:rPr>
          <w:sz w:val="22"/>
          <w:szCs w:val="22"/>
          <w:lang w:eastAsia="en-US"/>
        </w:rPr>
        <w:t xml:space="preserve"> celiuliozė</w:t>
      </w:r>
    </w:p>
    <w:p w14:paraId="6E5304FE" w14:textId="77777777" w:rsidR="00E86446" w:rsidRDefault="00345E63">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bookmarkEnd w:id="5"/>
    <w:bookmarkEnd w:id="6"/>
    <w:p w14:paraId="01F37C17" w14:textId="77777777" w:rsidR="00E86446" w:rsidRDefault="00E86446">
      <w:pPr>
        <w:widowControl w:val="0"/>
        <w:rPr>
          <w:sz w:val="22"/>
          <w:szCs w:val="22"/>
          <w:u w:val="single"/>
          <w:lang w:eastAsia="en-US"/>
        </w:rPr>
      </w:pPr>
    </w:p>
    <w:p w14:paraId="74EC1C8C" w14:textId="77777777" w:rsidR="00E86446" w:rsidRDefault="00345E63">
      <w:pPr>
        <w:widowControl w:val="0"/>
        <w:rPr>
          <w:sz w:val="22"/>
          <w:szCs w:val="22"/>
          <w:u w:val="single"/>
          <w:lang w:eastAsia="en-US"/>
        </w:rPr>
      </w:pPr>
      <w:r>
        <w:rPr>
          <w:sz w:val="22"/>
          <w:szCs w:val="22"/>
          <w:u w:val="single"/>
          <w:lang w:eastAsia="en-US"/>
        </w:rPr>
        <w:t>Tabletės plėvelė</w:t>
      </w:r>
    </w:p>
    <w:p w14:paraId="21102EC9" w14:textId="77777777" w:rsidR="00E86446" w:rsidRDefault="00345E63">
      <w:pPr>
        <w:widowControl w:val="0"/>
        <w:rPr>
          <w:sz w:val="22"/>
          <w:szCs w:val="22"/>
          <w:lang w:eastAsia="en-US"/>
        </w:rPr>
      </w:pPr>
      <w:bookmarkStart w:id="7" w:name="_Hlk190775240"/>
      <w:r>
        <w:rPr>
          <w:sz w:val="22"/>
          <w:szCs w:val="22"/>
          <w:lang w:eastAsia="en-US"/>
        </w:rPr>
        <w:t>Polivinilo alkoholis</w:t>
      </w:r>
    </w:p>
    <w:p w14:paraId="04DF8C3F" w14:textId="77777777" w:rsidR="00E86446" w:rsidRDefault="00345E63">
      <w:pPr>
        <w:widowControl w:val="0"/>
        <w:rPr>
          <w:sz w:val="22"/>
          <w:szCs w:val="22"/>
          <w:lang w:eastAsia="en-US"/>
        </w:rPr>
      </w:pPr>
      <w:r>
        <w:rPr>
          <w:sz w:val="22"/>
          <w:szCs w:val="22"/>
          <w:lang w:eastAsia="en-US"/>
        </w:rPr>
        <w:t>Kalcio karbonatas</w:t>
      </w:r>
    </w:p>
    <w:p w14:paraId="0F13FB58" w14:textId="77777777" w:rsidR="00E86446" w:rsidRDefault="00345E63">
      <w:pPr>
        <w:widowControl w:val="0"/>
        <w:rPr>
          <w:sz w:val="22"/>
          <w:szCs w:val="22"/>
          <w:lang w:eastAsia="en-US"/>
        </w:rPr>
      </w:pPr>
      <w:r>
        <w:rPr>
          <w:sz w:val="22"/>
          <w:szCs w:val="22"/>
          <w:lang w:eastAsia="en-US"/>
        </w:rPr>
        <w:t>Makrogolis</w:t>
      </w:r>
    </w:p>
    <w:p w14:paraId="0C9E2A20" w14:textId="77777777" w:rsidR="00E86446" w:rsidRDefault="00345E63">
      <w:pPr>
        <w:widowControl w:val="0"/>
        <w:rPr>
          <w:sz w:val="22"/>
          <w:szCs w:val="22"/>
          <w:lang w:eastAsia="en-US"/>
        </w:rPr>
      </w:pPr>
      <w:r>
        <w:rPr>
          <w:sz w:val="22"/>
          <w:szCs w:val="22"/>
          <w:lang w:eastAsia="en-US"/>
        </w:rPr>
        <w:t>Talkas</w:t>
      </w:r>
    </w:p>
    <w:p w14:paraId="2AC2C838" w14:textId="77777777" w:rsidR="00E86446" w:rsidRDefault="00345E63">
      <w:pPr>
        <w:widowControl w:val="0"/>
        <w:rPr>
          <w:sz w:val="22"/>
          <w:szCs w:val="22"/>
          <w:lang w:eastAsia="en-US"/>
        </w:rPr>
      </w:pPr>
      <w:r>
        <w:rPr>
          <w:sz w:val="22"/>
          <w:szCs w:val="22"/>
          <w:lang w:eastAsia="en-US"/>
        </w:rPr>
        <w:t>Geltonasis geležies oksidas (E172)</w:t>
      </w:r>
    </w:p>
    <w:bookmarkEnd w:id="7"/>
    <w:p w14:paraId="0D87E7D6" w14:textId="77777777" w:rsidR="00E86446" w:rsidRDefault="00345E63">
      <w:pPr>
        <w:widowControl w:val="0"/>
        <w:rPr>
          <w:sz w:val="22"/>
          <w:szCs w:val="22"/>
          <w:lang w:eastAsia="en-US"/>
        </w:rPr>
      </w:pPr>
      <w:r>
        <w:rPr>
          <w:sz w:val="22"/>
          <w:szCs w:val="22"/>
          <w:lang w:eastAsia="en-US"/>
        </w:rPr>
        <w:t xml:space="preserve">Raudonasis geležies oksidas (E172) </w:t>
      </w:r>
      <w:r w:rsidRPr="003171F5">
        <w:rPr>
          <w:sz w:val="22"/>
          <w:szCs w:val="22"/>
          <w:lang w:val="de-AT" w:eastAsia="sl-SI"/>
        </w:rPr>
        <w:t xml:space="preserve">– </w:t>
      </w:r>
      <w:proofErr w:type="spellStart"/>
      <w:r w:rsidRPr="003171F5">
        <w:rPr>
          <w:i/>
          <w:iCs/>
          <w:sz w:val="22"/>
          <w:szCs w:val="22"/>
          <w:lang w:val="de-AT" w:eastAsia="sl-SI"/>
        </w:rPr>
        <w:t>tik</w:t>
      </w:r>
      <w:proofErr w:type="spellEnd"/>
      <w:r w:rsidRPr="003171F5">
        <w:rPr>
          <w:i/>
          <w:iCs/>
          <w:sz w:val="22"/>
          <w:szCs w:val="22"/>
          <w:lang w:val="de-AT" w:eastAsia="sl-SI"/>
        </w:rPr>
        <w:t xml:space="preserve"> </w:t>
      </w:r>
      <w:r w:rsidRPr="003171F5">
        <w:rPr>
          <w:i/>
          <w:sz w:val="22"/>
          <w:szCs w:val="20"/>
          <w:lang w:val="de-AT" w:eastAsia="sl-SI"/>
        </w:rPr>
        <w:t>5 mg/850 mg</w:t>
      </w:r>
    </w:p>
    <w:p w14:paraId="31D5A7E7" w14:textId="77777777" w:rsidR="00E86446" w:rsidRDefault="00E86446">
      <w:pPr>
        <w:widowControl w:val="0"/>
        <w:rPr>
          <w:sz w:val="22"/>
          <w:szCs w:val="22"/>
          <w:lang w:eastAsia="en-US"/>
        </w:rPr>
      </w:pPr>
    </w:p>
    <w:p w14:paraId="6C97145E" w14:textId="77777777" w:rsidR="00E86446" w:rsidRDefault="00345E63">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7AF556FA" w14:textId="77777777" w:rsidR="00E86446" w:rsidRDefault="00E86446">
      <w:pPr>
        <w:widowControl w:val="0"/>
        <w:rPr>
          <w:snapToGrid w:val="0"/>
          <w:sz w:val="22"/>
          <w:szCs w:val="22"/>
          <w:lang w:eastAsia="en-US"/>
        </w:rPr>
      </w:pPr>
    </w:p>
    <w:p w14:paraId="3116A657" w14:textId="77777777" w:rsidR="00E86446" w:rsidRDefault="00345E63">
      <w:pPr>
        <w:widowControl w:val="0"/>
        <w:rPr>
          <w:snapToGrid w:val="0"/>
          <w:sz w:val="22"/>
          <w:szCs w:val="22"/>
          <w:lang w:eastAsia="en-US"/>
        </w:rPr>
      </w:pPr>
      <w:r>
        <w:rPr>
          <w:snapToGrid w:val="0"/>
          <w:sz w:val="22"/>
          <w:szCs w:val="22"/>
          <w:lang w:eastAsia="en-US"/>
        </w:rPr>
        <w:t>Duomenys nebūtini.</w:t>
      </w:r>
    </w:p>
    <w:p w14:paraId="4CF81246" w14:textId="77777777" w:rsidR="00E86446" w:rsidRDefault="00E86446">
      <w:pPr>
        <w:widowControl w:val="0"/>
        <w:rPr>
          <w:snapToGrid w:val="0"/>
          <w:sz w:val="22"/>
          <w:szCs w:val="22"/>
          <w:lang w:eastAsia="en-US"/>
        </w:rPr>
      </w:pPr>
    </w:p>
    <w:p w14:paraId="63E1E9E2" w14:textId="77777777" w:rsidR="00E86446" w:rsidRDefault="00345E63">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6CD676DD" w14:textId="77777777" w:rsidR="00E86446" w:rsidRDefault="00E86446">
      <w:pPr>
        <w:widowControl w:val="0"/>
        <w:rPr>
          <w:snapToGrid w:val="0"/>
          <w:sz w:val="22"/>
          <w:szCs w:val="22"/>
          <w:lang w:eastAsia="en-US"/>
        </w:rPr>
      </w:pPr>
    </w:p>
    <w:p w14:paraId="7A9AEE79" w14:textId="77777777" w:rsidR="00E86446" w:rsidRDefault="00345E63">
      <w:pPr>
        <w:widowControl w:val="0"/>
        <w:rPr>
          <w:snapToGrid w:val="0"/>
          <w:sz w:val="22"/>
          <w:szCs w:val="22"/>
          <w:lang w:eastAsia="en-US"/>
        </w:rPr>
      </w:pPr>
      <w:r>
        <w:rPr>
          <w:snapToGrid w:val="0"/>
          <w:sz w:val="22"/>
          <w:szCs w:val="22"/>
          <w:lang w:eastAsia="en-US"/>
        </w:rPr>
        <w:t>2 metai</w:t>
      </w:r>
    </w:p>
    <w:p w14:paraId="24BB9145" w14:textId="77777777" w:rsidR="00E86446" w:rsidRDefault="00E86446">
      <w:pPr>
        <w:widowControl w:val="0"/>
        <w:rPr>
          <w:snapToGrid w:val="0"/>
          <w:sz w:val="22"/>
          <w:szCs w:val="22"/>
          <w:lang w:eastAsia="en-US"/>
        </w:rPr>
      </w:pPr>
    </w:p>
    <w:p w14:paraId="4AC0BA8A" w14:textId="77777777" w:rsidR="00E86446" w:rsidRDefault="00345E63">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5EC11BFE" w14:textId="77777777" w:rsidR="00E86446" w:rsidRDefault="00E86446">
      <w:pPr>
        <w:widowControl w:val="0"/>
        <w:rPr>
          <w:snapToGrid w:val="0"/>
          <w:sz w:val="22"/>
          <w:szCs w:val="22"/>
          <w:lang w:eastAsia="en-US"/>
        </w:rPr>
      </w:pPr>
    </w:p>
    <w:p w14:paraId="315BD3A3" w14:textId="0AF3013C" w:rsidR="00E86446" w:rsidRDefault="00345E63">
      <w:pPr>
        <w:spacing w:line="259" w:lineRule="auto"/>
        <w:rPr>
          <w:rFonts w:eastAsia="Calibri"/>
          <w:sz w:val="22"/>
          <w:szCs w:val="22"/>
          <w:lang w:eastAsia="en-US"/>
        </w:rPr>
      </w:pPr>
      <w:r>
        <w:rPr>
          <w:rFonts w:eastAsia="Calibri"/>
          <w:sz w:val="22"/>
          <w:szCs w:val="22"/>
          <w:lang w:eastAsia="en-US"/>
        </w:rPr>
        <w:t xml:space="preserve">Laikyti </w:t>
      </w:r>
      <w:r w:rsidR="003171F5">
        <w:rPr>
          <w:rFonts w:eastAsia="Calibri"/>
          <w:sz w:val="22"/>
          <w:szCs w:val="22"/>
          <w:lang w:eastAsia="en-US"/>
        </w:rPr>
        <w:t>gamintojo</w:t>
      </w:r>
      <w:r>
        <w:rPr>
          <w:rFonts w:eastAsia="Calibri"/>
          <w:sz w:val="22"/>
          <w:szCs w:val="22"/>
          <w:lang w:eastAsia="en-US"/>
        </w:rPr>
        <w:t xml:space="preserve"> pakuotėje, kad vaistinis preparatas būtų apsaugotas nuo drėgmės.</w:t>
      </w:r>
    </w:p>
    <w:p w14:paraId="2AD2F16D" w14:textId="278310F9" w:rsidR="00E86446" w:rsidRDefault="003171F5">
      <w:pPr>
        <w:spacing w:line="259" w:lineRule="auto"/>
        <w:rPr>
          <w:rFonts w:eastAsia="Calibri"/>
          <w:sz w:val="22"/>
          <w:szCs w:val="22"/>
          <w:lang w:eastAsia="en-US"/>
        </w:rPr>
      </w:pPr>
      <w:r w:rsidRPr="003171F5">
        <w:rPr>
          <w:snapToGrid w:val="0"/>
          <w:sz w:val="22"/>
          <w:szCs w:val="20"/>
          <w:lang w:eastAsia="en-US"/>
        </w:rPr>
        <w:t>Šio vaistinio preparato laikymui specialių temperatūros sąlygų nereikalaujama</w:t>
      </w:r>
      <w:r>
        <w:rPr>
          <w:snapToGrid w:val="0"/>
          <w:sz w:val="22"/>
          <w:szCs w:val="20"/>
          <w:lang w:eastAsia="en-US"/>
        </w:rPr>
        <w:t>.</w:t>
      </w:r>
    </w:p>
    <w:p w14:paraId="7984BAEF" w14:textId="77777777" w:rsidR="00E86446" w:rsidRDefault="00E86446">
      <w:pPr>
        <w:widowControl w:val="0"/>
        <w:rPr>
          <w:snapToGrid w:val="0"/>
          <w:sz w:val="22"/>
          <w:szCs w:val="22"/>
          <w:lang w:eastAsia="en-US"/>
        </w:rPr>
      </w:pPr>
    </w:p>
    <w:p w14:paraId="740468F1" w14:textId="77777777" w:rsidR="00E86446" w:rsidRDefault="00345E63">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683AEB25" w14:textId="77777777" w:rsidR="00E86446" w:rsidRDefault="00E86446">
      <w:pPr>
        <w:widowControl w:val="0"/>
        <w:rPr>
          <w:snapToGrid w:val="0"/>
          <w:sz w:val="22"/>
          <w:szCs w:val="22"/>
          <w:lang w:eastAsia="en-US"/>
        </w:rPr>
      </w:pPr>
    </w:p>
    <w:p w14:paraId="375BE58D" w14:textId="77777777" w:rsidR="00E86446" w:rsidRDefault="00345E63">
      <w:pPr>
        <w:widowControl w:val="0"/>
        <w:rPr>
          <w:sz w:val="22"/>
          <w:szCs w:val="22"/>
          <w:lang w:eastAsia="sl-SI"/>
        </w:rPr>
      </w:pPr>
      <w:bookmarkStart w:id="8" w:name="_Hlk190775593"/>
      <w:r>
        <w:rPr>
          <w:snapToGrid w:val="0"/>
          <w:sz w:val="22"/>
          <w:szCs w:val="22"/>
          <w:lang w:eastAsia="en-US"/>
        </w:rPr>
        <w:t>Lizdinė plokštelė (PVC/PVDC/PVC</w:t>
      </w:r>
      <w:r w:rsidRPr="003171F5">
        <w:rPr>
          <w:sz w:val="22"/>
          <w:szCs w:val="22"/>
          <w:lang w:eastAsia="en-US"/>
        </w:rPr>
        <w:t>//</w:t>
      </w:r>
      <w:r>
        <w:rPr>
          <w:snapToGrid w:val="0"/>
          <w:sz w:val="22"/>
          <w:szCs w:val="22"/>
          <w:lang w:eastAsia="en-US"/>
        </w:rPr>
        <w:t>aliuminio):</w:t>
      </w:r>
      <w:r>
        <w:rPr>
          <w:sz w:val="22"/>
          <w:szCs w:val="22"/>
          <w:lang w:eastAsia="sl-SI"/>
        </w:rPr>
        <w:t xml:space="preserve"> 14, 28, 30, 56, 60, 90 arba 196</w:t>
      </w:r>
      <w:r>
        <w:rPr>
          <w:noProof/>
          <w:sz w:val="22"/>
          <w:szCs w:val="22"/>
          <w:lang w:eastAsia="sl-SI"/>
        </w:rPr>
        <w:t xml:space="preserve"> plėvele dengtų tablečių dėžutėje.</w:t>
      </w:r>
    </w:p>
    <w:bookmarkEnd w:id="8"/>
    <w:p w14:paraId="5B821668" w14:textId="77777777" w:rsidR="00E86446" w:rsidRDefault="00E86446">
      <w:pPr>
        <w:widowControl w:val="0"/>
        <w:rPr>
          <w:snapToGrid w:val="0"/>
          <w:sz w:val="22"/>
          <w:szCs w:val="22"/>
          <w:lang w:eastAsia="en-US"/>
        </w:rPr>
      </w:pPr>
    </w:p>
    <w:p w14:paraId="28A278DC" w14:textId="77777777" w:rsidR="00E86446" w:rsidRDefault="00345E63">
      <w:pPr>
        <w:widowControl w:val="0"/>
        <w:rPr>
          <w:snapToGrid w:val="0"/>
          <w:sz w:val="22"/>
          <w:szCs w:val="22"/>
          <w:lang w:eastAsia="en-US"/>
        </w:rPr>
      </w:pPr>
      <w:r>
        <w:rPr>
          <w:snapToGrid w:val="0"/>
          <w:sz w:val="22"/>
          <w:szCs w:val="22"/>
          <w:lang w:eastAsia="en-US"/>
        </w:rPr>
        <w:t>Gali būti tiekiamos ne visų dydžių pakuotės.</w:t>
      </w:r>
    </w:p>
    <w:p w14:paraId="7C036B08" w14:textId="77777777" w:rsidR="00E86446" w:rsidRDefault="00E86446">
      <w:pPr>
        <w:widowControl w:val="0"/>
        <w:rPr>
          <w:snapToGrid w:val="0"/>
          <w:sz w:val="22"/>
          <w:szCs w:val="22"/>
          <w:lang w:eastAsia="en-US"/>
        </w:rPr>
      </w:pPr>
    </w:p>
    <w:p w14:paraId="2A2E0D51" w14:textId="77777777" w:rsidR="00E86446" w:rsidRDefault="00345E63">
      <w:pPr>
        <w:widowControl w:val="0"/>
        <w:tabs>
          <w:tab w:val="left" w:pos="567"/>
        </w:tabs>
        <w:jc w:val="both"/>
        <w:outlineLvl w:val="3"/>
        <w:rPr>
          <w:b/>
          <w:bCs/>
          <w:snapToGrid w:val="0"/>
          <w:sz w:val="22"/>
          <w:szCs w:val="22"/>
          <w:lang w:eastAsia="lt-LT"/>
        </w:rPr>
      </w:pPr>
      <w:bookmarkStart w:id="9" w:name="OLE_LINK1"/>
      <w:r>
        <w:rPr>
          <w:b/>
          <w:bCs/>
          <w:snapToGrid w:val="0"/>
          <w:sz w:val="22"/>
          <w:szCs w:val="22"/>
          <w:lang w:eastAsia="lt-LT"/>
        </w:rPr>
        <w:t>6.6</w:t>
      </w:r>
      <w:r>
        <w:rPr>
          <w:b/>
          <w:bCs/>
          <w:snapToGrid w:val="0"/>
          <w:sz w:val="22"/>
          <w:szCs w:val="22"/>
          <w:lang w:eastAsia="lt-LT"/>
        </w:rPr>
        <w:tab/>
        <w:t>Specialūs reikalavimai atliekoms tvarkyti</w:t>
      </w:r>
    </w:p>
    <w:bookmarkEnd w:id="9"/>
    <w:p w14:paraId="43C19632" w14:textId="77777777" w:rsidR="00E86446" w:rsidRDefault="00E86446">
      <w:pPr>
        <w:widowControl w:val="0"/>
        <w:rPr>
          <w:snapToGrid w:val="0"/>
          <w:sz w:val="22"/>
          <w:szCs w:val="22"/>
          <w:lang w:eastAsia="en-US"/>
        </w:rPr>
      </w:pPr>
    </w:p>
    <w:p w14:paraId="74ABD7B9" w14:textId="77777777" w:rsidR="00E86446" w:rsidRDefault="00345E63">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7F7FD30F" w14:textId="77777777" w:rsidR="00E86446" w:rsidRDefault="00E86446">
      <w:pPr>
        <w:widowControl w:val="0"/>
        <w:rPr>
          <w:snapToGrid w:val="0"/>
          <w:sz w:val="22"/>
          <w:szCs w:val="22"/>
          <w:lang w:eastAsia="en-US"/>
        </w:rPr>
      </w:pPr>
    </w:p>
    <w:p w14:paraId="65D0D438" w14:textId="77777777" w:rsidR="00E86446" w:rsidRDefault="00E86446">
      <w:pPr>
        <w:widowControl w:val="0"/>
        <w:rPr>
          <w:snapToGrid w:val="0"/>
          <w:sz w:val="22"/>
          <w:szCs w:val="22"/>
          <w:lang w:eastAsia="en-US"/>
        </w:rPr>
      </w:pPr>
    </w:p>
    <w:p w14:paraId="176A463B" w14:textId="77777777" w:rsidR="00E86446" w:rsidRDefault="00345E63">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63150FC3" w14:textId="77777777" w:rsidR="00E86446" w:rsidRDefault="00E86446">
      <w:pPr>
        <w:widowControl w:val="0"/>
        <w:rPr>
          <w:snapToGrid w:val="0"/>
          <w:sz w:val="22"/>
          <w:szCs w:val="22"/>
          <w:lang w:eastAsia="en-US"/>
        </w:rPr>
      </w:pPr>
    </w:p>
    <w:p w14:paraId="3A0A8CDF" w14:textId="77777777" w:rsidR="00E86446" w:rsidRDefault="00345E63">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1CB2978" w14:textId="77777777" w:rsidR="00E86446" w:rsidRDefault="00345E63">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A02ADFF" w14:textId="77777777" w:rsidR="00E86446" w:rsidRDefault="00345E63">
      <w:pPr>
        <w:widowControl w:val="0"/>
        <w:rPr>
          <w:sz w:val="22"/>
          <w:szCs w:val="22"/>
          <w:lang w:eastAsia="sl-SI"/>
        </w:rPr>
      </w:pPr>
      <w:r>
        <w:rPr>
          <w:sz w:val="22"/>
          <w:szCs w:val="22"/>
          <w:lang w:eastAsia="sl-SI"/>
        </w:rPr>
        <w:t>8501 Novo mesto</w:t>
      </w:r>
    </w:p>
    <w:p w14:paraId="43D9DB77" w14:textId="77777777" w:rsidR="00E86446" w:rsidRDefault="00345E63">
      <w:pPr>
        <w:widowControl w:val="0"/>
        <w:rPr>
          <w:sz w:val="22"/>
          <w:szCs w:val="22"/>
          <w:lang w:eastAsia="sl-SI"/>
        </w:rPr>
      </w:pPr>
      <w:r>
        <w:rPr>
          <w:sz w:val="22"/>
          <w:szCs w:val="22"/>
          <w:lang w:eastAsia="sl-SI"/>
        </w:rPr>
        <w:t>Slovėnija</w:t>
      </w:r>
    </w:p>
    <w:p w14:paraId="17C5372E" w14:textId="77777777" w:rsidR="00E86446" w:rsidRDefault="00E86446">
      <w:pPr>
        <w:widowControl w:val="0"/>
        <w:rPr>
          <w:sz w:val="22"/>
          <w:szCs w:val="22"/>
          <w:lang w:eastAsia="sl-SI"/>
        </w:rPr>
      </w:pPr>
    </w:p>
    <w:p w14:paraId="03E2961D" w14:textId="77777777" w:rsidR="00E86446" w:rsidRDefault="00E86446">
      <w:pPr>
        <w:widowControl w:val="0"/>
        <w:rPr>
          <w:snapToGrid w:val="0"/>
          <w:sz w:val="22"/>
          <w:szCs w:val="22"/>
          <w:lang w:eastAsia="en-US"/>
        </w:rPr>
      </w:pPr>
    </w:p>
    <w:p w14:paraId="26A58511" w14:textId="77777777" w:rsidR="00E86446" w:rsidRDefault="00345E63">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36EEAF4C" w14:textId="77777777" w:rsidR="00E86446" w:rsidRDefault="00E86446">
      <w:pPr>
        <w:widowControl w:val="0"/>
        <w:tabs>
          <w:tab w:val="left" w:pos="567"/>
        </w:tabs>
        <w:outlineLvl w:val="2"/>
        <w:rPr>
          <w:b/>
          <w:bCs/>
          <w:snapToGrid w:val="0"/>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EC24F3" w14:paraId="0241881B" w14:textId="77777777" w:rsidTr="00EC24F3">
        <w:tc>
          <w:tcPr>
            <w:tcW w:w="4820" w:type="dxa"/>
          </w:tcPr>
          <w:p w14:paraId="216CB2CE" w14:textId="77777777" w:rsidR="00EC24F3" w:rsidRPr="00EC24F3" w:rsidRDefault="00EC24F3">
            <w:pPr>
              <w:widowControl w:val="0"/>
              <w:tabs>
                <w:tab w:val="left" w:pos="567"/>
              </w:tabs>
              <w:outlineLvl w:val="2"/>
              <w:rPr>
                <w:u w:val="single"/>
                <w:lang w:val="x-none" w:eastAsia="x-none"/>
              </w:rPr>
            </w:pPr>
            <w:bookmarkStart w:id="10" w:name="_Hlk205531568"/>
            <w:r w:rsidRPr="00EC24F3">
              <w:rPr>
                <w:u w:val="single"/>
                <w:lang w:val="x-none" w:eastAsia="x-none"/>
              </w:rPr>
              <w:t>5 mg/</w:t>
            </w:r>
            <w:r w:rsidRPr="00EC24F3">
              <w:rPr>
                <w:u w:val="single"/>
                <w:lang w:eastAsia="x-none"/>
              </w:rPr>
              <w:t xml:space="preserve"> </w:t>
            </w:r>
            <w:r w:rsidRPr="00EC24F3">
              <w:rPr>
                <w:u w:val="single"/>
                <w:lang w:val="x-none" w:eastAsia="x-none"/>
              </w:rPr>
              <w:t>850 mg</w:t>
            </w:r>
          </w:p>
          <w:p w14:paraId="62F1301D"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LT/1/25/5827/001 – N14</w:t>
            </w:r>
          </w:p>
          <w:p w14:paraId="59CFB2B5"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LT/1/25/5827/002 – N28</w:t>
            </w:r>
          </w:p>
          <w:p w14:paraId="1007B25B"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LT/1/25/5827/003 – N30</w:t>
            </w:r>
          </w:p>
          <w:p w14:paraId="1252166B"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LT/1/25/5827/004 – N56</w:t>
            </w:r>
          </w:p>
          <w:p w14:paraId="7232B3AD"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LT/1/25/5827/005 – N60</w:t>
            </w:r>
          </w:p>
          <w:p w14:paraId="1E23E584"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LT/1/25/5827/006 – N90</w:t>
            </w:r>
          </w:p>
          <w:p w14:paraId="3E0D8A6F" w14:textId="6228C18F"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LT/1/25/5827/007 – N196</w:t>
            </w:r>
          </w:p>
        </w:tc>
        <w:tc>
          <w:tcPr>
            <w:tcW w:w="4820" w:type="dxa"/>
          </w:tcPr>
          <w:p w14:paraId="035D6DF8" w14:textId="77777777" w:rsidR="00EC24F3" w:rsidRPr="00EC24F3" w:rsidRDefault="00EC24F3">
            <w:pPr>
              <w:widowControl w:val="0"/>
              <w:tabs>
                <w:tab w:val="left" w:pos="567"/>
              </w:tabs>
              <w:outlineLvl w:val="2"/>
              <w:rPr>
                <w:lang w:val="x-none" w:eastAsia="x-none"/>
              </w:rPr>
            </w:pPr>
            <w:r w:rsidRPr="00EC24F3">
              <w:rPr>
                <w:u w:val="single"/>
                <w:lang w:val="x-none" w:eastAsia="x-none"/>
              </w:rPr>
              <w:t xml:space="preserve">5 mg/ </w:t>
            </w:r>
            <w:r w:rsidRPr="00EC24F3">
              <w:rPr>
                <w:u w:val="single"/>
                <w:lang w:val="x-none" w:eastAsia="x-none"/>
              </w:rPr>
              <w:t>100</w:t>
            </w:r>
            <w:r w:rsidRPr="00EC24F3">
              <w:rPr>
                <w:u w:val="single"/>
                <w:lang w:val="x-none" w:eastAsia="x-none"/>
              </w:rPr>
              <w:t>0 mg</w:t>
            </w:r>
          </w:p>
          <w:p w14:paraId="70DD3D33"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LT/1/25/5828/001 – N14</w:t>
            </w:r>
          </w:p>
          <w:p w14:paraId="7281D06D"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LT/1/25/5828/002 – N28</w:t>
            </w:r>
          </w:p>
          <w:p w14:paraId="7925CC05"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LT/1/25/5828/003 – N30</w:t>
            </w:r>
          </w:p>
          <w:p w14:paraId="3A10E7B5"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LT/1/25/5828/004 – N56</w:t>
            </w:r>
          </w:p>
          <w:p w14:paraId="3595E964"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LT/1/25/5828/005 – N60</w:t>
            </w:r>
          </w:p>
          <w:p w14:paraId="5327649D" w14:textId="77777777"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LT/1/25/5828/006 – N90</w:t>
            </w:r>
          </w:p>
          <w:p w14:paraId="28849B2B" w14:textId="294BB939" w:rsidR="00EC24F3" w:rsidRPr="00EC24F3" w:rsidRDefault="00EC24F3" w:rsidP="00EC24F3">
            <w:pPr>
              <w:widowControl w:val="0"/>
              <w:tabs>
                <w:tab w:val="left" w:pos="567"/>
              </w:tabs>
              <w:outlineLvl w:val="2"/>
              <w:rPr>
                <w:snapToGrid w:val="0"/>
                <w:sz w:val="22"/>
                <w:szCs w:val="22"/>
                <w:lang w:eastAsia="lt-LT"/>
              </w:rPr>
            </w:pPr>
            <w:r w:rsidRPr="00EC24F3">
              <w:rPr>
                <w:snapToGrid w:val="0"/>
                <w:sz w:val="22"/>
                <w:szCs w:val="22"/>
                <w:lang w:eastAsia="lt-LT"/>
              </w:rPr>
              <w:t>LT/1/25/5828/007 – N196</w:t>
            </w:r>
          </w:p>
        </w:tc>
      </w:tr>
      <w:bookmarkEnd w:id="10"/>
    </w:tbl>
    <w:p w14:paraId="7DC7D371" w14:textId="77777777" w:rsidR="00E86446" w:rsidRDefault="00E86446">
      <w:pPr>
        <w:widowControl w:val="0"/>
        <w:tabs>
          <w:tab w:val="left" w:pos="567"/>
        </w:tabs>
        <w:outlineLvl w:val="2"/>
        <w:rPr>
          <w:b/>
          <w:bCs/>
          <w:snapToGrid w:val="0"/>
          <w:sz w:val="22"/>
          <w:szCs w:val="22"/>
          <w:lang w:eastAsia="lt-LT"/>
        </w:rPr>
      </w:pPr>
    </w:p>
    <w:p w14:paraId="0A427E86" w14:textId="77777777" w:rsidR="00EC24F3" w:rsidRDefault="00EC24F3">
      <w:pPr>
        <w:widowControl w:val="0"/>
        <w:tabs>
          <w:tab w:val="left" w:pos="567"/>
        </w:tabs>
        <w:outlineLvl w:val="2"/>
        <w:rPr>
          <w:b/>
          <w:bCs/>
          <w:snapToGrid w:val="0"/>
          <w:sz w:val="22"/>
          <w:szCs w:val="22"/>
          <w:lang w:eastAsia="lt-LT"/>
        </w:rPr>
      </w:pPr>
    </w:p>
    <w:p w14:paraId="1C69A9F2" w14:textId="77777777" w:rsidR="00E86446" w:rsidRDefault="00345E63">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1CA96DC7" w14:textId="77777777" w:rsidR="00E86446" w:rsidRDefault="00E86446">
      <w:pPr>
        <w:widowControl w:val="0"/>
        <w:rPr>
          <w:snapToGrid w:val="0"/>
          <w:sz w:val="22"/>
          <w:szCs w:val="22"/>
          <w:lang w:eastAsia="en-US"/>
        </w:rPr>
      </w:pPr>
    </w:p>
    <w:p w14:paraId="2AE51BFF" w14:textId="0C63375B" w:rsidR="00E86446" w:rsidRDefault="00345E63">
      <w:pPr>
        <w:widowControl w:val="0"/>
        <w:rPr>
          <w:snapToGrid w:val="0"/>
          <w:sz w:val="22"/>
          <w:szCs w:val="22"/>
          <w:lang w:eastAsia="en-US"/>
        </w:rPr>
      </w:pPr>
      <w:r>
        <w:rPr>
          <w:snapToGrid w:val="0"/>
          <w:sz w:val="22"/>
          <w:szCs w:val="22"/>
          <w:lang w:eastAsia="en-US"/>
        </w:rPr>
        <w:t>Registravimo data</w:t>
      </w:r>
      <w:r w:rsidR="00EC24F3">
        <w:rPr>
          <w:snapToGrid w:val="0"/>
          <w:sz w:val="22"/>
          <w:szCs w:val="22"/>
          <w:lang w:eastAsia="en-US"/>
        </w:rPr>
        <w:t xml:space="preserve"> 2025 m. rugpjūčio 7 d.</w:t>
      </w:r>
    </w:p>
    <w:p w14:paraId="326FE206" w14:textId="77777777" w:rsidR="00E86446" w:rsidRDefault="00E86446">
      <w:pPr>
        <w:rPr>
          <w:snapToGrid w:val="0"/>
          <w:sz w:val="22"/>
          <w:szCs w:val="22"/>
          <w:lang w:eastAsia="en-US"/>
        </w:rPr>
      </w:pPr>
    </w:p>
    <w:p w14:paraId="093ED899" w14:textId="77777777" w:rsidR="00E86446" w:rsidRDefault="00E86446">
      <w:pPr>
        <w:widowControl w:val="0"/>
        <w:rPr>
          <w:snapToGrid w:val="0"/>
          <w:sz w:val="22"/>
          <w:szCs w:val="22"/>
          <w:lang w:eastAsia="en-US"/>
        </w:rPr>
      </w:pPr>
    </w:p>
    <w:p w14:paraId="4B0825F2" w14:textId="77777777" w:rsidR="00E86446" w:rsidRDefault="00345E63">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5CD59F03" w14:textId="77777777" w:rsidR="00EC24F3" w:rsidRDefault="00EC24F3">
      <w:pPr>
        <w:widowControl w:val="0"/>
        <w:tabs>
          <w:tab w:val="left" w:pos="567"/>
        </w:tabs>
        <w:outlineLvl w:val="2"/>
        <w:rPr>
          <w:b/>
          <w:bCs/>
          <w:snapToGrid w:val="0"/>
          <w:sz w:val="22"/>
          <w:szCs w:val="22"/>
          <w:lang w:eastAsia="lt-LT"/>
        </w:rPr>
      </w:pPr>
    </w:p>
    <w:p w14:paraId="25B454C1" w14:textId="6471E145" w:rsidR="00EC24F3" w:rsidRDefault="00EC24F3">
      <w:pPr>
        <w:widowControl w:val="0"/>
        <w:tabs>
          <w:tab w:val="left" w:pos="567"/>
        </w:tabs>
        <w:outlineLvl w:val="2"/>
        <w:rPr>
          <w:b/>
          <w:bCs/>
          <w:snapToGrid w:val="0"/>
          <w:sz w:val="22"/>
          <w:szCs w:val="22"/>
          <w:lang w:eastAsia="lt-LT"/>
        </w:rPr>
      </w:pPr>
      <w:r>
        <w:rPr>
          <w:snapToGrid w:val="0"/>
          <w:sz w:val="22"/>
          <w:szCs w:val="22"/>
          <w:lang w:eastAsia="en-US"/>
        </w:rPr>
        <w:t>2025 m. rugpjūčio 7 d.</w:t>
      </w:r>
    </w:p>
    <w:p w14:paraId="12A48FE1" w14:textId="77777777" w:rsidR="00E86446" w:rsidRDefault="00E86446">
      <w:pPr>
        <w:widowControl w:val="0"/>
        <w:rPr>
          <w:snapToGrid w:val="0"/>
          <w:sz w:val="22"/>
          <w:szCs w:val="22"/>
          <w:lang w:eastAsia="en-US"/>
        </w:rPr>
      </w:pPr>
    </w:p>
    <w:p w14:paraId="4E3071D8" w14:textId="77777777" w:rsidR="00E86446" w:rsidRDefault="00345E63">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338C53C5" w14:textId="77777777" w:rsidR="00E86446" w:rsidRDefault="00345E63">
      <w:pPr>
        <w:widowControl w:val="0"/>
        <w:tabs>
          <w:tab w:val="left" w:pos="4962"/>
        </w:tabs>
        <w:rPr>
          <w:rFonts w:eastAsia="SimSun"/>
          <w:sz w:val="22"/>
          <w:szCs w:val="22"/>
          <w:lang w:eastAsia="en-US"/>
        </w:rPr>
      </w:pPr>
      <w:r>
        <w:rPr>
          <w:rFonts w:eastAsia="SimSun"/>
          <w:sz w:val="22"/>
          <w:szCs w:val="22"/>
          <w:lang w:eastAsia="en-US"/>
        </w:rPr>
        <w:br w:type="page"/>
      </w:r>
    </w:p>
    <w:p w14:paraId="2976806A" w14:textId="77777777" w:rsidR="00E86446" w:rsidRDefault="00E86446">
      <w:pPr>
        <w:rPr>
          <w:rFonts w:eastAsia="Calibri"/>
          <w:sz w:val="22"/>
          <w:szCs w:val="22"/>
          <w:lang w:eastAsia="en-US"/>
        </w:rPr>
      </w:pPr>
    </w:p>
    <w:p w14:paraId="42291FCD" w14:textId="77777777" w:rsidR="00E86446" w:rsidRDefault="00E86446">
      <w:pPr>
        <w:spacing w:line="259" w:lineRule="auto"/>
        <w:jc w:val="center"/>
        <w:rPr>
          <w:rFonts w:eastAsia="Calibri"/>
          <w:b/>
          <w:sz w:val="22"/>
          <w:szCs w:val="22"/>
          <w:lang w:eastAsia="en-US"/>
        </w:rPr>
      </w:pPr>
    </w:p>
    <w:p w14:paraId="3EB5C547" w14:textId="77777777" w:rsidR="00E86446" w:rsidRDefault="00E86446">
      <w:pPr>
        <w:spacing w:line="259" w:lineRule="auto"/>
        <w:jc w:val="center"/>
        <w:rPr>
          <w:rFonts w:eastAsia="Calibri"/>
          <w:b/>
          <w:sz w:val="22"/>
          <w:szCs w:val="22"/>
          <w:lang w:eastAsia="en-US"/>
        </w:rPr>
      </w:pPr>
    </w:p>
    <w:p w14:paraId="5E5E0B69" w14:textId="77777777" w:rsidR="00E86446" w:rsidRDefault="00E86446">
      <w:pPr>
        <w:spacing w:line="259" w:lineRule="auto"/>
        <w:jc w:val="center"/>
        <w:rPr>
          <w:rFonts w:eastAsia="Calibri"/>
          <w:b/>
          <w:sz w:val="22"/>
          <w:szCs w:val="22"/>
          <w:lang w:eastAsia="en-US"/>
        </w:rPr>
      </w:pPr>
    </w:p>
    <w:p w14:paraId="58E89415" w14:textId="77777777" w:rsidR="00E86446" w:rsidRDefault="00E86446">
      <w:pPr>
        <w:spacing w:line="259" w:lineRule="auto"/>
        <w:jc w:val="center"/>
        <w:rPr>
          <w:rFonts w:eastAsia="Calibri"/>
          <w:b/>
          <w:sz w:val="22"/>
          <w:szCs w:val="22"/>
          <w:lang w:eastAsia="en-US"/>
        </w:rPr>
      </w:pPr>
    </w:p>
    <w:p w14:paraId="6D85DAC5" w14:textId="77777777" w:rsidR="00E86446" w:rsidRDefault="00E86446">
      <w:pPr>
        <w:spacing w:line="259" w:lineRule="auto"/>
        <w:jc w:val="center"/>
        <w:rPr>
          <w:rFonts w:eastAsia="Calibri"/>
          <w:b/>
          <w:sz w:val="22"/>
          <w:szCs w:val="22"/>
          <w:lang w:eastAsia="en-US"/>
        </w:rPr>
      </w:pPr>
    </w:p>
    <w:p w14:paraId="43269C0C" w14:textId="77777777" w:rsidR="00E86446" w:rsidRDefault="00E86446">
      <w:pPr>
        <w:spacing w:line="259" w:lineRule="auto"/>
        <w:jc w:val="center"/>
        <w:rPr>
          <w:rFonts w:eastAsia="Calibri"/>
          <w:b/>
          <w:sz w:val="22"/>
          <w:szCs w:val="22"/>
          <w:lang w:eastAsia="en-US"/>
        </w:rPr>
      </w:pPr>
    </w:p>
    <w:p w14:paraId="3B3D422A" w14:textId="77777777" w:rsidR="00E86446" w:rsidRDefault="00E86446">
      <w:pPr>
        <w:spacing w:line="259" w:lineRule="auto"/>
        <w:jc w:val="center"/>
        <w:rPr>
          <w:rFonts w:eastAsia="Calibri"/>
          <w:b/>
          <w:sz w:val="22"/>
          <w:szCs w:val="22"/>
          <w:lang w:eastAsia="en-US"/>
        </w:rPr>
      </w:pPr>
    </w:p>
    <w:p w14:paraId="38201BE0" w14:textId="77777777" w:rsidR="00E86446" w:rsidRDefault="00E86446">
      <w:pPr>
        <w:spacing w:line="259" w:lineRule="auto"/>
        <w:jc w:val="center"/>
        <w:rPr>
          <w:rFonts w:eastAsia="Calibri"/>
          <w:b/>
          <w:sz w:val="22"/>
          <w:szCs w:val="22"/>
          <w:lang w:eastAsia="en-US"/>
        </w:rPr>
      </w:pPr>
    </w:p>
    <w:p w14:paraId="42DA3951" w14:textId="77777777" w:rsidR="00E86446" w:rsidRDefault="00E86446">
      <w:pPr>
        <w:spacing w:line="259" w:lineRule="auto"/>
        <w:jc w:val="center"/>
        <w:rPr>
          <w:rFonts w:eastAsia="Calibri"/>
          <w:b/>
          <w:sz w:val="22"/>
          <w:szCs w:val="22"/>
          <w:lang w:eastAsia="en-US"/>
        </w:rPr>
      </w:pPr>
    </w:p>
    <w:p w14:paraId="48D5A334" w14:textId="77777777" w:rsidR="00E86446" w:rsidRDefault="00E86446">
      <w:pPr>
        <w:spacing w:line="259" w:lineRule="auto"/>
        <w:jc w:val="center"/>
        <w:rPr>
          <w:rFonts w:eastAsia="Calibri"/>
          <w:b/>
          <w:sz w:val="22"/>
          <w:szCs w:val="22"/>
          <w:lang w:eastAsia="en-US"/>
        </w:rPr>
      </w:pPr>
    </w:p>
    <w:p w14:paraId="46E2E65F" w14:textId="77777777" w:rsidR="00E86446" w:rsidRDefault="00E86446">
      <w:pPr>
        <w:spacing w:line="259" w:lineRule="auto"/>
        <w:jc w:val="center"/>
        <w:rPr>
          <w:rFonts w:eastAsia="Calibri"/>
          <w:b/>
          <w:sz w:val="22"/>
          <w:szCs w:val="22"/>
          <w:lang w:eastAsia="en-US"/>
        </w:rPr>
      </w:pPr>
    </w:p>
    <w:p w14:paraId="09AC943F" w14:textId="77777777" w:rsidR="00E86446" w:rsidRDefault="00E86446">
      <w:pPr>
        <w:spacing w:line="259" w:lineRule="auto"/>
        <w:jc w:val="center"/>
        <w:rPr>
          <w:rFonts w:eastAsia="Calibri"/>
          <w:b/>
          <w:sz w:val="22"/>
          <w:szCs w:val="22"/>
          <w:lang w:eastAsia="en-US"/>
        </w:rPr>
      </w:pPr>
    </w:p>
    <w:p w14:paraId="3CBFDE2C" w14:textId="77777777" w:rsidR="00E86446" w:rsidRDefault="00E86446">
      <w:pPr>
        <w:spacing w:line="259" w:lineRule="auto"/>
        <w:jc w:val="center"/>
        <w:rPr>
          <w:rFonts w:eastAsia="Calibri"/>
          <w:b/>
          <w:sz w:val="22"/>
          <w:szCs w:val="22"/>
          <w:lang w:eastAsia="en-US"/>
        </w:rPr>
      </w:pPr>
    </w:p>
    <w:p w14:paraId="27BB1B0C" w14:textId="77777777" w:rsidR="00E86446" w:rsidRDefault="00E86446">
      <w:pPr>
        <w:spacing w:line="259" w:lineRule="auto"/>
        <w:jc w:val="center"/>
        <w:rPr>
          <w:rFonts w:eastAsia="Calibri"/>
          <w:b/>
          <w:sz w:val="22"/>
          <w:szCs w:val="22"/>
          <w:lang w:eastAsia="en-US"/>
        </w:rPr>
      </w:pPr>
    </w:p>
    <w:p w14:paraId="500965C3" w14:textId="77777777" w:rsidR="00E86446" w:rsidRDefault="00E86446">
      <w:pPr>
        <w:spacing w:line="259" w:lineRule="auto"/>
        <w:jc w:val="center"/>
        <w:rPr>
          <w:rFonts w:eastAsia="Calibri"/>
          <w:b/>
          <w:sz w:val="22"/>
          <w:szCs w:val="22"/>
          <w:lang w:eastAsia="en-US"/>
        </w:rPr>
      </w:pPr>
    </w:p>
    <w:p w14:paraId="1391D1D8" w14:textId="77777777" w:rsidR="00E86446" w:rsidRDefault="00E86446">
      <w:pPr>
        <w:spacing w:line="259" w:lineRule="auto"/>
        <w:jc w:val="center"/>
        <w:rPr>
          <w:rFonts w:eastAsia="Calibri"/>
          <w:b/>
          <w:sz w:val="22"/>
          <w:szCs w:val="22"/>
          <w:lang w:eastAsia="en-US"/>
        </w:rPr>
      </w:pPr>
    </w:p>
    <w:p w14:paraId="5C2C0370" w14:textId="77777777" w:rsidR="00E86446" w:rsidRDefault="00E86446">
      <w:pPr>
        <w:spacing w:line="259" w:lineRule="auto"/>
        <w:jc w:val="center"/>
        <w:rPr>
          <w:rFonts w:eastAsia="Calibri"/>
          <w:b/>
          <w:sz w:val="22"/>
          <w:szCs w:val="22"/>
          <w:lang w:eastAsia="en-US"/>
        </w:rPr>
      </w:pPr>
    </w:p>
    <w:p w14:paraId="1F8CD3D4" w14:textId="77777777" w:rsidR="00E86446" w:rsidRDefault="00E86446">
      <w:pPr>
        <w:spacing w:line="259" w:lineRule="auto"/>
        <w:jc w:val="center"/>
        <w:rPr>
          <w:rFonts w:eastAsia="Calibri"/>
          <w:b/>
          <w:sz w:val="22"/>
          <w:szCs w:val="22"/>
          <w:lang w:eastAsia="en-US"/>
        </w:rPr>
      </w:pPr>
    </w:p>
    <w:p w14:paraId="78A73451" w14:textId="77777777" w:rsidR="00E86446" w:rsidRDefault="00E86446">
      <w:pPr>
        <w:spacing w:line="259" w:lineRule="auto"/>
        <w:jc w:val="center"/>
        <w:rPr>
          <w:rFonts w:eastAsia="Calibri"/>
          <w:b/>
          <w:sz w:val="22"/>
          <w:szCs w:val="22"/>
          <w:lang w:eastAsia="en-US"/>
        </w:rPr>
      </w:pPr>
    </w:p>
    <w:p w14:paraId="418F127E" w14:textId="77777777" w:rsidR="00E86446" w:rsidRDefault="00E86446">
      <w:pPr>
        <w:spacing w:line="259" w:lineRule="auto"/>
        <w:jc w:val="center"/>
        <w:rPr>
          <w:rFonts w:eastAsia="Calibri"/>
          <w:b/>
          <w:sz w:val="22"/>
          <w:szCs w:val="22"/>
          <w:lang w:eastAsia="en-US"/>
        </w:rPr>
      </w:pPr>
    </w:p>
    <w:p w14:paraId="28C54A69" w14:textId="77777777" w:rsidR="00E86446" w:rsidRDefault="00E86446">
      <w:pPr>
        <w:spacing w:line="259" w:lineRule="auto"/>
        <w:jc w:val="center"/>
        <w:rPr>
          <w:rFonts w:eastAsia="Calibri"/>
          <w:b/>
          <w:sz w:val="22"/>
          <w:szCs w:val="22"/>
          <w:lang w:eastAsia="en-US"/>
        </w:rPr>
      </w:pPr>
    </w:p>
    <w:p w14:paraId="33C4616E" w14:textId="77777777" w:rsidR="00E86446" w:rsidRDefault="00E86446">
      <w:pPr>
        <w:spacing w:line="259" w:lineRule="auto"/>
        <w:jc w:val="center"/>
        <w:rPr>
          <w:rFonts w:eastAsia="Calibri"/>
          <w:b/>
          <w:sz w:val="22"/>
          <w:szCs w:val="22"/>
          <w:lang w:eastAsia="en-US"/>
        </w:rPr>
      </w:pPr>
    </w:p>
    <w:p w14:paraId="0FDA9726" w14:textId="77777777" w:rsidR="00E86446" w:rsidRDefault="00E86446">
      <w:pPr>
        <w:spacing w:line="259" w:lineRule="auto"/>
        <w:jc w:val="center"/>
        <w:rPr>
          <w:rFonts w:eastAsia="Calibri"/>
          <w:b/>
          <w:sz w:val="22"/>
          <w:szCs w:val="22"/>
          <w:lang w:eastAsia="en-US"/>
        </w:rPr>
      </w:pPr>
    </w:p>
    <w:p w14:paraId="4FE54CA5" w14:textId="77777777" w:rsidR="00E86446" w:rsidRDefault="00345E63">
      <w:pPr>
        <w:spacing w:line="259" w:lineRule="auto"/>
        <w:jc w:val="center"/>
        <w:rPr>
          <w:rFonts w:eastAsia="Calibri"/>
          <w:b/>
          <w:sz w:val="22"/>
          <w:szCs w:val="22"/>
          <w:lang w:eastAsia="en-US"/>
        </w:rPr>
      </w:pPr>
      <w:r>
        <w:rPr>
          <w:rFonts w:eastAsia="Calibri"/>
          <w:b/>
          <w:sz w:val="22"/>
          <w:szCs w:val="22"/>
          <w:lang w:eastAsia="en-US"/>
        </w:rPr>
        <w:t>II PRIEDAS</w:t>
      </w:r>
    </w:p>
    <w:p w14:paraId="2ABA267E" w14:textId="77777777" w:rsidR="00E86446" w:rsidRDefault="00E86446">
      <w:pPr>
        <w:spacing w:line="259" w:lineRule="auto"/>
        <w:ind w:hanging="567"/>
        <w:jc w:val="center"/>
        <w:rPr>
          <w:rFonts w:eastAsia="Calibri"/>
          <w:sz w:val="22"/>
          <w:szCs w:val="22"/>
          <w:lang w:eastAsia="en-US"/>
        </w:rPr>
      </w:pPr>
    </w:p>
    <w:p w14:paraId="42636D5D" w14:textId="77777777" w:rsidR="00E86446" w:rsidRDefault="00345E63">
      <w:pPr>
        <w:spacing w:line="259" w:lineRule="auto"/>
        <w:jc w:val="center"/>
        <w:rPr>
          <w:rFonts w:eastAsia="Calibri"/>
          <w:i/>
          <w:sz w:val="22"/>
          <w:szCs w:val="22"/>
          <w:lang w:eastAsia="en-US"/>
        </w:rPr>
      </w:pPr>
      <w:r>
        <w:rPr>
          <w:rFonts w:eastAsia="Calibri"/>
          <w:b/>
          <w:sz w:val="22"/>
          <w:szCs w:val="22"/>
          <w:lang w:eastAsia="en-US"/>
        </w:rPr>
        <w:t>REGISTRACIJOS SĄLYGOS</w:t>
      </w:r>
    </w:p>
    <w:p w14:paraId="7B676E76" w14:textId="77777777" w:rsidR="00E86446" w:rsidRDefault="00E86446">
      <w:pPr>
        <w:spacing w:line="259" w:lineRule="auto"/>
        <w:rPr>
          <w:rFonts w:eastAsia="Calibri"/>
          <w:sz w:val="22"/>
          <w:szCs w:val="22"/>
          <w:lang w:eastAsia="en-US"/>
        </w:rPr>
      </w:pPr>
    </w:p>
    <w:p w14:paraId="4A05915D" w14:textId="77777777" w:rsidR="00E86446" w:rsidRDefault="00345E63">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52A67739" w14:textId="77777777" w:rsidR="00E86446" w:rsidRDefault="00E86446">
      <w:pPr>
        <w:tabs>
          <w:tab w:val="left" w:pos="1701"/>
        </w:tabs>
        <w:spacing w:line="259" w:lineRule="auto"/>
        <w:ind w:left="1701" w:hanging="567"/>
        <w:rPr>
          <w:rFonts w:eastAsia="Calibri"/>
          <w:noProof/>
          <w:sz w:val="22"/>
          <w:szCs w:val="22"/>
          <w:lang w:eastAsia="en-US"/>
        </w:rPr>
      </w:pPr>
    </w:p>
    <w:p w14:paraId="5738A8C3" w14:textId="77777777" w:rsidR="00E86446" w:rsidRDefault="00345E63">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33AF1FA0" w14:textId="77777777" w:rsidR="00E86446" w:rsidRDefault="00345E63">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605D0E58" w14:textId="77777777" w:rsidR="00E86446" w:rsidRDefault="00E86446">
      <w:pPr>
        <w:spacing w:line="259" w:lineRule="auto"/>
        <w:rPr>
          <w:rFonts w:eastAsia="Calibri"/>
          <w:sz w:val="22"/>
          <w:szCs w:val="22"/>
          <w:lang w:eastAsia="en-US"/>
        </w:rPr>
      </w:pPr>
    </w:p>
    <w:p w14:paraId="6CFC4246" w14:textId="77777777" w:rsidR="00E86446" w:rsidRDefault="00345E63">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24875E62" w14:textId="77777777" w:rsidR="00E86446" w:rsidRDefault="00E86446">
      <w:pPr>
        <w:spacing w:line="259" w:lineRule="auto"/>
        <w:rPr>
          <w:rFonts w:eastAsia="Calibri"/>
          <w:sz w:val="22"/>
          <w:szCs w:val="22"/>
          <w:lang w:eastAsia="en-US"/>
        </w:rPr>
      </w:pPr>
    </w:p>
    <w:p w14:paraId="783C9F41" w14:textId="77777777" w:rsidR="00E86446" w:rsidRDefault="00345E63">
      <w:pPr>
        <w:widowControl w:val="0"/>
        <w:rPr>
          <w:b/>
          <w:sz w:val="22"/>
          <w:szCs w:val="22"/>
          <w:lang w:eastAsia="sl-SI"/>
        </w:rPr>
      </w:pPr>
      <w:bookmarkStart w:id="11"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8B66FA8" w14:textId="77777777" w:rsidR="00E86446" w:rsidRDefault="00345E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19E6615E" w14:textId="77777777" w:rsidR="00E86446" w:rsidRDefault="00345E63">
      <w:pPr>
        <w:widowControl w:val="0"/>
        <w:rPr>
          <w:b/>
          <w:sz w:val="22"/>
          <w:szCs w:val="22"/>
          <w:lang w:eastAsia="sl-SI"/>
        </w:rPr>
      </w:pPr>
      <w:r>
        <w:rPr>
          <w:sz w:val="22"/>
          <w:szCs w:val="22"/>
          <w:lang w:eastAsia="sl-SI"/>
        </w:rPr>
        <w:t>8501 Novo mesto</w:t>
      </w:r>
    </w:p>
    <w:p w14:paraId="363204C0" w14:textId="77777777" w:rsidR="00E86446" w:rsidRDefault="00345E63">
      <w:pPr>
        <w:widowControl w:val="0"/>
        <w:rPr>
          <w:b/>
          <w:sz w:val="22"/>
          <w:szCs w:val="22"/>
          <w:lang w:eastAsia="sl-SI"/>
        </w:rPr>
      </w:pPr>
      <w:r>
        <w:rPr>
          <w:sz w:val="22"/>
          <w:szCs w:val="22"/>
          <w:lang w:eastAsia="sl-SI"/>
        </w:rPr>
        <w:t>Slovėnija</w:t>
      </w:r>
    </w:p>
    <w:bookmarkEnd w:id="11"/>
    <w:p w14:paraId="37ED1D08" w14:textId="77777777" w:rsidR="00E86446" w:rsidRDefault="00E86446">
      <w:pPr>
        <w:spacing w:line="259" w:lineRule="auto"/>
        <w:rPr>
          <w:rFonts w:eastAsia="Calibri"/>
          <w:sz w:val="22"/>
          <w:szCs w:val="22"/>
          <w:lang w:eastAsia="en-US"/>
        </w:rPr>
      </w:pPr>
    </w:p>
    <w:p w14:paraId="1E7F893C" w14:textId="77777777" w:rsidR="00E86446" w:rsidRDefault="00345E63">
      <w:pPr>
        <w:numPr>
          <w:ilvl w:val="12"/>
          <w:numId w:val="0"/>
        </w:numPr>
        <w:jc w:val="both"/>
        <w:rPr>
          <w:rFonts w:eastAsia="Calibri"/>
          <w:noProof/>
          <w:sz w:val="22"/>
          <w:szCs w:val="22"/>
          <w:lang w:eastAsia="en-US"/>
        </w:rPr>
      </w:pPr>
      <w:r>
        <w:rPr>
          <w:rFonts w:eastAsia="Calibri"/>
          <w:noProof/>
          <w:sz w:val="22"/>
          <w:szCs w:val="22"/>
          <w:lang w:eastAsia="en-US"/>
        </w:rPr>
        <w:t>arba</w:t>
      </w:r>
    </w:p>
    <w:p w14:paraId="1DC087A9" w14:textId="77777777" w:rsidR="00E86446" w:rsidRDefault="00E86446">
      <w:pPr>
        <w:numPr>
          <w:ilvl w:val="12"/>
          <w:numId w:val="0"/>
        </w:numPr>
        <w:jc w:val="both"/>
        <w:rPr>
          <w:rFonts w:eastAsia="Calibri"/>
          <w:noProof/>
          <w:sz w:val="22"/>
          <w:szCs w:val="22"/>
          <w:lang w:eastAsia="en-US"/>
        </w:rPr>
      </w:pPr>
    </w:p>
    <w:p w14:paraId="7E210F18" w14:textId="77777777" w:rsidR="00E86446" w:rsidRDefault="00345E63">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554D0E78" w14:textId="77777777" w:rsidR="00E86446" w:rsidRDefault="00345E63">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0830EA16" w14:textId="77777777" w:rsidR="00E86446" w:rsidRDefault="00345E63">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57911553" w14:textId="77777777" w:rsidR="00E86446" w:rsidRDefault="00345E63">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73EBE7FE" w14:textId="77777777" w:rsidR="00E86446" w:rsidRDefault="00E86446">
      <w:pPr>
        <w:spacing w:line="259" w:lineRule="auto"/>
        <w:rPr>
          <w:rFonts w:eastAsia="Calibri"/>
          <w:sz w:val="22"/>
          <w:szCs w:val="22"/>
          <w:lang w:eastAsia="en-US"/>
        </w:rPr>
      </w:pPr>
    </w:p>
    <w:p w14:paraId="3C2FE91E" w14:textId="35CDE09E" w:rsidR="00E86446" w:rsidRDefault="003171F5">
      <w:pPr>
        <w:spacing w:line="259" w:lineRule="auto"/>
        <w:rPr>
          <w:noProof/>
          <w:snapToGrid w:val="0"/>
          <w:sz w:val="22"/>
          <w:lang w:eastAsia="en-US"/>
        </w:rPr>
      </w:pPr>
      <w:r w:rsidRPr="003171F5">
        <w:rPr>
          <w:noProof/>
          <w:snapToGrid w:val="0"/>
          <w:sz w:val="22"/>
          <w:lang w:eastAsia="en-US"/>
        </w:rPr>
        <w:t>Su pakuote pateikiamame lapelyje nurodomas gamintojo, atsakingo už konkrečios serijos išleidimą, pavadinimas ir adresas</w:t>
      </w:r>
      <w:r>
        <w:rPr>
          <w:noProof/>
          <w:snapToGrid w:val="0"/>
          <w:sz w:val="22"/>
          <w:lang w:eastAsia="en-US"/>
        </w:rPr>
        <w:t>.</w:t>
      </w:r>
    </w:p>
    <w:p w14:paraId="461AB939" w14:textId="77777777" w:rsidR="003171F5" w:rsidRDefault="003171F5">
      <w:pPr>
        <w:spacing w:line="259" w:lineRule="auto"/>
        <w:rPr>
          <w:noProof/>
          <w:snapToGrid w:val="0"/>
          <w:sz w:val="22"/>
          <w:lang w:eastAsia="en-US"/>
        </w:rPr>
      </w:pPr>
    </w:p>
    <w:p w14:paraId="1FC22251" w14:textId="77777777" w:rsidR="003171F5" w:rsidRDefault="003171F5">
      <w:pPr>
        <w:spacing w:line="259" w:lineRule="auto"/>
        <w:rPr>
          <w:rFonts w:eastAsia="Calibri"/>
          <w:sz w:val="22"/>
          <w:szCs w:val="22"/>
          <w:lang w:eastAsia="en-US"/>
        </w:rPr>
      </w:pPr>
    </w:p>
    <w:p w14:paraId="150F08D4" w14:textId="77777777" w:rsidR="00E86446" w:rsidRDefault="00345E63">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7CD27A30" w14:textId="77777777" w:rsidR="00E86446" w:rsidRDefault="00E86446">
      <w:pPr>
        <w:spacing w:line="259" w:lineRule="auto"/>
        <w:rPr>
          <w:rFonts w:eastAsia="Calibri"/>
          <w:sz w:val="22"/>
          <w:szCs w:val="22"/>
          <w:lang w:eastAsia="en-US"/>
        </w:rPr>
      </w:pPr>
    </w:p>
    <w:p w14:paraId="31A68716" w14:textId="77777777" w:rsidR="00E86446" w:rsidRDefault="00345E63">
      <w:pPr>
        <w:spacing w:line="259" w:lineRule="auto"/>
        <w:rPr>
          <w:rFonts w:eastAsia="Calibri"/>
          <w:sz w:val="22"/>
          <w:szCs w:val="22"/>
          <w:lang w:eastAsia="en-US"/>
        </w:rPr>
      </w:pPr>
      <w:r>
        <w:rPr>
          <w:rFonts w:eastAsia="Calibri"/>
          <w:sz w:val="22"/>
          <w:szCs w:val="22"/>
          <w:lang w:eastAsia="en-US"/>
        </w:rPr>
        <w:t>Receptinis vaistinis preparatas.</w:t>
      </w:r>
    </w:p>
    <w:p w14:paraId="5C993660" w14:textId="77777777" w:rsidR="00E86446" w:rsidRDefault="00345E63">
      <w:pPr>
        <w:spacing w:line="259" w:lineRule="auto"/>
        <w:rPr>
          <w:rFonts w:eastAsia="Calibri"/>
          <w:sz w:val="22"/>
          <w:szCs w:val="22"/>
          <w:lang w:eastAsia="en-US"/>
        </w:rPr>
      </w:pPr>
      <w:r>
        <w:rPr>
          <w:rFonts w:eastAsia="Calibri"/>
          <w:b/>
          <w:sz w:val="22"/>
          <w:szCs w:val="22"/>
          <w:lang w:eastAsia="en-US"/>
        </w:rPr>
        <w:br w:type="page"/>
      </w:r>
    </w:p>
    <w:p w14:paraId="7CC7E37A" w14:textId="77777777" w:rsidR="00E86446" w:rsidRDefault="00E86446">
      <w:pPr>
        <w:spacing w:line="259" w:lineRule="auto"/>
        <w:rPr>
          <w:rFonts w:eastAsia="Calibri"/>
          <w:sz w:val="22"/>
          <w:szCs w:val="22"/>
          <w:lang w:eastAsia="en-US"/>
        </w:rPr>
      </w:pPr>
    </w:p>
    <w:p w14:paraId="1B6EC106" w14:textId="77777777" w:rsidR="00E86446" w:rsidRDefault="00E86446">
      <w:pPr>
        <w:spacing w:line="259" w:lineRule="auto"/>
        <w:rPr>
          <w:rFonts w:eastAsia="Calibri"/>
          <w:sz w:val="22"/>
          <w:szCs w:val="22"/>
          <w:lang w:eastAsia="en-US"/>
        </w:rPr>
      </w:pPr>
    </w:p>
    <w:p w14:paraId="02EFC6D8" w14:textId="77777777" w:rsidR="00E86446" w:rsidRDefault="00E86446">
      <w:pPr>
        <w:spacing w:line="259" w:lineRule="auto"/>
        <w:rPr>
          <w:rFonts w:eastAsia="Calibri"/>
          <w:sz w:val="22"/>
          <w:szCs w:val="22"/>
          <w:lang w:eastAsia="en-US"/>
        </w:rPr>
      </w:pPr>
    </w:p>
    <w:p w14:paraId="43AC00C5" w14:textId="77777777" w:rsidR="00E86446" w:rsidRDefault="00E86446">
      <w:pPr>
        <w:spacing w:line="259" w:lineRule="auto"/>
        <w:rPr>
          <w:rFonts w:eastAsia="Calibri"/>
          <w:sz w:val="22"/>
          <w:szCs w:val="22"/>
          <w:lang w:eastAsia="en-US"/>
        </w:rPr>
      </w:pPr>
    </w:p>
    <w:p w14:paraId="38A6572B" w14:textId="77777777" w:rsidR="00E86446" w:rsidRDefault="00E86446">
      <w:pPr>
        <w:spacing w:line="259" w:lineRule="auto"/>
        <w:rPr>
          <w:rFonts w:eastAsia="Calibri"/>
          <w:sz w:val="22"/>
          <w:szCs w:val="22"/>
          <w:lang w:eastAsia="en-US"/>
        </w:rPr>
      </w:pPr>
    </w:p>
    <w:p w14:paraId="606ACFAE" w14:textId="77777777" w:rsidR="00E86446" w:rsidRDefault="00E86446">
      <w:pPr>
        <w:spacing w:line="259" w:lineRule="auto"/>
        <w:rPr>
          <w:rFonts w:eastAsia="Calibri"/>
          <w:sz w:val="22"/>
          <w:szCs w:val="22"/>
          <w:lang w:eastAsia="en-US"/>
        </w:rPr>
      </w:pPr>
    </w:p>
    <w:p w14:paraId="7CAE35DA" w14:textId="77777777" w:rsidR="00E86446" w:rsidRDefault="00E86446">
      <w:pPr>
        <w:spacing w:line="259" w:lineRule="auto"/>
        <w:rPr>
          <w:rFonts w:eastAsia="Calibri"/>
          <w:sz w:val="22"/>
          <w:szCs w:val="22"/>
          <w:lang w:eastAsia="en-US"/>
        </w:rPr>
      </w:pPr>
    </w:p>
    <w:p w14:paraId="4254DEC3" w14:textId="77777777" w:rsidR="00E86446" w:rsidRDefault="00E86446">
      <w:pPr>
        <w:spacing w:line="259" w:lineRule="auto"/>
        <w:rPr>
          <w:rFonts w:eastAsia="Calibri"/>
          <w:sz w:val="22"/>
          <w:szCs w:val="22"/>
          <w:lang w:eastAsia="en-US"/>
        </w:rPr>
      </w:pPr>
    </w:p>
    <w:p w14:paraId="4CF2AE57" w14:textId="77777777" w:rsidR="00E86446" w:rsidRDefault="00E86446">
      <w:pPr>
        <w:spacing w:line="259" w:lineRule="auto"/>
        <w:rPr>
          <w:rFonts w:eastAsia="Calibri"/>
          <w:sz w:val="22"/>
          <w:szCs w:val="22"/>
          <w:lang w:eastAsia="en-US"/>
        </w:rPr>
      </w:pPr>
    </w:p>
    <w:p w14:paraId="15170EBC" w14:textId="77777777" w:rsidR="00E86446" w:rsidRDefault="00E86446">
      <w:pPr>
        <w:spacing w:line="259" w:lineRule="auto"/>
        <w:rPr>
          <w:rFonts w:eastAsia="Calibri"/>
          <w:sz w:val="22"/>
          <w:szCs w:val="22"/>
          <w:lang w:eastAsia="en-US"/>
        </w:rPr>
      </w:pPr>
    </w:p>
    <w:p w14:paraId="309CEE95" w14:textId="77777777" w:rsidR="00E86446" w:rsidRDefault="00E86446">
      <w:pPr>
        <w:spacing w:line="259" w:lineRule="auto"/>
        <w:rPr>
          <w:rFonts w:eastAsia="Calibri"/>
          <w:sz w:val="22"/>
          <w:szCs w:val="22"/>
          <w:lang w:eastAsia="en-US"/>
        </w:rPr>
      </w:pPr>
    </w:p>
    <w:p w14:paraId="0F798B05" w14:textId="77777777" w:rsidR="00E86446" w:rsidRDefault="00E86446">
      <w:pPr>
        <w:spacing w:line="259" w:lineRule="auto"/>
        <w:rPr>
          <w:rFonts w:eastAsia="Calibri"/>
          <w:sz w:val="22"/>
          <w:szCs w:val="22"/>
          <w:lang w:eastAsia="en-US"/>
        </w:rPr>
      </w:pPr>
    </w:p>
    <w:p w14:paraId="44D6FDD5" w14:textId="77777777" w:rsidR="00E86446" w:rsidRDefault="00E86446">
      <w:pPr>
        <w:spacing w:line="259" w:lineRule="auto"/>
        <w:rPr>
          <w:rFonts w:eastAsia="Calibri"/>
          <w:sz w:val="22"/>
          <w:szCs w:val="22"/>
          <w:lang w:eastAsia="en-US"/>
        </w:rPr>
      </w:pPr>
    </w:p>
    <w:p w14:paraId="06D4A501" w14:textId="77777777" w:rsidR="00E86446" w:rsidRDefault="00E86446">
      <w:pPr>
        <w:spacing w:line="259" w:lineRule="auto"/>
        <w:rPr>
          <w:rFonts w:eastAsia="Calibri"/>
          <w:sz w:val="22"/>
          <w:szCs w:val="22"/>
          <w:lang w:eastAsia="en-US"/>
        </w:rPr>
      </w:pPr>
    </w:p>
    <w:p w14:paraId="26CADBED" w14:textId="77777777" w:rsidR="00E86446" w:rsidRDefault="00E86446">
      <w:pPr>
        <w:spacing w:line="259" w:lineRule="auto"/>
        <w:rPr>
          <w:rFonts w:eastAsia="Calibri"/>
          <w:sz w:val="22"/>
          <w:szCs w:val="22"/>
          <w:lang w:eastAsia="en-US"/>
        </w:rPr>
      </w:pPr>
    </w:p>
    <w:p w14:paraId="4F63CE4A" w14:textId="77777777" w:rsidR="00E86446" w:rsidRDefault="00E86446">
      <w:pPr>
        <w:spacing w:line="259" w:lineRule="auto"/>
        <w:rPr>
          <w:rFonts w:eastAsia="Calibri"/>
          <w:sz w:val="22"/>
          <w:szCs w:val="22"/>
          <w:lang w:eastAsia="en-US"/>
        </w:rPr>
      </w:pPr>
    </w:p>
    <w:p w14:paraId="42EDD9C1" w14:textId="77777777" w:rsidR="00E86446" w:rsidRDefault="00E86446">
      <w:pPr>
        <w:spacing w:line="259" w:lineRule="auto"/>
        <w:outlineLvl w:val="0"/>
        <w:rPr>
          <w:rFonts w:eastAsia="Calibri"/>
          <w:b/>
          <w:sz w:val="22"/>
          <w:szCs w:val="22"/>
          <w:lang w:eastAsia="en-US"/>
        </w:rPr>
      </w:pPr>
    </w:p>
    <w:p w14:paraId="39C79808" w14:textId="77777777" w:rsidR="00E86446" w:rsidRDefault="00E86446">
      <w:pPr>
        <w:spacing w:line="259" w:lineRule="auto"/>
        <w:outlineLvl w:val="0"/>
        <w:rPr>
          <w:rFonts w:eastAsia="Calibri"/>
          <w:b/>
          <w:sz w:val="22"/>
          <w:szCs w:val="22"/>
          <w:lang w:eastAsia="en-US"/>
        </w:rPr>
      </w:pPr>
    </w:p>
    <w:p w14:paraId="3920395B" w14:textId="77777777" w:rsidR="00E86446" w:rsidRDefault="00E86446">
      <w:pPr>
        <w:spacing w:line="259" w:lineRule="auto"/>
        <w:outlineLvl w:val="0"/>
        <w:rPr>
          <w:rFonts w:eastAsia="Calibri"/>
          <w:b/>
          <w:sz w:val="22"/>
          <w:szCs w:val="22"/>
          <w:lang w:eastAsia="en-US"/>
        </w:rPr>
      </w:pPr>
    </w:p>
    <w:p w14:paraId="244538B8" w14:textId="77777777" w:rsidR="00E86446" w:rsidRDefault="00E86446">
      <w:pPr>
        <w:spacing w:line="259" w:lineRule="auto"/>
        <w:outlineLvl w:val="0"/>
        <w:rPr>
          <w:rFonts w:eastAsia="Calibri"/>
          <w:b/>
          <w:sz w:val="22"/>
          <w:szCs w:val="22"/>
          <w:lang w:eastAsia="en-US"/>
        </w:rPr>
      </w:pPr>
    </w:p>
    <w:p w14:paraId="0E9DAA76" w14:textId="77777777" w:rsidR="00E86446" w:rsidRDefault="00E86446">
      <w:pPr>
        <w:spacing w:line="259" w:lineRule="auto"/>
        <w:outlineLvl w:val="0"/>
        <w:rPr>
          <w:rFonts w:eastAsia="Calibri"/>
          <w:b/>
          <w:sz w:val="22"/>
          <w:szCs w:val="22"/>
          <w:lang w:eastAsia="en-US"/>
        </w:rPr>
      </w:pPr>
    </w:p>
    <w:p w14:paraId="51A12C82" w14:textId="77777777" w:rsidR="00E86446" w:rsidRDefault="00E86446">
      <w:pPr>
        <w:spacing w:line="259" w:lineRule="auto"/>
        <w:outlineLvl w:val="0"/>
        <w:rPr>
          <w:rFonts w:eastAsia="Calibri"/>
          <w:b/>
          <w:sz w:val="22"/>
          <w:szCs w:val="22"/>
          <w:lang w:eastAsia="en-US"/>
        </w:rPr>
      </w:pPr>
    </w:p>
    <w:p w14:paraId="2F35678C" w14:textId="77777777" w:rsidR="00E86446" w:rsidRDefault="00E86446">
      <w:pPr>
        <w:keepNext/>
        <w:tabs>
          <w:tab w:val="left" w:pos="567"/>
        </w:tabs>
        <w:jc w:val="center"/>
        <w:outlineLvl w:val="1"/>
        <w:rPr>
          <w:b/>
          <w:bCs/>
          <w:iCs/>
          <w:snapToGrid w:val="0"/>
          <w:sz w:val="22"/>
          <w:szCs w:val="22"/>
          <w:lang w:eastAsia="x-none"/>
        </w:rPr>
      </w:pPr>
    </w:p>
    <w:p w14:paraId="2ED2240D" w14:textId="77777777" w:rsidR="00E86446" w:rsidRDefault="00345E63">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4EBDD76B" w14:textId="77777777" w:rsidR="00E86446" w:rsidRDefault="00E86446">
      <w:pPr>
        <w:spacing w:line="259" w:lineRule="auto"/>
        <w:rPr>
          <w:rFonts w:eastAsia="Calibri"/>
          <w:sz w:val="22"/>
          <w:szCs w:val="22"/>
          <w:lang w:eastAsia="en-US"/>
        </w:rPr>
      </w:pPr>
    </w:p>
    <w:p w14:paraId="63FE15C3" w14:textId="77777777" w:rsidR="00E86446" w:rsidRDefault="00345E63">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2595B747" w14:textId="77777777" w:rsidR="00E86446" w:rsidRDefault="00345E63">
      <w:pPr>
        <w:spacing w:line="259" w:lineRule="auto"/>
        <w:rPr>
          <w:rFonts w:eastAsia="Calibri"/>
          <w:sz w:val="22"/>
          <w:szCs w:val="22"/>
          <w:lang w:eastAsia="en-US"/>
        </w:rPr>
      </w:pPr>
      <w:r>
        <w:rPr>
          <w:rFonts w:eastAsia="Calibri"/>
          <w:sz w:val="22"/>
          <w:szCs w:val="22"/>
          <w:lang w:eastAsia="en-US"/>
        </w:rPr>
        <w:br w:type="page"/>
      </w:r>
    </w:p>
    <w:p w14:paraId="7BA4E5AC" w14:textId="77777777" w:rsidR="00E86446" w:rsidRDefault="00E86446">
      <w:pPr>
        <w:spacing w:line="259" w:lineRule="auto"/>
        <w:rPr>
          <w:rFonts w:eastAsia="Calibri"/>
          <w:sz w:val="22"/>
          <w:szCs w:val="22"/>
          <w:lang w:eastAsia="en-US"/>
        </w:rPr>
      </w:pPr>
    </w:p>
    <w:p w14:paraId="000BF13F" w14:textId="77777777" w:rsidR="00E86446" w:rsidRDefault="00E86446">
      <w:pPr>
        <w:spacing w:line="259" w:lineRule="auto"/>
        <w:rPr>
          <w:rFonts w:eastAsia="Calibri"/>
          <w:sz w:val="22"/>
          <w:szCs w:val="22"/>
          <w:lang w:eastAsia="en-US"/>
        </w:rPr>
      </w:pPr>
    </w:p>
    <w:p w14:paraId="6532B7CE" w14:textId="77777777" w:rsidR="00E86446" w:rsidRDefault="00E86446">
      <w:pPr>
        <w:spacing w:line="259" w:lineRule="auto"/>
        <w:rPr>
          <w:rFonts w:eastAsia="Calibri"/>
          <w:sz w:val="22"/>
          <w:szCs w:val="22"/>
          <w:lang w:eastAsia="en-US"/>
        </w:rPr>
      </w:pPr>
    </w:p>
    <w:p w14:paraId="65C24356" w14:textId="77777777" w:rsidR="00E86446" w:rsidRDefault="00E86446">
      <w:pPr>
        <w:spacing w:line="259" w:lineRule="auto"/>
        <w:rPr>
          <w:rFonts w:eastAsia="Calibri"/>
          <w:sz w:val="22"/>
          <w:szCs w:val="22"/>
          <w:lang w:eastAsia="en-US"/>
        </w:rPr>
      </w:pPr>
    </w:p>
    <w:p w14:paraId="689E1820" w14:textId="77777777" w:rsidR="00E86446" w:rsidRDefault="00E86446">
      <w:pPr>
        <w:spacing w:line="259" w:lineRule="auto"/>
        <w:rPr>
          <w:rFonts w:eastAsia="Calibri"/>
          <w:sz w:val="22"/>
          <w:szCs w:val="22"/>
          <w:lang w:eastAsia="en-US"/>
        </w:rPr>
      </w:pPr>
    </w:p>
    <w:p w14:paraId="14107452" w14:textId="77777777" w:rsidR="00E86446" w:rsidRDefault="00E86446">
      <w:pPr>
        <w:spacing w:line="259" w:lineRule="auto"/>
        <w:rPr>
          <w:rFonts w:eastAsia="Calibri"/>
          <w:sz w:val="22"/>
          <w:szCs w:val="22"/>
          <w:lang w:eastAsia="en-US"/>
        </w:rPr>
      </w:pPr>
    </w:p>
    <w:p w14:paraId="564B2875" w14:textId="77777777" w:rsidR="00E86446" w:rsidRDefault="00E86446">
      <w:pPr>
        <w:spacing w:line="259" w:lineRule="auto"/>
        <w:rPr>
          <w:rFonts w:eastAsia="Calibri"/>
          <w:sz w:val="22"/>
          <w:szCs w:val="22"/>
          <w:lang w:eastAsia="en-US"/>
        </w:rPr>
      </w:pPr>
    </w:p>
    <w:p w14:paraId="1C5BF2F6" w14:textId="77777777" w:rsidR="00E86446" w:rsidRDefault="00E86446">
      <w:pPr>
        <w:spacing w:line="259" w:lineRule="auto"/>
        <w:rPr>
          <w:rFonts w:eastAsia="Calibri"/>
          <w:sz w:val="22"/>
          <w:szCs w:val="22"/>
          <w:lang w:eastAsia="en-US"/>
        </w:rPr>
      </w:pPr>
    </w:p>
    <w:p w14:paraId="0E8494C5" w14:textId="77777777" w:rsidR="00E86446" w:rsidRDefault="00E86446">
      <w:pPr>
        <w:spacing w:line="259" w:lineRule="auto"/>
        <w:rPr>
          <w:rFonts w:eastAsia="Calibri"/>
          <w:sz w:val="22"/>
          <w:szCs w:val="22"/>
          <w:lang w:eastAsia="en-US"/>
        </w:rPr>
      </w:pPr>
    </w:p>
    <w:p w14:paraId="0F4C1566" w14:textId="77777777" w:rsidR="00E86446" w:rsidRDefault="00E86446">
      <w:pPr>
        <w:spacing w:line="259" w:lineRule="auto"/>
        <w:rPr>
          <w:rFonts w:eastAsia="Calibri"/>
          <w:sz w:val="22"/>
          <w:szCs w:val="22"/>
          <w:lang w:eastAsia="en-US"/>
        </w:rPr>
      </w:pPr>
    </w:p>
    <w:p w14:paraId="74DD96A2" w14:textId="77777777" w:rsidR="00E86446" w:rsidRDefault="00E86446">
      <w:pPr>
        <w:spacing w:line="259" w:lineRule="auto"/>
        <w:rPr>
          <w:rFonts w:eastAsia="Calibri"/>
          <w:sz w:val="22"/>
          <w:szCs w:val="22"/>
          <w:lang w:eastAsia="en-US"/>
        </w:rPr>
      </w:pPr>
    </w:p>
    <w:p w14:paraId="73E8C7F9" w14:textId="77777777" w:rsidR="00E86446" w:rsidRDefault="00E86446">
      <w:pPr>
        <w:spacing w:line="259" w:lineRule="auto"/>
        <w:rPr>
          <w:rFonts w:eastAsia="Calibri"/>
          <w:sz w:val="22"/>
          <w:szCs w:val="22"/>
          <w:lang w:eastAsia="en-US"/>
        </w:rPr>
      </w:pPr>
    </w:p>
    <w:p w14:paraId="444C96DD" w14:textId="77777777" w:rsidR="00E86446" w:rsidRDefault="00E86446">
      <w:pPr>
        <w:spacing w:line="259" w:lineRule="auto"/>
        <w:rPr>
          <w:rFonts w:eastAsia="Calibri"/>
          <w:sz w:val="22"/>
          <w:szCs w:val="22"/>
          <w:lang w:eastAsia="en-US"/>
        </w:rPr>
      </w:pPr>
    </w:p>
    <w:p w14:paraId="49447C6B" w14:textId="77777777" w:rsidR="00E86446" w:rsidRDefault="00E86446">
      <w:pPr>
        <w:spacing w:line="259" w:lineRule="auto"/>
        <w:rPr>
          <w:rFonts w:eastAsia="Calibri"/>
          <w:sz w:val="22"/>
          <w:szCs w:val="22"/>
          <w:lang w:eastAsia="en-US"/>
        </w:rPr>
      </w:pPr>
    </w:p>
    <w:p w14:paraId="6365F06E" w14:textId="77777777" w:rsidR="00E86446" w:rsidRDefault="00E86446">
      <w:pPr>
        <w:spacing w:line="259" w:lineRule="auto"/>
        <w:rPr>
          <w:rFonts w:eastAsia="Calibri"/>
          <w:sz w:val="22"/>
          <w:szCs w:val="22"/>
          <w:lang w:eastAsia="en-US"/>
        </w:rPr>
      </w:pPr>
    </w:p>
    <w:p w14:paraId="58C5AAD0" w14:textId="77777777" w:rsidR="00E86446" w:rsidRDefault="00E86446">
      <w:pPr>
        <w:spacing w:line="259" w:lineRule="auto"/>
        <w:rPr>
          <w:rFonts w:eastAsia="Calibri"/>
          <w:sz w:val="22"/>
          <w:szCs w:val="22"/>
          <w:lang w:eastAsia="en-US"/>
        </w:rPr>
      </w:pPr>
    </w:p>
    <w:p w14:paraId="3236DB42" w14:textId="77777777" w:rsidR="00E86446" w:rsidRDefault="00E86446">
      <w:pPr>
        <w:spacing w:line="259" w:lineRule="auto"/>
        <w:rPr>
          <w:rFonts w:eastAsia="Calibri"/>
          <w:sz w:val="22"/>
          <w:szCs w:val="22"/>
          <w:lang w:eastAsia="en-US"/>
        </w:rPr>
      </w:pPr>
    </w:p>
    <w:p w14:paraId="7D8649D1" w14:textId="77777777" w:rsidR="00E86446" w:rsidRDefault="00E86446">
      <w:pPr>
        <w:spacing w:line="259" w:lineRule="auto"/>
        <w:rPr>
          <w:rFonts w:eastAsia="Calibri"/>
          <w:sz w:val="22"/>
          <w:szCs w:val="22"/>
          <w:lang w:eastAsia="en-US"/>
        </w:rPr>
      </w:pPr>
    </w:p>
    <w:p w14:paraId="23CAC4C6" w14:textId="77777777" w:rsidR="00E86446" w:rsidRDefault="00E86446">
      <w:pPr>
        <w:spacing w:line="259" w:lineRule="auto"/>
        <w:rPr>
          <w:rFonts w:eastAsia="Calibri"/>
          <w:sz w:val="22"/>
          <w:szCs w:val="22"/>
          <w:lang w:eastAsia="en-US"/>
        </w:rPr>
      </w:pPr>
    </w:p>
    <w:p w14:paraId="34EB9E7F" w14:textId="77777777" w:rsidR="00E86446" w:rsidRDefault="00E86446">
      <w:pPr>
        <w:spacing w:line="259" w:lineRule="auto"/>
        <w:rPr>
          <w:rFonts w:eastAsia="Calibri"/>
          <w:sz w:val="22"/>
          <w:szCs w:val="22"/>
          <w:lang w:eastAsia="en-US"/>
        </w:rPr>
      </w:pPr>
    </w:p>
    <w:p w14:paraId="4E2C3B50" w14:textId="77777777" w:rsidR="00E86446" w:rsidRDefault="00E86446">
      <w:pPr>
        <w:spacing w:line="259" w:lineRule="auto"/>
        <w:rPr>
          <w:rFonts w:eastAsia="Calibri"/>
          <w:sz w:val="22"/>
          <w:szCs w:val="22"/>
          <w:lang w:eastAsia="en-US"/>
        </w:rPr>
      </w:pPr>
    </w:p>
    <w:p w14:paraId="11EC495A" w14:textId="77777777" w:rsidR="00E86446" w:rsidRDefault="00E86446">
      <w:pPr>
        <w:spacing w:line="259" w:lineRule="auto"/>
        <w:rPr>
          <w:rFonts w:eastAsia="Calibri"/>
          <w:sz w:val="22"/>
          <w:szCs w:val="22"/>
          <w:lang w:eastAsia="en-US"/>
        </w:rPr>
      </w:pPr>
    </w:p>
    <w:p w14:paraId="30C6BAA4" w14:textId="77777777" w:rsidR="00E86446" w:rsidRDefault="00E86446">
      <w:pPr>
        <w:keepNext/>
        <w:tabs>
          <w:tab w:val="left" w:pos="567"/>
        </w:tabs>
        <w:jc w:val="center"/>
        <w:outlineLvl w:val="1"/>
        <w:rPr>
          <w:b/>
          <w:bCs/>
          <w:iCs/>
          <w:snapToGrid w:val="0"/>
          <w:sz w:val="22"/>
          <w:szCs w:val="22"/>
          <w:lang w:eastAsia="x-none"/>
        </w:rPr>
      </w:pPr>
    </w:p>
    <w:p w14:paraId="52F30137" w14:textId="77777777" w:rsidR="00E86446" w:rsidRDefault="00345E63">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4F827A70" w14:textId="77777777" w:rsidR="00E86446" w:rsidRDefault="00345E63">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5BA00443" w14:textId="77777777" w:rsidR="00E86446" w:rsidRDefault="00E86446">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24D0558F" w14:textId="77777777" w:rsidR="00E86446" w:rsidRDefault="00345E6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676F12E8" w14:textId="77777777" w:rsidR="00E86446" w:rsidRDefault="00E86446">
      <w:pPr>
        <w:rPr>
          <w:rFonts w:eastAsia="Calibri"/>
          <w:sz w:val="22"/>
          <w:szCs w:val="22"/>
          <w:lang w:eastAsia="en-US"/>
        </w:rPr>
      </w:pPr>
    </w:p>
    <w:p w14:paraId="2B3544D2" w14:textId="77777777" w:rsidR="00E86446" w:rsidRDefault="00E86446">
      <w:pPr>
        <w:rPr>
          <w:rFonts w:eastAsia="Calibri"/>
          <w:sz w:val="22"/>
          <w:szCs w:val="22"/>
          <w:lang w:eastAsia="en-US"/>
        </w:rPr>
      </w:pPr>
    </w:p>
    <w:p w14:paraId="359DED67"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06A95C57" w14:textId="77777777" w:rsidR="00E86446" w:rsidRDefault="00E86446">
      <w:pPr>
        <w:rPr>
          <w:rFonts w:eastAsia="Calibri"/>
          <w:sz w:val="22"/>
          <w:szCs w:val="22"/>
          <w:lang w:eastAsia="en-US"/>
        </w:rPr>
      </w:pPr>
    </w:p>
    <w:p w14:paraId="2A4839DE"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mg/850 mg plėvele dengtos tabletės</w:t>
      </w:r>
    </w:p>
    <w:p w14:paraId="2FE0BF55" w14:textId="77777777" w:rsidR="00E86446" w:rsidRDefault="00345E63">
      <w:pPr>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mg/1 000 mg plėvele dengtos tabletės</w:t>
      </w:r>
    </w:p>
    <w:p w14:paraId="5C18F6DF" w14:textId="77777777" w:rsidR="00E86446" w:rsidRDefault="00E86446">
      <w:pPr>
        <w:rPr>
          <w:rFonts w:eastAsia="Calibri"/>
          <w:sz w:val="22"/>
          <w:szCs w:val="22"/>
          <w:lang w:eastAsia="en-US"/>
        </w:rPr>
      </w:pPr>
    </w:p>
    <w:p w14:paraId="44C39E6E" w14:textId="77777777" w:rsidR="00E86446" w:rsidRDefault="00345E63">
      <w:pPr>
        <w:tabs>
          <w:tab w:val="left" w:pos="426"/>
        </w:tabs>
        <w:rPr>
          <w:rFonts w:eastAsia="Arial Unicode MS"/>
          <w:bCs/>
          <w:noProof/>
          <w:color w:val="000000"/>
          <w:sz w:val="22"/>
          <w:szCs w:val="22"/>
          <w:lang w:eastAsia="en-US"/>
        </w:rPr>
      </w:pPr>
      <w:r>
        <w:rPr>
          <w:rFonts w:eastAsia="Arial Unicode MS"/>
          <w:bCs/>
          <w:noProof/>
          <w:color w:val="000000"/>
          <w:sz w:val="22"/>
          <w:szCs w:val="22"/>
          <w:lang w:eastAsia="en-US"/>
        </w:rPr>
        <w:t>dapagliflozinas/</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hidrochloridas</w:t>
      </w:r>
    </w:p>
    <w:p w14:paraId="1FA1BE80" w14:textId="77777777" w:rsidR="00E86446" w:rsidRDefault="00E86446">
      <w:pPr>
        <w:rPr>
          <w:rFonts w:eastAsia="Calibri"/>
          <w:sz w:val="22"/>
          <w:szCs w:val="22"/>
          <w:lang w:eastAsia="en-US"/>
        </w:rPr>
      </w:pPr>
    </w:p>
    <w:p w14:paraId="1B15F47E" w14:textId="77777777" w:rsidR="00E86446" w:rsidRDefault="00E86446">
      <w:pPr>
        <w:rPr>
          <w:rFonts w:eastAsia="Calibri"/>
          <w:sz w:val="22"/>
          <w:szCs w:val="22"/>
          <w:lang w:eastAsia="en-US"/>
        </w:rPr>
      </w:pPr>
    </w:p>
    <w:p w14:paraId="34513DE5"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2BC055E8" w14:textId="77777777" w:rsidR="00E86446" w:rsidRDefault="00E86446">
      <w:pPr>
        <w:rPr>
          <w:rFonts w:eastAsia="Calibri"/>
          <w:sz w:val="22"/>
          <w:szCs w:val="22"/>
          <w:lang w:eastAsia="en-US"/>
        </w:rPr>
      </w:pPr>
    </w:p>
    <w:p w14:paraId="0CAC6559" w14:textId="77777777" w:rsidR="00E86446" w:rsidRDefault="00345E63">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mg/850 mg plėvele dengtos tabletės</w:t>
      </w:r>
    </w:p>
    <w:p w14:paraId="4CB8C66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67A0F4D3" w14:textId="77777777" w:rsidR="00E86446" w:rsidRDefault="00E86446">
      <w:pPr>
        <w:autoSpaceDE w:val="0"/>
        <w:autoSpaceDN w:val="0"/>
        <w:adjustRightInd w:val="0"/>
        <w:rPr>
          <w:rFonts w:eastAsiaTheme="minorHAnsi"/>
          <w:color w:val="000000"/>
          <w:sz w:val="22"/>
          <w:szCs w:val="22"/>
          <w:lang w:eastAsia="en-US"/>
        </w:rPr>
      </w:pPr>
    </w:p>
    <w:p w14:paraId="24DD2975" w14:textId="77777777" w:rsidR="00E86446" w:rsidRDefault="00345E63">
      <w:pPr>
        <w:autoSpaceDE w:val="0"/>
        <w:autoSpaceDN w:val="0"/>
        <w:adjustRightInd w:val="0"/>
        <w:rPr>
          <w:rFonts w:eastAsiaTheme="minorHAnsi"/>
          <w:color w:val="000000"/>
          <w:sz w:val="22"/>
          <w:szCs w:val="22"/>
          <w:highlight w:val="lightGray"/>
          <w:u w:val="single"/>
          <w:lang w:eastAsia="en-US"/>
        </w:rPr>
      </w:pPr>
      <w:proofErr w:type="spellStart"/>
      <w:r>
        <w:rPr>
          <w:rFonts w:eastAsiaTheme="minorHAnsi"/>
          <w:color w:val="000000"/>
          <w:sz w:val="22"/>
          <w:szCs w:val="22"/>
          <w:highlight w:val="lightGray"/>
          <w:u w:val="single"/>
          <w:lang w:eastAsia="en-US"/>
        </w:rPr>
        <w:t>Mexdagry</w:t>
      </w:r>
      <w:proofErr w:type="spellEnd"/>
      <w:r>
        <w:rPr>
          <w:rFonts w:eastAsiaTheme="minorHAnsi"/>
          <w:color w:val="000000"/>
          <w:sz w:val="22"/>
          <w:szCs w:val="22"/>
          <w:highlight w:val="lightGray"/>
          <w:u w:val="single"/>
          <w:lang w:eastAsia="en-US"/>
        </w:rPr>
        <w:t xml:space="preserve"> 5 mg/1 000 mg plėvele dengtos tabletės</w:t>
      </w:r>
    </w:p>
    <w:p w14:paraId="538C2912" w14:textId="77777777" w:rsidR="00E86446" w:rsidRDefault="00345E63">
      <w:pPr>
        <w:rPr>
          <w:rFonts w:eastAsiaTheme="minorHAnsi"/>
          <w:color w:val="000000"/>
          <w:sz w:val="22"/>
          <w:szCs w:val="22"/>
          <w:lang w:eastAsia="en-US"/>
        </w:rPr>
      </w:pPr>
      <w:r>
        <w:rPr>
          <w:rFonts w:eastAsiaTheme="minorHAnsi"/>
          <w:color w:val="000000"/>
          <w:sz w:val="22"/>
          <w:szCs w:val="22"/>
          <w:highlight w:val="lightGray"/>
          <w:lang w:eastAsia="en-US"/>
        </w:rPr>
        <w:t xml:space="preserve">Kiekvienoje plėvele dengtoje tabletėje yra 5 mg dapagliflozino (dapagliflozino </w:t>
      </w:r>
      <w:proofErr w:type="spellStart"/>
      <w:r>
        <w:rPr>
          <w:rFonts w:eastAsiaTheme="minorHAnsi"/>
          <w:color w:val="000000"/>
          <w:sz w:val="22"/>
          <w:szCs w:val="22"/>
          <w:highlight w:val="lightGray"/>
          <w:lang w:eastAsia="en-US"/>
        </w:rPr>
        <w:t>propanediolo</w:t>
      </w:r>
      <w:proofErr w:type="spellEnd"/>
      <w:r>
        <w:rPr>
          <w:rFonts w:eastAsiaTheme="minorHAnsi"/>
          <w:color w:val="000000"/>
          <w:sz w:val="22"/>
          <w:szCs w:val="22"/>
          <w:highlight w:val="lightGray"/>
          <w:lang w:eastAsia="en-US"/>
        </w:rPr>
        <w:t xml:space="preserve"> </w:t>
      </w:r>
      <w:proofErr w:type="spellStart"/>
      <w:r>
        <w:rPr>
          <w:rFonts w:eastAsiaTheme="minorHAnsi"/>
          <w:color w:val="000000"/>
          <w:sz w:val="22"/>
          <w:szCs w:val="22"/>
          <w:highlight w:val="lightGray"/>
          <w:lang w:eastAsia="en-US"/>
        </w:rPr>
        <w:t>monohidrato</w:t>
      </w:r>
      <w:proofErr w:type="spellEnd"/>
      <w:r>
        <w:rPr>
          <w:rFonts w:eastAsiaTheme="minorHAnsi"/>
          <w:color w:val="000000"/>
          <w:sz w:val="22"/>
          <w:szCs w:val="22"/>
          <w:highlight w:val="lightGray"/>
          <w:lang w:eastAsia="en-US"/>
        </w:rPr>
        <w:t xml:space="preserve"> forma)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431080E3" w14:textId="77777777" w:rsidR="00E86446" w:rsidRDefault="00E86446">
      <w:pPr>
        <w:rPr>
          <w:rFonts w:eastAsia="Calibri"/>
          <w:sz w:val="22"/>
          <w:szCs w:val="22"/>
          <w:lang w:eastAsia="en-US"/>
        </w:rPr>
      </w:pPr>
    </w:p>
    <w:p w14:paraId="6B2D6D23" w14:textId="77777777" w:rsidR="00E86446" w:rsidRDefault="00E86446">
      <w:pPr>
        <w:rPr>
          <w:rFonts w:eastAsia="Calibri"/>
          <w:sz w:val="22"/>
          <w:szCs w:val="22"/>
          <w:lang w:eastAsia="en-US"/>
        </w:rPr>
      </w:pPr>
    </w:p>
    <w:p w14:paraId="48C0CE67"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27BB1478" w14:textId="77777777" w:rsidR="00E86446" w:rsidRDefault="00E86446">
      <w:pPr>
        <w:rPr>
          <w:rFonts w:eastAsia="Calibri"/>
          <w:sz w:val="22"/>
          <w:szCs w:val="22"/>
          <w:lang w:eastAsia="en-US"/>
        </w:rPr>
      </w:pPr>
    </w:p>
    <w:p w14:paraId="4F0D0B45" w14:textId="77777777" w:rsidR="00E86446" w:rsidRDefault="00E86446">
      <w:pPr>
        <w:rPr>
          <w:rFonts w:eastAsia="Calibri"/>
          <w:sz w:val="22"/>
          <w:szCs w:val="22"/>
          <w:lang w:eastAsia="en-US"/>
        </w:rPr>
      </w:pPr>
    </w:p>
    <w:p w14:paraId="42764170" w14:textId="77777777" w:rsidR="00E86446" w:rsidRDefault="00E86446">
      <w:pPr>
        <w:rPr>
          <w:rFonts w:eastAsia="Calibri"/>
          <w:sz w:val="22"/>
          <w:szCs w:val="22"/>
          <w:lang w:eastAsia="en-US"/>
        </w:rPr>
      </w:pPr>
    </w:p>
    <w:p w14:paraId="4DB94AB1"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58733C72" w14:textId="77777777" w:rsidR="00E86446" w:rsidRDefault="00E86446">
      <w:pPr>
        <w:rPr>
          <w:rFonts w:eastAsia="Calibri"/>
          <w:sz w:val="22"/>
          <w:szCs w:val="22"/>
          <w:lang w:eastAsia="en-US"/>
        </w:rPr>
      </w:pPr>
    </w:p>
    <w:p w14:paraId="57E2BA94" w14:textId="77777777" w:rsidR="00E86446" w:rsidRDefault="00345E63">
      <w:pPr>
        <w:rPr>
          <w:rFonts w:eastAsia="Calibri"/>
          <w:i/>
          <w:iCs/>
          <w:sz w:val="22"/>
          <w:szCs w:val="22"/>
          <w:lang w:eastAsia="en-US"/>
        </w:rPr>
      </w:pPr>
      <w:r>
        <w:rPr>
          <w:rFonts w:eastAsia="Calibri"/>
          <w:i/>
          <w:iCs/>
          <w:sz w:val="22"/>
          <w:szCs w:val="22"/>
          <w:highlight w:val="darkGray"/>
          <w:lang w:eastAsia="en-US"/>
        </w:rPr>
        <w:t>plėvele dengta tabletė</w:t>
      </w:r>
    </w:p>
    <w:p w14:paraId="301C9F73" w14:textId="77777777" w:rsidR="00E86446" w:rsidRDefault="00E86446">
      <w:pPr>
        <w:rPr>
          <w:rFonts w:eastAsia="Calibri"/>
          <w:sz w:val="22"/>
          <w:szCs w:val="22"/>
          <w:highlight w:val="lightGray"/>
          <w:lang w:eastAsia="en-US"/>
        </w:rPr>
      </w:pPr>
    </w:p>
    <w:p w14:paraId="551DD6E4" w14:textId="77777777" w:rsidR="00E86446" w:rsidRDefault="00345E63">
      <w:pPr>
        <w:rPr>
          <w:rFonts w:eastAsia="Calibri"/>
          <w:sz w:val="22"/>
          <w:szCs w:val="22"/>
          <w:highlight w:val="lightGray"/>
          <w:lang w:eastAsia="en-US"/>
        </w:rPr>
      </w:pPr>
      <w:r>
        <w:rPr>
          <w:rFonts w:eastAsia="Calibri"/>
          <w:sz w:val="22"/>
          <w:szCs w:val="22"/>
          <w:lang w:eastAsia="en-US"/>
        </w:rPr>
        <w:t xml:space="preserve">14 </w:t>
      </w:r>
      <w:r>
        <w:rPr>
          <w:rFonts w:eastAsia="Calibri"/>
          <w:i/>
          <w:iCs/>
          <w:sz w:val="22"/>
          <w:szCs w:val="22"/>
          <w:highlight w:val="darkGray"/>
          <w:lang w:eastAsia="en-US"/>
        </w:rPr>
        <w:t>plėvele dengtų</w:t>
      </w:r>
      <w:r>
        <w:rPr>
          <w:rFonts w:eastAsia="Calibri"/>
          <w:sz w:val="22"/>
          <w:szCs w:val="22"/>
          <w:lang w:eastAsia="en-US"/>
        </w:rPr>
        <w:t xml:space="preserve"> tablečių</w:t>
      </w:r>
    </w:p>
    <w:p w14:paraId="74C9DA0B" w14:textId="77777777" w:rsidR="00E86446" w:rsidRDefault="00345E63">
      <w:pPr>
        <w:rPr>
          <w:rFonts w:eastAsia="Calibri"/>
          <w:sz w:val="22"/>
          <w:szCs w:val="22"/>
          <w:highlight w:val="lightGray"/>
          <w:lang w:eastAsia="en-US"/>
        </w:rPr>
      </w:pPr>
      <w:bookmarkStart w:id="12" w:name="_Hlk190770775"/>
      <w:r>
        <w:rPr>
          <w:rFonts w:eastAsia="Calibri"/>
          <w:sz w:val="22"/>
          <w:szCs w:val="22"/>
          <w:highlight w:val="lightGray"/>
          <w:lang w:eastAsia="en-US"/>
        </w:rPr>
        <w:t xml:space="preserve">28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bookmarkEnd w:id="12"/>
    <w:p w14:paraId="7EBEC371" w14:textId="77777777" w:rsidR="00E86446" w:rsidRDefault="00345E63">
      <w:pPr>
        <w:rPr>
          <w:rFonts w:eastAsia="Calibri"/>
          <w:sz w:val="22"/>
          <w:szCs w:val="22"/>
          <w:highlight w:val="lightGray"/>
          <w:lang w:eastAsia="en-US"/>
        </w:rPr>
      </w:pPr>
      <w:r>
        <w:rPr>
          <w:rFonts w:eastAsia="Calibri"/>
          <w:sz w:val="22"/>
          <w:szCs w:val="22"/>
          <w:highlight w:val="lightGray"/>
          <w:lang w:eastAsia="en-US"/>
        </w:rPr>
        <w:t xml:space="preserve">30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775CB22B" w14:textId="77777777" w:rsidR="00E86446" w:rsidRDefault="00345E63">
      <w:pPr>
        <w:rPr>
          <w:rFonts w:eastAsia="Calibri"/>
          <w:sz w:val="22"/>
          <w:szCs w:val="22"/>
          <w:highlight w:val="lightGray"/>
          <w:lang w:eastAsia="en-US"/>
        </w:rPr>
      </w:pPr>
      <w:r>
        <w:rPr>
          <w:rFonts w:eastAsia="Calibri"/>
          <w:sz w:val="22"/>
          <w:szCs w:val="22"/>
          <w:highlight w:val="lightGray"/>
          <w:lang w:eastAsia="en-US"/>
        </w:rPr>
        <w:t xml:space="preserve">56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3A2C2005" w14:textId="77777777" w:rsidR="00E86446" w:rsidRDefault="00345E63">
      <w:pPr>
        <w:rPr>
          <w:rFonts w:eastAsia="Calibri"/>
          <w:sz w:val="22"/>
          <w:szCs w:val="22"/>
          <w:highlight w:val="lightGray"/>
          <w:lang w:eastAsia="en-US"/>
        </w:rPr>
      </w:pPr>
      <w:r>
        <w:rPr>
          <w:rFonts w:eastAsia="Calibri"/>
          <w:sz w:val="22"/>
          <w:szCs w:val="22"/>
          <w:highlight w:val="lightGray"/>
          <w:lang w:eastAsia="en-US"/>
        </w:rPr>
        <w:t xml:space="preserve">60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49D53828" w14:textId="77777777" w:rsidR="00E86446" w:rsidRDefault="00345E63">
      <w:pPr>
        <w:rPr>
          <w:rFonts w:eastAsia="Calibri"/>
          <w:sz w:val="22"/>
          <w:szCs w:val="22"/>
          <w:highlight w:val="lightGray"/>
          <w:lang w:eastAsia="en-US"/>
        </w:rPr>
      </w:pPr>
      <w:r>
        <w:rPr>
          <w:rFonts w:eastAsia="Calibri"/>
          <w:sz w:val="22"/>
          <w:szCs w:val="22"/>
          <w:highlight w:val="lightGray"/>
          <w:lang w:eastAsia="en-US"/>
        </w:rPr>
        <w:t xml:space="preserve">90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13D8364B" w14:textId="77777777" w:rsidR="00E86446" w:rsidRDefault="00345E63">
      <w:pPr>
        <w:rPr>
          <w:rFonts w:eastAsia="Calibri"/>
          <w:sz w:val="22"/>
          <w:szCs w:val="22"/>
          <w:highlight w:val="lightGray"/>
          <w:lang w:eastAsia="en-US"/>
        </w:rPr>
      </w:pPr>
      <w:r>
        <w:rPr>
          <w:rFonts w:eastAsia="Calibri"/>
          <w:sz w:val="22"/>
          <w:szCs w:val="22"/>
          <w:highlight w:val="lightGray"/>
          <w:lang w:eastAsia="en-US"/>
        </w:rPr>
        <w:t xml:space="preserve">196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68A793F7" w14:textId="77777777" w:rsidR="00E86446" w:rsidRDefault="00E86446">
      <w:pPr>
        <w:rPr>
          <w:rFonts w:eastAsia="Calibri"/>
          <w:sz w:val="22"/>
          <w:szCs w:val="22"/>
          <w:lang w:eastAsia="en-US"/>
        </w:rPr>
      </w:pPr>
    </w:p>
    <w:p w14:paraId="7FE457D3" w14:textId="77777777" w:rsidR="00E86446" w:rsidRDefault="00E86446">
      <w:pPr>
        <w:rPr>
          <w:rFonts w:eastAsia="Calibri"/>
          <w:sz w:val="22"/>
          <w:szCs w:val="22"/>
          <w:lang w:eastAsia="en-US"/>
        </w:rPr>
      </w:pPr>
    </w:p>
    <w:p w14:paraId="760A2579"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7E4C7B7B" w14:textId="77777777" w:rsidR="00E86446" w:rsidRDefault="00E86446">
      <w:pPr>
        <w:rPr>
          <w:rFonts w:eastAsia="Calibri"/>
          <w:sz w:val="16"/>
          <w:szCs w:val="16"/>
          <w:lang w:eastAsia="en-US"/>
        </w:rPr>
      </w:pPr>
    </w:p>
    <w:p w14:paraId="572A0682" w14:textId="77777777" w:rsidR="00E86446" w:rsidRDefault="00345E63">
      <w:pPr>
        <w:rPr>
          <w:rFonts w:eastAsia="Calibri"/>
          <w:sz w:val="22"/>
          <w:szCs w:val="22"/>
          <w:lang w:eastAsia="en-US"/>
        </w:rPr>
      </w:pPr>
      <w:r>
        <w:rPr>
          <w:rFonts w:eastAsia="Calibri"/>
          <w:noProof/>
          <w:sz w:val="22"/>
          <w:szCs w:val="22"/>
          <w:lang w:eastAsia="en-US"/>
        </w:rPr>
        <w:t>Prieš vartojimą perskaitykite pakuotės lapelį.</w:t>
      </w:r>
    </w:p>
    <w:p w14:paraId="02488791" w14:textId="77777777" w:rsidR="00E86446" w:rsidRDefault="00E86446">
      <w:pPr>
        <w:rPr>
          <w:rFonts w:eastAsia="Calibri"/>
          <w:i/>
          <w:iCs/>
          <w:sz w:val="22"/>
          <w:szCs w:val="22"/>
          <w:highlight w:val="darkGray"/>
          <w:lang w:eastAsia="en-US"/>
        </w:rPr>
      </w:pPr>
    </w:p>
    <w:p w14:paraId="33856D17" w14:textId="77777777" w:rsidR="00E86446" w:rsidRDefault="00345E63">
      <w:pPr>
        <w:rPr>
          <w:rFonts w:eastAsia="Calibri"/>
          <w:i/>
          <w:iCs/>
          <w:sz w:val="22"/>
          <w:szCs w:val="22"/>
          <w:lang w:eastAsia="en-US"/>
        </w:rPr>
      </w:pPr>
      <w:r>
        <w:rPr>
          <w:rFonts w:eastAsia="Calibri"/>
          <w:i/>
          <w:iCs/>
          <w:sz w:val="22"/>
          <w:szCs w:val="22"/>
          <w:highlight w:val="darkGray"/>
          <w:lang w:eastAsia="en-US"/>
        </w:rPr>
        <w:t>Vartoti per burną</w:t>
      </w:r>
      <w:r>
        <w:rPr>
          <w:rFonts w:eastAsia="Calibri"/>
          <w:i/>
          <w:iCs/>
          <w:sz w:val="22"/>
          <w:szCs w:val="22"/>
          <w:highlight w:val="lightGray"/>
          <w:lang w:eastAsia="en-US"/>
        </w:rPr>
        <w:t>.</w:t>
      </w:r>
    </w:p>
    <w:p w14:paraId="20B6D3AA" w14:textId="77777777" w:rsidR="00E86446" w:rsidRDefault="00E86446">
      <w:pPr>
        <w:rPr>
          <w:rFonts w:eastAsia="Calibri"/>
          <w:sz w:val="22"/>
          <w:szCs w:val="22"/>
          <w:lang w:eastAsia="en-US"/>
        </w:rPr>
      </w:pPr>
    </w:p>
    <w:p w14:paraId="20E2F61A" w14:textId="77777777" w:rsidR="00E86446" w:rsidRDefault="00E86446">
      <w:pPr>
        <w:rPr>
          <w:rFonts w:eastAsia="Calibri"/>
          <w:sz w:val="22"/>
          <w:szCs w:val="22"/>
          <w:lang w:eastAsia="en-US"/>
        </w:rPr>
      </w:pPr>
    </w:p>
    <w:p w14:paraId="3E081904"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57B47290" w14:textId="77777777" w:rsidR="00E86446" w:rsidRDefault="00E86446">
      <w:pPr>
        <w:rPr>
          <w:rFonts w:eastAsia="Calibri"/>
          <w:sz w:val="22"/>
          <w:szCs w:val="22"/>
          <w:lang w:eastAsia="en-US"/>
        </w:rPr>
      </w:pPr>
    </w:p>
    <w:p w14:paraId="409BDC6C" w14:textId="77777777" w:rsidR="00E86446" w:rsidRDefault="00345E63">
      <w:pPr>
        <w:rPr>
          <w:rFonts w:eastAsia="Calibri"/>
          <w:sz w:val="22"/>
          <w:szCs w:val="22"/>
          <w:lang w:eastAsia="en-US"/>
        </w:rPr>
      </w:pPr>
      <w:r>
        <w:rPr>
          <w:rFonts w:eastAsia="Calibri"/>
          <w:noProof/>
          <w:sz w:val="22"/>
          <w:szCs w:val="22"/>
          <w:lang w:eastAsia="en-US"/>
        </w:rPr>
        <w:t>Laikyti vaikams nepastebimoje ir nepasiekiamoje vietoje.</w:t>
      </w:r>
    </w:p>
    <w:p w14:paraId="3663FA78" w14:textId="77777777" w:rsidR="00E86446" w:rsidRDefault="00E86446">
      <w:pPr>
        <w:rPr>
          <w:rFonts w:eastAsia="Calibri"/>
          <w:sz w:val="22"/>
          <w:szCs w:val="22"/>
          <w:lang w:eastAsia="en-US"/>
        </w:rPr>
      </w:pPr>
    </w:p>
    <w:p w14:paraId="348CA244" w14:textId="77777777" w:rsidR="00E86446" w:rsidRDefault="00E86446">
      <w:pPr>
        <w:rPr>
          <w:rFonts w:eastAsia="Calibri"/>
          <w:sz w:val="22"/>
          <w:szCs w:val="22"/>
          <w:lang w:eastAsia="en-US"/>
        </w:rPr>
      </w:pPr>
    </w:p>
    <w:p w14:paraId="1239C7EC"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4DB76B92" w14:textId="77777777" w:rsidR="00E86446" w:rsidRDefault="00E86446">
      <w:pPr>
        <w:rPr>
          <w:rFonts w:eastAsia="Calibri"/>
          <w:sz w:val="22"/>
          <w:szCs w:val="22"/>
          <w:lang w:eastAsia="en-US"/>
        </w:rPr>
      </w:pPr>
    </w:p>
    <w:p w14:paraId="10A69AC8" w14:textId="77777777" w:rsidR="00E86446" w:rsidRDefault="00E86446">
      <w:pPr>
        <w:rPr>
          <w:rFonts w:eastAsia="Calibri"/>
          <w:sz w:val="22"/>
          <w:szCs w:val="22"/>
          <w:lang w:eastAsia="en-US"/>
        </w:rPr>
      </w:pPr>
    </w:p>
    <w:p w14:paraId="628C9CDB" w14:textId="77777777" w:rsidR="00E86446" w:rsidRDefault="00E86446">
      <w:pPr>
        <w:rPr>
          <w:rFonts w:eastAsia="Calibri"/>
          <w:sz w:val="22"/>
          <w:szCs w:val="22"/>
          <w:lang w:eastAsia="en-US"/>
        </w:rPr>
      </w:pPr>
    </w:p>
    <w:p w14:paraId="476A7239"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59ACC76D" w14:textId="77777777" w:rsidR="00E86446" w:rsidRDefault="00E86446">
      <w:pPr>
        <w:rPr>
          <w:rFonts w:eastAsia="Calibri"/>
          <w:sz w:val="22"/>
          <w:szCs w:val="22"/>
          <w:lang w:eastAsia="en-US"/>
        </w:rPr>
      </w:pPr>
    </w:p>
    <w:p w14:paraId="546B8ED1" w14:textId="77777777" w:rsidR="00E86446" w:rsidRDefault="00345E63">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3D52C92F" w14:textId="77777777" w:rsidR="00E86446" w:rsidRDefault="00E86446">
      <w:pPr>
        <w:rPr>
          <w:rFonts w:eastAsia="Calibri"/>
          <w:sz w:val="22"/>
          <w:szCs w:val="22"/>
          <w:lang w:eastAsia="en-US"/>
        </w:rPr>
      </w:pPr>
    </w:p>
    <w:p w14:paraId="2BFCE113" w14:textId="77777777" w:rsidR="00E86446" w:rsidRDefault="00E86446">
      <w:pPr>
        <w:rPr>
          <w:rFonts w:eastAsia="Calibri"/>
          <w:sz w:val="22"/>
          <w:szCs w:val="22"/>
          <w:lang w:eastAsia="en-US"/>
        </w:rPr>
      </w:pPr>
    </w:p>
    <w:p w14:paraId="1F5356F1"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5B3B2880" w14:textId="77777777" w:rsidR="00E86446" w:rsidRDefault="00E86446">
      <w:pPr>
        <w:rPr>
          <w:rFonts w:eastAsia="Calibri"/>
          <w:sz w:val="22"/>
          <w:szCs w:val="22"/>
          <w:lang w:eastAsia="en-US"/>
        </w:rPr>
      </w:pPr>
    </w:p>
    <w:p w14:paraId="078DA53F" w14:textId="6A2EE072" w:rsidR="00E86446" w:rsidRDefault="00345E63">
      <w:pPr>
        <w:rPr>
          <w:rFonts w:eastAsia="Calibri"/>
          <w:sz w:val="22"/>
          <w:szCs w:val="22"/>
          <w:lang w:eastAsia="en-US"/>
        </w:rPr>
      </w:pPr>
      <w:r>
        <w:rPr>
          <w:rFonts w:eastAsia="Calibri"/>
          <w:sz w:val="22"/>
          <w:szCs w:val="22"/>
          <w:lang w:eastAsia="en-US"/>
        </w:rPr>
        <w:t xml:space="preserve">Laikyti </w:t>
      </w:r>
      <w:r w:rsidR="003171F5">
        <w:rPr>
          <w:rFonts w:eastAsia="Calibri"/>
          <w:sz w:val="22"/>
          <w:szCs w:val="22"/>
          <w:lang w:eastAsia="en-US"/>
        </w:rPr>
        <w:t>gamintojo</w:t>
      </w:r>
      <w:r>
        <w:rPr>
          <w:rFonts w:eastAsia="Calibri"/>
          <w:sz w:val="22"/>
          <w:szCs w:val="22"/>
          <w:lang w:eastAsia="en-US"/>
        </w:rPr>
        <w:t xml:space="preserve"> pakuotėje, kad preparatas būtų apsaugotas nuo drėgmės.</w:t>
      </w:r>
    </w:p>
    <w:p w14:paraId="60092732" w14:textId="77777777" w:rsidR="00E86446" w:rsidRDefault="00E86446">
      <w:pPr>
        <w:rPr>
          <w:rFonts w:eastAsia="Calibri"/>
          <w:sz w:val="22"/>
          <w:szCs w:val="22"/>
          <w:lang w:eastAsia="en-US"/>
        </w:rPr>
      </w:pPr>
    </w:p>
    <w:p w14:paraId="5A3183AD" w14:textId="77777777" w:rsidR="00E86446" w:rsidRDefault="00E86446">
      <w:pPr>
        <w:rPr>
          <w:rFonts w:eastAsia="Calibri"/>
          <w:sz w:val="22"/>
          <w:szCs w:val="22"/>
          <w:lang w:eastAsia="en-US"/>
        </w:rPr>
      </w:pPr>
    </w:p>
    <w:p w14:paraId="38956DDF"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57A4DEAD" w14:textId="77777777" w:rsidR="00E86446" w:rsidRDefault="00E86446">
      <w:pPr>
        <w:rPr>
          <w:rFonts w:eastAsia="Calibri"/>
          <w:sz w:val="22"/>
          <w:szCs w:val="22"/>
          <w:lang w:eastAsia="en-US"/>
        </w:rPr>
      </w:pPr>
    </w:p>
    <w:p w14:paraId="6AFF6471" w14:textId="77777777" w:rsidR="00E86446" w:rsidRDefault="00E86446">
      <w:pPr>
        <w:rPr>
          <w:rFonts w:eastAsia="Calibri"/>
          <w:sz w:val="22"/>
          <w:szCs w:val="22"/>
          <w:lang w:eastAsia="en-US"/>
        </w:rPr>
      </w:pPr>
    </w:p>
    <w:p w14:paraId="62BD3BD5"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10AD5317" w14:textId="77777777" w:rsidR="00E86446" w:rsidRDefault="00E86446">
      <w:pPr>
        <w:rPr>
          <w:rFonts w:eastAsia="Calibri"/>
          <w:sz w:val="22"/>
          <w:szCs w:val="22"/>
          <w:lang w:eastAsia="en-US"/>
        </w:rPr>
      </w:pPr>
    </w:p>
    <w:p w14:paraId="645964BB" w14:textId="77777777" w:rsidR="00E86446" w:rsidRDefault="00345E63">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547A4FCB" w14:textId="77777777" w:rsidR="00E86446" w:rsidRDefault="00345E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7354143B" w14:textId="77777777" w:rsidR="00E86446" w:rsidRDefault="00345E63">
      <w:pPr>
        <w:widowControl w:val="0"/>
        <w:rPr>
          <w:b/>
          <w:sz w:val="22"/>
          <w:szCs w:val="22"/>
          <w:lang w:eastAsia="sl-SI"/>
        </w:rPr>
      </w:pPr>
      <w:r>
        <w:rPr>
          <w:sz w:val="22"/>
          <w:szCs w:val="22"/>
          <w:lang w:eastAsia="sl-SI"/>
        </w:rPr>
        <w:t>8501 Novo mesto</w:t>
      </w:r>
    </w:p>
    <w:p w14:paraId="7B991471" w14:textId="77777777" w:rsidR="00E86446" w:rsidRDefault="00345E63">
      <w:pPr>
        <w:widowControl w:val="0"/>
        <w:rPr>
          <w:b/>
          <w:sz w:val="22"/>
          <w:szCs w:val="22"/>
          <w:lang w:eastAsia="sl-SI"/>
        </w:rPr>
      </w:pPr>
      <w:r>
        <w:rPr>
          <w:sz w:val="22"/>
          <w:szCs w:val="22"/>
          <w:lang w:eastAsia="sl-SI"/>
        </w:rPr>
        <w:t>Slovėnija</w:t>
      </w:r>
    </w:p>
    <w:p w14:paraId="3AB21A61" w14:textId="77777777" w:rsidR="00E86446" w:rsidRDefault="00E86446">
      <w:pPr>
        <w:rPr>
          <w:rFonts w:eastAsia="Calibri"/>
          <w:sz w:val="22"/>
          <w:szCs w:val="22"/>
          <w:lang w:eastAsia="en-US"/>
        </w:rPr>
      </w:pPr>
    </w:p>
    <w:p w14:paraId="5DAAC14B" w14:textId="77777777" w:rsidR="00E86446" w:rsidRDefault="00E86446">
      <w:pPr>
        <w:rPr>
          <w:rFonts w:eastAsia="Calibri"/>
          <w:sz w:val="22"/>
          <w:szCs w:val="22"/>
          <w:lang w:eastAsia="en-US"/>
        </w:rPr>
      </w:pPr>
    </w:p>
    <w:p w14:paraId="7AC65414"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25946A72" w14:textId="77777777" w:rsidR="00E86446" w:rsidRDefault="00E86446">
      <w:pPr>
        <w:rPr>
          <w:rFonts w:eastAsia="Calibri"/>
          <w:sz w:val="22"/>
          <w:szCs w:val="22"/>
          <w:lang w:eastAsia="en-US"/>
        </w:rPr>
      </w:pPr>
    </w:p>
    <w:p w14:paraId="44A167CB" w14:textId="2B69AB99" w:rsidR="00EC24F3" w:rsidRPr="00EC24F3" w:rsidRDefault="00EC24F3" w:rsidP="00EC24F3">
      <w:pPr>
        <w:autoSpaceDE w:val="0"/>
        <w:autoSpaceDN w:val="0"/>
        <w:adjustRightInd w:val="0"/>
        <w:rPr>
          <w:rFonts w:eastAsia="Calibri"/>
          <w:iCs/>
          <w:sz w:val="22"/>
          <w:szCs w:val="22"/>
          <w:lang w:eastAsia="en-US"/>
        </w:rPr>
      </w:pPr>
      <w:r w:rsidRPr="00EC24F3">
        <w:rPr>
          <w:rFonts w:eastAsia="Calibri"/>
          <w:iCs/>
          <w:sz w:val="22"/>
          <w:szCs w:val="22"/>
          <w:highlight w:val="lightGray"/>
          <w:lang w:eastAsia="en-US"/>
        </w:rPr>
        <w:t>&lt;</w:t>
      </w:r>
      <w:r w:rsidRPr="00EC24F3">
        <w:rPr>
          <w:rFonts w:eastAsia="Calibri"/>
          <w:iCs/>
          <w:sz w:val="22"/>
          <w:szCs w:val="22"/>
          <w:highlight w:val="lightGray"/>
          <w:lang w:eastAsia="en-US"/>
        </w:rPr>
        <w:t>5 mg/ 850 mg</w:t>
      </w:r>
      <w:r w:rsidRPr="00EC24F3">
        <w:rPr>
          <w:rFonts w:eastAsia="Calibri"/>
          <w:iCs/>
          <w:sz w:val="22"/>
          <w:szCs w:val="22"/>
          <w:highlight w:val="lightGray"/>
          <w:lang w:eastAsia="en-US"/>
        </w:rPr>
        <w:t>&gt;</w:t>
      </w:r>
    </w:p>
    <w:p w14:paraId="7F17A8CA"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lang w:eastAsia="en-US"/>
        </w:rPr>
        <w:t xml:space="preserve">LT/1/25/5827/001 </w:t>
      </w:r>
      <w:r w:rsidRPr="00EC24F3">
        <w:rPr>
          <w:rFonts w:eastAsia="Calibri"/>
          <w:iCs/>
          <w:sz w:val="22"/>
          <w:szCs w:val="22"/>
          <w:highlight w:val="lightGray"/>
          <w:lang w:eastAsia="en-US"/>
        </w:rPr>
        <w:t>– N14</w:t>
      </w:r>
    </w:p>
    <w:p w14:paraId="49B3499D"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LT/1/25/5827/002 – N28</w:t>
      </w:r>
    </w:p>
    <w:p w14:paraId="7E1BEC2A"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LT/1/25/5827/003 – N30</w:t>
      </w:r>
    </w:p>
    <w:p w14:paraId="10400930"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LT/1/25/5827/004 – N56</w:t>
      </w:r>
    </w:p>
    <w:p w14:paraId="03AD28B8"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LT/1/25/5827/005 – N60</w:t>
      </w:r>
    </w:p>
    <w:p w14:paraId="24FFC9C0"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LT/1/25/5827/006 – N90</w:t>
      </w:r>
    </w:p>
    <w:p w14:paraId="58ECDD58"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LT/1/25/5827/007 – N196</w:t>
      </w:r>
    </w:p>
    <w:p w14:paraId="66899051" w14:textId="77777777" w:rsidR="00EC24F3" w:rsidRPr="00EC24F3" w:rsidRDefault="00EC24F3" w:rsidP="00EC24F3">
      <w:pPr>
        <w:autoSpaceDE w:val="0"/>
        <w:autoSpaceDN w:val="0"/>
        <w:adjustRightInd w:val="0"/>
        <w:rPr>
          <w:rFonts w:eastAsia="Calibri"/>
          <w:iCs/>
          <w:sz w:val="22"/>
          <w:szCs w:val="22"/>
          <w:highlight w:val="lightGray"/>
          <w:lang w:eastAsia="en-US"/>
        </w:rPr>
      </w:pPr>
    </w:p>
    <w:p w14:paraId="03EB995B" w14:textId="743016AA"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w:t>
      </w:r>
      <w:r w:rsidRPr="00EC24F3">
        <w:rPr>
          <w:rFonts w:eastAsia="Calibri"/>
          <w:iCs/>
          <w:sz w:val="22"/>
          <w:szCs w:val="22"/>
          <w:highlight w:val="lightGray"/>
          <w:lang w:eastAsia="en-US"/>
        </w:rPr>
        <w:t>5 mg/ 1000 mg</w:t>
      </w:r>
      <w:r w:rsidRPr="00EC24F3">
        <w:rPr>
          <w:rFonts w:eastAsia="Calibri"/>
          <w:iCs/>
          <w:sz w:val="22"/>
          <w:szCs w:val="22"/>
          <w:highlight w:val="lightGray"/>
          <w:lang w:eastAsia="en-US"/>
        </w:rPr>
        <w:t>&gt;</w:t>
      </w:r>
    </w:p>
    <w:p w14:paraId="0066D9EE"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LT/1/25/5828/001 – N14</w:t>
      </w:r>
    </w:p>
    <w:p w14:paraId="04C336D6"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LT/1/25/5828/002 – N28</w:t>
      </w:r>
    </w:p>
    <w:p w14:paraId="501B6C23"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LT/1/25/5828/003 – N30</w:t>
      </w:r>
    </w:p>
    <w:p w14:paraId="47104BFF"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LT/1/25/5828/004 – N56</w:t>
      </w:r>
    </w:p>
    <w:p w14:paraId="5740620F"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LT/1/25/5828/005 – N60</w:t>
      </w:r>
    </w:p>
    <w:p w14:paraId="5BFEACEB" w14:textId="77777777" w:rsidR="00EC24F3" w:rsidRPr="00EC24F3" w:rsidRDefault="00EC24F3" w:rsidP="00EC24F3">
      <w:pPr>
        <w:autoSpaceDE w:val="0"/>
        <w:autoSpaceDN w:val="0"/>
        <w:adjustRightInd w:val="0"/>
        <w:rPr>
          <w:rFonts w:eastAsia="Calibri"/>
          <w:iCs/>
          <w:sz w:val="22"/>
          <w:szCs w:val="22"/>
          <w:highlight w:val="lightGray"/>
          <w:lang w:eastAsia="en-US"/>
        </w:rPr>
      </w:pPr>
      <w:r w:rsidRPr="00EC24F3">
        <w:rPr>
          <w:rFonts w:eastAsia="Calibri"/>
          <w:iCs/>
          <w:sz w:val="22"/>
          <w:szCs w:val="22"/>
          <w:highlight w:val="lightGray"/>
          <w:lang w:eastAsia="en-US"/>
        </w:rPr>
        <w:t>LT/1/25/5828/006 – N90</w:t>
      </w:r>
    </w:p>
    <w:p w14:paraId="49C44F89" w14:textId="543C9A8C" w:rsidR="00E86446" w:rsidRDefault="00EC24F3" w:rsidP="00EC24F3">
      <w:pPr>
        <w:autoSpaceDE w:val="0"/>
        <w:autoSpaceDN w:val="0"/>
        <w:adjustRightInd w:val="0"/>
        <w:rPr>
          <w:rFonts w:eastAsia="Calibri"/>
          <w:iCs/>
          <w:sz w:val="22"/>
          <w:szCs w:val="22"/>
          <w:lang w:eastAsia="en-US"/>
        </w:rPr>
      </w:pPr>
      <w:r w:rsidRPr="00EC24F3">
        <w:rPr>
          <w:rFonts w:eastAsia="Calibri"/>
          <w:iCs/>
          <w:sz w:val="22"/>
          <w:szCs w:val="22"/>
          <w:highlight w:val="lightGray"/>
          <w:lang w:eastAsia="en-US"/>
        </w:rPr>
        <w:t>LT/1/25/5828/007 – N196</w:t>
      </w:r>
    </w:p>
    <w:p w14:paraId="43DFEACF" w14:textId="77777777" w:rsidR="00EC24F3" w:rsidRDefault="00EC24F3" w:rsidP="00EC24F3">
      <w:pPr>
        <w:autoSpaceDE w:val="0"/>
        <w:autoSpaceDN w:val="0"/>
        <w:adjustRightInd w:val="0"/>
        <w:rPr>
          <w:rFonts w:eastAsia="Calibri"/>
          <w:iCs/>
          <w:sz w:val="22"/>
          <w:szCs w:val="22"/>
          <w:lang w:eastAsia="en-US"/>
        </w:rPr>
      </w:pPr>
    </w:p>
    <w:p w14:paraId="0B2C167C" w14:textId="77777777" w:rsidR="00E86446" w:rsidRDefault="00E86446">
      <w:pPr>
        <w:rPr>
          <w:rFonts w:eastAsia="Calibri"/>
          <w:sz w:val="22"/>
          <w:szCs w:val="22"/>
          <w:lang w:eastAsia="en-US"/>
        </w:rPr>
      </w:pPr>
    </w:p>
    <w:p w14:paraId="3567531D"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57EC3EA0" w14:textId="77777777" w:rsidR="00E86446" w:rsidRDefault="00E86446">
      <w:pPr>
        <w:rPr>
          <w:rFonts w:eastAsia="Calibri"/>
          <w:sz w:val="22"/>
          <w:szCs w:val="22"/>
          <w:lang w:eastAsia="en-US"/>
        </w:rPr>
      </w:pPr>
    </w:p>
    <w:p w14:paraId="1D2B57B8" w14:textId="77777777" w:rsidR="00E86446" w:rsidRDefault="00345E63">
      <w:pPr>
        <w:rPr>
          <w:rFonts w:eastAsia="Calibri"/>
          <w:sz w:val="22"/>
          <w:szCs w:val="22"/>
          <w:lang w:eastAsia="en-US"/>
        </w:rPr>
      </w:pPr>
      <w:r>
        <w:rPr>
          <w:rFonts w:eastAsia="Calibri"/>
          <w:sz w:val="22"/>
          <w:szCs w:val="22"/>
          <w:lang w:eastAsia="en-US"/>
        </w:rPr>
        <w:t>Lot</w:t>
      </w:r>
    </w:p>
    <w:p w14:paraId="22D0EE49" w14:textId="77777777" w:rsidR="00E86446" w:rsidRDefault="00E86446">
      <w:pPr>
        <w:rPr>
          <w:rFonts w:eastAsia="Calibri"/>
          <w:sz w:val="22"/>
          <w:szCs w:val="22"/>
          <w:lang w:eastAsia="en-US"/>
        </w:rPr>
      </w:pPr>
    </w:p>
    <w:p w14:paraId="44522216" w14:textId="77777777" w:rsidR="00E86446" w:rsidRDefault="00E86446">
      <w:pPr>
        <w:rPr>
          <w:rFonts w:eastAsia="Calibri"/>
          <w:sz w:val="22"/>
          <w:szCs w:val="22"/>
          <w:lang w:eastAsia="en-US"/>
        </w:rPr>
      </w:pPr>
    </w:p>
    <w:p w14:paraId="1DF28F58"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7D71E547" w14:textId="77777777" w:rsidR="00E86446" w:rsidRDefault="00E86446">
      <w:pPr>
        <w:rPr>
          <w:rFonts w:eastAsia="Calibri"/>
          <w:sz w:val="22"/>
          <w:szCs w:val="22"/>
          <w:lang w:eastAsia="en-US"/>
        </w:rPr>
      </w:pPr>
    </w:p>
    <w:p w14:paraId="1575CB7B" w14:textId="77777777" w:rsidR="00E86446" w:rsidRDefault="00345E63">
      <w:pPr>
        <w:rPr>
          <w:rFonts w:eastAsia="Calibri"/>
          <w:sz w:val="22"/>
          <w:szCs w:val="22"/>
          <w:lang w:eastAsia="en-US"/>
        </w:rPr>
      </w:pPr>
      <w:r>
        <w:rPr>
          <w:rFonts w:eastAsia="Calibri"/>
          <w:sz w:val="22"/>
          <w:szCs w:val="22"/>
          <w:lang w:eastAsia="en-US"/>
        </w:rPr>
        <w:t>Receptinis vaistas</w:t>
      </w:r>
    </w:p>
    <w:p w14:paraId="630BFCBB" w14:textId="77777777" w:rsidR="00E86446" w:rsidRDefault="00E86446">
      <w:pPr>
        <w:rPr>
          <w:rFonts w:eastAsia="Calibri"/>
          <w:sz w:val="22"/>
          <w:szCs w:val="22"/>
          <w:lang w:eastAsia="en-US"/>
        </w:rPr>
      </w:pPr>
    </w:p>
    <w:p w14:paraId="5DEB83F9" w14:textId="77777777" w:rsidR="00E86446" w:rsidRDefault="00E86446">
      <w:pPr>
        <w:rPr>
          <w:rFonts w:eastAsia="Calibri"/>
          <w:sz w:val="22"/>
          <w:szCs w:val="22"/>
          <w:lang w:eastAsia="en-US"/>
        </w:rPr>
      </w:pPr>
    </w:p>
    <w:p w14:paraId="2F32D2D5"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4BCEF405" w14:textId="77777777" w:rsidR="00E86446" w:rsidRDefault="00E86446">
      <w:pPr>
        <w:rPr>
          <w:rFonts w:eastAsia="Calibri"/>
          <w:sz w:val="22"/>
          <w:szCs w:val="22"/>
          <w:lang w:eastAsia="en-US"/>
        </w:rPr>
      </w:pPr>
    </w:p>
    <w:p w14:paraId="5D7437F6" w14:textId="77777777" w:rsidR="00E86446" w:rsidRDefault="00E86446">
      <w:pPr>
        <w:rPr>
          <w:rFonts w:eastAsia="Calibri"/>
          <w:sz w:val="22"/>
          <w:szCs w:val="22"/>
          <w:lang w:eastAsia="en-US"/>
        </w:rPr>
      </w:pPr>
    </w:p>
    <w:p w14:paraId="4E93B188"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130E8E18" w14:textId="77777777" w:rsidR="00E86446" w:rsidRDefault="00E86446">
      <w:pPr>
        <w:rPr>
          <w:rFonts w:eastAsia="Calibri"/>
          <w:sz w:val="22"/>
          <w:szCs w:val="22"/>
          <w:lang w:eastAsia="en-US"/>
        </w:rPr>
      </w:pPr>
    </w:p>
    <w:p w14:paraId="306DE079"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mg/850 mg</w:t>
      </w:r>
    </w:p>
    <w:p w14:paraId="02494CD1" w14:textId="77777777" w:rsidR="00E86446" w:rsidRDefault="00345E63">
      <w:pPr>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mg/1 000 mg</w:t>
      </w:r>
    </w:p>
    <w:p w14:paraId="51148CA5" w14:textId="77777777" w:rsidR="00E86446" w:rsidRDefault="00E86446">
      <w:pPr>
        <w:rPr>
          <w:rFonts w:eastAsia="Calibri"/>
          <w:iCs/>
          <w:sz w:val="22"/>
          <w:szCs w:val="22"/>
          <w:lang w:eastAsia="en-US"/>
        </w:rPr>
      </w:pPr>
    </w:p>
    <w:p w14:paraId="1C6481EB" w14:textId="77777777" w:rsidR="00E86446" w:rsidRDefault="00E86446">
      <w:pPr>
        <w:rPr>
          <w:rFonts w:eastAsia="Calibri"/>
          <w:iCs/>
          <w:sz w:val="22"/>
          <w:szCs w:val="22"/>
          <w:lang w:eastAsia="en-US"/>
        </w:rPr>
      </w:pPr>
    </w:p>
    <w:p w14:paraId="56D8D508"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57718ABE" w14:textId="77777777" w:rsidR="00E86446" w:rsidRDefault="00E86446">
      <w:pPr>
        <w:rPr>
          <w:rFonts w:eastAsia="Calibri"/>
          <w:sz w:val="22"/>
          <w:szCs w:val="22"/>
          <w:lang w:eastAsia="en-US"/>
        </w:rPr>
      </w:pPr>
    </w:p>
    <w:p w14:paraId="39E47803" w14:textId="77777777" w:rsidR="00E86446" w:rsidRDefault="00345E63">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0CDCCE87" w14:textId="77777777" w:rsidR="00E86446" w:rsidRDefault="00E86446">
      <w:pPr>
        <w:rPr>
          <w:rFonts w:eastAsia="Calibri"/>
          <w:iCs/>
          <w:sz w:val="22"/>
          <w:szCs w:val="22"/>
          <w:lang w:eastAsia="en-US"/>
        </w:rPr>
      </w:pPr>
    </w:p>
    <w:p w14:paraId="0DEBD6CE" w14:textId="77777777" w:rsidR="00E86446" w:rsidRDefault="00E86446">
      <w:pPr>
        <w:rPr>
          <w:rFonts w:eastAsia="Calibri"/>
          <w:iCs/>
          <w:sz w:val="22"/>
          <w:szCs w:val="22"/>
          <w:lang w:eastAsia="en-US"/>
        </w:rPr>
      </w:pPr>
    </w:p>
    <w:p w14:paraId="2B9C546F"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275FF7A0" w14:textId="77777777" w:rsidR="00E86446" w:rsidRDefault="00E86446">
      <w:pPr>
        <w:rPr>
          <w:rFonts w:eastAsia="Calibri"/>
          <w:sz w:val="22"/>
          <w:szCs w:val="22"/>
          <w:lang w:eastAsia="en-US"/>
        </w:rPr>
      </w:pPr>
    </w:p>
    <w:p w14:paraId="27AB6BAD" w14:textId="77777777" w:rsidR="00E86446" w:rsidRDefault="00345E63">
      <w:pPr>
        <w:rPr>
          <w:rFonts w:eastAsia="Calibri"/>
          <w:sz w:val="22"/>
          <w:szCs w:val="22"/>
          <w:lang w:eastAsia="en-US"/>
        </w:rPr>
      </w:pPr>
      <w:r>
        <w:rPr>
          <w:rFonts w:eastAsia="Calibri"/>
          <w:sz w:val="22"/>
          <w:szCs w:val="22"/>
          <w:lang w:eastAsia="en-US"/>
        </w:rPr>
        <w:t>PC</w:t>
      </w:r>
    </w:p>
    <w:p w14:paraId="764E8850" w14:textId="77777777" w:rsidR="00E86446" w:rsidRDefault="00345E63">
      <w:pPr>
        <w:rPr>
          <w:rFonts w:eastAsia="Calibri"/>
          <w:sz w:val="22"/>
          <w:szCs w:val="22"/>
          <w:lang w:eastAsia="en-US"/>
        </w:rPr>
      </w:pPr>
      <w:r>
        <w:rPr>
          <w:rFonts w:eastAsia="Calibri"/>
          <w:sz w:val="22"/>
          <w:szCs w:val="22"/>
          <w:lang w:eastAsia="en-US"/>
        </w:rPr>
        <w:t>SN</w:t>
      </w:r>
    </w:p>
    <w:p w14:paraId="3DD0554E" w14:textId="77777777" w:rsidR="00E86446" w:rsidRDefault="00345E63">
      <w:pPr>
        <w:rPr>
          <w:rFonts w:eastAsia="Calibri"/>
          <w:sz w:val="22"/>
          <w:szCs w:val="22"/>
          <w:lang w:eastAsia="en-US"/>
        </w:rPr>
      </w:pPr>
      <w:r>
        <w:rPr>
          <w:rFonts w:eastAsia="Calibri"/>
          <w:sz w:val="22"/>
          <w:szCs w:val="22"/>
          <w:highlight w:val="lightGray"/>
          <w:lang w:eastAsia="en-US"/>
        </w:rPr>
        <w:t>NN</w:t>
      </w:r>
    </w:p>
    <w:p w14:paraId="7C656F11" w14:textId="77777777" w:rsidR="00E86446" w:rsidRDefault="00E86446">
      <w:pPr>
        <w:rPr>
          <w:rFonts w:eastAsia="Calibri"/>
          <w:sz w:val="22"/>
          <w:szCs w:val="22"/>
          <w:lang w:eastAsia="en-US"/>
        </w:rPr>
      </w:pPr>
    </w:p>
    <w:p w14:paraId="5A62E84B" w14:textId="77777777" w:rsidR="00E86446" w:rsidRDefault="00345E63">
      <w:pPr>
        <w:rPr>
          <w:rFonts w:eastAsia="Calibri"/>
          <w:sz w:val="22"/>
          <w:szCs w:val="22"/>
          <w:lang w:eastAsia="en-US"/>
        </w:rPr>
      </w:pPr>
      <w:r>
        <w:rPr>
          <w:rFonts w:eastAsia="Calibri"/>
          <w:sz w:val="22"/>
          <w:szCs w:val="22"/>
          <w:lang w:eastAsia="en-US"/>
        </w:rPr>
        <w:br w:type="page"/>
      </w:r>
    </w:p>
    <w:p w14:paraId="1F766EAC" w14:textId="77777777" w:rsidR="00E86446" w:rsidRDefault="00345E63">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1D8085C4" w14:textId="77777777" w:rsidR="00E86446" w:rsidRDefault="00E86446">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66987C67" w14:textId="77777777" w:rsidR="00E86446" w:rsidRDefault="00345E63">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02E97136" w14:textId="77777777" w:rsidR="00E86446" w:rsidRDefault="00E86446">
      <w:pPr>
        <w:rPr>
          <w:rFonts w:eastAsia="Calibri"/>
          <w:sz w:val="22"/>
          <w:szCs w:val="22"/>
          <w:lang w:eastAsia="en-US"/>
        </w:rPr>
      </w:pPr>
    </w:p>
    <w:p w14:paraId="50A8C669" w14:textId="77777777" w:rsidR="00E86446" w:rsidRDefault="00E86446">
      <w:pPr>
        <w:tabs>
          <w:tab w:val="left" w:pos="567"/>
        </w:tabs>
        <w:rPr>
          <w:snapToGrid w:val="0"/>
          <w:sz w:val="22"/>
          <w:szCs w:val="22"/>
          <w:lang w:eastAsia="en-US"/>
        </w:rPr>
      </w:pPr>
    </w:p>
    <w:p w14:paraId="75D080E9" w14:textId="77777777" w:rsidR="00E86446" w:rsidRDefault="00345E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AEE6886" w14:textId="77777777" w:rsidR="00E86446" w:rsidRDefault="00E86446">
      <w:pPr>
        <w:rPr>
          <w:rFonts w:eastAsia="Calibri"/>
          <w:sz w:val="22"/>
          <w:szCs w:val="22"/>
          <w:lang w:eastAsia="en-US"/>
        </w:rPr>
      </w:pPr>
    </w:p>
    <w:p w14:paraId="072CBC84" w14:textId="77777777"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5 mg/850 mg </w:t>
      </w:r>
      <w:r>
        <w:rPr>
          <w:rFonts w:eastAsiaTheme="minorHAnsi"/>
          <w:i/>
          <w:iCs/>
          <w:color w:val="000000"/>
          <w:sz w:val="22"/>
          <w:szCs w:val="22"/>
          <w:highlight w:val="darkGray"/>
          <w:lang w:eastAsia="en-US"/>
        </w:rPr>
        <w:t>plėvele dengtos</w:t>
      </w:r>
      <w:r>
        <w:rPr>
          <w:rFonts w:eastAsiaTheme="minorHAnsi"/>
          <w:color w:val="000000"/>
          <w:sz w:val="22"/>
          <w:szCs w:val="22"/>
          <w:lang w:eastAsia="en-US"/>
        </w:rPr>
        <w:t xml:space="preserve"> tabletės</w:t>
      </w:r>
    </w:p>
    <w:p w14:paraId="5A48D3A4" w14:textId="77777777" w:rsidR="00E86446" w:rsidRDefault="00345E63">
      <w:pPr>
        <w:rPr>
          <w:rFonts w:eastAsiaTheme="minorHAnsi"/>
          <w:color w:val="000000"/>
          <w:sz w:val="22"/>
          <w:szCs w:val="22"/>
          <w:lang w:eastAsia="en-US"/>
        </w:rPr>
      </w:pPr>
      <w:proofErr w:type="spellStart"/>
      <w:r>
        <w:rPr>
          <w:rFonts w:eastAsiaTheme="minorHAnsi"/>
          <w:color w:val="000000"/>
          <w:sz w:val="22"/>
          <w:szCs w:val="22"/>
          <w:highlight w:val="lightGray"/>
          <w:lang w:eastAsia="en-US"/>
        </w:rPr>
        <w:t>Mexdagry</w:t>
      </w:r>
      <w:proofErr w:type="spellEnd"/>
      <w:r>
        <w:rPr>
          <w:rFonts w:eastAsiaTheme="minorHAnsi"/>
          <w:color w:val="000000"/>
          <w:sz w:val="22"/>
          <w:szCs w:val="22"/>
          <w:highlight w:val="lightGray"/>
          <w:lang w:eastAsia="en-US"/>
        </w:rPr>
        <w:t xml:space="preserve"> 5 mg/1 000 mg </w:t>
      </w:r>
      <w:r>
        <w:rPr>
          <w:rFonts w:eastAsiaTheme="minorHAnsi"/>
          <w:i/>
          <w:iCs/>
          <w:color w:val="000000"/>
          <w:sz w:val="22"/>
          <w:szCs w:val="22"/>
          <w:highlight w:val="darkGray"/>
          <w:lang w:eastAsia="en-US"/>
        </w:rPr>
        <w:t>plėvele dengtos</w:t>
      </w:r>
      <w:r>
        <w:rPr>
          <w:rFonts w:eastAsiaTheme="minorHAnsi"/>
          <w:color w:val="000000"/>
          <w:sz w:val="22"/>
          <w:szCs w:val="22"/>
          <w:highlight w:val="darkGray"/>
          <w:lang w:eastAsia="en-US"/>
        </w:rPr>
        <w:t xml:space="preserve"> </w:t>
      </w:r>
      <w:r>
        <w:rPr>
          <w:rFonts w:eastAsiaTheme="minorHAnsi"/>
          <w:color w:val="000000"/>
          <w:sz w:val="22"/>
          <w:szCs w:val="22"/>
          <w:highlight w:val="lightGray"/>
          <w:lang w:eastAsia="en-US"/>
        </w:rPr>
        <w:t>tabletės</w:t>
      </w:r>
    </w:p>
    <w:p w14:paraId="36EC238E" w14:textId="77777777" w:rsidR="00E86446" w:rsidRDefault="00E86446">
      <w:pPr>
        <w:rPr>
          <w:rFonts w:eastAsia="Calibri"/>
          <w:sz w:val="22"/>
          <w:szCs w:val="22"/>
          <w:lang w:eastAsia="en-US"/>
        </w:rPr>
      </w:pPr>
    </w:p>
    <w:p w14:paraId="1C1CC46C" w14:textId="77777777" w:rsidR="00E86446" w:rsidRDefault="00345E63">
      <w:pPr>
        <w:tabs>
          <w:tab w:val="left" w:pos="426"/>
        </w:tabs>
        <w:rPr>
          <w:rFonts w:eastAsia="Arial Unicode MS"/>
          <w:bCs/>
          <w:noProof/>
          <w:color w:val="000000"/>
          <w:sz w:val="22"/>
          <w:szCs w:val="22"/>
          <w:lang w:eastAsia="en-US"/>
        </w:rPr>
      </w:pPr>
      <w:r>
        <w:rPr>
          <w:rFonts w:eastAsia="Arial Unicode MS"/>
          <w:bCs/>
          <w:noProof/>
          <w:color w:val="000000"/>
          <w:sz w:val="22"/>
          <w:szCs w:val="22"/>
          <w:lang w:eastAsia="en-US"/>
        </w:rPr>
        <w:t>dapagliflozinas/</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hidrochloridas</w:t>
      </w:r>
    </w:p>
    <w:p w14:paraId="16A821CD" w14:textId="77777777" w:rsidR="00E86446" w:rsidRDefault="00E86446">
      <w:pPr>
        <w:rPr>
          <w:rFonts w:eastAsia="Calibri"/>
          <w:sz w:val="22"/>
          <w:szCs w:val="22"/>
          <w:lang w:eastAsia="en-US"/>
        </w:rPr>
      </w:pPr>
    </w:p>
    <w:p w14:paraId="4B2582A6" w14:textId="77777777" w:rsidR="00E86446" w:rsidRDefault="00E86446">
      <w:pPr>
        <w:rPr>
          <w:rFonts w:eastAsia="Calibri"/>
          <w:sz w:val="22"/>
          <w:szCs w:val="22"/>
          <w:lang w:eastAsia="en-US"/>
        </w:rPr>
      </w:pPr>
    </w:p>
    <w:p w14:paraId="7911F796" w14:textId="77777777" w:rsidR="00E86446" w:rsidRDefault="00345E63">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41543B2A" w14:textId="77777777" w:rsidR="00E86446" w:rsidRDefault="00E86446">
      <w:pPr>
        <w:rPr>
          <w:rFonts w:eastAsia="Calibri"/>
          <w:sz w:val="22"/>
          <w:szCs w:val="22"/>
          <w:lang w:eastAsia="en-US"/>
        </w:rPr>
      </w:pPr>
    </w:p>
    <w:p w14:paraId="576E95E5" w14:textId="77777777" w:rsidR="00E86446" w:rsidRDefault="00345E63">
      <w:pPr>
        <w:widowControl w:val="0"/>
        <w:rPr>
          <w:bCs/>
          <w:sz w:val="22"/>
          <w:szCs w:val="22"/>
          <w:lang w:eastAsia="sl-SI"/>
        </w:rPr>
      </w:pPr>
      <w:r>
        <w:rPr>
          <w:bCs/>
          <w:sz w:val="22"/>
          <w:szCs w:val="22"/>
          <w:lang w:eastAsia="sl-SI"/>
        </w:rPr>
        <w:t>KRKA</w:t>
      </w:r>
    </w:p>
    <w:p w14:paraId="487951A6" w14:textId="77777777" w:rsidR="00E86446" w:rsidRDefault="00E86446">
      <w:pPr>
        <w:rPr>
          <w:rFonts w:eastAsia="Calibri"/>
          <w:sz w:val="22"/>
          <w:szCs w:val="22"/>
          <w:lang w:eastAsia="en-US"/>
        </w:rPr>
      </w:pPr>
    </w:p>
    <w:p w14:paraId="713E36E0" w14:textId="77777777" w:rsidR="00E86446" w:rsidRDefault="00E86446">
      <w:pPr>
        <w:rPr>
          <w:rFonts w:eastAsia="Calibri"/>
          <w:sz w:val="22"/>
          <w:szCs w:val="22"/>
          <w:lang w:eastAsia="en-US"/>
        </w:rPr>
      </w:pPr>
    </w:p>
    <w:p w14:paraId="7ACC2CF4" w14:textId="77777777" w:rsidR="00E86446" w:rsidRDefault="00345E63">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05E576F8" w14:textId="77777777" w:rsidR="00E86446" w:rsidRDefault="00E86446">
      <w:pPr>
        <w:rPr>
          <w:rFonts w:eastAsia="Calibri"/>
          <w:sz w:val="22"/>
          <w:szCs w:val="22"/>
          <w:lang w:eastAsia="en-US"/>
        </w:rPr>
      </w:pPr>
    </w:p>
    <w:p w14:paraId="4F11B1FA" w14:textId="77777777" w:rsidR="00E86446" w:rsidRDefault="00345E63">
      <w:pPr>
        <w:widowControl w:val="0"/>
        <w:rPr>
          <w:bCs/>
          <w:sz w:val="22"/>
          <w:szCs w:val="22"/>
          <w:lang w:eastAsia="sl-SI"/>
        </w:rPr>
      </w:pPr>
      <w:r>
        <w:rPr>
          <w:bCs/>
          <w:sz w:val="22"/>
          <w:szCs w:val="22"/>
          <w:lang w:eastAsia="sl-SI"/>
        </w:rPr>
        <w:t>EXP (mm/MMMM)</w:t>
      </w:r>
    </w:p>
    <w:p w14:paraId="74E5B243" w14:textId="77777777" w:rsidR="00E86446" w:rsidRDefault="00E86446">
      <w:pPr>
        <w:rPr>
          <w:rFonts w:eastAsia="Calibri"/>
          <w:sz w:val="22"/>
          <w:szCs w:val="22"/>
          <w:lang w:eastAsia="en-US"/>
        </w:rPr>
      </w:pPr>
    </w:p>
    <w:p w14:paraId="2AF4AA81" w14:textId="77777777" w:rsidR="00E86446" w:rsidRDefault="00E86446">
      <w:pPr>
        <w:rPr>
          <w:rFonts w:eastAsia="Calibri"/>
          <w:sz w:val="22"/>
          <w:szCs w:val="22"/>
          <w:lang w:eastAsia="en-US"/>
        </w:rPr>
      </w:pPr>
    </w:p>
    <w:p w14:paraId="073DDB94" w14:textId="77777777" w:rsidR="00E86446" w:rsidRDefault="00345E63">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6B1D5F88" w14:textId="77777777" w:rsidR="00E86446" w:rsidRDefault="00E86446">
      <w:pPr>
        <w:rPr>
          <w:rFonts w:eastAsia="Calibri"/>
          <w:sz w:val="22"/>
          <w:szCs w:val="22"/>
          <w:lang w:eastAsia="en-US"/>
        </w:rPr>
      </w:pPr>
    </w:p>
    <w:p w14:paraId="60E6C909" w14:textId="77777777" w:rsidR="00E86446" w:rsidRDefault="00345E63">
      <w:pPr>
        <w:rPr>
          <w:rFonts w:eastAsia="Calibri"/>
          <w:sz w:val="22"/>
          <w:szCs w:val="22"/>
          <w:highlight w:val="lightGray"/>
          <w:lang w:eastAsia="en-US"/>
        </w:rPr>
      </w:pPr>
      <w:r>
        <w:rPr>
          <w:rFonts w:eastAsia="Calibri"/>
          <w:sz w:val="22"/>
          <w:szCs w:val="22"/>
          <w:lang w:eastAsia="en-US"/>
        </w:rPr>
        <w:t>Lot</w:t>
      </w:r>
    </w:p>
    <w:p w14:paraId="10BB3604" w14:textId="77777777" w:rsidR="00E86446" w:rsidRDefault="00E86446">
      <w:pPr>
        <w:rPr>
          <w:rFonts w:eastAsia="Calibri"/>
          <w:sz w:val="22"/>
          <w:szCs w:val="22"/>
          <w:lang w:eastAsia="en-US"/>
        </w:rPr>
      </w:pPr>
    </w:p>
    <w:p w14:paraId="7913DF76" w14:textId="77777777" w:rsidR="00E86446" w:rsidRDefault="00E86446">
      <w:pPr>
        <w:widowControl w:val="0"/>
        <w:rPr>
          <w:b/>
          <w:bCs/>
          <w:sz w:val="22"/>
          <w:szCs w:val="22"/>
          <w:lang w:eastAsia="sl-SI"/>
        </w:rPr>
      </w:pPr>
    </w:p>
    <w:p w14:paraId="0A70B1EC" w14:textId="77777777" w:rsidR="00E86446" w:rsidRDefault="00345E63">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20666E8C" w14:textId="77777777" w:rsidR="00E86446" w:rsidRDefault="00E86446">
      <w:pPr>
        <w:tabs>
          <w:tab w:val="left" w:pos="567"/>
        </w:tabs>
        <w:snapToGrid w:val="0"/>
        <w:spacing w:line="260" w:lineRule="exact"/>
        <w:rPr>
          <w:sz w:val="22"/>
          <w:szCs w:val="22"/>
          <w:highlight w:val="lightGray"/>
          <w:lang w:eastAsia="en-US"/>
        </w:rPr>
      </w:pPr>
    </w:p>
    <w:p w14:paraId="14ABB319" w14:textId="77777777" w:rsidR="00E86446" w:rsidRPr="003171F5" w:rsidRDefault="00345E63">
      <w:pPr>
        <w:widowControl w:val="0"/>
        <w:rPr>
          <w:i/>
          <w:sz w:val="22"/>
          <w:szCs w:val="20"/>
          <w:lang w:eastAsia="sl-SI"/>
        </w:rPr>
      </w:pPr>
      <w:r>
        <w:rPr>
          <w:noProof/>
          <w:szCs w:val="20"/>
          <w:lang w:val="en-US" w:eastAsia="en-US"/>
        </w:rPr>
        <w:drawing>
          <wp:inline distT="0" distB="0" distL="0" distR="0" wp14:anchorId="04D0B5D6" wp14:editId="55DC7821">
            <wp:extent cx="523875" cy="571500"/>
            <wp:effectExtent l="0" t="0" r="9525"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r w:rsidRPr="003171F5">
        <w:rPr>
          <w:i/>
          <w:sz w:val="22"/>
          <w:szCs w:val="20"/>
          <w:highlight w:val="lightGray"/>
          <w:lang w:eastAsia="sl-SI"/>
        </w:rPr>
        <w:t xml:space="preserve"> saulė</w:t>
      </w:r>
    </w:p>
    <w:p w14:paraId="1A028F71" w14:textId="77777777" w:rsidR="00E86446" w:rsidRDefault="00345E63">
      <w:pPr>
        <w:widowControl w:val="0"/>
        <w:rPr>
          <w:b/>
          <w:bCs/>
          <w:sz w:val="22"/>
          <w:szCs w:val="22"/>
          <w:lang w:eastAsia="sl-SI"/>
        </w:rPr>
      </w:pPr>
      <w:r>
        <w:rPr>
          <w:noProof/>
          <w:szCs w:val="20"/>
          <w:lang w:val="en-US" w:eastAsia="en-US"/>
        </w:rPr>
        <w:drawing>
          <wp:inline distT="0" distB="0" distL="0" distR="0" wp14:anchorId="05F97C55" wp14:editId="4F238366">
            <wp:extent cx="571500" cy="447675"/>
            <wp:effectExtent l="0" t="0" r="0" b="9525"/>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1500" cy="447675"/>
                    </a:xfrm>
                    <a:prstGeom prst="rect">
                      <a:avLst/>
                    </a:prstGeom>
                    <a:noFill/>
                    <a:ln>
                      <a:noFill/>
                    </a:ln>
                  </pic:spPr>
                </pic:pic>
              </a:graphicData>
            </a:graphic>
          </wp:inline>
        </w:drawing>
      </w:r>
      <w:r w:rsidRPr="003171F5">
        <w:rPr>
          <w:i/>
          <w:sz w:val="22"/>
          <w:szCs w:val="20"/>
          <w:highlight w:val="lightGray"/>
          <w:lang w:eastAsia="sl-SI"/>
        </w:rPr>
        <w:t xml:space="preserve"> mėnulis</w:t>
      </w:r>
    </w:p>
    <w:p w14:paraId="6F458EDB" w14:textId="77777777" w:rsidR="00E86446" w:rsidRDefault="00345E63">
      <w:pPr>
        <w:widowControl w:val="0"/>
        <w:rPr>
          <w:b/>
          <w:sz w:val="22"/>
          <w:szCs w:val="22"/>
          <w:lang w:eastAsia="sl-SI"/>
        </w:rPr>
      </w:pPr>
      <w:r>
        <w:rPr>
          <w:b/>
          <w:sz w:val="22"/>
          <w:szCs w:val="22"/>
          <w:lang w:eastAsia="sl-SI"/>
        </w:rPr>
        <w:br w:type="page"/>
      </w:r>
    </w:p>
    <w:p w14:paraId="5A865939" w14:textId="77777777" w:rsidR="00E86446" w:rsidRDefault="00E86446">
      <w:pPr>
        <w:spacing w:line="259" w:lineRule="auto"/>
        <w:outlineLvl w:val="0"/>
        <w:rPr>
          <w:rFonts w:eastAsia="Calibri"/>
          <w:sz w:val="22"/>
          <w:szCs w:val="22"/>
          <w:lang w:eastAsia="en-US"/>
        </w:rPr>
      </w:pPr>
    </w:p>
    <w:p w14:paraId="6F19CEAC" w14:textId="77777777" w:rsidR="00E86446" w:rsidRDefault="00E86446">
      <w:pPr>
        <w:spacing w:line="259" w:lineRule="auto"/>
        <w:outlineLvl w:val="0"/>
        <w:rPr>
          <w:rFonts w:eastAsia="Calibri"/>
          <w:sz w:val="22"/>
          <w:szCs w:val="22"/>
          <w:lang w:eastAsia="en-US"/>
        </w:rPr>
      </w:pPr>
    </w:p>
    <w:p w14:paraId="4C1A9D10" w14:textId="77777777" w:rsidR="00E86446" w:rsidRDefault="00E86446">
      <w:pPr>
        <w:spacing w:line="259" w:lineRule="auto"/>
        <w:outlineLvl w:val="0"/>
        <w:rPr>
          <w:rFonts w:eastAsia="Calibri"/>
          <w:sz w:val="22"/>
          <w:szCs w:val="22"/>
          <w:lang w:eastAsia="en-US"/>
        </w:rPr>
      </w:pPr>
    </w:p>
    <w:p w14:paraId="34083CF7" w14:textId="77777777" w:rsidR="00E86446" w:rsidRDefault="00E86446">
      <w:pPr>
        <w:spacing w:line="259" w:lineRule="auto"/>
        <w:outlineLvl w:val="0"/>
        <w:rPr>
          <w:rFonts w:eastAsia="Calibri"/>
          <w:sz w:val="22"/>
          <w:szCs w:val="22"/>
          <w:lang w:eastAsia="en-US"/>
        </w:rPr>
      </w:pPr>
    </w:p>
    <w:p w14:paraId="3B179484" w14:textId="77777777" w:rsidR="00E86446" w:rsidRDefault="00E86446">
      <w:pPr>
        <w:spacing w:line="259" w:lineRule="auto"/>
        <w:outlineLvl w:val="0"/>
        <w:rPr>
          <w:rFonts w:eastAsia="Calibri"/>
          <w:sz w:val="22"/>
          <w:szCs w:val="22"/>
          <w:lang w:eastAsia="en-US"/>
        </w:rPr>
      </w:pPr>
    </w:p>
    <w:p w14:paraId="12A95C0E" w14:textId="77777777" w:rsidR="00E86446" w:rsidRDefault="00E86446">
      <w:pPr>
        <w:spacing w:line="259" w:lineRule="auto"/>
        <w:outlineLvl w:val="0"/>
        <w:rPr>
          <w:rFonts w:eastAsia="Calibri"/>
          <w:sz w:val="22"/>
          <w:szCs w:val="22"/>
          <w:lang w:eastAsia="en-US"/>
        </w:rPr>
      </w:pPr>
    </w:p>
    <w:p w14:paraId="063D3F3C" w14:textId="77777777" w:rsidR="00E86446" w:rsidRDefault="00E86446">
      <w:pPr>
        <w:spacing w:line="259" w:lineRule="auto"/>
        <w:outlineLvl w:val="0"/>
        <w:rPr>
          <w:rFonts w:eastAsia="Calibri"/>
          <w:sz w:val="22"/>
          <w:szCs w:val="22"/>
          <w:lang w:eastAsia="en-US"/>
        </w:rPr>
      </w:pPr>
    </w:p>
    <w:p w14:paraId="76AF9279" w14:textId="77777777" w:rsidR="00E86446" w:rsidRDefault="00E86446">
      <w:pPr>
        <w:spacing w:line="259" w:lineRule="auto"/>
        <w:outlineLvl w:val="0"/>
        <w:rPr>
          <w:rFonts w:eastAsia="Calibri"/>
          <w:sz w:val="22"/>
          <w:szCs w:val="22"/>
          <w:lang w:eastAsia="en-US"/>
        </w:rPr>
      </w:pPr>
    </w:p>
    <w:p w14:paraId="48931635" w14:textId="77777777" w:rsidR="00E86446" w:rsidRDefault="00E86446">
      <w:pPr>
        <w:spacing w:line="259" w:lineRule="auto"/>
        <w:outlineLvl w:val="0"/>
        <w:rPr>
          <w:rFonts w:eastAsia="Calibri"/>
          <w:sz w:val="22"/>
          <w:szCs w:val="22"/>
          <w:lang w:eastAsia="en-US"/>
        </w:rPr>
      </w:pPr>
    </w:p>
    <w:p w14:paraId="4DC7B89C" w14:textId="77777777" w:rsidR="00E86446" w:rsidRDefault="00E86446">
      <w:pPr>
        <w:spacing w:line="259" w:lineRule="auto"/>
        <w:outlineLvl w:val="0"/>
        <w:rPr>
          <w:rFonts w:eastAsia="Calibri"/>
          <w:sz w:val="22"/>
          <w:szCs w:val="22"/>
          <w:lang w:eastAsia="en-US"/>
        </w:rPr>
      </w:pPr>
    </w:p>
    <w:p w14:paraId="02020BD9" w14:textId="77777777" w:rsidR="00E86446" w:rsidRDefault="00E86446">
      <w:pPr>
        <w:spacing w:line="259" w:lineRule="auto"/>
        <w:outlineLvl w:val="0"/>
        <w:rPr>
          <w:rFonts w:eastAsia="Calibri"/>
          <w:sz w:val="22"/>
          <w:szCs w:val="22"/>
          <w:lang w:eastAsia="en-US"/>
        </w:rPr>
      </w:pPr>
    </w:p>
    <w:p w14:paraId="238D28C6" w14:textId="77777777" w:rsidR="00E86446" w:rsidRDefault="00E86446">
      <w:pPr>
        <w:spacing w:line="259" w:lineRule="auto"/>
        <w:outlineLvl w:val="0"/>
        <w:rPr>
          <w:rFonts w:eastAsia="Calibri"/>
          <w:sz w:val="22"/>
          <w:szCs w:val="22"/>
          <w:lang w:eastAsia="en-US"/>
        </w:rPr>
      </w:pPr>
    </w:p>
    <w:p w14:paraId="7961FC76" w14:textId="77777777" w:rsidR="00E86446" w:rsidRDefault="00E86446">
      <w:pPr>
        <w:spacing w:line="259" w:lineRule="auto"/>
        <w:outlineLvl w:val="0"/>
        <w:rPr>
          <w:rFonts w:eastAsia="Calibri"/>
          <w:sz w:val="22"/>
          <w:szCs w:val="22"/>
          <w:lang w:eastAsia="en-US"/>
        </w:rPr>
      </w:pPr>
    </w:p>
    <w:p w14:paraId="3F1F251E" w14:textId="77777777" w:rsidR="00E86446" w:rsidRDefault="00E86446">
      <w:pPr>
        <w:spacing w:line="259" w:lineRule="auto"/>
        <w:outlineLvl w:val="0"/>
        <w:rPr>
          <w:rFonts w:eastAsia="Calibri"/>
          <w:sz w:val="22"/>
          <w:szCs w:val="22"/>
          <w:lang w:eastAsia="en-US"/>
        </w:rPr>
      </w:pPr>
    </w:p>
    <w:p w14:paraId="28DFB941" w14:textId="77777777" w:rsidR="00E86446" w:rsidRDefault="00E86446">
      <w:pPr>
        <w:spacing w:line="259" w:lineRule="auto"/>
        <w:outlineLvl w:val="0"/>
        <w:rPr>
          <w:rFonts w:eastAsia="Calibri"/>
          <w:sz w:val="22"/>
          <w:szCs w:val="22"/>
          <w:lang w:eastAsia="en-US"/>
        </w:rPr>
      </w:pPr>
    </w:p>
    <w:p w14:paraId="29D2C5C9" w14:textId="77777777" w:rsidR="00E86446" w:rsidRDefault="00E86446">
      <w:pPr>
        <w:spacing w:line="259" w:lineRule="auto"/>
        <w:outlineLvl w:val="0"/>
        <w:rPr>
          <w:rFonts w:eastAsia="Calibri"/>
          <w:sz w:val="22"/>
          <w:szCs w:val="22"/>
          <w:lang w:eastAsia="en-US"/>
        </w:rPr>
      </w:pPr>
    </w:p>
    <w:p w14:paraId="15FA7B53" w14:textId="77777777" w:rsidR="00E86446" w:rsidRDefault="00E86446">
      <w:pPr>
        <w:spacing w:line="259" w:lineRule="auto"/>
        <w:outlineLvl w:val="0"/>
        <w:rPr>
          <w:rFonts w:eastAsia="Calibri"/>
          <w:sz w:val="22"/>
          <w:szCs w:val="22"/>
          <w:lang w:eastAsia="en-US"/>
        </w:rPr>
      </w:pPr>
    </w:p>
    <w:p w14:paraId="4559E7AF" w14:textId="77777777" w:rsidR="00E86446" w:rsidRDefault="00E86446">
      <w:pPr>
        <w:spacing w:line="259" w:lineRule="auto"/>
        <w:outlineLvl w:val="0"/>
        <w:rPr>
          <w:rFonts w:eastAsia="Calibri"/>
          <w:sz w:val="22"/>
          <w:szCs w:val="22"/>
          <w:lang w:eastAsia="en-US"/>
        </w:rPr>
      </w:pPr>
    </w:p>
    <w:p w14:paraId="2519F7D2" w14:textId="77777777" w:rsidR="00E86446" w:rsidRDefault="00E86446">
      <w:pPr>
        <w:spacing w:line="259" w:lineRule="auto"/>
        <w:outlineLvl w:val="0"/>
        <w:rPr>
          <w:rFonts w:eastAsia="Calibri"/>
          <w:sz w:val="22"/>
          <w:szCs w:val="22"/>
          <w:lang w:eastAsia="en-US"/>
        </w:rPr>
      </w:pPr>
    </w:p>
    <w:p w14:paraId="7045058F" w14:textId="77777777" w:rsidR="00E86446" w:rsidRDefault="00E86446">
      <w:pPr>
        <w:spacing w:line="259" w:lineRule="auto"/>
        <w:outlineLvl w:val="0"/>
        <w:rPr>
          <w:rFonts w:eastAsia="Calibri"/>
          <w:sz w:val="22"/>
          <w:szCs w:val="22"/>
          <w:lang w:eastAsia="en-US"/>
        </w:rPr>
      </w:pPr>
    </w:p>
    <w:p w14:paraId="22F329B9" w14:textId="77777777" w:rsidR="00E86446" w:rsidRDefault="00E86446">
      <w:pPr>
        <w:spacing w:line="259" w:lineRule="auto"/>
        <w:jc w:val="center"/>
        <w:outlineLvl w:val="0"/>
        <w:rPr>
          <w:rFonts w:eastAsia="Calibri"/>
          <w:b/>
          <w:sz w:val="22"/>
          <w:szCs w:val="22"/>
          <w:lang w:eastAsia="en-US"/>
        </w:rPr>
      </w:pPr>
    </w:p>
    <w:p w14:paraId="659471E6" w14:textId="77777777" w:rsidR="00E86446" w:rsidRDefault="00E86446">
      <w:pPr>
        <w:spacing w:line="259" w:lineRule="auto"/>
        <w:jc w:val="center"/>
        <w:outlineLvl w:val="0"/>
        <w:rPr>
          <w:rFonts w:eastAsia="Calibri"/>
          <w:b/>
          <w:sz w:val="22"/>
          <w:szCs w:val="22"/>
          <w:lang w:eastAsia="en-US"/>
        </w:rPr>
      </w:pPr>
    </w:p>
    <w:p w14:paraId="0AE280A4" w14:textId="77777777" w:rsidR="00E86446" w:rsidRDefault="00E86446">
      <w:pPr>
        <w:spacing w:line="259" w:lineRule="auto"/>
        <w:jc w:val="center"/>
        <w:outlineLvl w:val="0"/>
        <w:rPr>
          <w:rFonts w:eastAsia="Calibri"/>
          <w:b/>
          <w:sz w:val="22"/>
          <w:szCs w:val="22"/>
          <w:lang w:eastAsia="en-US"/>
        </w:rPr>
      </w:pPr>
    </w:p>
    <w:p w14:paraId="2E6DBF43" w14:textId="77777777" w:rsidR="00E86446" w:rsidRDefault="00345E63">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434F4335" w14:textId="77777777" w:rsidR="00E86446" w:rsidRDefault="00345E63">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52D2283C" w14:textId="77777777" w:rsidR="00E86446" w:rsidRDefault="00E86446">
      <w:pPr>
        <w:widowControl w:val="0"/>
        <w:jc w:val="center"/>
        <w:outlineLvl w:val="0"/>
        <w:rPr>
          <w:b/>
          <w:sz w:val="22"/>
          <w:szCs w:val="22"/>
          <w:lang w:eastAsia="sl-SI"/>
        </w:rPr>
      </w:pPr>
    </w:p>
    <w:p w14:paraId="635E79C9" w14:textId="77777777" w:rsidR="00E86446" w:rsidRDefault="00345E63">
      <w:pPr>
        <w:widowControl w:val="0"/>
        <w:jc w:val="center"/>
        <w:rPr>
          <w:b/>
          <w:bCs/>
          <w:sz w:val="22"/>
          <w:szCs w:val="22"/>
          <w:lang w:eastAsia="sl-SI"/>
        </w:rPr>
      </w:pPr>
      <w:proofErr w:type="spellStart"/>
      <w:r>
        <w:rPr>
          <w:b/>
          <w:bCs/>
          <w:sz w:val="22"/>
          <w:szCs w:val="22"/>
          <w:lang w:eastAsia="sl-SI"/>
        </w:rPr>
        <w:t>Mexdagry</w:t>
      </w:r>
      <w:proofErr w:type="spellEnd"/>
      <w:r>
        <w:rPr>
          <w:b/>
          <w:bCs/>
          <w:sz w:val="22"/>
          <w:szCs w:val="22"/>
          <w:lang w:eastAsia="sl-SI"/>
        </w:rPr>
        <w:t xml:space="preserve"> 5 mg/850 mg plėvele dengtos tabletės</w:t>
      </w:r>
    </w:p>
    <w:p w14:paraId="3A72F4C1" w14:textId="77777777" w:rsidR="00E86446" w:rsidRDefault="00345E63">
      <w:pPr>
        <w:widowControl w:val="0"/>
        <w:jc w:val="center"/>
        <w:rPr>
          <w:b/>
          <w:bCs/>
          <w:sz w:val="22"/>
          <w:szCs w:val="22"/>
          <w:lang w:eastAsia="sl-SI"/>
        </w:rPr>
      </w:pPr>
      <w:proofErr w:type="spellStart"/>
      <w:r>
        <w:rPr>
          <w:b/>
          <w:bCs/>
          <w:sz w:val="22"/>
          <w:szCs w:val="22"/>
          <w:lang w:eastAsia="sl-SI"/>
        </w:rPr>
        <w:t>Mexdagry</w:t>
      </w:r>
      <w:proofErr w:type="spellEnd"/>
      <w:r>
        <w:rPr>
          <w:b/>
          <w:bCs/>
          <w:sz w:val="22"/>
          <w:szCs w:val="22"/>
          <w:lang w:eastAsia="sl-SI"/>
        </w:rPr>
        <w:t xml:space="preserve"> 5 mg/1 000 mg plėvele dengtos tabletės</w:t>
      </w:r>
    </w:p>
    <w:p w14:paraId="672456B2" w14:textId="77777777" w:rsidR="00E86446" w:rsidRDefault="00345E63">
      <w:pPr>
        <w:widowControl w:val="0"/>
        <w:jc w:val="center"/>
        <w:rPr>
          <w:sz w:val="22"/>
          <w:szCs w:val="22"/>
          <w:lang w:eastAsia="sl-SI"/>
        </w:rPr>
      </w:pPr>
      <w:r>
        <w:rPr>
          <w:sz w:val="22"/>
          <w:szCs w:val="22"/>
          <w:lang w:eastAsia="sl-SI"/>
        </w:rPr>
        <w:t>dapagliflozinas/</w:t>
      </w:r>
      <w:proofErr w:type="spellStart"/>
      <w:r>
        <w:rPr>
          <w:sz w:val="22"/>
          <w:szCs w:val="22"/>
          <w:lang w:eastAsia="sl-SI"/>
        </w:rPr>
        <w:t>metformino</w:t>
      </w:r>
      <w:proofErr w:type="spellEnd"/>
      <w:r>
        <w:rPr>
          <w:sz w:val="22"/>
          <w:szCs w:val="22"/>
          <w:lang w:eastAsia="sl-SI"/>
        </w:rPr>
        <w:t xml:space="preserve"> hidrochloridas</w:t>
      </w:r>
    </w:p>
    <w:p w14:paraId="781EC88C" w14:textId="77777777" w:rsidR="00E86446" w:rsidRDefault="00E86446">
      <w:pPr>
        <w:rPr>
          <w:rFonts w:eastAsia="Cambria"/>
          <w:b/>
          <w:sz w:val="22"/>
          <w:szCs w:val="22"/>
          <w:lang w:eastAsia="en-US"/>
        </w:rPr>
      </w:pPr>
    </w:p>
    <w:p w14:paraId="5000938D" w14:textId="77777777" w:rsidR="00E86446" w:rsidRDefault="00345E63">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41296941"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CB7C511"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611010F0"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4066B974"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3FE5710E" w14:textId="77777777" w:rsidR="00E86446" w:rsidRDefault="00E86446">
      <w:pPr>
        <w:rPr>
          <w:sz w:val="22"/>
          <w:szCs w:val="22"/>
          <w:lang w:eastAsia="lt-LT"/>
        </w:rPr>
      </w:pPr>
    </w:p>
    <w:p w14:paraId="602EFEB9" w14:textId="77777777" w:rsidR="00E86446" w:rsidRDefault="00345E63">
      <w:pPr>
        <w:rPr>
          <w:b/>
          <w:sz w:val="22"/>
          <w:szCs w:val="22"/>
          <w:lang w:eastAsia="lt-LT"/>
        </w:rPr>
      </w:pPr>
      <w:r>
        <w:rPr>
          <w:b/>
          <w:sz w:val="22"/>
          <w:szCs w:val="22"/>
          <w:lang w:eastAsia="lt-LT"/>
        </w:rPr>
        <w:t>Apie ką rašoma šiame lapelyje?</w:t>
      </w:r>
    </w:p>
    <w:p w14:paraId="6D406501" w14:textId="77777777" w:rsidR="00531404" w:rsidRDefault="00531404">
      <w:pPr>
        <w:rPr>
          <w:b/>
          <w:sz w:val="22"/>
          <w:szCs w:val="22"/>
          <w:lang w:eastAsia="lt-LT"/>
        </w:rPr>
      </w:pPr>
    </w:p>
    <w:p w14:paraId="05EEFAD8" w14:textId="77777777" w:rsidR="00E86446" w:rsidRDefault="00345E63">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Mexdagry</w:t>
      </w:r>
      <w:proofErr w:type="spellEnd"/>
      <w:r>
        <w:rPr>
          <w:sz w:val="22"/>
          <w:szCs w:val="22"/>
          <w:lang w:eastAsia="lt-LT"/>
        </w:rPr>
        <w:t xml:space="preserve"> ir kam jis vartojamas</w:t>
      </w:r>
    </w:p>
    <w:p w14:paraId="3C19D8B5" w14:textId="77777777" w:rsidR="00E86446" w:rsidRDefault="00345E63">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Mexdagry</w:t>
      </w:r>
      <w:proofErr w:type="spellEnd"/>
    </w:p>
    <w:p w14:paraId="469B5FFC" w14:textId="77777777" w:rsidR="00E86446" w:rsidRDefault="00345E63">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Mexdagry</w:t>
      </w:r>
      <w:proofErr w:type="spellEnd"/>
    </w:p>
    <w:p w14:paraId="51BE2448" w14:textId="77777777" w:rsidR="00E86446" w:rsidRDefault="00345E63">
      <w:pPr>
        <w:ind w:left="540" w:hanging="540"/>
        <w:rPr>
          <w:sz w:val="22"/>
          <w:szCs w:val="22"/>
          <w:lang w:eastAsia="lt-LT"/>
        </w:rPr>
      </w:pPr>
      <w:r>
        <w:rPr>
          <w:sz w:val="22"/>
          <w:szCs w:val="22"/>
          <w:lang w:eastAsia="lt-LT"/>
        </w:rPr>
        <w:t>4.</w:t>
      </w:r>
      <w:r>
        <w:rPr>
          <w:sz w:val="22"/>
          <w:szCs w:val="22"/>
          <w:lang w:eastAsia="lt-LT"/>
        </w:rPr>
        <w:tab/>
        <w:t>Galimas šalutinis poveikis</w:t>
      </w:r>
    </w:p>
    <w:p w14:paraId="0682C0EA" w14:textId="77777777" w:rsidR="00E86446" w:rsidRDefault="00345E63">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Mexdagry</w:t>
      </w:r>
      <w:proofErr w:type="spellEnd"/>
    </w:p>
    <w:p w14:paraId="612F93EB" w14:textId="77777777" w:rsidR="00E86446" w:rsidRDefault="00345E63">
      <w:pPr>
        <w:ind w:left="540" w:hanging="540"/>
        <w:rPr>
          <w:sz w:val="22"/>
          <w:szCs w:val="22"/>
          <w:lang w:eastAsia="lt-LT"/>
        </w:rPr>
      </w:pPr>
      <w:r>
        <w:rPr>
          <w:sz w:val="22"/>
          <w:szCs w:val="22"/>
          <w:lang w:eastAsia="lt-LT"/>
        </w:rPr>
        <w:t>6.</w:t>
      </w:r>
      <w:r>
        <w:rPr>
          <w:sz w:val="22"/>
          <w:szCs w:val="22"/>
          <w:lang w:eastAsia="lt-LT"/>
        </w:rPr>
        <w:tab/>
        <w:t>Pakuotės turinys ir kita informacija</w:t>
      </w:r>
    </w:p>
    <w:p w14:paraId="794A8013" w14:textId="77777777" w:rsidR="00E86446" w:rsidRDefault="00E86446">
      <w:pPr>
        <w:widowControl w:val="0"/>
        <w:numPr>
          <w:ilvl w:val="12"/>
          <w:numId w:val="0"/>
        </w:numPr>
        <w:rPr>
          <w:sz w:val="22"/>
          <w:szCs w:val="22"/>
          <w:lang w:eastAsia="sl-SI"/>
        </w:rPr>
      </w:pPr>
    </w:p>
    <w:p w14:paraId="3A2053B6" w14:textId="77777777" w:rsidR="00E86446" w:rsidRDefault="00E86446">
      <w:pPr>
        <w:widowControl w:val="0"/>
        <w:numPr>
          <w:ilvl w:val="12"/>
          <w:numId w:val="0"/>
        </w:numPr>
        <w:rPr>
          <w:sz w:val="22"/>
          <w:szCs w:val="22"/>
          <w:lang w:eastAsia="sl-SI"/>
        </w:rPr>
      </w:pPr>
    </w:p>
    <w:p w14:paraId="05383BDF" w14:textId="77777777" w:rsidR="00E86446" w:rsidRDefault="00345E63">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Mexdagry</w:t>
      </w:r>
      <w:proofErr w:type="spellEnd"/>
      <w:r>
        <w:rPr>
          <w:b/>
          <w:bCs/>
          <w:sz w:val="22"/>
          <w:szCs w:val="22"/>
          <w:lang w:eastAsia="en-US"/>
        </w:rPr>
        <w:t xml:space="preserve"> </w:t>
      </w:r>
      <w:r>
        <w:rPr>
          <w:b/>
          <w:sz w:val="22"/>
          <w:szCs w:val="22"/>
          <w:lang w:eastAsia="en-US"/>
        </w:rPr>
        <w:t>ir kam jis vartojamas</w:t>
      </w:r>
    </w:p>
    <w:p w14:paraId="595D89D1" w14:textId="77777777" w:rsidR="00E86446" w:rsidRDefault="00E86446">
      <w:pPr>
        <w:widowControl w:val="0"/>
        <w:ind w:left="567" w:hanging="567"/>
        <w:rPr>
          <w:sz w:val="22"/>
          <w:szCs w:val="22"/>
          <w:lang w:eastAsia="en-US"/>
        </w:rPr>
      </w:pPr>
    </w:p>
    <w:p w14:paraId="747CEC6B" w14:textId="236553E7" w:rsidR="00E86446" w:rsidRDefault="00345E63">
      <w:pPr>
        <w:widowControl w:val="0"/>
        <w:numPr>
          <w:ilvl w:val="12"/>
          <w:numId w:val="0"/>
        </w:numPr>
        <w:rPr>
          <w:sz w:val="22"/>
          <w:szCs w:val="22"/>
        </w:rPr>
      </w:pPr>
      <w:r>
        <w:rPr>
          <w:sz w:val="22"/>
          <w:szCs w:val="22"/>
        </w:rPr>
        <w:t xml:space="preserve">Šio vaisto sudėtyje yra 2 skirtingos veikliosios medžiagos – dapagliflozinas ir </w:t>
      </w:r>
      <w:proofErr w:type="spellStart"/>
      <w:r>
        <w:rPr>
          <w:sz w:val="22"/>
          <w:szCs w:val="22"/>
        </w:rPr>
        <w:t>metformin</w:t>
      </w:r>
      <w:r w:rsidR="002D65D3">
        <w:rPr>
          <w:sz w:val="22"/>
          <w:szCs w:val="22"/>
        </w:rPr>
        <w:t>as</w:t>
      </w:r>
      <w:proofErr w:type="spellEnd"/>
      <w:r>
        <w:rPr>
          <w:sz w:val="22"/>
          <w:szCs w:val="22"/>
        </w:rPr>
        <w:t>. Jos abi priklauso geriamųjų vaistų nuo cukrinio diabeto grupei. Šie vaistai vartojami per burną diabetui gydyti.</w:t>
      </w:r>
    </w:p>
    <w:p w14:paraId="7786A85F" w14:textId="77777777" w:rsidR="00E86446" w:rsidRDefault="00E86446">
      <w:pPr>
        <w:widowControl w:val="0"/>
        <w:numPr>
          <w:ilvl w:val="12"/>
          <w:numId w:val="0"/>
        </w:numPr>
        <w:rPr>
          <w:sz w:val="22"/>
          <w:szCs w:val="22"/>
        </w:rPr>
      </w:pPr>
    </w:p>
    <w:p w14:paraId="03F64D1C" w14:textId="77777777" w:rsidR="00E86446" w:rsidRDefault="00345E63">
      <w:pPr>
        <w:widowControl w:val="0"/>
        <w:numPr>
          <w:ilvl w:val="12"/>
          <w:numId w:val="0"/>
        </w:numPr>
        <w:rPr>
          <w:sz w:val="22"/>
          <w:szCs w:val="22"/>
          <w:lang w:eastAsia="en-US"/>
        </w:rPr>
      </w:pPr>
      <w:proofErr w:type="spellStart"/>
      <w:r>
        <w:rPr>
          <w:sz w:val="22"/>
          <w:szCs w:val="22"/>
        </w:rPr>
        <w:t>Mexdagry</w:t>
      </w:r>
      <w:proofErr w:type="spellEnd"/>
      <w:r>
        <w:rPr>
          <w:sz w:val="22"/>
          <w:szCs w:val="22"/>
        </w:rPr>
        <w:t xml:space="preserve"> vartojamas tam tikrai suaugusių (18 metų ir vyresnių) pacientų diabeto rūšiai, kuri vadinama 2 tipo diabetu ir paprastai pasireiškia vyresniame amžiuje, gydyti. Sergant 2 tipo diabetu, kasa negamina pakankamai insulino arba organizmas nesugeba jo tinkamai panaudoti, todėl padidėja cukraus (gliukozės) kiekis kraujyje.</w:t>
      </w:r>
    </w:p>
    <w:p w14:paraId="1AF8E3BF"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sz w:val="22"/>
          <w:szCs w:val="22"/>
          <w:lang w:eastAsia="en-US"/>
        </w:rPr>
        <w:t>Veikiant dapagliflozinui, cukraus perteklius pašalinamas iš organizmo su šlapimu, todėl jo kiekis kraujyje sumažėja. Be to, šis vaistas gali Jus apsaugoti nuo širdies ligų.</w:t>
      </w:r>
    </w:p>
    <w:p w14:paraId="5945CF2E"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sz w:val="22"/>
          <w:szCs w:val="22"/>
          <w:lang w:eastAsia="en-US"/>
        </w:rPr>
        <w:t xml:space="preserve">Svarbiausias </w:t>
      </w:r>
      <w:proofErr w:type="spellStart"/>
      <w:r>
        <w:rPr>
          <w:sz w:val="22"/>
          <w:szCs w:val="22"/>
          <w:lang w:eastAsia="en-US"/>
        </w:rPr>
        <w:t>metformino</w:t>
      </w:r>
      <w:proofErr w:type="spellEnd"/>
      <w:r>
        <w:rPr>
          <w:sz w:val="22"/>
          <w:szCs w:val="22"/>
          <w:lang w:eastAsia="en-US"/>
        </w:rPr>
        <w:t xml:space="preserve"> poveikis yra gliukozės gamybos kepenyse slopinimas.</w:t>
      </w:r>
    </w:p>
    <w:p w14:paraId="662A0BC6" w14:textId="77777777" w:rsidR="00E86446" w:rsidRDefault="00E86446">
      <w:pPr>
        <w:widowControl w:val="0"/>
        <w:tabs>
          <w:tab w:val="left" w:pos="567"/>
        </w:tabs>
        <w:spacing w:line="260" w:lineRule="exact"/>
        <w:rPr>
          <w:sz w:val="22"/>
          <w:szCs w:val="22"/>
          <w:lang w:eastAsia="en-US"/>
        </w:rPr>
      </w:pPr>
    </w:p>
    <w:p w14:paraId="761292A1" w14:textId="77777777" w:rsidR="00E86446" w:rsidRDefault="00345E63">
      <w:pPr>
        <w:widowControl w:val="0"/>
        <w:tabs>
          <w:tab w:val="left" w:pos="567"/>
        </w:tabs>
        <w:spacing w:line="260" w:lineRule="exact"/>
        <w:rPr>
          <w:sz w:val="22"/>
          <w:szCs w:val="22"/>
        </w:rPr>
      </w:pPr>
      <w:r>
        <w:rPr>
          <w:sz w:val="22"/>
          <w:szCs w:val="22"/>
        </w:rPr>
        <w:t>Gydant diabetą:</w:t>
      </w:r>
    </w:p>
    <w:p w14:paraId="41901350" w14:textId="076F6922" w:rsidR="00E86446" w:rsidRPr="0073443F" w:rsidRDefault="00FD5E27">
      <w:pPr>
        <w:widowControl w:val="0"/>
        <w:numPr>
          <w:ilvl w:val="0"/>
          <w:numId w:val="25"/>
        </w:numPr>
        <w:tabs>
          <w:tab w:val="left" w:pos="567"/>
        </w:tabs>
        <w:spacing w:line="260" w:lineRule="exact"/>
        <w:ind w:left="567" w:hanging="567"/>
        <w:rPr>
          <w:noProof/>
          <w:sz w:val="20"/>
          <w:szCs w:val="20"/>
          <w:lang w:eastAsia="en-US"/>
        </w:rPr>
      </w:pPr>
      <w:r>
        <w:rPr>
          <w:rFonts w:eastAsiaTheme="minorHAnsi"/>
          <w:color w:val="000000"/>
          <w:sz w:val="22"/>
          <w:szCs w:val="22"/>
          <w:lang w:eastAsia="en-US"/>
        </w:rPr>
        <w:t>š</w:t>
      </w:r>
      <w:r w:rsidR="00345E63" w:rsidRPr="0073443F">
        <w:rPr>
          <w:rFonts w:eastAsiaTheme="minorHAnsi"/>
          <w:color w:val="000000"/>
          <w:sz w:val="22"/>
          <w:szCs w:val="22"/>
          <w:lang w:eastAsia="en-US"/>
        </w:rPr>
        <w:t>is vaistas vartojamas derinyje su dieta ir fiziniu krūviu</w:t>
      </w:r>
      <w:r>
        <w:rPr>
          <w:rFonts w:eastAsiaTheme="minorHAnsi"/>
          <w:color w:val="000000"/>
          <w:sz w:val="22"/>
          <w:szCs w:val="22"/>
          <w:lang w:eastAsia="en-US"/>
        </w:rPr>
        <w:t>;</w:t>
      </w:r>
    </w:p>
    <w:p w14:paraId="4F41C266" w14:textId="04815E26" w:rsidR="00E86446" w:rsidRPr="003171F5" w:rsidRDefault="00FD5E27">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š</w:t>
      </w:r>
      <w:r w:rsidR="00345E63">
        <w:rPr>
          <w:rFonts w:eastAsiaTheme="minorHAnsi"/>
          <w:color w:val="000000"/>
          <w:sz w:val="22"/>
          <w:szCs w:val="22"/>
          <w:lang w:eastAsia="en-US"/>
        </w:rPr>
        <w:t>iuo vaistu gydomas diabetas, jeigu cukraus kiekio kraujyje nepavyksta sureguliuoti kitais vaistais nuo diabeto</w:t>
      </w:r>
      <w:r w:rsidR="004D2AE7">
        <w:rPr>
          <w:rFonts w:eastAsiaTheme="minorHAnsi"/>
          <w:color w:val="000000"/>
          <w:sz w:val="22"/>
          <w:szCs w:val="22"/>
          <w:lang w:eastAsia="en-US"/>
        </w:rPr>
        <w:t>;</w:t>
      </w:r>
    </w:p>
    <w:p w14:paraId="28CB90D5" w14:textId="7205809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Jūsų gydytojas gali nurodyti vartoti šio vaisto vieno arba kartu su kitais vaistais nuo diabeto. Tai gali būti kitas geriamasis ir (arba) injekcinis vaistas, pvz., insulinas arba GLP-1 receptorių </w:t>
      </w:r>
      <w:proofErr w:type="spellStart"/>
      <w:r>
        <w:rPr>
          <w:rFonts w:eastAsiaTheme="minorHAnsi"/>
          <w:color w:val="000000"/>
          <w:sz w:val="22"/>
          <w:szCs w:val="22"/>
          <w:lang w:eastAsia="en-US"/>
        </w:rPr>
        <w:t>agonistas</w:t>
      </w:r>
      <w:proofErr w:type="spellEnd"/>
      <w:r>
        <w:rPr>
          <w:rFonts w:eastAsiaTheme="minorHAnsi"/>
          <w:color w:val="000000"/>
          <w:sz w:val="22"/>
          <w:szCs w:val="22"/>
          <w:lang w:eastAsia="en-US"/>
        </w:rPr>
        <w:t xml:space="preserve"> (jis padeda Jūsų organizmui padidinti insulino gamybą, kai padidėjęs cukraus kiekis kraujyje)</w:t>
      </w:r>
      <w:r w:rsidR="004D2AE7">
        <w:rPr>
          <w:rFonts w:eastAsiaTheme="minorHAnsi"/>
          <w:color w:val="000000"/>
          <w:sz w:val="22"/>
          <w:szCs w:val="22"/>
          <w:lang w:eastAsia="en-US"/>
        </w:rPr>
        <w:t>;</w:t>
      </w:r>
    </w:p>
    <w:p w14:paraId="248003B0" w14:textId="7953189A" w:rsidR="00E86446" w:rsidRPr="003171F5" w:rsidRDefault="004D2AE7">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w:t>
      </w:r>
      <w:r w:rsidR="00345E63">
        <w:rPr>
          <w:rFonts w:eastAsiaTheme="minorHAnsi"/>
          <w:color w:val="000000"/>
          <w:sz w:val="22"/>
          <w:szCs w:val="22"/>
          <w:lang w:eastAsia="en-US"/>
        </w:rPr>
        <w:t xml:space="preserve">eigu jau vartojate atskirų dapagliflozino ir </w:t>
      </w:r>
      <w:proofErr w:type="spellStart"/>
      <w:r w:rsidR="00345E63">
        <w:rPr>
          <w:rFonts w:eastAsiaTheme="minorHAnsi"/>
          <w:color w:val="000000"/>
          <w:sz w:val="22"/>
          <w:szCs w:val="22"/>
          <w:lang w:eastAsia="en-US"/>
        </w:rPr>
        <w:t>metformino</w:t>
      </w:r>
      <w:proofErr w:type="spellEnd"/>
      <w:r w:rsidR="00345E63">
        <w:rPr>
          <w:rFonts w:eastAsiaTheme="minorHAnsi"/>
          <w:color w:val="000000"/>
          <w:sz w:val="22"/>
          <w:szCs w:val="22"/>
          <w:lang w:eastAsia="en-US"/>
        </w:rPr>
        <w:t xml:space="preserve"> tablečių, Jūsų gydytojas gali patarti vartoti šio vaisto vietoje jų. Pradėję vartoti </w:t>
      </w:r>
      <w:proofErr w:type="spellStart"/>
      <w:r w:rsidR="00345E63">
        <w:rPr>
          <w:rFonts w:eastAsiaTheme="minorHAnsi"/>
          <w:color w:val="000000"/>
          <w:sz w:val="22"/>
          <w:szCs w:val="22"/>
          <w:lang w:eastAsia="en-US"/>
        </w:rPr>
        <w:t>Mexdagry</w:t>
      </w:r>
      <w:proofErr w:type="spellEnd"/>
      <w:r w:rsidR="00345E63">
        <w:rPr>
          <w:rFonts w:eastAsiaTheme="minorHAnsi"/>
          <w:color w:val="000000"/>
          <w:sz w:val="22"/>
          <w:szCs w:val="22"/>
          <w:lang w:eastAsia="en-US"/>
        </w:rPr>
        <w:t xml:space="preserve">, daugiau dapagliflozino ir </w:t>
      </w:r>
      <w:proofErr w:type="spellStart"/>
      <w:r w:rsidR="00345E63">
        <w:rPr>
          <w:rFonts w:eastAsiaTheme="minorHAnsi"/>
          <w:color w:val="000000"/>
          <w:sz w:val="22"/>
          <w:szCs w:val="22"/>
          <w:lang w:eastAsia="en-US"/>
        </w:rPr>
        <w:t>metformino</w:t>
      </w:r>
      <w:proofErr w:type="spellEnd"/>
      <w:r w:rsidR="00345E63">
        <w:rPr>
          <w:rFonts w:eastAsiaTheme="minorHAnsi"/>
          <w:color w:val="000000"/>
          <w:sz w:val="22"/>
          <w:szCs w:val="22"/>
          <w:lang w:eastAsia="en-US"/>
        </w:rPr>
        <w:t xml:space="preserve"> tablečių nebegerkite, kad </w:t>
      </w:r>
      <w:r w:rsidR="00E0355F">
        <w:rPr>
          <w:rFonts w:eastAsiaTheme="minorHAnsi"/>
          <w:color w:val="000000"/>
          <w:sz w:val="22"/>
          <w:szCs w:val="22"/>
          <w:lang w:eastAsia="en-US"/>
        </w:rPr>
        <w:t xml:space="preserve">išvengtumėte </w:t>
      </w:r>
      <w:r w:rsidR="00345E63">
        <w:rPr>
          <w:rFonts w:eastAsiaTheme="minorHAnsi"/>
          <w:color w:val="000000"/>
          <w:sz w:val="22"/>
          <w:szCs w:val="22"/>
          <w:lang w:eastAsia="en-US"/>
        </w:rPr>
        <w:t>perdoz</w:t>
      </w:r>
      <w:r w:rsidR="00E0355F">
        <w:rPr>
          <w:rFonts w:eastAsiaTheme="minorHAnsi"/>
          <w:color w:val="000000"/>
          <w:sz w:val="22"/>
          <w:szCs w:val="22"/>
          <w:lang w:eastAsia="en-US"/>
        </w:rPr>
        <w:t>avimo</w:t>
      </w:r>
      <w:r w:rsidR="00345E63">
        <w:rPr>
          <w:rFonts w:eastAsiaTheme="minorHAnsi"/>
          <w:color w:val="000000"/>
          <w:sz w:val="22"/>
          <w:szCs w:val="22"/>
          <w:lang w:eastAsia="en-US"/>
        </w:rPr>
        <w:t xml:space="preserve">. </w:t>
      </w:r>
    </w:p>
    <w:p w14:paraId="5E1A3547" w14:textId="77777777" w:rsidR="00E86446" w:rsidRDefault="00E86446">
      <w:pPr>
        <w:widowControl w:val="0"/>
        <w:tabs>
          <w:tab w:val="left" w:pos="567"/>
        </w:tabs>
        <w:spacing w:line="260" w:lineRule="exact"/>
        <w:rPr>
          <w:sz w:val="22"/>
          <w:szCs w:val="22"/>
        </w:rPr>
      </w:pPr>
    </w:p>
    <w:p w14:paraId="2E7AC36E" w14:textId="77777777" w:rsidR="00E86446" w:rsidRDefault="00345E63">
      <w:pPr>
        <w:widowControl w:val="0"/>
        <w:tabs>
          <w:tab w:val="left" w:pos="567"/>
        </w:tabs>
        <w:spacing w:line="260" w:lineRule="exact"/>
        <w:rPr>
          <w:sz w:val="22"/>
          <w:szCs w:val="22"/>
        </w:rPr>
      </w:pPr>
      <w:r>
        <w:rPr>
          <w:sz w:val="22"/>
          <w:szCs w:val="22"/>
        </w:rPr>
        <w:t>Vartojant šį vaistą, svarbu toliau laikytis gydytojo, vaistininko arba slaugytojos nurodymų dėl dietos ir fizinio krūvio.</w:t>
      </w:r>
    </w:p>
    <w:p w14:paraId="36A8163F" w14:textId="77777777" w:rsidR="00E86446" w:rsidRDefault="00E86446">
      <w:pPr>
        <w:widowControl w:val="0"/>
        <w:tabs>
          <w:tab w:val="left" w:pos="567"/>
        </w:tabs>
        <w:spacing w:line="260" w:lineRule="exact"/>
        <w:rPr>
          <w:sz w:val="22"/>
          <w:szCs w:val="22"/>
        </w:rPr>
      </w:pPr>
    </w:p>
    <w:p w14:paraId="696A4D12" w14:textId="77777777" w:rsidR="00E86446" w:rsidRPr="003171F5" w:rsidRDefault="00E86446">
      <w:pPr>
        <w:widowControl w:val="0"/>
        <w:tabs>
          <w:tab w:val="left" w:pos="567"/>
        </w:tabs>
        <w:spacing w:line="260" w:lineRule="exact"/>
        <w:rPr>
          <w:noProof/>
          <w:sz w:val="22"/>
          <w:szCs w:val="22"/>
          <w:lang w:eastAsia="en-US"/>
        </w:rPr>
      </w:pPr>
    </w:p>
    <w:p w14:paraId="2E1B91BE" w14:textId="77777777" w:rsidR="00E86446" w:rsidRDefault="00345E63">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Mexdagry</w:t>
      </w:r>
      <w:proofErr w:type="spellEnd"/>
    </w:p>
    <w:p w14:paraId="72B2F692" w14:textId="77777777" w:rsidR="00E86446" w:rsidRDefault="00E86446">
      <w:pPr>
        <w:widowControl w:val="0"/>
        <w:ind w:left="567" w:hanging="567"/>
        <w:rPr>
          <w:sz w:val="22"/>
          <w:szCs w:val="22"/>
          <w:lang w:eastAsia="en-US"/>
        </w:rPr>
      </w:pPr>
    </w:p>
    <w:p w14:paraId="56AA22FE" w14:textId="77777777" w:rsidR="00E86446" w:rsidRDefault="00345E63">
      <w:pPr>
        <w:widowControl w:val="0"/>
        <w:ind w:left="567" w:hanging="567"/>
        <w:rPr>
          <w:b/>
          <w:bCs/>
          <w:caps/>
          <w:sz w:val="22"/>
          <w:szCs w:val="22"/>
          <w:lang w:eastAsia="en-US"/>
        </w:rPr>
      </w:pPr>
      <w:proofErr w:type="spellStart"/>
      <w:r>
        <w:rPr>
          <w:b/>
          <w:bCs/>
          <w:sz w:val="22"/>
          <w:szCs w:val="22"/>
          <w:lang w:eastAsia="en-US"/>
        </w:rPr>
        <w:lastRenderedPageBreak/>
        <w:t>Mexdagry</w:t>
      </w:r>
      <w:proofErr w:type="spellEnd"/>
      <w:r>
        <w:rPr>
          <w:b/>
          <w:bCs/>
          <w:sz w:val="22"/>
          <w:szCs w:val="22"/>
          <w:lang w:eastAsia="en-US"/>
        </w:rPr>
        <w:t xml:space="preserve"> vartoti draudžiama:</w:t>
      </w:r>
    </w:p>
    <w:p w14:paraId="580D501A" w14:textId="03E3B73F"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yra alergija dapagliflozinui, </w:t>
      </w:r>
      <w:proofErr w:type="spellStart"/>
      <w:r>
        <w:rPr>
          <w:rFonts w:eastAsiaTheme="minorHAnsi"/>
          <w:color w:val="000000"/>
          <w:sz w:val="22"/>
          <w:szCs w:val="22"/>
          <w:lang w:eastAsia="en-US"/>
        </w:rPr>
        <w:t>metforminui</w:t>
      </w:r>
      <w:proofErr w:type="spellEnd"/>
      <w:r>
        <w:rPr>
          <w:rFonts w:eastAsiaTheme="minorHAnsi"/>
          <w:color w:val="000000"/>
          <w:sz w:val="22"/>
          <w:szCs w:val="22"/>
          <w:lang w:eastAsia="en-US"/>
        </w:rPr>
        <w:t xml:space="preserve"> arba bet kuriai pagalbinei šio vaisto medžiagai (jos išvardytos 6 skyriuje)</w:t>
      </w:r>
      <w:r w:rsidR="00EC377F">
        <w:rPr>
          <w:rFonts w:eastAsiaTheme="minorHAnsi"/>
          <w:color w:val="000000"/>
          <w:sz w:val="22"/>
          <w:szCs w:val="22"/>
          <w:lang w:eastAsia="en-US"/>
        </w:rPr>
        <w:t>;</w:t>
      </w:r>
    </w:p>
    <w:p w14:paraId="11C6C985" w14:textId="51F9A38F"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Jus kada nors buvo ištikusi diabetinė koma</w:t>
      </w:r>
      <w:r w:rsidR="00EC377F">
        <w:rPr>
          <w:rFonts w:eastAsiaTheme="minorHAnsi"/>
          <w:color w:val="000000"/>
          <w:sz w:val="22"/>
          <w:szCs w:val="22"/>
          <w:lang w:eastAsia="en-US"/>
        </w:rPr>
        <w:t>;</w:t>
      </w:r>
    </w:p>
    <w:p w14:paraId="122D9F27" w14:textId="71047D36"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sergate nekontroliuojamu diabetu ir yra, pvz., sunki hiperglikemija (didelis gliukozės kiekis kraujyje), pasireiškia pykinimas, vėmimas, viduriavimas, greitas svorio kritimas,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(žr.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toliau) arba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yra būklė, kai kraujyje kaupiasi medžiagos, vadinamos „</w:t>
      </w:r>
      <w:proofErr w:type="spellStart"/>
      <w:r>
        <w:rPr>
          <w:rFonts w:eastAsiaTheme="minorHAnsi"/>
          <w:color w:val="000000"/>
          <w:sz w:val="22"/>
          <w:szCs w:val="22"/>
          <w:lang w:eastAsia="en-US"/>
        </w:rPr>
        <w:t>ketoniniais</w:t>
      </w:r>
      <w:proofErr w:type="spellEnd"/>
      <w:r>
        <w:rPr>
          <w:rFonts w:eastAsiaTheme="minorHAnsi"/>
          <w:color w:val="000000"/>
          <w:sz w:val="22"/>
          <w:szCs w:val="22"/>
          <w:lang w:eastAsia="en-US"/>
        </w:rPr>
        <w:t xml:space="preserve"> kūnais“, ji gali sukelti diabetinę </w:t>
      </w:r>
      <w:proofErr w:type="spellStart"/>
      <w:r>
        <w:rPr>
          <w:rFonts w:eastAsiaTheme="minorHAnsi"/>
          <w:color w:val="000000"/>
          <w:sz w:val="22"/>
          <w:szCs w:val="22"/>
          <w:lang w:eastAsia="en-US"/>
        </w:rPr>
        <w:t>prekomą</w:t>
      </w:r>
      <w:proofErr w:type="spellEnd"/>
      <w:r>
        <w:rPr>
          <w:rFonts w:eastAsiaTheme="minorHAnsi"/>
          <w:color w:val="000000"/>
          <w:sz w:val="22"/>
          <w:szCs w:val="22"/>
          <w:lang w:eastAsia="en-US"/>
        </w:rPr>
        <w:t>. Simptomai gali būti pilvo skausmas, greitas ir gilus kvėpavimas, mieguistumas arba neįprastas vaisių kvapas iš burnos</w:t>
      </w:r>
      <w:r w:rsidR="005773D1">
        <w:rPr>
          <w:rFonts w:eastAsiaTheme="minorHAnsi"/>
          <w:color w:val="000000"/>
          <w:sz w:val="22"/>
          <w:szCs w:val="22"/>
          <w:lang w:eastAsia="en-US"/>
        </w:rPr>
        <w:t>;</w:t>
      </w:r>
    </w:p>
    <w:p w14:paraId="7B3F589B" w14:textId="54447FC5"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yra labai susilpnėjusi inkstų funkcija</w:t>
      </w:r>
      <w:r w:rsidR="005773D1">
        <w:rPr>
          <w:rFonts w:eastAsiaTheme="minorHAnsi"/>
          <w:color w:val="000000"/>
          <w:sz w:val="22"/>
          <w:szCs w:val="22"/>
          <w:lang w:eastAsia="en-US"/>
        </w:rPr>
        <w:t>;</w:t>
      </w:r>
    </w:p>
    <w:p w14:paraId="4837306A" w14:textId="62E68BD8"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sergate sunkia infekcine liga</w:t>
      </w:r>
      <w:r w:rsidR="005773D1">
        <w:rPr>
          <w:rFonts w:eastAsiaTheme="minorHAnsi"/>
          <w:color w:val="000000"/>
          <w:sz w:val="22"/>
          <w:szCs w:val="22"/>
          <w:lang w:eastAsia="en-US"/>
        </w:rPr>
        <w:t>;</w:t>
      </w:r>
    </w:p>
    <w:p w14:paraId="084920F6" w14:textId="418FD129"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Jūsų organizmas yra netekęs daug vandens (ši būklė vadinama dehidratacija), pvz., dėl ilgalaikio ar stipraus viduriavimo arba besikartojančio vėmimo</w:t>
      </w:r>
      <w:r w:rsidR="005773D1">
        <w:rPr>
          <w:rFonts w:eastAsiaTheme="minorHAnsi"/>
          <w:color w:val="000000"/>
          <w:sz w:val="22"/>
          <w:szCs w:val="22"/>
          <w:lang w:eastAsia="en-US"/>
        </w:rPr>
        <w:t>;</w:t>
      </w:r>
    </w:p>
    <w:p w14:paraId="788237A9" w14:textId="4557D6C1"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neseniai Jus ištiko širdies priepuolis arba sergate širdies nepakankamumu</w:t>
      </w:r>
      <w:r w:rsidR="005773D1">
        <w:rPr>
          <w:rFonts w:eastAsiaTheme="minorHAnsi"/>
          <w:color w:val="000000"/>
          <w:sz w:val="22"/>
          <w:szCs w:val="22"/>
          <w:lang w:eastAsia="en-US"/>
        </w:rPr>
        <w:t>,</w:t>
      </w:r>
      <w:r>
        <w:rPr>
          <w:rFonts w:eastAsiaTheme="minorHAnsi"/>
          <w:color w:val="000000"/>
          <w:sz w:val="22"/>
          <w:szCs w:val="22"/>
          <w:lang w:eastAsia="en-US"/>
        </w:rPr>
        <w:t xml:space="preserve"> arba labai sutrikusi kraujotaka</w:t>
      </w:r>
      <w:r w:rsidR="005773D1">
        <w:rPr>
          <w:rFonts w:eastAsiaTheme="minorHAnsi"/>
          <w:color w:val="000000"/>
          <w:sz w:val="22"/>
          <w:szCs w:val="22"/>
          <w:lang w:eastAsia="en-US"/>
        </w:rPr>
        <w:t>,</w:t>
      </w:r>
      <w:r>
        <w:rPr>
          <w:rFonts w:eastAsiaTheme="minorHAnsi"/>
          <w:color w:val="000000"/>
          <w:sz w:val="22"/>
          <w:szCs w:val="22"/>
          <w:lang w:eastAsia="en-US"/>
        </w:rPr>
        <w:t xml:space="preserve"> ar pasunkėjęs kvėpavimas</w:t>
      </w:r>
      <w:r w:rsidR="005773D1">
        <w:rPr>
          <w:rFonts w:eastAsiaTheme="minorHAnsi"/>
          <w:color w:val="000000"/>
          <w:sz w:val="22"/>
          <w:szCs w:val="22"/>
          <w:lang w:eastAsia="en-US"/>
        </w:rPr>
        <w:t>;</w:t>
      </w:r>
    </w:p>
    <w:p w14:paraId="369E345F" w14:textId="618BFD7F"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Jūsų kepen</w:t>
      </w:r>
      <w:r w:rsidR="005773D1">
        <w:rPr>
          <w:rFonts w:eastAsiaTheme="minorHAnsi"/>
          <w:color w:val="000000"/>
          <w:sz w:val="22"/>
          <w:szCs w:val="22"/>
          <w:lang w:eastAsia="en-US"/>
        </w:rPr>
        <w:t>ų funkcija sutrikusi;</w:t>
      </w:r>
    </w:p>
    <w:p w14:paraId="6E4C0297" w14:textId="4FB06A5B"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w:t>
      </w:r>
      <w:r w:rsidR="00DC0486">
        <w:rPr>
          <w:rFonts w:eastAsiaTheme="minorHAnsi"/>
          <w:color w:val="000000"/>
          <w:sz w:val="22"/>
          <w:szCs w:val="22"/>
          <w:lang w:eastAsia="en-US"/>
        </w:rPr>
        <w:t>piktnaudžiaujate</w:t>
      </w:r>
      <w:r>
        <w:rPr>
          <w:rFonts w:eastAsiaTheme="minorHAnsi"/>
          <w:color w:val="000000"/>
          <w:sz w:val="22"/>
          <w:szCs w:val="22"/>
          <w:lang w:eastAsia="en-US"/>
        </w:rPr>
        <w:t xml:space="preserve"> alkoholini</w:t>
      </w:r>
      <w:r w:rsidR="00DC0486">
        <w:rPr>
          <w:rFonts w:eastAsiaTheme="minorHAnsi"/>
          <w:color w:val="000000"/>
          <w:sz w:val="22"/>
          <w:szCs w:val="22"/>
          <w:lang w:eastAsia="en-US"/>
        </w:rPr>
        <w:t>ais</w:t>
      </w:r>
      <w:r>
        <w:rPr>
          <w:rFonts w:eastAsiaTheme="minorHAnsi"/>
          <w:color w:val="000000"/>
          <w:sz w:val="22"/>
          <w:szCs w:val="22"/>
          <w:lang w:eastAsia="en-US"/>
        </w:rPr>
        <w:t xml:space="preserve"> gėrim</w:t>
      </w:r>
      <w:r w:rsidR="00DC0486">
        <w:rPr>
          <w:rFonts w:eastAsiaTheme="minorHAnsi"/>
          <w:color w:val="000000"/>
          <w:sz w:val="22"/>
          <w:szCs w:val="22"/>
          <w:lang w:eastAsia="en-US"/>
        </w:rPr>
        <w:t>ais</w:t>
      </w:r>
      <w:r>
        <w:rPr>
          <w:rFonts w:eastAsiaTheme="minorHAnsi"/>
          <w:color w:val="000000"/>
          <w:sz w:val="22"/>
          <w:szCs w:val="22"/>
          <w:lang w:eastAsia="en-US"/>
        </w:rPr>
        <w:t xml:space="preserve"> (kasdien ar </w:t>
      </w:r>
      <w:r w:rsidR="00DC0486">
        <w:rPr>
          <w:rFonts w:eastAsiaTheme="minorHAnsi"/>
          <w:color w:val="000000"/>
          <w:sz w:val="22"/>
          <w:szCs w:val="22"/>
          <w:lang w:eastAsia="en-US"/>
        </w:rPr>
        <w:t>retkarčiais</w:t>
      </w:r>
      <w:r>
        <w:rPr>
          <w:rFonts w:eastAsiaTheme="minorHAnsi"/>
          <w:color w:val="000000"/>
          <w:sz w:val="22"/>
          <w:szCs w:val="22"/>
          <w:lang w:eastAsia="en-US"/>
        </w:rPr>
        <w:t>) (žr. skyrių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w:t>
      </w:r>
      <w:r w:rsidR="002A3DC9">
        <w:rPr>
          <w:rFonts w:eastAsiaTheme="minorHAnsi"/>
          <w:color w:val="000000"/>
          <w:sz w:val="22"/>
          <w:szCs w:val="22"/>
          <w:lang w:eastAsia="en-US"/>
        </w:rPr>
        <w:t xml:space="preserve">vartojimas su </w:t>
      </w:r>
      <w:r>
        <w:rPr>
          <w:rFonts w:eastAsiaTheme="minorHAnsi"/>
          <w:color w:val="000000"/>
          <w:sz w:val="22"/>
          <w:szCs w:val="22"/>
          <w:lang w:eastAsia="en-US"/>
        </w:rPr>
        <w:t>alkoholi</w:t>
      </w:r>
      <w:r w:rsidR="002A3DC9">
        <w:rPr>
          <w:rFonts w:eastAsiaTheme="minorHAnsi"/>
          <w:color w:val="000000"/>
          <w:sz w:val="22"/>
          <w:szCs w:val="22"/>
          <w:lang w:eastAsia="en-US"/>
        </w:rPr>
        <w:t>u</w:t>
      </w:r>
      <w:r>
        <w:rPr>
          <w:rFonts w:eastAsiaTheme="minorHAnsi"/>
          <w:color w:val="000000"/>
          <w:sz w:val="22"/>
          <w:szCs w:val="22"/>
          <w:lang w:eastAsia="en-US"/>
        </w:rPr>
        <w:t>“).</w:t>
      </w:r>
    </w:p>
    <w:p w14:paraId="750C5223" w14:textId="77777777" w:rsidR="00E86446" w:rsidRDefault="00E86446">
      <w:pPr>
        <w:widowControl w:val="0"/>
        <w:tabs>
          <w:tab w:val="left" w:pos="567"/>
        </w:tabs>
        <w:autoSpaceDE w:val="0"/>
        <w:autoSpaceDN w:val="0"/>
        <w:adjustRightInd w:val="0"/>
        <w:spacing w:after="160" w:line="259" w:lineRule="auto"/>
        <w:rPr>
          <w:sz w:val="22"/>
          <w:szCs w:val="22"/>
          <w:lang w:eastAsia="en-US"/>
        </w:rPr>
      </w:pPr>
    </w:p>
    <w:p w14:paraId="74B80F82" w14:textId="77777777" w:rsidR="00E86446" w:rsidRDefault="00345E63">
      <w:pPr>
        <w:widowControl w:val="0"/>
        <w:tabs>
          <w:tab w:val="left" w:pos="567"/>
        </w:tabs>
        <w:autoSpaceDE w:val="0"/>
        <w:autoSpaceDN w:val="0"/>
        <w:adjustRightInd w:val="0"/>
        <w:spacing w:after="160" w:line="259" w:lineRule="auto"/>
        <w:rPr>
          <w:sz w:val="22"/>
          <w:szCs w:val="22"/>
          <w:lang w:eastAsia="en-US"/>
        </w:rPr>
      </w:pPr>
      <w:r>
        <w:rPr>
          <w:sz w:val="22"/>
          <w:szCs w:val="22"/>
          <w:lang w:eastAsia="en-US"/>
        </w:rPr>
        <w:t>Nevartokite šio vaisto, jeigu jums tinka kuris nors iš minėtų atvejų.</w:t>
      </w:r>
    </w:p>
    <w:p w14:paraId="5437E5BC" w14:textId="77777777" w:rsidR="00E86446" w:rsidRDefault="00345E63">
      <w:pPr>
        <w:widowControl w:val="0"/>
        <w:ind w:left="567" w:hanging="567"/>
        <w:rPr>
          <w:b/>
          <w:sz w:val="22"/>
          <w:szCs w:val="22"/>
          <w:lang w:eastAsia="en-US"/>
        </w:rPr>
      </w:pPr>
      <w:r>
        <w:rPr>
          <w:b/>
          <w:sz w:val="22"/>
          <w:szCs w:val="22"/>
          <w:lang w:eastAsia="en-US"/>
        </w:rPr>
        <w:t>Įspėjimai ir atsargumo priemonės</w:t>
      </w:r>
    </w:p>
    <w:p w14:paraId="7F7552B5"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b/>
          <w:bCs/>
          <w:color w:val="000000"/>
          <w:sz w:val="22"/>
          <w:szCs w:val="22"/>
          <w:u w:val="single"/>
          <w:lang w:eastAsia="en-US"/>
        </w:rPr>
        <w:t xml:space="preserve">Pieno rūgšties </w:t>
      </w:r>
      <w:proofErr w:type="spellStart"/>
      <w:r>
        <w:rPr>
          <w:rFonts w:eastAsiaTheme="minorHAnsi"/>
          <w:b/>
          <w:bCs/>
          <w:color w:val="000000"/>
          <w:sz w:val="22"/>
          <w:szCs w:val="22"/>
          <w:u w:val="single"/>
          <w:lang w:eastAsia="en-US"/>
        </w:rPr>
        <w:t>acidozės</w:t>
      </w:r>
      <w:proofErr w:type="spellEnd"/>
      <w:r>
        <w:rPr>
          <w:rFonts w:eastAsiaTheme="minorHAnsi"/>
          <w:b/>
          <w:bCs/>
          <w:color w:val="000000"/>
          <w:sz w:val="22"/>
          <w:szCs w:val="22"/>
          <w:u w:val="single"/>
          <w:lang w:eastAsia="en-US"/>
        </w:rPr>
        <w:t xml:space="preserve"> rizika</w:t>
      </w:r>
    </w:p>
    <w:p w14:paraId="52F2DBCB" w14:textId="76A9C0E0"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gali sukelti labai retą, bet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ypač jei Jūsų inkst</w:t>
      </w:r>
      <w:r w:rsidR="00214178">
        <w:rPr>
          <w:rFonts w:eastAsiaTheme="minorHAnsi"/>
          <w:color w:val="000000"/>
          <w:sz w:val="22"/>
          <w:szCs w:val="22"/>
          <w:lang w:eastAsia="en-US"/>
        </w:rPr>
        <w:t>ų</w:t>
      </w:r>
      <w:r>
        <w:rPr>
          <w:rFonts w:eastAsiaTheme="minorHAnsi"/>
          <w:color w:val="000000"/>
          <w:sz w:val="22"/>
          <w:szCs w:val="22"/>
          <w:lang w:eastAsia="en-US"/>
        </w:rPr>
        <w:t xml:space="preserve"> </w:t>
      </w:r>
      <w:r w:rsidR="00214178">
        <w:rPr>
          <w:rFonts w:eastAsiaTheme="minorHAnsi"/>
          <w:color w:val="000000"/>
          <w:sz w:val="22"/>
          <w:szCs w:val="22"/>
          <w:lang w:eastAsia="en-US"/>
        </w:rPr>
        <w:t>funkcija sutrikusi</w:t>
      </w:r>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49E6E645" w14:textId="77777777" w:rsidR="00E86446" w:rsidRDefault="00345E63">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Jums tinka bent vienas iš pirmiau nurodytų punktų, kreipkitės į gydytoją dėl tolesnių nurodymų.</w:t>
      </w:r>
    </w:p>
    <w:p w14:paraId="3A1CB1A5"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Trumpam nustokite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jeigu Jums yra būklė, kuri gali būti susijusi su dehidratacija </w:t>
      </w:r>
      <w:r>
        <w:rPr>
          <w:rFonts w:eastAsiaTheme="minorHAnsi"/>
          <w:color w:val="000000"/>
          <w:sz w:val="22"/>
          <w:szCs w:val="22"/>
          <w:lang w:eastAsia="en-US"/>
        </w:rPr>
        <w:t>(reikšmingu organizmo skysčių netekimu), pvz., sunkus vėmimas, viduriavimas, karščiavimas, karščio poveikis arba mažesnis nei įprastai skysčių suvartojimas. Kreipkitės į gydytoją dėl tolesnių nurodymų.</w:t>
      </w:r>
    </w:p>
    <w:p w14:paraId="79D7D2D7" w14:textId="77777777" w:rsidR="00E86446" w:rsidRDefault="00E86446">
      <w:pPr>
        <w:widowControl w:val="0"/>
        <w:numPr>
          <w:ilvl w:val="12"/>
          <w:numId w:val="0"/>
        </w:numPr>
        <w:ind w:right="-2"/>
        <w:rPr>
          <w:rFonts w:eastAsiaTheme="minorHAnsi"/>
          <w:color w:val="000000"/>
          <w:sz w:val="22"/>
          <w:szCs w:val="22"/>
          <w:lang w:eastAsia="en-US"/>
        </w:rPr>
      </w:pPr>
    </w:p>
    <w:p w14:paraId="67C08261"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Nustokite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ir nedelsdami kreipkitės į gydytoją arba artimiausią ligoninę, jeigu Jums pasireiškė pieno rūgšties </w:t>
      </w:r>
      <w:proofErr w:type="spellStart"/>
      <w:r>
        <w:rPr>
          <w:rFonts w:eastAsiaTheme="minorHAnsi"/>
          <w:b/>
          <w:bCs/>
          <w:color w:val="000000"/>
          <w:sz w:val="22"/>
          <w:szCs w:val="22"/>
          <w:lang w:eastAsia="en-US"/>
        </w:rPr>
        <w:t>acidozės</w:t>
      </w:r>
      <w:proofErr w:type="spellEnd"/>
      <w:r>
        <w:rPr>
          <w:rFonts w:eastAsiaTheme="minorHAnsi"/>
          <w:b/>
          <w:bCs/>
          <w:color w:val="000000"/>
          <w:sz w:val="22"/>
          <w:szCs w:val="22"/>
          <w:lang w:eastAsia="en-US"/>
        </w:rPr>
        <w:t xml:space="preserve"> simptomų</w:t>
      </w:r>
      <w:r>
        <w:rPr>
          <w:rFonts w:eastAsiaTheme="minorHAnsi"/>
          <w:color w:val="000000"/>
          <w:sz w:val="22"/>
          <w:szCs w:val="22"/>
          <w:lang w:eastAsia="en-US"/>
        </w:rPr>
        <w:t xml:space="preserve">, nes ši būklė gali sukelti komą. </w:t>
      </w:r>
    </w:p>
    <w:p w14:paraId="5F56C23D" w14:textId="77777777" w:rsidR="00E86446" w:rsidRDefault="00345E63">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gali būti:</w:t>
      </w:r>
    </w:p>
    <w:p w14:paraId="1E6699CB" w14:textId="1A6F8ECA" w:rsidR="00E86446" w:rsidRDefault="00345E63">
      <w:pPr>
        <w:widowControl w:val="0"/>
        <w:numPr>
          <w:ilvl w:val="0"/>
          <w:numId w:val="6"/>
        </w:numPr>
        <w:tabs>
          <w:tab w:val="left" w:pos="851"/>
        </w:tabs>
        <w:ind w:left="851" w:hanging="491"/>
        <w:contextualSpacing/>
        <w:rPr>
          <w:noProof/>
          <w:sz w:val="22"/>
          <w:szCs w:val="22"/>
          <w:lang w:val="en-GB" w:eastAsia="en-US"/>
        </w:rPr>
      </w:pPr>
      <w:r>
        <w:rPr>
          <w:noProof/>
          <w:sz w:val="22"/>
          <w:szCs w:val="22"/>
          <w:lang w:val="en-GB" w:eastAsia="en-US"/>
        </w:rPr>
        <w:t>vėmimas</w:t>
      </w:r>
      <w:r w:rsidR="004B1CA5">
        <w:rPr>
          <w:noProof/>
          <w:sz w:val="22"/>
          <w:szCs w:val="22"/>
          <w:lang w:val="en-GB" w:eastAsia="en-US"/>
        </w:rPr>
        <w:t>;</w:t>
      </w:r>
    </w:p>
    <w:p w14:paraId="6126CF58" w14:textId="64D56943" w:rsidR="00E86446" w:rsidRDefault="00345E63">
      <w:pPr>
        <w:widowControl w:val="0"/>
        <w:numPr>
          <w:ilvl w:val="0"/>
          <w:numId w:val="6"/>
        </w:numPr>
        <w:tabs>
          <w:tab w:val="left" w:pos="851"/>
        </w:tabs>
        <w:ind w:left="851" w:hanging="491"/>
        <w:contextualSpacing/>
        <w:rPr>
          <w:noProof/>
          <w:sz w:val="22"/>
          <w:szCs w:val="22"/>
          <w:lang w:val="en-GB" w:eastAsia="en-US"/>
        </w:rPr>
      </w:pPr>
      <w:r>
        <w:rPr>
          <w:rFonts w:eastAsiaTheme="minorHAnsi"/>
          <w:color w:val="000000"/>
          <w:sz w:val="22"/>
          <w:szCs w:val="22"/>
          <w:lang w:eastAsia="en-US"/>
        </w:rPr>
        <w:t>pilvo skausmas</w:t>
      </w:r>
      <w:r w:rsidR="004B1CA5">
        <w:rPr>
          <w:rFonts w:eastAsiaTheme="minorHAnsi"/>
          <w:color w:val="000000"/>
          <w:sz w:val="22"/>
          <w:szCs w:val="22"/>
          <w:lang w:eastAsia="en-US"/>
        </w:rPr>
        <w:t>;</w:t>
      </w:r>
    </w:p>
    <w:p w14:paraId="28ED5191" w14:textId="348B6CEB" w:rsidR="00E86446" w:rsidRDefault="00345E63">
      <w:pPr>
        <w:widowControl w:val="0"/>
        <w:numPr>
          <w:ilvl w:val="0"/>
          <w:numId w:val="6"/>
        </w:numPr>
        <w:tabs>
          <w:tab w:val="left" w:pos="851"/>
        </w:tabs>
        <w:ind w:left="851" w:hanging="491"/>
        <w:contextualSpacing/>
        <w:rPr>
          <w:noProof/>
          <w:sz w:val="22"/>
          <w:szCs w:val="22"/>
          <w:lang w:val="en-GB" w:eastAsia="en-US"/>
        </w:rPr>
      </w:pPr>
      <w:r>
        <w:rPr>
          <w:rFonts w:eastAsiaTheme="minorHAnsi"/>
          <w:color w:val="000000"/>
          <w:sz w:val="22"/>
          <w:szCs w:val="22"/>
          <w:lang w:eastAsia="en-US"/>
        </w:rPr>
        <w:t>raumenų mėšlungis</w:t>
      </w:r>
      <w:r w:rsidR="004B1CA5">
        <w:rPr>
          <w:rFonts w:eastAsiaTheme="minorHAnsi"/>
          <w:color w:val="000000"/>
          <w:sz w:val="22"/>
          <w:szCs w:val="22"/>
          <w:lang w:eastAsia="en-US"/>
        </w:rPr>
        <w:t>;</w:t>
      </w:r>
    </w:p>
    <w:p w14:paraId="335EDF0D" w14:textId="1743A771" w:rsidR="00E86446" w:rsidRPr="0073443F" w:rsidRDefault="00345E63">
      <w:pPr>
        <w:widowControl w:val="0"/>
        <w:numPr>
          <w:ilvl w:val="0"/>
          <w:numId w:val="6"/>
        </w:numPr>
        <w:tabs>
          <w:tab w:val="left" w:pos="851"/>
        </w:tabs>
        <w:ind w:left="851" w:hanging="491"/>
        <w:contextualSpacing/>
        <w:rPr>
          <w:noProof/>
          <w:sz w:val="22"/>
          <w:szCs w:val="22"/>
          <w:lang w:val="pt-PT" w:eastAsia="en-US"/>
        </w:rPr>
      </w:pPr>
      <w:r>
        <w:rPr>
          <w:rFonts w:eastAsiaTheme="minorHAnsi"/>
          <w:color w:val="000000"/>
          <w:sz w:val="22"/>
          <w:szCs w:val="22"/>
          <w:lang w:eastAsia="en-US"/>
        </w:rPr>
        <w:t>bendras prastos savijautos pojūtis su dideliu nuovargiu</w:t>
      </w:r>
      <w:r w:rsidR="004B1CA5">
        <w:rPr>
          <w:rFonts w:eastAsiaTheme="minorHAnsi"/>
          <w:color w:val="000000"/>
          <w:sz w:val="22"/>
          <w:szCs w:val="22"/>
          <w:lang w:eastAsia="en-US"/>
        </w:rPr>
        <w:t>;</w:t>
      </w:r>
    </w:p>
    <w:p w14:paraId="599FB21D" w14:textId="2C467BFE" w:rsidR="00E86446" w:rsidRDefault="00345E63">
      <w:pPr>
        <w:widowControl w:val="0"/>
        <w:numPr>
          <w:ilvl w:val="0"/>
          <w:numId w:val="6"/>
        </w:numPr>
        <w:tabs>
          <w:tab w:val="left" w:pos="851"/>
        </w:tabs>
        <w:ind w:left="851" w:hanging="491"/>
        <w:contextualSpacing/>
        <w:rPr>
          <w:noProof/>
          <w:sz w:val="22"/>
          <w:szCs w:val="22"/>
          <w:lang w:val="en-GB" w:eastAsia="en-US"/>
        </w:rPr>
      </w:pPr>
      <w:r>
        <w:rPr>
          <w:rFonts w:eastAsiaTheme="minorHAnsi"/>
          <w:color w:val="000000"/>
          <w:sz w:val="22"/>
          <w:szCs w:val="22"/>
          <w:lang w:eastAsia="en-US"/>
        </w:rPr>
        <w:t>pasunkėjęs kvėpavimas</w:t>
      </w:r>
      <w:r w:rsidR="004B1CA5">
        <w:rPr>
          <w:rFonts w:eastAsiaTheme="minorHAnsi"/>
          <w:color w:val="000000"/>
          <w:sz w:val="22"/>
          <w:szCs w:val="22"/>
          <w:lang w:eastAsia="en-US"/>
        </w:rPr>
        <w:t>;</w:t>
      </w:r>
    </w:p>
    <w:p w14:paraId="5E80EBCF" w14:textId="77777777" w:rsidR="00E86446" w:rsidRPr="0073443F" w:rsidRDefault="00345E63">
      <w:pPr>
        <w:widowControl w:val="0"/>
        <w:numPr>
          <w:ilvl w:val="0"/>
          <w:numId w:val="6"/>
        </w:numPr>
        <w:tabs>
          <w:tab w:val="left" w:pos="851"/>
        </w:tabs>
        <w:ind w:left="851" w:hanging="491"/>
        <w:contextualSpacing/>
        <w:rPr>
          <w:noProof/>
          <w:sz w:val="22"/>
          <w:szCs w:val="22"/>
          <w:lang w:val="pt-PT" w:eastAsia="en-US"/>
        </w:rPr>
      </w:pPr>
      <w:r>
        <w:rPr>
          <w:rFonts w:eastAsiaTheme="minorHAnsi"/>
          <w:color w:val="000000"/>
          <w:sz w:val="22"/>
          <w:szCs w:val="22"/>
          <w:lang w:eastAsia="en-US"/>
        </w:rPr>
        <w:t>sumažėjusi kūno temperatūra ir retas širdies plakimas.</w:t>
      </w:r>
    </w:p>
    <w:p w14:paraId="12E345E9" w14:textId="77777777" w:rsidR="00E86446" w:rsidRDefault="00E86446">
      <w:pPr>
        <w:autoSpaceDE w:val="0"/>
        <w:autoSpaceDN w:val="0"/>
        <w:adjustRightInd w:val="0"/>
        <w:rPr>
          <w:rFonts w:eastAsiaTheme="minorHAnsi"/>
          <w:color w:val="000000"/>
          <w:sz w:val="22"/>
          <w:szCs w:val="22"/>
          <w:lang w:eastAsia="en-US"/>
        </w:rPr>
      </w:pPr>
    </w:p>
    <w:p w14:paraId="33FDA9BA" w14:textId="69594284"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rimtas sutrikimas, kuris turi būti gydomas ligoninėje.</w:t>
      </w:r>
    </w:p>
    <w:p w14:paraId="2565133F" w14:textId="77777777" w:rsidR="00E86446" w:rsidRDefault="00E86446">
      <w:pPr>
        <w:autoSpaceDE w:val="0"/>
        <w:autoSpaceDN w:val="0"/>
        <w:adjustRightInd w:val="0"/>
        <w:rPr>
          <w:rFonts w:eastAsiaTheme="minorHAnsi"/>
          <w:b/>
          <w:bCs/>
          <w:color w:val="000000"/>
          <w:sz w:val="22"/>
          <w:szCs w:val="22"/>
          <w:lang w:eastAsia="en-US"/>
        </w:rPr>
      </w:pPr>
    </w:p>
    <w:p w14:paraId="31A02716"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Nedelsdami kreipkitės į gydytoją dėl tolesnių nurodymų, jeigu:</w:t>
      </w:r>
    </w:p>
    <w:p w14:paraId="6808509B" w14:textId="2059A696" w:rsidR="00E86446" w:rsidRPr="003171F5" w:rsidRDefault="00345E63">
      <w:pPr>
        <w:numPr>
          <w:ilvl w:val="0"/>
          <w:numId w:val="30"/>
        </w:numPr>
        <w:contextualSpacing/>
        <w:rPr>
          <w:b/>
          <w:bCs/>
          <w:sz w:val="22"/>
          <w:szCs w:val="18"/>
          <w:lang w:eastAsia="sl-SI"/>
        </w:rPr>
      </w:pPr>
      <w:r>
        <w:rPr>
          <w:rFonts w:eastAsiaTheme="minorHAnsi"/>
          <w:color w:val="000000"/>
          <w:sz w:val="22"/>
          <w:szCs w:val="22"/>
          <w:lang w:eastAsia="en-US"/>
        </w:rPr>
        <w:t xml:space="preserve">Jums diagnozuota genetiškai paveldima liga, pažeidžianti </w:t>
      </w:r>
      <w:proofErr w:type="spellStart"/>
      <w:r>
        <w:rPr>
          <w:rFonts w:eastAsiaTheme="minorHAnsi"/>
          <w:color w:val="000000"/>
          <w:sz w:val="22"/>
          <w:szCs w:val="22"/>
          <w:lang w:eastAsia="en-US"/>
        </w:rPr>
        <w:t>mitochondrijas</w:t>
      </w:r>
      <w:proofErr w:type="spellEnd"/>
      <w:r>
        <w:rPr>
          <w:rFonts w:eastAsiaTheme="minorHAnsi"/>
          <w:color w:val="000000"/>
          <w:sz w:val="22"/>
          <w:szCs w:val="22"/>
          <w:lang w:eastAsia="en-US"/>
        </w:rPr>
        <w:t xml:space="preserve"> (energiją gaminančius ląstelių komponentus), pvz., </w:t>
      </w:r>
      <w:r>
        <w:rPr>
          <w:rFonts w:eastAsiaTheme="minorHAnsi"/>
          <w:i/>
          <w:iCs/>
          <w:color w:val="000000"/>
          <w:sz w:val="22"/>
          <w:szCs w:val="22"/>
          <w:lang w:eastAsia="en-US"/>
        </w:rPr>
        <w:t xml:space="preserve">MELAS </w:t>
      </w:r>
      <w:r>
        <w:rPr>
          <w:rFonts w:eastAsiaTheme="minorHAnsi"/>
          <w:color w:val="000000"/>
          <w:sz w:val="22"/>
          <w:szCs w:val="22"/>
          <w:lang w:eastAsia="en-US"/>
        </w:rPr>
        <w:t>sindromas (</w:t>
      </w:r>
      <w:proofErr w:type="spellStart"/>
      <w:r>
        <w:rPr>
          <w:rFonts w:eastAsiaTheme="minorHAnsi"/>
          <w:color w:val="000000"/>
          <w:sz w:val="22"/>
          <w:szCs w:val="22"/>
          <w:lang w:eastAsia="en-US"/>
        </w:rPr>
        <w:t>mitochondrinė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encefalopatija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miopatija</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ir į insultą panašūs epizodai) arba iš motinos paveldimas diabetas ir kurtumas (</w:t>
      </w:r>
      <w:r>
        <w:rPr>
          <w:rFonts w:eastAsiaTheme="minorHAnsi"/>
          <w:i/>
          <w:iCs/>
          <w:color w:val="000000"/>
          <w:sz w:val="22"/>
          <w:szCs w:val="22"/>
          <w:lang w:eastAsia="en-US"/>
        </w:rPr>
        <w:t>MIDD</w:t>
      </w:r>
      <w:r>
        <w:rPr>
          <w:rFonts w:eastAsiaTheme="minorHAnsi"/>
          <w:color w:val="000000"/>
          <w:sz w:val="22"/>
          <w:szCs w:val="22"/>
          <w:lang w:eastAsia="en-US"/>
        </w:rPr>
        <w:t>)</w:t>
      </w:r>
      <w:r w:rsidR="00217F6C">
        <w:rPr>
          <w:rFonts w:eastAsiaTheme="minorHAnsi"/>
          <w:color w:val="000000"/>
          <w:sz w:val="22"/>
          <w:szCs w:val="22"/>
          <w:lang w:eastAsia="en-US"/>
        </w:rPr>
        <w:t>;</w:t>
      </w:r>
    </w:p>
    <w:p w14:paraId="22092D71" w14:textId="40E1FBC3" w:rsidR="00E86446" w:rsidRPr="003171F5" w:rsidRDefault="00217F6C">
      <w:pPr>
        <w:numPr>
          <w:ilvl w:val="0"/>
          <w:numId w:val="30"/>
        </w:numPr>
        <w:contextualSpacing/>
        <w:rPr>
          <w:b/>
          <w:bCs/>
          <w:sz w:val="22"/>
          <w:szCs w:val="18"/>
          <w:lang w:eastAsia="sl-SI"/>
        </w:rPr>
      </w:pPr>
      <w:r>
        <w:rPr>
          <w:rFonts w:eastAsiaTheme="minorHAnsi"/>
          <w:color w:val="000000"/>
          <w:sz w:val="22"/>
          <w:szCs w:val="22"/>
          <w:lang w:eastAsia="en-US"/>
        </w:rPr>
        <w:t>p</w:t>
      </w:r>
      <w:r w:rsidR="00345E63">
        <w:rPr>
          <w:rFonts w:eastAsiaTheme="minorHAnsi"/>
          <w:color w:val="000000"/>
          <w:sz w:val="22"/>
          <w:szCs w:val="22"/>
          <w:lang w:eastAsia="en-US"/>
        </w:rPr>
        <w:t xml:space="preserve">radėjus vartoti </w:t>
      </w:r>
      <w:proofErr w:type="spellStart"/>
      <w:r w:rsidR="00345E63">
        <w:rPr>
          <w:rFonts w:eastAsiaTheme="minorHAnsi"/>
          <w:color w:val="000000"/>
          <w:sz w:val="22"/>
          <w:szCs w:val="22"/>
          <w:lang w:eastAsia="en-US"/>
        </w:rPr>
        <w:t>metformin</w:t>
      </w:r>
      <w:r>
        <w:rPr>
          <w:rFonts w:eastAsiaTheme="minorHAnsi"/>
          <w:color w:val="000000"/>
          <w:sz w:val="22"/>
          <w:szCs w:val="22"/>
          <w:lang w:eastAsia="en-US"/>
        </w:rPr>
        <w:t>o</w:t>
      </w:r>
      <w:proofErr w:type="spellEnd"/>
      <w:r w:rsidR="00345E63">
        <w:rPr>
          <w:rFonts w:eastAsiaTheme="minorHAnsi"/>
          <w:color w:val="000000"/>
          <w:sz w:val="22"/>
          <w:szCs w:val="22"/>
          <w:lang w:eastAsia="en-US"/>
        </w:rPr>
        <w:t>, Jums pasireiškė bet kuris iš šių simptomų: traukuli</w:t>
      </w:r>
      <w:r>
        <w:rPr>
          <w:rFonts w:eastAsiaTheme="minorHAnsi"/>
          <w:color w:val="000000"/>
          <w:sz w:val="22"/>
          <w:szCs w:val="22"/>
          <w:lang w:eastAsia="en-US"/>
        </w:rPr>
        <w:t>ai</w:t>
      </w:r>
      <w:r w:rsidR="00345E63">
        <w:rPr>
          <w:rFonts w:eastAsiaTheme="minorHAnsi"/>
          <w:color w:val="000000"/>
          <w:sz w:val="22"/>
          <w:szCs w:val="22"/>
          <w:lang w:eastAsia="en-US"/>
        </w:rPr>
        <w:t>, pablogėjo pažintiniai gebėjimai, sutriko kūno judesiai, atsirado simptomų, rodančių nervų pažeidimą (pvz., skausmas arba tirpimas), migrena ir kurtumas.</w:t>
      </w:r>
    </w:p>
    <w:p w14:paraId="55210770" w14:textId="77777777" w:rsidR="00E86446" w:rsidRDefault="00E86446">
      <w:pPr>
        <w:widowControl w:val="0"/>
        <w:numPr>
          <w:ilvl w:val="12"/>
          <w:numId w:val="0"/>
        </w:numPr>
        <w:ind w:right="-2"/>
        <w:rPr>
          <w:snapToGrid w:val="0"/>
          <w:sz w:val="22"/>
          <w:szCs w:val="22"/>
          <w:lang w:eastAsia="en-US"/>
        </w:rPr>
      </w:pPr>
    </w:p>
    <w:p w14:paraId="6F274726"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lastRenderedPageBreak/>
        <w:t xml:space="preserve">Prieš pradėdami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ir jį vartodami, pasakykite gydytojui, vaistininkui arba slaugytojai:</w:t>
      </w:r>
    </w:p>
    <w:p w14:paraId="50E1797C" w14:textId="3884519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sergate 1 tipo diabetu (juo dažniausiai susergama jauname amžiuje, o sergant organizmas visai negamina insulino) – šiai ligai gydyti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vartoti negalima</w:t>
      </w:r>
      <w:r w:rsidR="00ED6394">
        <w:rPr>
          <w:rFonts w:eastAsiaTheme="minorHAnsi"/>
          <w:color w:val="000000"/>
          <w:sz w:val="22"/>
          <w:szCs w:val="22"/>
          <w:lang w:eastAsia="en-US"/>
        </w:rPr>
        <w:t>;</w:t>
      </w:r>
    </w:p>
    <w:p w14:paraId="74FE6D79" w14:textId="2A37ABE6"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pradė</w:t>
      </w:r>
      <w:r w:rsidR="00ED6394">
        <w:rPr>
          <w:rFonts w:eastAsiaTheme="minorHAnsi"/>
          <w:color w:val="000000"/>
          <w:sz w:val="22"/>
          <w:szCs w:val="22"/>
          <w:lang w:eastAsia="en-US"/>
        </w:rPr>
        <w:t>jo</w:t>
      </w:r>
      <w:r>
        <w:rPr>
          <w:rFonts w:eastAsiaTheme="minorHAnsi"/>
          <w:color w:val="000000"/>
          <w:sz w:val="22"/>
          <w:szCs w:val="22"/>
          <w:lang w:eastAsia="en-US"/>
        </w:rPr>
        <w:t xml:space="preserve"> greitai mažėti Jūsų svoris, pasirei</w:t>
      </w:r>
      <w:r w:rsidR="00ED6394">
        <w:rPr>
          <w:rFonts w:eastAsiaTheme="minorHAnsi"/>
          <w:color w:val="000000"/>
          <w:sz w:val="22"/>
          <w:szCs w:val="22"/>
          <w:lang w:eastAsia="en-US"/>
        </w:rPr>
        <w:t>škia</w:t>
      </w:r>
      <w:r>
        <w:rPr>
          <w:rFonts w:eastAsiaTheme="minorHAnsi"/>
          <w:color w:val="000000"/>
          <w:sz w:val="22"/>
          <w:szCs w:val="22"/>
          <w:lang w:eastAsia="en-US"/>
        </w:rPr>
        <w:t xml:space="preserve"> pykinimas ar vėmimas, pilvo skausmas, didelis troškulys, dažnas ir gilus kvėpavimas, </w:t>
      </w:r>
      <w:r w:rsidR="00021FB8">
        <w:rPr>
          <w:rFonts w:eastAsiaTheme="minorHAnsi"/>
          <w:color w:val="000000"/>
          <w:sz w:val="22"/>
          <w:szCs w:val="22"/>
          <w:lang w:eastAsia="en-US"/>
        </w:rPr>
        <w:t>sumišimas</w:t>
      </w:r>
      <w:r>
        <w:rPr>
          <w:rFonts w:eastAsiaTheme="minorHAnsi"/>
          <w:color w:val="000000"/>
          <w:sz w:val="22"/>
          <w:szCs w:val="22"/>
          <w:lang w:eastAsia="en-US"/>
        </w:rPr>
        <w:t xml:space="preserve">, neįprastas mieguistumas ar </w:t>
      </w:r>
      <w:r w:rsidR="00FA3C6F">
        <w:rPr>
          <w:rFonts w:eastAsiaTheme="minorHAnsi"/>
          <w:color w:val="000000"/>
          <w:sz w:val="22"/>
          <w:szCs w:val="22"/>
          <w:lang w:eastAsia="en-US"/>
        </w:rPr>
        <w:t>nuovargis</w:t>
      </w:r>
      <w:r>
        <w:rPr>
          <w:rFonts w:eastAsiaTheme="minorHAnsi"/>
          <w:color w:val="000000"/>
          <w:sz w:val="22"/>
          <w:szCs w:val="22"/>
          <w:lang w:eastAsia="en-US"/>
        </w:rPr>
        <w:t xml:space="preserve">, saldus kvapas iš burnos, saldus ar metalo skonis, </w:t>
      </w:r>
      <w:proofErr w:type="spellStart"/>
      <w:r>
        <w:rPr>
          <w:rFonts w:eastAsiaTheme="minorHAnsi"/>
          <w:color w:val="000000"/>
          <w:sz w:val="22"/>
          <w:szCs w:val="22"/>
          <w:lang w:eastAsia="en-US"/>
        </w:rPr>
        <w:t>pakist</w:t>
      </w:r>
      <w:r w:rsidR="00F70ECD">
        <w:rPr>
          <w:rFonts w:eastAsiaTheme="minorHAnsi"/>
          <w:color w:val="000000"/>
          <w:sz w:val="22"/>
          <w:szCs w:val="22"/>
          <w:lang w:eastAsia="en-US"/>
        </w:rPr>
        <w:t>ęs</w:t>
      </w:r>
      <w:proofErr w:type="spellEnd"/>
      <w:r>
        <w:rPr>
          <w:rFonts w:eastAsiaTheme="minorHAnsi"/>
          <w:color w:val="000000"/>
          <w:sz w:val="22"/>
          <w:szCs w:val="22"/>
          <w:lang w:eastAsia="en-US"/>
        </w:rPr>
        <w:t xml:space="preserve"> šlapimo ar prakaito kvapas, nedelsdami kreipkitės į gydytoją arba vykite į artimiausią ligoninę. Šie simptomai gali rodyti diabetinę </w:t>
      </w:r>
      <w:proofErr w:type="spellStart"/>
      <w:r>
        <w:rPr>
          <w:rFonts w:eastAsiaTheme="minorHAnsi"/>
          <w:color w:val="000000"/>
          <w:sz w:val="22"/>
          <w:szCs w:val="22"/>
          <w:lang w:eastAsia="en-US"/>
        </w:rPr>
        <w:t>ketoacidozę</w:t>
      </w:r>
      <w:proofErr w:type="spellEnd"/>
      <w:r>
        <w:rPr>
          <w:rFonts w:eastAsiaTheme="minorHAnsi"/>
          <w:color w:val="000000"/>
          <w:sz w:val="22"/>
          <w:szCs w:val="22"/>
          <w:lang w:eastAsia="en-US"/>
        </w:rPr>
        <w:t xml:space="preserve"> – retą, bet sunkią ir kartais pavojingą gyvybei būklę, kuri gali pasireikšti sergant cukriniu diabetu, kai padidėja </w:t>
      </w:r>
      <w:proofErr w:type="spellStart"/>
      <w:r>
        <w:rPr>
          <w:rFonts w:eastAsiaTheme="minorHAnsi"/>
          <w:color w:val="000000"/>
          <w:sz w:val="22"/>
          <w:szCs w:val="22"/>
          <w:lang w:eastAsia="en-US"/>
        </w:rPr>
        <w:t>ketoninių</w:t>
      </w:r>
      <w:proofErr w:type="spellEnd"/>
      <w:r>
        <w:rPr>
          <w:rFonts w:eastAsiaTheme="minorHAnsi"/>
          <w:color w:val="000000"/>
          <w:sz w:val="22"/>
          <w:szCs w:val="22"/>
          <w:lang w:eastAsia="en-US"/>
        </w:rPr>
        <w:t xml:space="preserve"> kūnų kiekis kraujyje ir šlapime (tai nustatoma </w:t>
      </w:r>
      <w:r w:rsidR="00F70ECD">
        <w:rPr>
          <w:rFonts w:eastAsiaTheme="minorHAnsi"/>
          <w:color w:val="000000"/>
          <w:sz w:val="22"/>
          <w:szCs w:val="22"/>
          <w:lang w:eastAsia="en-US"/>
        </w:rPr>
        <w:t>atliekant tyrimus</w:t>
      </w:r>
      <w:r>
        <w:rPr>
          <w:rFonts w:eastAsiaTheme="minorHAnsi"/>
          <w:color w:val="000000"/>
          <w:sz w:val="22"/>
          <w:szCs w:val="22"/>
          <w:lang w:eastAsia="en-US"/>
        </w:rPr>
        <w:t>)</w:t>
      </w:r>
      <w:r w:rsidR="00F70ECD">
        <w:rPr>
          <w:rFonts w:eastAsiaTheme="minorHAnsi"/>
          <w:color w:val="000000"/>
          <w:sz w:val="22"/>
          <w:szCs w:val="22"/>
          <w:lang w:eastAsia="en-US"/>
        </w:rPr>
        <w:t>.</w:t>
      </w:r>
      <w:r>
        <w:rPr>
          <w:rFonts w:eastAsiaTheme="minorHAnsi"/>
          <w:color w:val="000000"/>
          <w:sz w:val="22"/>
          <w:szCs w:val="22"/>
          <w:lang w:eastAsia="en-US"/>
        </w:rPr>
        <w:t xml:space="preserve">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w:t>
      </w:r>
      <w:r w:rsidR="00F70ECD">
        <w:rPr>
          <w:rFonts w:eastAsiaTheme="minorHAnsi"/>
          <w:color w:val="000000"/>
          <w:sz w:val="22"/>
          <w:szCs w:val="22"/>
          <w:lang w:eastAsia="en-US"/>
        </w:rPr>
        <w:t xml:space="preserve">išsivystymo </w:t>
      </w:r>
      <w:r>
        <w:rPr>
          <w:rFonts w:eastAsiaTheme="minorHAnsi"/>
          <w:color w:val="000000"/>
          <w:sz w:val="22"/>
          <w:szCs w:val="22"/>
          <w:lang w:eastAsia="en-US"/>
        </w:rPr>
        <w:t>rizika gali padidėti ilgai badaujant, piktnaudžiaujant alkoholiniais gėrimais, netekus daug skysčių, greitai sumažinus insulino dozę arba padidėjus jo poreikiui dėl didelės apimties operacijos arba sunkios ligos</w:t>
      </w:r>
      <w:r w:rsidR="00F70ECD">
        <w:rPr>
          <w:rFonts w:eastAsiaTheme="minorHAnsi"/>
          <w:color w:val="000000"/>
          <w:sz w:val="22"/>
          <w:szCs w:val="22"/>
          <w:lang w:eastAsia="en-US"/>
        </w:rPr>
        <w:t>;</w:t>
      </w:r>
    </w:p>
    <w:p w14:paraId="5FBABC95" w14:textId="50197FFB"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w:t>
      </w:r>
      <w:r w:rsidR="00F4301D">
        <w:rPr>
          <w:rFonts w:eastAsiaTheme="minorHAnsi"/>
          <w:color w:val="000000"/>
          <w:sz w:val="22"/>
          <w:szCs w:val="22"/>
          <w:lang w:eastAsia="en-US"/>
        </w:rPr>
        <w:t>turite inkstų sutrikimų</w:t>
      </w:r>
      <w:r>
        <w:rPr>
          <w:rFonts w:eastAsiaTheme="minorHAnsi"/>
          <w:color w:val="000000"/>
          <w:sz w:val="22"/>
          <w:szCs w:val="22"/>
          <w:lang w:eastAsia="en-US"/>
        </w:rPr>
        <w:t xml:space="preserve"> (tuomet Jūsų gydytojas tirs jų funkciją)</w:t>
      </w:r>
      <w:r w:rsidR="00F4301D">
        <w:rPr>
          <w:rFonts w:eastAsiaTheme="minorHAnsi"/>
          <w:color w:val="000000"/>
          <w:sz w:val="22"/>
          <w:szCs w:val="22"/>
          <w:lang w:eastAsia="en-US"/>
        </w:rPr>
        <w:t>;</w:t>
      </w:r>
    </w:p>
    <w:p w14:paraId="19E18343" w14:textId="7D4FAD93"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gliukozės kiekis Jūsų kraujyje yra labai didelis (dėl jo gali pasireikšti dehidratacija – per didelio skysčio kiekio netekimas). Galimi dehidratacijos požymiai išvardyti 4 skyriuje. Jeigu jaučiate bent vieną iš ten išvardytų sutrikimų, apie tai pasakykite gydytojui, prieš pradėdami vartoti šio vaisto</w:t>
      </w:r>
      <w:r w:rsidR="00AF2A11">
        <w:rPr>
          <w:rFonts w:eastAsiaTheme="minorHAnsi"/>
          <w:color w:val="000000"/>
          <w:sz w:val="22"/>
          <w:szCs w:val="22"/>
          <w:lang w:eastAsia="en-US"/>
        </w:rPr>
        <w:t>;</w:t>
      </w:r>
    </w:p>
    <w:p w14:paraId="7B7560BA" w14:textId="74C2E818"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Jūs vartojate kraujospūdį mažinančių (</w:t>
      </w:r>
      <w:proofErr w:type="spellStart"/>
      <w:r>
        <w:rPr>
          <w:rFonts w:eastAsiaTheme="minorHAnsi"/>
          <w:color w:val="000000"/>
          <w:sz w:val="22"/>
          <w:szCs w:val="22"/>
          <w:lang w:eastAsia="en-US"/>
        </w:rPr>
        <w:t>antihipertenzinių</w:t>
      </w:r>
      <w:proofErr w:type="spellEnd"/>
      <w:r>
        <w:rPr>
          <w:rFonts w:eastAsiaTheme="minorHAnsi"/>
          <w:color w:val="000000"/>
          <w:sz w:val="22"/>
          <w:szCs w:val="22"/>
          <w:lang w:eastAsia="en-US"/>
        </w:rPr>
        <w:t xml:space="preserve">) vaistų arba Jūsų kraujospūdis yra ar buvo sumažėjęs (ši būklė vadinama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 xml:space="preserve">). Daugiau informacijos apie tai pateikiama žemiau, skyriuje „Kiti vaistai ir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w:t>
      </w:r>
      <w:r w:rsidR="00DD1D54">
        <w:rPr>
          <w:rFonts w:eastAsiaTheme="minorHAnsi"/>
          <w:color w:val="000000"/>
          <w:sz w:val="22"/>
          <w:szCs w:val="22"/>
          <w:lang w:eastAsia="en-US"/>
        </w:rPr>
        <w:t>;</w:t>
      </w:r>
    </w:p>
    <w:p w14:paraId="610CB308" w14:textId="10D29297"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Jums dažnai kartojasi šlapimo takų infekcijos (šis vaistas gali sukelti šlapimo takų infekcij</w:t>
      </w:r>
      <w:r w:rsidR="006F6CAB">
        <w:rPr>
          <w:rFonts w:eastAsiaTheme="minorHAnsi"/>
          <w:color w:val="000000"/>
          <w:sz w:val="22"/>
          <w:szCs w:val="22"/>
          <w:lang w:eastAsia="en-US"/>
        </w:rPr>
        <w:t>as</w:t>
      </w:r>
      <w:r>
        <w:rPr>
          <w:rFonts w:eastAsiaTheme="minorHAnsi"/>
          <w:color w:val="000000"/>
          <w:sz w:val="22"/>
          <w:szCs w:val="22"/>
          <w:lang w:eastAsia="en-US"/>
        </w:rPr>
        <w:t>, todėl gydytojas gali nuspręsti dažniau tirti Jūsų būklę. Jeigu pasirei</w:t>
      </w:r>
      <w:r w:rsidR="006F6CAB">
        <w:rPr>
          <w:rFonts w:eastAsiaTheme="minorHAnsi"/>
          <w:color w:val="000000"/>
          <w:sz w:val="22"/>
          <w:szCs w:val="22"/>
          <w:lang w:eastAsia="en-US"/>
        </w:rPr>
        <w:t>škia</w:t>
      </w:r>
      <w:r>
        <w:rPr>
          <w:rFonts w:eastAsiaTheme="minorHAnsi"/>
          <w:color w:val="000000"/>
          <w:sz w:val="22"/>
          <w:szCs w:val="22"/>
          <w:lang w:eastAsia="en-US"/>
        </w:rPr>
        <w:t xml:space="preserve"> sunki infekcija, Jūsų gydytojas gali svarstyti būtinybę laikinai pakeisti gydymą).</w:t>
      </w:r>
    </w:p>
    <w:p w14:paraId="3F3D36AA" w14:textId="77777777" w:rsidR="00E86446" w:rsidRDefault="00E86446">
      <w:pPr>
        <w:widowControl w:val="0"/>
        <w:numPr>
          <w:ilvl w:val="12"/>
          <w:numId w:val="0"/>
        </w:numPr>
        <w:ind w:left="567" w:hanging="567"/>
        <w:outlineLvl w:val="0"/>
        <w:rPr>
          <w:sz w:val="22"/>
          <w:szCs w:val="22"/>
          <w:lang w:eastAsia="en-US"/>
        </w:rPr>
      </w:pPr>
    </w:p>
    <w:p w14:paraId="2A66DBC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reikia atlikti didelę operaciją, turite nustoti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procedūros metu ir kurį laiką po procedūros. Gydytojas nuspręs, kada turite nustoti ir kada vėl pradėti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w:t>
      </w:r>
    </w:p>
    <w:p w14:paraId="470AD1E3" w14:textId="77777777" w:rsidR="00E86446" w:rsidRDefault="00E86446">
      <w:pPr>
        <w:autoSpaceDE w:val="0"/>
        <w:autoSpaceDN w:val="0"/>
        <w:adjustRightInd w:val="0"/>
        <w:rPr>
          <w:rFonts w:eastAsiaTheme="minorHAnsi"/>
          <w:color w:val="000000"/>
          <w:sz w:val="22"/>
          <w:szCs w:val="22"/>
          <w:lang w:eastAsia="en-US"/>
        </w:rPr>
      </w:pPr>
    </w:p>
    <w:p w14:paraId="0522D4D3"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Jums svarbu reguliariai tikrinti pėdas ir laikytis visų kitų sveikatos priežiūros specialistų patarimų dėl jų priežiūros.</w:t>
      </w:r>
    </w:p>
    <w:p w14:paraId="244B5096" w14:textId="77777777" w:rsidR="00E86446" w:rsidRDefault="00E86446">
      <w:pPr>
        <w:autoSpaceDE w:val="0"/>
        <w:autoSpaceDN w:val="0"/>
        <w:adjustRightInd w:val="0"/>
        <w:rPr>
          <w:rFonts w:eastAsiaTheme="minorHAnsi"/>
          <w:color w:val="000000"/>
          <w:sz w:val="22"/>
          <w:szCs w:val="22"/>
          <w:lang w:eastAsia="en-US"/>
        </w:rPr>
      </w:pPr>
    </w:p>
    <w:p w14:paraId="785F4B3A"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turite kurią nors iš aukščiau išvardytų problemų arba dėl to abejojate, pasitarkite su gydytoju, vaistininku arba slaugytoja, prieš pradėdami vartoti šio vaisto.</w:t>
      </w:r>
    </w:p>
    <w:p w14:paraId="7AD5EDDF" w14:textId="77777777" w:rsidR="00E86446" w:rsidRDefault="00E86446">
      <w:pPr>
        <w:autoSpaceDE w:val="0"/>
        <w:autoSpaceDN w:val="0"/>
        <w:adjustRightInd w:val="0"/>
        <w:rPr>
          <w:rFonts w:eastAsiaTheme="minorHAnsi"/>
          <w:color w:val="000000"/>
          <w:sz w:val="22"/>
          <w:szCs w:val="22"/>
          <w:lang w:eastAsia="en-US"/>
        </w:rPr>
      </w:pPr>
    </w:p>
    <w:p w14:paraId="7C138350" w14:textId="4D15C51B"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Nedelsdami kreipkitės į savo gydytoją, jeigu Jums pasirei</w:t>
      </w:r>
      <w:r w:rsidR="00540CDB">
        <w:rPr>
          <w:rFonts w:eastAsiaTheme="minorHAnsi"/>
          <w:color w:val="000000"/>
          <w:sz w:val="22"/>
          <w:szCs w:val="22"/>
          <w:lang w:eastAsia="en-US"/>
        </w:rPr>
        <w:t>škia</w:t>
      </w:r>
      <w:r>
        <w:rPr>
          <w:rFonts w:eastAsiaTheme="minorHAnsi"/>
          <w:color w:val="000000"/>
          <w:sz w:val="22"/>
          <w:szCs w:val="22"/>
          <w:lang w:eastAsia="en-US"/>
        </w:rPr>
        <w:t xml:space="preserve"> skausmas lyties organų srityje arba srityje tarp lyties organų ir išangės</w:t>
      </w:r>
      <w:r w:rsidR="00540CDB">
        <w:rPr>
          <w:rFonts w:eastAsiaTheme="minorHAnsi"/>
          <w:color w:val="000000"/>
          <w:sz w:val="22"/>
          <w:szCs w:val="22"/>
          <w:lang w:eastAsia="en-US"/>
        </w:rPr>
        <w:t>,</w:t>
      </w:r>
      <w:r>
        <w:rPr>
          <w:rFonts w:eastAsiaTheme="minorHAnsi"/>
          <w:color w:val="000000"/>
          <w:sz w:val="22"/>
          <w:szCs w:val="22"/>
          <w:lang w:eastAsia="en-US"/>
        </w:rPr>
        <w:t xml:space="preserve"> arba tos vietos taptų skausmingos, jos paraustų arba patintų, taip pat pradėtumėte karščiuoti arba pasijustumėte blogai. Šie simptomai gali būti retos, bet rimtos ar net grėsmę gyvybei keliančios infekcijos, vadinamos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nekrozuojančiu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fascitu</w:t>
      </w:r>
      <w:proofErr w:type="spellEnd"/>
      <w:r>
        <w:rPr>
          <w:rFonts w:eastAsiaTheme="minorHAnsi"/>
          <w:color w:val="000000"/>
          <w:sz w:val="22"/>
          <w:szCs w:val="22"/>
          <w:lang w:eastAsia="en-US"/>
        </w:rPr>
        <w:t xml:space="preserve"> arba </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 xml:space="preserve">gangrena, kuri sunaikina poodinį audinį, požymis. </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gangreną būtina nedelsiant gydyti.</w:t>
      </w:r>
    </w:p>
    <w:p w14:paraId="13A18548" w14:textId="77777777" w:rsidR="00E86446" w:rsidRDefault="00E86446">
      <w:pPr>
        <w:autoSpaceDE w:val="0"/>
        <w:autoSpaceDN w:val="0"/>
        <w:adjustRightInd w:val="0"/>
        <w:rPr>
          <w:rFonts w:eastAsiaTheme="minorHAnsi"/>
          <w:color w:val="000000"/>
          <w:sz w:val="22"/>
          <w:szCs w:val="22"/>
          <w:lang w:eastAsia="en-US"/>
        </w:rPr>
      </w:pPr>
    </w:p>
    <w:p w14:paraId="3682E051"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Inkstų funkcija</w:t>
      </w:r>
    </w:p>
    <w:p w14:paraId="55E45000"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esate senyvo amžiaus ir (arba) Jūsų inkstų funkcija yra susilpnėjusi, gydymo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metu gydytojas tikrins Jūsų inkstų funkciją mažiausiai kartą per metus arba dažniau.</w:t>
      </w:r>
    </w:p>
    <w:p w14:paraId="32DE0244" w14:textId="77777777" w:rsidR="00E86446" w:rsidRDefault="00E86446">
      <w:pPr>
        <w:autoSpaceDE w:val="0"/>
        <w:autoSpaceDN w:val="0"/>
        <w:adjustRightInd w:val="0"/>
        <w:rPr>
          <w:rFonts w:eastAsiaTheme="minorHAnsi"/>
          <w:color w:val="000000"/>
          <w:sz w:val="22"/>
          <w:szCs w:val="22"/>
          <w:lang w:eastAsia="en-US"/>
        </w:rPr>
      </w:pPr>
    </w:p>
    <w:p w14:paraId="0A09C49F"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Gliukozė šlapime</w:t>
      </w:r>
    </w:p>
    <w:p w14:paraId="33C8BA0A" w14:textId="0979204E"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Dėl šio vaisto poveikio</w:t>
      </w:r>
      <w:r w:rsidR="00E3500D">
        <w:rPr>
          <w:rFonts w:eastAsiaTheme="minorHAnsi"/>
          <w:color w:val="000000"/>
          <w:sz w:val="22"/>
          <w:szCs w:val="22"/>
          <w:lang w:eastAsia="en-US"/>
        </w:rPr>
        <w:t>, vartojant šį vaistą,</w:t>
      </w:r>
      <w:r>
        <w:rPr>
          <w:rFonts w:eastAsiaTheme="minorHAnsi"/>
          <w:color w:val="000000"/>
          <w:sz w:val="22"/>
          <w:szCs w:val="22"/>
          <w:lang w:eastAsia="en-US"/>
        </w:rPr>
        <w:t xml:space="preserve"> cukraus (gliukozės) šlapime mėginys bus teigiamas.</w:t>
      </w:r>
    </w:p>
    <w:p w14:paraId="3695E6E7" w14:textId="77777777" w:rsidR="00E86446" w:rsidRDefault="00E86446">
      <w:pPr>
        <w:autoSpaceDE w:val="0"/>
        <w:autoSpaceDN w:val="0"/>
        <w:adjustRightInd w:val="0"/>
        <w:rPr>
          <w:rFonts w:eastAsiaTheme="minorHAnsi"/>
          <w:color w:val="000000"/>
          <w:sz w:val="22"/>
          <w:szCs w:val="22"/>
          <w:lang w:eastAsia="en-US"/>
        </w:rPr>
      </w:pPr>
    </w:p>
    <w:p w14:paraId="2FC7FA85"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Vaikams ir paaugliams</w:t>
      </w:r>
    </w:p>
    <w:p w14:paraId="25E2888D"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Vaikams ir paaugliams iki 18 metų šio vaisto vartoti nerekomenduojama, kadangi jo poveikis šiems pacientams netirtas.</w:t>
      </w:r>
    </w:p>
    <w:p w14:paraId="7E9D4097" w14:textId="77777777" w:rsidR="00E86446" w:rsidRDefault="00E86446">
      <w:pPr>
        <w:autoSpaceDE w:val="0"/>
        <w:autoSpaceDN w:val="0"/>
        <w:adjustRightInd w:val="0"/>
        <w:rPr>
          <w:rFonts w:eastAsiaTheme="minorHAnsi"/>
          <w:color w:val="000000"/>
          <w:sz w:val="22"/>
          <w:szCs w:val="22"/>
          <w:lang w:eastAsia="en-US"/>
        </w:rPr>
      </w:pPr>
    </w:p>
    <w:p w14:paraId="71C3E9F9" w14:textId="77777777" w:rsidR="00E86446" w:rsidRDefault="00345E63">
      <w:pPr>
        <w:widowControl w:val="0"/>
        <w:numPr>
          <w:ilvl w:val="12"/>
          <w:numId w:val="0"/>
        </w:numPr>
        <w:ind w:left="567" w:hanging="567"/>
        <w:outlineLvl w:val="0"/>
        <w:rPr>
          <w:rFonts w:eastAsiaTheme="minorHAnsi"/>
          <w:b/>
          <w:bCs/>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Mexdagry</w:t>
      </w:r>
      <w:proofErr w:type="spellEnd"/>
    </w:p>
    <w:p w14:paraId="03F3DEE3" w14:textId="77777777" w:rsidR="00E86446" w:rsidRDefault="00E86446">
      <w:pPr>
        <w:widowControl w:val="0"/>
        <w:numPr>
          <w:ilvl w:val="12"/>
          <w:numId w:val="0"/>
        </w:numPr>
        <w:ind w:left="567" w:hanging="567"/>
        <w:outlineLvl w:val="0"/>
        <w:rPr>
          <w:rFonts w:eastAsiaTheme="minorHAnsi"/>
          <w:b/>
          <w:bCs/>
          <w:color w:val="000000"/>
          <w:sz w:val="22"/>
          <w:szCs w:val="22"/>
          <w:lang w:eastAsia="en-US"/>
        </w:rPr>
      </w:pPr>
    </w:p>
    <w:p w14:paraId="3DBA4D75"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reikia į kraują suleisti kontrastinės medžiagos, kurios sudėtyje yra jodo, pvz., atliekant rentgeno arba skenavimo tyrimą, prieš leidžiant arba leidimo metu turite nustoti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Gydytojas nuspręs, kada turite nustoti ir kada vėl pradėti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w:t>
      </w:r>
    </w:p>
    <w:p w14:paraId="2F3A54AD" w14:textId="77777777" w:rsidR="00E86446" w:rsidRDefault="00E86446">
      <w:pPr>
        <w:autoSpaceDE w:val="0"/>
        <w:autoSpaceDN w:val="0"/>
        <w:adjustRightInd w:val="0"/>
        <w:rPr>
          <w:rFonts w:eastAsiaTheme="minorHAnsi"/>
          <w:color w:val="000000"/>
          <w:sz w:val="22"/>
          <w:szCs w:val="22"/>
          <w:lang w:eastAsia="en-US"/>
        </w:rPr>
      </w:pPr>
    </w:p>
    <w:p w14:paraId="6BCF3C26" w14:textId="77777777" w:rsidR="00E86446" w:rsidRDefault="00345E63">
      <w:pPr>
        <w:widowControl w:val="0"/>
        <w:autoSpaceDE w:val="0"/>
        <w:autoSpaceDN w:val="0"/>
        <w:adjustRightInd w:val="0"/>
        <w:rPr>
          <w:sz w:val="22"/>
          <w:szCs w:val="22"/>
        </w:rPr>
      </w:pPr>
      <w:r>
        <w:rPr>
          <w:sz w:val="22"/>
          <w:szCs w:val="22"/>
        </w:rPr>
        <w:t xml:space="preserve">Jeigu vartojate ar neseniai vartojote kitų vaistų arba dėl to nesate tikri, apie tai pasakykite gydytojui. Jums </w:t>
      </w:r>
      <w:r>
        <w:rPr>
          <w:sz w:val="22"/>
          <w:szCs w:val="22"/>
        </w:rPr>
        <w:lastRenderedPageBreak/>
        <w:t xml:space="preserve">gali reikėti dažniau tirti gliukozės kiekį kraujyje ir inkstų funkciją arba gydytojui gali reikėti koreguoti </w:t>
      </w:r>
      <w:proofErr w:type="spellStart"/>
      <w:r>
        <w:rPr>
          <w:sz w:val="22"/>
          <w:szCs w:val="22"/>
        </w:rPr>
        <w:t>Mexdagry</w:t>
      </w:r>
      <w:proofErr w:type="spellEnd"/>
      <w:r>
        <w:rPr>
          <w:sz w:val="22"/>
          <w:szCs w:val="22"/>
        </w:rPr>
        <w:t xml:space="preserve"> dozavimą. Ypač svarbu paminėti:</w:t>
      </w:r>
    </w:p>
    <w:p w14:paraId="08436CB4" w14:textId="0454210D" w:rsidR="00E86446" w:rsidRPr="0073443F" w:rsidRDefault="00345E63">
      <w:pPr>
        <w:widowControl w:val="0"/>
        <w:numPr>
          <w:ilvl w:val="0"/>
          <w:numId w:val="25"/>
        </w:numPr>
        <w:tabs>
          <w:tab w:val="left" w:pos="567"/>
        </w:tabs>
        <w:spacing w:line="260" w:lineRule="exact"/>
        <w:ind w:left="567" w:hanging="567"/>
        <w:rPr>
          <w:noProof/>
          <w:sz w:val="20"/>
          <w:szCs w:val="20"/>
          <w:lang w:eastAsia="en-US"/>
        </w:rPr>
      </w:pPr>
      <w:r w:rsidRPr="0073443F">
        <w:rPr>
          <w:rFonts w:eastAsiaTheme="minorHAnsi"/>
          <w:color w:val="000000"/>
          <w:sz w:val="22"/>
          <w:szCs w:val="22"/>
          <w:lang w:eastAsia="en-US"/>
        </w:rPr>
        <w:t>jeigu Jūs vartojate vaist</w:t>
      </w:r>
      <w:r w:rsidR="00777200">
        <w:rPr>
          <w:rFonts w:eastAsiaTheme="minorHAnsi"/>
          <w:color w:val="000000"/>
          <w:sz w:val="22"/>
          <w:szCs w:val="22"/>
          <w:lang w:eastAsia="en-US"/>
        </w:rPr>
        <w:t>ų</w:t>
      </w:r>
      <w:r w:rsidRPr="0073443F">
        <w:rPr>
          <w:rFonts w:eastAsiaTheme="minorHAnsi"/>
          <w:color w:val="000000"/>
          <w:sz w:val="22"/>
          <w:szCs w:val="22"/>
          <w:lang w:eastAsia="en-US"/>
        </w:rPr>
        <w:t>, kurie skatina šlapimo gamybą (diuretikų)</w:t>
      </w:r>
      <w:r w:rsidR="00A708DE">
        <w:rPr>
          <w:rFonts w:eastAsiaTheme="minorHAnsi"/>
          <w:color w:val="000000"/>
          <w:sz w:val="22"/>
          <w:szCs w:val="22"/>
          <w:lang w:eastAsia="en-US"/>
        </w:rPr>
        <w:t>;</w:t>
      </w:r>
    </w:p>
    <w:p w14:paraId="1DADE246" w14:textId="3E6CE214"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kitų cukraus kiekį kraujyje mažinančių vaistų (pvz., insulino arba </w:t>
      </w:r>
      <w:proofErr w:type="spellStart"/>
      <w:r>
        <w:rPr>
          <w:rFonts w:eastAsiaTheme="minorHAnsi"/>
          <w:color w:val="000000"/>
          <w:sz w:val="22"/>
          <w:szCs w:val="22"/>
          <w:lang w:eastAsia="en-US"/>
        </w:rPr>
        <w:t>sulfonilkarbamid</w:t>
      </w:r>
      <w:r w:rsidR="00A708DE">
        <w:rPr>
          <w:rFonts w:eastAsiaTheme="minorHAnsi"/>
          <w:color w:val="000000"/>
          <w:sz w:val="22"/>
          <w:szCs w:val="22"/>
          <w:lang w:eastAsia="en-US"/>
        </w:rPr>
        <w:t>o</w:t>
      </w:r>
      <w:proofErr w:type="spellEnd"/>
      <w:r w:rsidR="00A708DE">
        <w:rPr>
          <w:rFonts w:eastAsiaTheme="minorHAnsi"/>
          <w:color w:val="000000"/>
          <w:sz w:val="22"/>
          <w:szCs w:val="22"/>
          <w:lang w:eastAsia="en-US"/>
        </w:rPr>
        <w:t xml:space="preserve"> darinių</w:t>
      </w:r>
      <w:r>
        <w:rPr>
          <w:rFonts w:eastAsiaTheme="minorHAnsi"/>
          <w:color w:val="000000"/>
          <w:sz w:val="22"/>
          <w:szCs w:val="22"/>
          <w:lang w:eastAsia="en-US"/>
        </w:rPr>
        <w:t xml:space="preserve"> grupės). Gydytojas gali patarti sumažinti šių vaistų dozes, kad per daug nesumažėtų cukraus kiekis Jūsų kraujyje (t. y. kad išvengtumėte hipoglikemijos)</w:t>
      </w:r>
      <w:r w:rsidR="00AF12C1">
        <w:rPr>
          <w:rFonts w:eastAsiaTheme="minorHAnsi"/>
          <w:color w:val="000000"/>
          <w:sz w:val="22"/>
          <w:szCs w:val="22"/>
          <w:lang w:eastAsia="en-US"/>
        </w:rPr>
        <w:t>;</w:t>
      </w:r>
    </w:p>
    <w:p w14:paraId="32CE69B4" w14:textId="7229E983"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ličio preparatų, nes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gali sumažinti ličio kiekį Jūsų kraujyje</w:t>
      </w:r>
      <w:r w:rsidR="00AF12C1">
        <w:rPr>
          <w:rFonts w:eastAsiaTheme="minorHAnsi"/>
          <w:color w:val="000000"/>
          <w:sz w:val="22"/>
          <w:szCs w:val="22"/>
          <w:lang w:eastAsia="en-US"/>
        </w:rPr>
        <w:t>;</w:t>
      </w:r>
    </w:p>
    <w:p w14:paraId="33B9E2CD" w14:textId="4CF03509"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w:t>
      </w:r>
      <w:proofErr w:type="spellStart"/>
      <w:r>
        <w:rPr>
          <w:rFonts w:eastAsiaTheme="minorHAnsi"/>
          <w:color w:val="000000"/>
          <w:sz w:val="22"/>
          <w:szCs w:val="22"/>
          <w:lang w:eastAsia="en-US"/>
        </w:rPr>
        <w:t>cimetidino</w:t>
      </w:r>
      <w:proofErr w:type="spellEnd"/>
      <w:r>
        <w:rPr>
          <w:rFonts w:eastAsiaTheme="minorHAnsi"/>
          <w:color w:val="000000"/>
          <w:sz w:val="22"/>
          <w:szCs w:val="22"/>
          <w:lang w:eastAsia="en-US"/>
        </w:rPr>
        <w:t xml:space="preserve"> (vaisto skrandžio sutrikimams gydyti)</w:t>
      </w:r>
      <w:r w:rsidR="00AF12C1">
        <w:rPr>
          <w:rFonts w:eastAsiaTheme="minorHAnsi"/>
          <w:color w:val="000000"/>
          <w:sz w:val="22"/>
          <w:szCs w:val="22"/>
          <w:lang w:eastAsia="en-US"/>
        </w:rPr>
        <w:t>;</w:t>
      </w:r>
    </w:p>
    <w:p w14:paraId="7D3EA617" w14:textId="362F6A38"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bronchus plečiančių vaistų (beta 2 </w:t>
      </w:r>
      <w:proofErr w:type="spellStart"/>
      <w:r>
        <w:rPr>
          <w:rFonts w:eastAsiaTheme="minorHAnsi"/>
          <w:color w:val="000000"/>
          <w:sz w:val="22"/>
          <w:szCs w:val="22"/>
          <w:lang w:eastAsia="en-US"/>
        </w:rPr>
        <w:t>agonistų</w:t>
      </w:r>
      <w:proofErr w:type="spellEnd"/>
      <w:r>
        <w:rPr>
          <w:rFonts w:eastAsiaTheme="minorHAnsi"/>
          <w:color w:val="000000"/>
          <w:sz w:val="22"/>
          <w:szCs w:val="22"/>
          <w:lang w:eastAsia="en-US"/>
        </w:rPr>
        <w:t>), kurie skirti bronchų astmai gydyti</w:t>
      </w:r>
      <w:r w:rsidR="00AF12C1">
        <w:rPr>
          <w:rFonts w:eastAsiaTheme="minorHAnsi"/>
          <w:color w:val="000000"/>
          <w:sz w:val="22"/>
          <w:szCs w:val="22"/>
          <w:lang w:eastAsia="en-US"/>
        </w:rPr>
        <w:t>;</w:t>
      </w:r>
    </w:p>
    <w:p w14:paraId="6776B577" w14:textId="540AB8EA"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Jūs vartojate geriamųjų, injekcinių arba įkvepiamųjų kortikosteroidų, skirtų uždegimui gydyti sergant, pvz., astma arba artritu (sąnarių uždegimu)</w:t>
      </w:r>
      <w:r w:rsidR="000C0D17">
        <w:rPr>
          <w:rFonts w:eastAsiaTheme="minorHAnsi"/>
          <w:color w:val="000000"/>
          <w:sz w:val="22"/>
          <w:szCs w:val="22"/>
          <w:lang w:eastAsia="en-US"/>
        </w:rPr>
        <w:t>;</w:t>
      </w:r>
    </w:p>
    <w:p w14:paraId="501C92D6" w14:textId="478B0562" w:rsidR="00E86446" w:rsidRPr="003171F5" w:rsidRDefault="000C0D17">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w:t>
      </w:r>
      <w:r w:rsidR="00345E63">
        <w:rPr>
          <w:rFonts w:eastAsiaTheme="minorHAnsi"/>
          <w:color w:val="000000"/>
          <w:sz w:val="22"/>
          <w:szCs w:val="22"/>
          <w:lang w:eastAsia="en-US"/>
        </w:rPr>
        <w:t>eigu Jūs vartojate vaist</w:t>
      </w:r>
      <w:r>
        <w:rPr>
          <w:rFonts w:eastAsiaTheme="minorHAnsi"/>
          <w:color w:val="000000"/>
          <w:sz w:val="22"/>
          <w:szCs w:val="22"/>
          <w:lang w:eastAsia="en-US"/>
        </w:rPr>
        <w:t>ų</w:t>
      </w:r>
      <w:r w:rsidR="00345E63">
        <w:rPr>
          <w:rFonts w:eastAsiaTheme="minorHAnsi"/>
          <w:color w:val="000000"/>
          <w:sz w:val="22"/>
          <w:szCs w:val="22"/>
          <w:lang w:eastAsia="en-US"/>
        </w:rPr>
        <w:t xml:space="preserve">, vartojamus skausmui ir uždegimui gydyti (NVNU ir COX-2 inhibitoriai, pvz., </w:t>
      </w:r>
      <w:proofErr w:type="spellStart"/>
      <w:r w:rsidR="00345E63">
        <w:rPr>
          <w:rFonts w:eastAsiaTheme="minorHAnsi"/>
          <w:color w:val="000000"/>
          <w:sz w:val="22"/>
          <w:szCs w:val="22"/>
          <w:lang w:eastAsia="en-US"/>
        </w:rPr>
        <w:t>ibuprofenas</w:t>
      </w:r>
      <w:proofErr w:type="spellEnd"/>
      <w:r w:rsidR="00345E63">
        <w:rPr>
          <w:rFonts w:eastAsiaTheme="minorHAnsi"/>
          <w:color w:val="000000"/>
          <w:sz w:val="22"/>
          <w:szCs w:val="22"/>
          <w:lang w:eastAsia="en-US"/>
        </w:rPr>
        <w:t xml:space="preserve"> ir </w:t>
      </w:r>
      <w:proofErr w:type="spellStart"/>
      <w:r w:rsidR="00345E63">
        <w:rPr>
          <w:rFonts w:eastAsiaTheme="minorHAnsi"/>
          <w:color w:val="000000"/>
          <w:sz w:val="22"/>
          <w:szCs w:val="22"/>
          <w:lang w:eastAsia="en-US"/>
        </w:rPr>
        <w:t>celekoksibas</w:t>
      </w:r>
      <w:proofErr w:type="spellEnd"/>
      <w:r w:rsidR="00345E63">
        <w:rPr>
          <w:rFonts w:eastAsiaTheme="minorHAnsi"/>
          <w:color w:val="000000"/>
          <w:sz w:val="22"/>
          <w:szCs w:val="22"/>
          <w:lang w:eastAsia="en-US"/>
        </w:rPr>
        <w:t>)</w:t>
      </w:r>
      <w:r w:rsidR="00F372FC">
        <w:rPr>
          <w:rFonts w:eastAsiaTheme="minorHAnsi"/>
          <w:color w:val="000000"/>
          <w:sz w:val="22"/>
          <w:szCs w:val="22"/>
          <w:lang w:eastAsia="en-US"/>
        </w:rPr>
        <w:t>;</w:t>
      </w:r>
    </w:p>
    <w:p w14:paraId="7339F833" w14:textId="12DC8348"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Jūs vartojate tam tikr</w:t>
      </w:r>
      <w:r w:rsidR="00F372FC">
        <w:rPr>
          <w:rFonts w:eastAsiaTheme="minorHAnsi"/>
          <w:color w:val="000000"/>
          <w:sz w:val="22"/>
          <w:szCs w:val="22"/>
          <w:lang w:eastAsia="en-US"/>
        </w:rPr>
        <w:t>ų</w:t>
      </w:r>
      <w:r>
        <w:rPr>
          <w:rFonts w:eastAsiaTheme="minorHAnsi"/>
          <w:color w:val="000000"/>
          <w:sz w:val="22"/>
          <w:szCs w:val="22"/>
          <w:lang w:eastAsia="en-US"/>
        </w:rPr>
        <w:t xml:space="preserve"> vaist</w:t>
      </w:r>
      <w:r w:rsidR="00F372FC">
        <w:rPr>
          <w:rFonts w:eastAsiaTheme="minorHAnsi"/>
          <w:color w:val="000000"/>
          <w:sz w:val="22"/>
          <w:szCs w:val="22"/>
          <w:lang w:eastAsia="en-US"/>
        </w:rPr>
        <w:t>ų</w:t>
      </w:r>
      <w:r>
        <w:rPr>
          <w:rFonts w:eastAsiaTheme="minorHAnsi"/>
          <w:color w:val="000000"/>
          <w:sz w:val="22"/>
          <w:szCs w:val="22"/>
          <w:lang w:eastAsia="en-US"/>
        </w:rPr>
        <w:t xml:space="preserve"> padidėjusiam kraujospūdžiui gydyti (AKF inhibitoriai ir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w:t>
      </w:r>
    </w:p>
    <w:p w14:paraId="11F3C247" w14:textId="77777777" w:rsidR="00E86446" w:rsidRDefault="00E86446">
      <w:pPr>
        <w:widowControl w:val="0"/>
        <w:numPr>
          <w:ilvl w:val="12"/>
          <w:numId w:val="0"/>
        </w:numPr>
        <w:ind w:left="567" w:hanging="567"/>
        <w:outlineLvl w:val="0"/>
        <w:rPr>
          <w:sz w:val="22"/>
          <w:szCs w:val="22"/>
          <w:lang w:eastAsia="en-US"/>
        </w:rPr>
      </w:pPr>
    </w:p>
    <w:p w14:paraId="4F70DA1C" w14:textId="46942DDA"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w:t>
      </w:r>
      <w:r w:rsidR="002A3DC9">
        <w:rPr>
          <w:rFonts w:eastAsiaTheme="minorHAnsi"/>
          <w:b/>
          <w:bCs/>
          <w:color w:val="000000"/>
          <w:sz w:val="22"/>
          <w:szCs w:val="22"/>
          <w:lang w:eastAsia="en-US"/>
        </w:rPr>
        <w:t>vartojimas su</w:t>
      </w:r>
      <w:r>
        <w:rPr>
          <w:rFonts w:eastAsiaTheme="minorHAnsi"/>
          <w:b/>
          <w:bCs/>
          <w:color w:val="000000"/>
          <w:sz w:val="22"/>
          <w:szCs w:val="22"/>
          <w:lang w:eastAsia="en-US"/>
        </w:rPr>
        <w:t xml:space="preserve"> alkoholi</w:t>
      </w:r>
      <w:r w:rsidR="002A3DC9">
        <w:rPr>
          <w:rFonts w:eastAsiaTheme="minorHAnsi"/>
          <w:b/>
          <w:bCs/>
          <w:color w:val="000000"/>
          <w:sz w:val="22"/>
          <w:szCs w:val="22"/>
          <w:lang w:eastAsia="en-US"/>
        </w:rPr>
        <w:t>u</w:t>
      </w:r>
    </w:p>
    <w:p w14:paraId="376C467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Vartodami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venkite piktnaudžiauti alkoholiu, nes tai gali padidinti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(žr. skyrių „Įspėjimai ir atsargumo priemonės“).</w:t>
      </w:r>
    </w:p>
    <w:p w14:paraId="4FD89C26" w14:textId="77777777" w:rsidR="00E86446" w:rsidRDefault="00E86446">
      <w:pPr>
        <w:autoSpaceDE w:val="0"/>
        <w:autoSpaceDN w:val="0"/>
        <w:adjustRightInd w:val="0"/>
        <w:rPr>
          <w:rFonts w:eastAsiaTheme="minorHAnsi"/>
          <w:color w:val="000000"/>
          <w:sz w:val="22"/>
          <w:szCs w:val="22"/>
          <w:lang w:eastAsia="en-US"/>
        </w:rPr>
      </w:pPr>
    </w:p>
    <w:p w14:paraId="43EB31E0"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Nėštumas ir žindymo laikotarpis</w:t>
      </w:r>
    </w:p>
    <w:p w14:paraId="30E53093" w14:textId="3DAFECB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 Pastojus reikia nutraukti šio vaisto vartojimą, kadangi antrą ir trečią nėštumo trimestrus (paskutinius 6</w:t>
      </w:r>
      <w:r w:rsidR="007B6CEF">
        <w:rPr>
          <w:rFonts w:eastAsiaTheme="minorHAnsi"/>
          <w:color w:val="000000"/>
          <w:sz w:val="22"/>
          <w:szCs w:val="22"/>
          <w:lang w:eastAsia="en-US"/>
        </w:rPr>
        <w:t> </w:t>
      </w:r>
      <w:r>
        <w:rPr>
          <w:rFonts w:eastAsiaTheme="minorHAnsi"/>
          <w:color w:val="000000"/>
          <w:sz w:val="22"/>
          <w:szCs w:val="22"/>
          <w:lang w:eastAsia="en-US"/>
        </w:rPr>
        <w:t>mėn.) jis nerekomenduojamas. Kaip geriausia reguliuoti cukraus kiekį kraujyje nėštumo laikotarpiu, klauskite gydytojo.</w:t>
      </w:r>
    </w:p>
    <w:p w14:paraId="638534D7" w14:textId="77777777" w:rsidR="00E86446" w:rsidRDefault="00E86446">
      <w:pPr>
        <w:autoSpaceDE w:val="0"/>
        <w:autoSpaceDN w:val="0"/>
        <w:adjustRightInd w:val="0"/>
        <w:rPr>
          <w:rFonts w:eastAsiaTheme="minorHAnsi"/>
          <w:color w:val="000000"/>
          <w:sz w:val="22"/>
          <w:szCs w:val="22"/>
          <w:lang w:eastAsia="en-US"/>
        </w:rPr>
      </w:pPr>
    </w:p>
    <w:p w14:paraId="08491A37" w14:textId="41A4590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žindote arba norite žindyti kūdikį, tai prieš vartodama šį vaistą, pasitarkite su gydytoju. Žindymo laikotarpiu šio vaisto vartoti negalima. Nedidelis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kiekis </w:t>
      </w:r>
      <w:r w:rsidR="000A24FC">
        <w:rPr>
          <w:rFonts w:eastAsiaTheme="minorHAnsi"/>
          <w:color w:val="000000"/>
          <w:sz w:val="22"/>
          <w:szCs w:val="22"/>
          <w:lang w:eastAsia="en-US"/>
        </w:rPr>
        <w:t xml:space="preserve">išsiskiria </w:t>
      </w:r>
      <w:r>
        <w:rPr>
          <w:rFonts w:eastAsiaTheme="minorHAnsi"/>
          <w:color w:val="000000"/>
          <w:sz w:val="22"/>
          <w:szCs w:val="22"/>
          <w:lang w:eastAsia="en-US"/>
        </w:rPr>
        <w:t xml:space="preserve">į </w:t>
      </w:r>
      <w:r w:rsidR="000A24FC">
        <w:rPr>
          <w:rFonts w:eastAsiaTheme="minorHAnsi"/>
          <w:color w:val="000000"/>
          <w:sz w:val="22"/>
          <w:szCs w:val="22"/>
          <w:lang w:eastAsia="en-US"/>
        </w:rPr>
        <w:t xml:space="preserve">motinos </w:t>
      </w:r>
      <w:r>
        <w:rPr>
          <w:rFonts w:eastAsiaTheme="minorHAnsi"/>
          <w:color w:val="000000"/>
          <w:sz w:val="22"/>
          <w:szCs w:val="22"/>
          <w:lang w:eastAsia="en-US"/>
        </w:rPr>
        <w:t xml:space="preserve">pieną. </w:t>
      </w:r>
      <w:r w:rsidR="00796F86">
        <w:rPr>
          <w:rFonts w:eastAsiaTheme="minorHAnsi"/>
          <w:color w:val="000000"/>
          <w:sz w:val="22"/>
          <w:szCs w:val="22"/>
          <w:lang w:eastAsia="en-US"/>
        </w:rPr>
        <w:t>Nežinoma, a</w:t>
      </w:r>
      <w:r>
        <w:rPr>
          <w:rFonts w:eastAsiaTheme="minorHAnsi"/>
          <w:color w:val="000000"/>
          <w:sz w:val="22"/>
          <w:szCs w:val="22"/>
          <w:lang w:eastAsia="en-US"/>
        </w:rPr>
        <w:t>r</w:t>
      </w:r>
      <w:r w:rsidR="00796F86">
        <w:rPr>
          <w:rFonts w:eastAsiaTheme="minorHAnsi"/>
          <w:color w:val="000000"/>
          <w:sz w:val="22"/>
          <w:szCs w:val="22"/>
          <w:lang w:eastAsia="en-US"/>
        </w:rPr>
        <w:t xml:space="preserve"> dapagliflozino</w:t>
      </w:r>
      <w:r w:rsidR="00417819">
        <w:rPr>
          <w:rFonts w:eastAsiaTheme="minorHAnsi"/>
          <w:color w:val="000000"/>
          <w:sz w:val="22"/>
          <w:szCs w:val="22"/>
          <w:lang w:eastAsia="en-US"/>
        </w:rPr>
        <w:t xml:space="preserve"> išsiskiria</w:t>
      </w:r>
      <w:r>
        <w:rPr>
          <w:rFonts w:eastAsiaTheme="minorHAnsi"/>
          <w:color w:val="000000"/>
          <w:sz w:val="22"/>
          <w:szCs w:val="22"/>
          <w:lang w:eastAsia="en-US"/>
        </w:rPr>
        <w:t xml:space="preserve"> į </w:t>
      </w:r>
      <w:r w:rsidR="00417819">
        <w:rPr>
          <w:rFonts w:eastAsiaTheme="minorHAnsi"/>
          <w:color w:val="000000"/>
          <w:sz w:val="22"/>
          <w:szCs w:val="22"/>
          <w:lang w:eastAsia="en-US"/>
        </w:rPr>
        <w:t>gydytų moterų pieną.</w:t>
      </w:r>
    </w:p>
    <w:p w14:paraId="777F57FD" w14:textId="77777777" w:rsidR="00E86446" w:rsidRDefault="00E86446">
      <w:pPr>
        <w:autoSpaceDE w:val="0"/>
        <w:autoSpaceDN w:val="0"/>
        <w:adjustRightInd w:val="0"/>
        <w:rPr>
          <w:rFonts w:eastAsiaTheme="minorHAnsi"/>
          <w:color w:val="000000"/>
          <w:sz w:val="22"/>
          <w:szCs w:val="22"/>
          <w:lang w:eastAsia="en-US"/>
        </w:rPr>
      </w:pPr>
    </w:p>
    <w:p w14:paraId="6B5F84F6"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Vairavimas ir mechanizmų valdymas</w:t>
      </w:r>
    </w:p>
    <w:p w14:paraId="4A7CBB8A" w14:textId="45D744A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Šis vaistas gebėjimo vairuoti ir valdyti mechanizmus neveikia arba veikia nereikšmingai. Jo vartojant kartu su kitais cukraus kiekį kraujyje mažinančiais vaistais (pvz., insulinu arba </w:t>
      </w:r>
      <w:proofErr w:type="spellStart"/>
      <w:r>
        <w:rPr>
          <w:rFonts w:eastAsiaTheme="minorHAnsi"/>
          <w:color w:val="000000"/>
          <w:sz w:val="22"/>
          <w:szCs w:val="22"/>
          <w:lang w:eastAsia="en-US"/>
        </w:rPr>
        <w:t>sulfonilkarbamidų</w:t>
      </w:r>
      <w:proofErr w:type="spellEnd"/>
      <w:r>
        <w:rPr>
          <w:rFonts w:eastAsiaTheme="minorHAnsi"/>
          <w:color w:val="000000"/>
          <w:sz w:val="22"/>
          <w:szCs w:val="22"/>
          <w:lang w:eastAsia="en-US"/>
        </w:rPr>
        <w:t xml:space="preserve"> </w:t>
      </w:r>
      <w:r w:rsidR="00F50723">
        <w:rPr>
          <w:rFonts w:eastAsiaTheme="minorHAnsi"/>
          <w:color w:val="000000"/>
          <w:sz w:val="22"/>
          <w:szCs w:val="22"/>
          <w:lang w:eastAsia="en-US"/>
        </w:rPr>
        <w:t>darin</w:t>
      </w:r>
      <w:r w:rsidR="00EF3D4C">
        <w:rPr>
          <w:rFonts w:eastAsiaTheme="minorHAnsi"/>
          <w:color w:val="000000"/>
          <w:sz w:val="22"/>
          <w:szCs w:val="22"/>
          <w:lang w:eastAsia="en-US"/>
        </w:rPr>
        <w:t>iais</w:t>
      </w:r>
      <w:r>
        <w:rPr>
          <w:rFonts w:eastAsiaTheme="minorHAnsi"/>
          <w:color w:val="000000"/>
          <w:sz w:val="22"/>
          <w:szCs w:val="22"/>
          <w:lang w:eastAsia="en-US"/>
        </w:rPr>
        <w:t xml:space="preserve">), šis kiekis gali sumažėti per daug, t. y. pasireikšti hipoglikemija, kurios galimi simptomai yra silpnumas, </w:t>
      </w:r>
      <w:r w:rsidR="00EF3D4C">
        <w:rPr>
          <w:rFonts w:eastAsiaTheme="minorHAnsi"/>
          <w:color w:val="000000"/>
          <w:sz w:val="22"/>
          <w:szCs w:val="22"/>
          <w:lang w:eastAsia="en-US"/>
        </w:rPr>
        <w:t>svaigulys</w:t>
      </w:r>
      <w:r>
        <w:rPr>
          <w:rFonts w:eastAsiaTheme="minorHAnsi"/>
          <w:color w:val="000000"/>
          <w:sz w:val="22"/>
          <w:szCs w:val="22"/>
          <w:lang w:eastAsia="en-US"/>
        </w:rPr>
        <w:t xml:space="preserve">, padidėjęs prakaitavimas, </w:t>
      </w:r>
      <w:r w:rsidR="00EF3D4C">
        <w:rPr>
          <w:rFonts w:eastAsiaTheme="minorHAnsi"/>
          <w:color w:val="000000"/>
          <w:sz w:val="22"/>
          <w:szCs w:val="22"/>
          <w:lang w:eastAsia="en-US"/>
        </w:rPr>
        <w:t>padažnėjęs širdies plakimas</w:t>
      </w:r>
      <w:r>
        <w:rPr>
          <w:rFonts w:eastAsiaTheme="minorHAnsi"/>
          <w:color w:val="000000"/>
          <w:sz w:val="22"/>
          <w:szCs w:val="22"/>
          <w:lang w:eastAsia="en-US"/>
        </w:rPr>
        <w:t xml:space="preserve">, regos sutrikimai ir pablogėjęs </w:t>
      </w:r>
      <w:r w:rsidR="00D42503">
        <w:rPr>
          <w:rFonts w:eastAsiaTheme="minorHAnsi"/>
          <w:color w:val="000000"/>
          <w:sz w:val="22"/>
          <w:szCs w:val="22"/>
          <w:lang w:eastAsia="en-US"/>
        </w:rPr>
        <w:t>susikaupimas</w:t>
      </w:r>
      <w:r>
        <w:rPr>
          <w:rFonts w:eastAsiaTheme="minorHAnsi"/>
          <w:color w:val="000000"/>
          <w:sz w:val="22"/>
          <w:szCs w:val="22"/>
          <w:lang w:eastAsia="en-US"/>
        </w:rPr>
        <w:t>. Dėl hipoglikemijos gali sutrikti Jūsų gebėjimas vairuoti ir valdyti mechanizmus, todėl jeigu pajustumėte tokių simptomų, tai nevairuokite ir nedirbkite su įrankiais ar mechanizmais.</w:t>
      </w:r>
    </w:p>
    <w:p w14:paraId="2E3385CF" w14:textId="77777777" w:rsidR="00E86446" w:rsidRDefault="00E86446">
      <w:pPr>
        <w:autoSpaceDE w:val="0"/>
        <w:autoSpaceDN w:val="0"/>
        <w:adjustRightInd w:val="0"/>
        <w:rPr>
          <w:rFonts w:eastAsiaTheme="minorHAnsi"/>
          <w:color w:val="000000"/>
          <w:sz w:val="22"/>
          <w:szCs w:val="22"/>
          <w:lang w:eastAsia="en-US"/>
        </w:rPr>
      </w:pPr>
    </w:p>
    <w:p w14:paraId="09A12687"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Natrio kiekis</w:t>
      </w:r>
    </w:p>
    <w:p w14:paraId="064FB1BC" w14:textId="1851A68F" w:rsidR="00E86446" w:rsidRDefault="00345E63">
      <w:pPr>
        <w:widowControl w:val="0"/>
        <w:numPr>
          <w:ilvl w:val="12"/>
          <w:numId w:val="0"/>
        </w:numPr>
        <w:ind w:left="567" w:hanging="567"/>
        <w:outlineLvl w:val="0"/>
        <w:rPr>
          <w:sz w:val="22"/>
          <w:szCs w:val="22"/>
          <w:lang w:eastAsia="en-US"/>
        </w:rPr>
      </w:pPr>
      <w:r>
        <w:rPr>
          <w:rFonts w:eastAsiaTheme="minorHAnsi"/>
          <w:color w:val="000000"/>
          <w:sz w:val="22"/>
          <w:szCs w:val="22"/>
          <w:lang w:eastAsia="en-US"/>
        </w:rPr>
        <w:t xml:space="preserve">Šio vaisto </w:t>
      </w:r>
      <w:r w:rsidR="00401C52">
        <w:rPr>
          <w:rFonts w:eastAsiaTheme="minorHAnsi"/>
          <w:color w:val="000000"/>
          <w:sz w:val="22"/>
          <w:szCs w:val="22"/>
          <w:lang w:eastAsia="en-US"/>
        </w:rPr>
        <w:t xml:space="preserve">kiekvienoje </w:t>
      </w:r>
      <w:r>
        <w:rPr>
          <w:rFonts w:eastAsiaTheme="minorHAnsi"/>
          <w:color w:val="000000"/>
          <w:sz w:val="22"/>
          <w:szCs w:val="22"/>
          <w:lang w:eastAsia="en-US"/>
        </w:rPr>
        <w:t>dozėje yra mažiau kaip 1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 (23 mg) natrio, t. y. jis beveik neturi reikšmės.</w:t>
      </w:r>
    </w:p>
    <w:p w14:paraId="3A621E9D" w14:textId="77777777" w:rsidR="00E86446" w:rsidRDefault="00E86446">
      <w:pPr>
        <w:widowControl w:val="0"/>
        <w:numPr>
          <w:ilvl w:val="12"/>
          <w:numId w:val="0"/>
        </w:numPr>
        <w:ind w:left="567" w:hanging="567"/>
        <w:outlineLvl w:val="0"/>
        <w:rPr>
          <w:sz w:val="22"/>
          <w:szCs w:val="22"/>
          <w:lang w:eastAsia="en-US"/>
        </w:rPr>
      </w:pPr>
    </w:p>
    <w:p w14:paraId="613D320B" w14:textId="77777777" w:rsidR="00E86446" w:rsidRDefault="00E86446">
      <w:pPr>
        <w:widowControl w:val="0"/>
        <w:numPr>
          <w:ilvl w:val="12"/>
          <w:numId w:val="0"/>
        </w:numPr>
        <w:ind w:left="567" w:hanging="567"/>
        <w:outlineLvl w:val="0"/>
        <w:rPr>
          <w:sz w:val="22"/>
          <w:szCs w:val="22"/>
          <w:lang w:eastAsia="en-US"/>
        </w:rPr>
      </w:pPr>
    </w:p>
    <w:p w14:paraId="03B5B501" w14:textId="77777777" w:rsidR="00E86446" w:rsidRDefault="00345E63">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Mexdagry</w:t>
      </w:r>
      <w:proofErr w:type="spellEnd"/>
    </w:p>
    <w:p w14:paraId="6CED9524" w14:textId="77777777" w:rsidR="00E86446" w:rsidRDefault="00E86446">
      <w:pPr>
        <w:widowControl w:val="0"/>
        <w:ind w:left="567" w:hanging="567"/>
        <w:rPr>
          <w:sz w:val="22"/>
          <w:szCs w:val="22"/>
          <w:lang w:eastAsia="en-US"/>
        </w:rPr>
      </w:pPr>
    </w:p>
    <w:p w14:paraId="717F859A" w14:textId="77777777" w:rsidR="00E86446" w:rsidRDefault="00345E63">
      <w:pPr>
        <w:widowControl w:val="0"/>
        <w:autoSpaceDE w:val="0"/>
        <w:autoSpaceDN w:val="0"/>
        <w:adjustRightInd w:val="0"/>
        <w:rPr>
          <w:sz w:val="22"/>
          <w:szCs w:val="22"/>
        </w:rPr>
      </w:pPr>
      <w:r>
        <w:rPr>
          <w:sz w:val="22"/>
          <w:szCs w:val="22"/>
        </w:rPr>
        <w:t>Visada vartokite šį vaistą tiksliai, kaip nurodė gydytojas. Jeigu abejojate, kreipkitės į gydytoją arba vaistininką.</w:t>
      </w:r>
    </w:p>
    <w:p w14:paraId="44356B24" w14:textId="77777777" w:rsidR="00E86446" w:rsidRDefault="00E86446">
      <w:pPr>
        <w:autoSpaceDE w:val="0"/>
        <w:autoSpaceDN w:val="0"/>
        <w:adjustRightInd w:val="0"/>
        <w:rPr>
          <w:rFonts w:eastAsiaTheme="minorHAnsi"/>
          <w:b/>
          <w:bCs/>
          <w:color w:val="000000"/>
          <w:sz w:val="22"/>
          <w:szCs w:val="22"/>
          <w:lang w:eastAsia="en-US"/>
        </w:rPr>
      </w:pPr>
    </w:p>
    <w:p w14:paraId="505C2A34"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Kiek šio vaisto vartoti?</w:t>
      </w:r>
    </w:p>
    <w:p w14:paraId="7ACBFCD5"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 xml:space="preserve">Šio vaisto dozė priklauso nuo Jūsų būklės bei šiuo metu Jūsų vartojamų vaistų –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(arba) atskirų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 dozių. Kokio šio vaisto stiprumo vartoti, Jums tiksliai pasakys gydytojas.</w:t>
      </w:r>
    </w:p>
    <w:p w14:paraId="7EAF5F73" w14:textId="77777777" w:rsidR="00E86446" w:rsidRPr="00EC24F3" w:rsidRDefault="00345E63">
      <w:pPr>
        <w:widowControl w:val="0"/>
        <w:numPr>
          <w:ilvl w:val="0"/>
          <w:numId w:val="25"/>
        </w:numPr>
        <w:tabs>
          <w:tab w:val="left" w:pos="567"/>
        </w:tabs>
        <w:spacing w:line="260" w:lineRule="exact"/>
        <w:ind w:left="567" w:hanging="567"/>
        <w:rPr>
          <w:noProof/>
          <w:sz w:val="22"/>
          <w:szCs w:val="22"/>
          <w:lang w:val="it-CH" w:eastAsia="en-US"/>
        </w:rPr>
      </w:pPr>
      <w:r>
        <w:rPr>
          <w:sz w:val="22"/>
          <w:szCs w:val="22"/>
          <w:lang w:eastAsia="en-US"/>
        </w:rPr>
        <w:t>Rekomenduojama dozė yra po vieną tabletę 2 kartus per parą.</w:t>
      </w:r>
    </w:p>
    <w:p w14:paraId="28EDCA85" w14:textId="77777777" w:rsidR="00E86446" w:rsidRDefault="00E86446">
      <w:pPr>
        <w:widowControl w:val="0"/>
        <w:numPr>
          <w:ilvl w:val="12"/>
          <w:numId w:val="0"/>
        </w:numPr>
        <w:ind w:right="-2"/>
        <w:rPr>
          <w:sz w:val="22"/>
          <w:szCs w:val="22"/>
          <w:lang w:eastAsia="en-US"/>
        </w:rPr>
      </w:pPr>
    </w:p>
    <w:p w14:paraId="457F2104" w14:textId="77777777" w:rsidR="00E86446" w:rsidRDefault="00345E63">
      <w:pPr>
        <w:widowControl w:val="0"/>
        <w:numPr>
          <w:ilvl w:val="12"/>
          <w:numId w:val="0"/>
        </w:numPr>
        <w:ind w:right="-2"/>
        <w:rPr>
          <w:b/>
          <w:bCs/>
          <w:sz w:val="22"/>
          <w:szCs w:val="22"/>
          <w:lang w:eastAsia="en-US"/>
        </w:rPr>
      </w:pPr>
      <w:r>
        <w:rPr>
          <w:b/>
          <w:bCs/>
          <w:sz w:val="22"/>
          <w:szCs w:val="22"/>
          <w:lang w:eastAsia="en-US"/>
        </w:rPr>
        <w:t>Šio vaisto vartojimas</w:t>
      </w:r>
    </w:p>
    <w:p w14:paraId="392261FB" w14:textId="04C05AA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sz w:val="22"/>
          <w:szCs w:val="22"/>
          <w:lang w:eastAsia="en-US"/>
        </w:rPr>
        <w:t>Tabletę nurykite</w:t>
      </w:r>
      <w:r w:rsidR="00E13FB9">
        <w:rPr>
          <w:sz w:val="22"/>
          <w:szCs w:val="22"/>
          <w:lang w:eastAsia="en-US"/>
        </w:rPr>
        <w:t xml:space="preserve"> visą</w:t>
      </w:r>
      <w:r>
        <w:rPr>
          <w:sz w:val="22"/>
          <w:szCs w:val="22"/>
          <w:lang w:eastAsia="en-US"/>
        </w:rPr>
        <w:t xml:space="preserve"> nepažeistą, užgerdami puse stiklinės vandens.</w:t>
      </w:r>
    </w:p>
    <w:p w14:paraId="7715B79E" w14:textId="77777777"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sz w:val="22"/>
          <w:szCs w:val="22"/>
          <w:lang w:eastAsia="en-US"/>
        </w:rPr>
        <w:t>Tabletę gerkite valgio metu. Tai sumažins šalutinio poveikio skrandžiui riziką.</w:t>
      </w:r>
    </w:p>
    <w:p w14:paraId="173215A6" w14:textId="77777777" w:rsidR="00E86446" w:rsidRDefault="00345E63">
      <w:pPr>
        <w:widowControl w:val="0"/>
        <w:tabs>
          <w:tab w:val="left" w:pos="567"/>
        </w:tabs>
        <w:spacing w:line="260" w:lineRule="exact"/>
        <w:ind w:left="567"/>
        <w:rPr>
          <w:sz w:val="22"/>
          <w:szCs w:val="22"/>
          <w:lang w:eastAsia="en-US"/>
        </w:rPr>
      </w:pPr>
      <w:r>
        <w:rPr>
          <w:sz w:val="22"/>
          <w:szCs w:val="22"/>
          <w:lang w:eastAsia="en-US"/>
        </w:rPr>
        <w:t xml:space="preserve">Tabletę gerkite du kartus per dieną: vieną kartą ryte (pusryčių metu) ir vieną kartą vakare (vakarienės </w:t>
      </w:r>
      <w:r>
        <w:rPr>
          <w:sz w:val="22"/>
          <w:szCs w:val="22"/>
          <w:lang w:eastAsia="en-US"/>
        </w:rPr>
        <w:lastRenderedPageBreak/>
        <w:t>metu). Simboliai ant lizdinės plokštelės padės Jums prisiminti, kurią dozę jau išgėrėte. Saulė (</w:t>
      </w:r>
      <w:r>
        <w:rPr>
          <w:noProof/>
          <w:szCs w:val="20"/>
          <w:lang w:val="en-US" w:eastAsia="en-US"/>
        </w:rPr>
        <w:drawing>
          <wp:inline distT="0" distB="0" distL="0" distR="0" wp14:anchorId="2074B493" wp14:editId="3840410C">
            <wp:extent cx="109001" cy="87337"/>
            <wp:effectExtent l="0" t="0" r="5715" b="8255"/>
            <wp:docPr id="146561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r:link="rId11" cstate="print">
                      <a:extLst>
                        <a:ext uri="{28A0092B-C50C-407E-A947-70E740481C1C}">
                          <a14:useLocalDpi xmlns:a14="http://schemas.microsoft.com/office/drawing/2010/main" val="0"/>
                        </a:ext>
                      </a:extLst>
                    </a:blip>
                    <a:srcRect l="16640" t="19094" r="16093" b="31025"/>
                    <a:stretch/>
                  </pic:blipFill>
                  <pic:spPr bwMode="auto">
                    <a:xfrm>
                      <a:off x="0" y="0"/>
                      <a:ext cx="116350" cy="93225"/>
                    </a:xfrm>
                    <a:prstGeom prst="rect">
                      <a:avLst/>
                    </a:prstGeom>
                    <a:noFill/>
                    <a:ln>
                      <a:noFill/>
                    </a:ln>
                    <a:extLst>
                      <a:ext uri="{53640926-AAD7-44D8-BBD7-CCE9431645EC}">
                        <a14:shadowObscured xmlns:a14="http://schemas.microsoft.com/office/drawing/2010/main"/>
                      </a:ext>
                    </a:extLst>
                  </pic:spPr>
                </pic:pic>
              </a:graphicData>
            </a:graphic>
          </wp:inline>
        </w:drawing>
      </w:r>
      <w:r>
        <w:rPr>
          <w:sz w:val="22"/>
          <w:szCs w:val="22"/>
          <w:lang w:eastAsia="en-US"/>
        </w:rPr>
        <w:t>) simbolizuoja rytinę dozę, o mėnulis (</w:t>
      </w:r>
      <w:r>
        <w:rPr>
          <w:noProof/>
          <w:szCs w:val="20"/>
          <w:lang w:val="en-US" w:eastAsia="en-US"/>
        </w:rPr>
        <w:drawing>
          <wp:inline distT="0" distB="0" distL="0" distR="0" wp14:anchorId="140C3471" wp14:editId="334486AD">
            <wp:extent cx="105973" cy="90529"/>
            <wp:effectExtent l="0" t="0" r="8890" b="5080"/>
            <wp:docPr id="1645306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r:link="rId13" cstate="print">
                      <a:extLst>
                        <a:ext uri="{28A0092B-C50C-407E-A947-70E740481C1C}">
                          <a14:useLocalDpi xmlns:a14="http://schemas.microsoft.com/office/drawing/2010/main" val="0"/>
                        </a:ext>
                      </a:extLst>
                    </a:blip>
                    <a:srcRect l="25446" t="17691" r="13739" b="15534"/>
                    <a:stretch/>
                  </pic:blipFill>
                  <pic:spPr bwMode="auto">
                    <a:xfrm flipH="1">
                      <a:off x="0" y="0"/>
                      <a:ext cx="119771" cy="102316"/>
                    </a:xfrm>
                    <a:prstGeom prst="rect">
                      <a:avLst/>
                    </a:prstGeom>
                    <a:noFill/>
                    <a:ln>
                      <a:noFill/>
                    </a:ln>
                    <a:extLst>
                      <a:ext uri="{53640926-AAD7-44D8-BBD7-CCE9431645EC}">
                        <a14:shadowObscured xmlns:a14="http://schemas.microsoft.com/office/drawing/2010/main"/>
                      </a:ext>
                    </a:extLst>
                  </pic:spPr>
                </pic:pic>
              </a:graphicData>
            </a:graphic>
          </wp:inline>
        </w:drawing>
      </w:r>
      <w:r>
        <w:rPr>
          <w:sz w:val="22"/>
          <w:szCs w:val="22"/>
          <w:lang w:eastAsia="en-US"/>
        </w:rPr>
        <w:t>) – vakarinę dozę.</w:t>
      </w:r>
    </w:p>
    <w:p w14:paraId="77752E7C" w14:textId="77777777" w:rsidR="00E86446" w:rsidRPr="003171F5" w:rsidRDefault="00E86446">
      <w:pPr>
        <w:widowControl w:val="0"/>
        <w:tabs>
          <w:tab w:val="left" w:pos="567"/>
        </w:tabs>
        <w:spacing w:line="260" w:lineRule="exact"/>
        <w:rPr>
          <w:noProof/>
          <w:sz w:val="22"/>
          <w:szCs w:val="22"/>
          <w:lang w:eastAsia="en-US"/>
        </w:rPr>
      </w:pPr>
    </w:p>
    <w:p w14:paraId="65853931" w14:textId="2106C42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Jūsų gydytojas gali nurodyti vartoti šio vaisto kartu su vienu ar keliais kitais</w:t>
      </w:r>
      <w:r w:rsidR="00B809B3">
        <w:rPr>
          <w:rFonts w:eastAsiaTheme="minorHAnsi"/>
          <w:color w:val="000000"/>
          <w:sz w:val="22"/>
          <w:szCs w:val="22"/>
          <w:lang w:eastAsia="en-US"/>
        </w:rPr>
        <w:t xml:space="preserve"> vaistais</w:t>
      </w:r>
      <w:r>
        <w:rPr>
          <w:rFonts w:eastAsiaTheme="minorHAnsi"/>
          <w:color w:val="000000"/>
          <w:sz w:val="22"/>
          <w:szCs w:val="22"/>
          <w:lang w:eastAsia="en-US"/>
        </w:rPr>
        <w:t xml:space="preserve">, skirtais cukraus kiekiui kraujyje mažinti. Tai gali būti vienas ar keli geriamieji arba injekciniai vaistai, pvz., insulinas ar GLP-1 receptorių </w:t>
      </w:r>
      <w:proofErr w:type="spellStart"/>
      <w:r>
        <w:rPr>
          <w:rFonts w:eastAsiaTheme="minorHAnsi"/>
          <w:color w:val="000000"/>
          <w:sz w:val="22"/>
          <w:szCs w:val="22"/>
          <w:lang w:eastAsia="en-US"/>
        </w:rPr>
        <w:t>agonistas</w:t>
      </w:r>
      <w:proofErr w:type="spellEnd"/>
      <w:r>
        <w:rPr>
          <w:rFonts w:eastAsiaTheme="minorHAnsi"/>
          <w:color w:val="000000"/>
          <w:sz w:val="22"/>
          <w:szCs w:val="22"/>
          <w:lang w:eastAsia="en-US"/>
        </w:rPr>
        <w:t>. Neužmirškite, kad ir kitą vaistą (vaistus) būtina vartoti kaip nurodė gydytojas, kad poveikis Jūsų sveikatai būtų geriausias.</w:t>
      </w:r>
    </w:p>
    <w:p w14:paraId="42EFE73D" w14:textId="77777777" w:rsidR="00E86446" w:rsidRDefault="00E86446">
      <w:pPr>
        <w:autoSpaceDE w:val="0"/>
        <w:autoSpaceDN w:val="0"/>
        <w:adjustRightInd w:val="0"/>
        <w:rPr>
          <w:rFonts w:eastAsiaTheme="minorHAnsi"/>
          <w:color w:val="000000"/>
          <w:sz w:val="22"/>
          <w:szCs w:val="22"/>
          <w:lang w:eastAsia="en-US"/>
        </w:rPr>
      </w:pPr>
    </w:p>
    <w:p w14:paraId="0886F238"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Dieta ir fizinis krūvis</w:t>
      </w:r>
    </w:p>
    <w:p w14:paraId="3C0706C4" w14:textId="6E71BB7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Diabetui kontroliuoti yra būtini dieta ir fizinis krūvis, net ir vartojant šį vaistą. Dėl to svarbu toliau laikytis gydytojo, vaistininko ar slaugytojos patarimų dėl dietos ir fizinio krūvio. Ypač </w:t>
      </w:r>
      <w:r w:rsidR="00026A4E">
        <w:rPr>
          <w:rFonts w:eastAsiaTheme="minorHAnsi"/>
          <w:color w:val="000000"/>
          <w:sz w:val="22"/>
          <w:szCs w:val="22"/>
          <w:lang w:eastAsia="en-US"/>
        </w:rPr>
        <w:t>svarbu</w:t>
      </w:r>
      <w:r>
        <w:rPr>
          <w:rFonts w:eastAsiaTheme="minorHAnsi"/>
          <w:color w:val="000000"/>
          <w:sz w:val="22"/>
          <w:szCs w:val="22"/>
          <w:lang w:eastAsia="en-US"/>
        </w:rPr>
        <w:t>, kad jei laikėtės dietos diabetu sergančių pacientų svoriui mažinti, tai vartojant šio vaisto jos reikia laikytis ir toliau.</w:t>
      </w:r>
    </w:p>
    <w:p w14:paraId="749B5E6C" w14:textId="77777777" w:rsidR="00E86446" w:rsidRDefault="00E86446">
      <w:pPr>
        <w:autoSpaceDE w:val="0"/>
        <w:autoSpaceDN w:val="0"/>
        <w:adjustRightInd w:val="0"/>
        <w:rPr>
          <w:rFonts w:eastAsiaTheme="minorHAnsi"/>
          <w:color w:val="000000"/>
          <w:sz w:val="22"/>
          <w:szCs w:val="22"/>
          <w:lang w:eastAsia="en-US"/>
        </w:rPr>
      </w:pPr>
    </w:p>
    <w:p w14:paraId="0782518B" w14:textId="1C31CDA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Ką daryti pavartojus per didelę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dozę</w:t>
      </w:r>
    </w:p>
    <w:p w14:paraId="2D7F0229" w14:textId="0C8907DF"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Išgėrus per daug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tablečių,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yra didelis pykinimas ar vėmimas, pilvo skausmas, raumenų mėšlungis, didelis nuovargis ar pasunkėjęs kvėpavimas. Jeigu pasirei</w:t>
      </w:r>
      <w:r w:rsidR="00477642">
        <w:rPr>
          <w:rFonts w:eastAsiaTheme="minorHAnsi"/>
          <w:color w:val="000000"/>
          <w:sz w:val="22"/>
          <w:szCs w:val="22"/>
          <w:lang w:eastAsia="en-US"/>
        </w:rPr>
        <w:t>škia</w:t>
      </w:r>
      <w:r>
        <w:rPr>
          <w:rFonts w:eastAsiaTheme="minorHAnsi"/>
          <w:color w:val="000000"/>
          <w:sz w:val="22"/>
          <w:szCs w:val="22"/>
          <w:lang w:eastAsia="en-US"/>
        </w:rPr>
        <w:t xml:space="preserve"> toki</w:t>
      </w:r>
      <w:r w:rsidR="00477642">
        <w:rPr>
          <w:rFonts w:eastAsiaTheme="minorHAnsi"/>
          <w:color w:val="000000"/>
          <w:sz w:val="22"/>
          <w:szCs w:val="22"/>
          <w:lang w:eastAsia="en-US"/>
        </w:rPr>
        <w:t>e</w:t>
      </w:r>
      <w:r>
        <w:rPr>
          <w:rFonts w:eastAsiaTheme="minorHAnsi"/>
          <w:color w:val="000000"/>
          <w:sz w:val="22"/>
          <w:szCs w:val="22"/>
          <w:lang w:eastAsia="en-US"/>
        </w:rPr>
        <w:t xml:space="preserve"> simptom</w:t>
      </w:r>
      <w:r w:rsidR="00477642">
        <w:rPr>
          <w:rFonts w:eastAsiaTheme="minorHAnsi"/>
          <w:color w:val="000000"/>
          <w:sz w:val="22"/>
          <w:szCs w:val="22"/>
          <w:lang w:eastAsia="en-US"/>
        </w:rPr>
        <w:t>ai</w:t>
      </w:r>
      <w:r>
        <w:rPr>
          <w:rFonts w:eastAsiaTheme="minorHAnsi"/>
          <w:color w:val="000000"/>
          <w:sz w:val="22"/>
          <w:szCs w:val="22"/>
          <w:lang w:eastAsia="en-US"/>
        </w:rPr>
        <w:t xml:space="preserve">, Jums gali prireikti skubaus gydymo ligoninėje, kadangi dėl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gali ištikti koma (</w:t>
      </w:r>
      <w:r w:rsidR="006B5BC1">
        <w:rPr>
          <w:rFonts w:eastAsiaTheme="minorHAnsi"/>
          <w:color w:val="000000"/>
          <w:sz w:val="22"/>
          <w:szCs w:val="22"/>
          <w:lang w:eastAsia="en-US"/>
        </w:rPr>
        <w:t>ūmus sąmonės sutrikimas</w:t>
      </w:r>
      <w:r>
        <w:rPr>
          <w:rFonts w:eastAsiaTheme="minorHAnsi"/>
          <w:color w:val="000000"/>
          <w:sz w:val="22"/>
          <w:szCs w:val="22"/>
          <w:lang w:eastAsia="en-US"/>
        </w:rPr>
        <w:t>). Nedelsdami nutraukite šio vaisto vartojimą ir tuoj pat kreipkitės į gydytoją arba artimiausią ligoninę (žr. 2 skyrių). Pasiimkite šio vaisto pakuotę</w:t>
      </w:r>
      <w:r w:rsidR="006B5BC1">
        <w:rPr>
          <w:rFonts w:eastAsiaTheme="minorHAnsi"/>
          <w:color w:val="000000"/>
          <w:sz w:val="22"/>
          <w:szCs w:val="22"/>
          <w:lang w:eastAsia="en-US"/>
        </w:rPr>
        <w:t xml:space="preserve"> su savimi</w:t>
      </w:r>
      <w:r>
        <w:rPr>
          <w:rFonts w:eastAsiaTheme="minorHAnsi"/>
          <w:color w:val="000000"/>
          <w:sz w:val="22"/>
          <w:szCs w:val="22"/>
          <w:lang w:eastAsia="en-US"/>
        </w:rPr>
        <w:t>.</w:t>
      </w:r>
    </w:p>
    <w:p w14:paraId="7C82AF5D" w14:textId="77777777" w:rsidR="00E86446" w:rsidRDefault="00E86446">
      <w:pPr>
        <w:autoSpaceDE w:val="0"/>
        <w:autoSpaceDN w:val="0"/>
        <w:adjustRightInd w:val="0"/>
        <w:rPr>
          <w:rFonts w:eastAsiaTheme="minorHAnsi"/>
          <w:color w:val="000000"/>
          <w:sz w:val="22"/>
          <w:szCs w:val="22"/>
          <w:lang w:eastAsia="en-US"/>
        </w:rPr>
      </w:pPr>
    </w:p>
    <w:p w14:paraId="3C8E8623"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Pamiršus pavartoti </w:t>
      </w:r>
      <w:proofErr w:type="spellStart"/>
      <w:r>
        <w:rPr>
          <w:rFonts w:eastAsiaTheme="minorHAnsi"/>
          <w:b/>
          <w:bCs/>
          <w:color w:val="000000"/>
          <w:sz w:val="22"/>
          <w:szCs w:val="22"/>
          <w:lang w:eastAsia="en-US"/>
        </w:rPr>
        <w:t>Mexdagry</w:t>
      </w:r>
      <w:proofErr w:type="spellEnd"/>
    </w:p>
    <w:p w14:paraId="42BCB03A" w14:textId="7FFFA9C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Praleistą dozę išgerkite iš karto prisiminę. Jeigu jos neprisimin</w:t>
      </w:r>
      <w:r w:rsidR="003D51CB">
        <w:rPr>
          <w:rFonts w:eastAsiaTheme="minorHAnsi"/>
          <w:color w:val="000000"/>
          <w:sz w:val="22"/>
          <w:szCs w:val="22"/>
          <w:lang w:eastAsia="en-US"/>
        </w:rPr>
        <w:t>site</w:t>
      </w:r>
      <w:r>
        <w:rPr>
          <w:rFonts w:eastAsiaTheme="minorHAnsi"/>
          <w:color w:val="000000"/>
          <w:sz w:val="22"/>
          <w:szCs w:val="22"/>
          <w:lang w:eastAsia="en-US"/>
        </w:rPr>
        <w:t>, kol ateis laikas kitai dozei, tai praleiskite užmirštąją dozę ir toliau vartokite vaistą kaip įprasta.</w:t>
      </w:r>
    </w:p>
    <w:p w14:paraId="5BC16DC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Negalima vartoti dvigubos šio vaisto dozės norint kompensuoti praleistą dozę.</w:t>
      </w:r>
    </w:p>
    <w:p w14:paraId="269E04F3" w14:textId="77777777" w:rsidR="00E86446" w:rsidRDefault="00E86446">
      <w:pPr>
        <w:autoSpaceDE w:val="0"/>
        <w:autoSpaceDN w:val="0"/>
        <w:adjustRightInd w:val="0"/>
        <w:rPr>
          <w:rFonts w:eastAsiaTheme="minorHAnsi"/>
          <w:color w:val="000000"/>
          <w:sz w:val="22"/>
          <w:szCs w:val="22"/>
          <w:lang w:eastAsia="en-US"/>
        </w:rPr>
      </w:pPr>
    </w:p>
    <w:p w14:paraId="1730AFF4" w14:textId="0E217191"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Nustojus vartoti </w:t>
      </w:r>
      <w:proofErr w:type="spellStart"/>
      <w:r w:rsidR="00A47250">
        <w:rPr>
          <w:rFonts w:eastAsiaTheme="minorHAnsi"/>
          <w:b/>
          <w:bCs/>
          <w:color w:val="000000"/>
          <w:sz w:val="22"/>
          <w:szCs w:val="22"/>
          <w:lang w:eastAsia="en-US"/>
        </w:rPr>
        <w:t>Mexdagry</w:t>
      </w:r>
      <w:proofErr w:type="spellEnd"/>
    </w:p>
    <w:p w14:paraId="41DAD6A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Nenutraukite šio vaisto vartojimo, prieš tai nepasitarę su gydytoju. Nevartojant šio vaisto, gali padidėti cukraus kiekis Jūsų kraujyje.</w:t>
      </w:r>
    </w:p>
    <w:p w14:paraId="036A2C5A" w14:textId="77777777" w:rsidR="00E86446" w:rsidRDefault="00E86446">
      <w:pPr>
        <w:widowControl w:val="0"/>
        <w:tabs>
          <w:tab w:val="left" w:pos="567"/>
        </w:tabs>
        <w:spacing w:line="260" w:lineRule="exact"/>
        <w:rPr>
          <w:rFonts w:eastAsiaTheme="minorHAnsi"/>
          <w:color w:val="000000"/>
          <w:sz w:val="22"/>
          <w:szCs w:val="22"/>
          <w:lang w:eastAsia="en-US"/>
        </w:rPr>
      </w:pPr>
    </w:p>
    <w:p w14:paraId="1B341E16" w14:textId="0905D4D0" w:rsidR="00E86446" w:rsidRPr="003171F5" w:rsidRDefault="00345E63">
      <w:pPr>
        <w:widowControl w:val="0"/>
        <w:tabs>
          <w:tab w:val="left" w:pos="567"/>
        </w:tabs>
        <w:spacing w:line="260" w:lineRule="exact"/>
        <w:rPr>
          <w:noProof/>
          <w:sz w:val="22"/>
          <w:szCs w:val="22"/>
          <w:lang w:eastAsia="en-US"/>
        </w:rPr>
      </w:pPr>
      <w:r>
        <w:rPr>
          <w:rFonts w:eastAsiaTheme="minorHAnsi"/>
          <w:color w:val="000000"/>
          <w:sz w:val="22"/>
          <w:szCs w:val="22"/>
          <w:lang w:eastAsia="en-US"/>
        </w:rPr>
        <w:t xml:space="preserve">Jeigu kiltų </w:t>
      </w:r>
      <w:r w:rsidR="00F15745">
        <w:rPr>
          <w:rFonts w:eastAsiaTheme="minorHAnsi"/>
          <w:color w:val="000000"/>
          <w:sz w:val="22"/>
          <w:szCs w:val="22"/>
          <w:lang w:eastAsia="en-US"/>
        </w:rPr>
        <w:t xml:space="preserve">daugiau </w:t>
      </w:r>
      <w:r>
        <w:rPr>
          <w:rFonts w:eastAsiaTheme="minorHAnsi"/>
          <w:color w:val="000000"/>
          <w:sz w:val="22"/>
          <w:szCs w:val="22"/>
          <w:lang w:eastAsia="en-US"/>
        </w:rPr>
        <w:t xml:space="preserve">klausimų dėl šio vaisto vartojimo, </w:t>
      </w:r>
      <w:r w:rsidR="00F15745">
        <w:rPr>
          <w:rFonts w:eastAsiaTheme="minorHAnsi"/>
          <w:color w:val="000000"/>
          <w:sz w:val="22"/>
          <w:szCs w:val="22"/>
          <w:lang w:eastAsia="en-US"/>
        </w:rPr>
        <w:t xml:space="preserve">kreipkitės į </w:t>
      </w:r>
      <w:r>
        <w:rPr>
          <w:rFonts w:eastAsiaTheme="minorHAnsi"/>
          <w:color w:val="000000"/>
          <w:sz w:val="22"/>
          <w:szCs w:val="22"/>
          <w:lang w:eastAsia="en-US"/>
        </w:rPr>
        <w:t>gydytoj</w:t>
      </w:r>
      <w:r w:rsidR="00F15745">
        <w:rPr>
          <w:rFonts w:eastAsiaTheme="minorHAnsi"/>
          <w:color w:val="000000"/>
          <w:sz w:val="22"/>
          <w:szCs w:val="22"/>
          <w:lang w:eastAsia="en-US"/>
        </w:rPr>
        <w:t>ą</w:t>
      </w:r>
      <w:r>
        <w:rPr>
          <w:rFonts w:eastAsiaTheme="minorHAnsi"/>
          <w:color w:val="000000"/>
          <w:sz w:val="22"/>
          <w:szCs w:val="22"/>
          <w:lang w:eastAsia="en-US"/>
        </w:rPr>
        <w:t>, vaistinink</w:t>
      </w:r>
      <w:r w:rsidR="00F15745">
        <w:rPr>
          <w:rFonts w:eastAsiaTheme="minorHAnsi"/>
          <w:color w:val="000000"/>
          <w:sz w:val="22"/>
          <w:szCs w:val="22"/>
          <w:lang w:eastAsia="en-US"/>
        </w:rPr>
        <w:t>ą</w:t>
      </w:r>
      <w:r>
        <w:rPr>
          <w:rFonts w:eastAsiaTheme="minorHAnsi"/>
          <w:color w:val="000000"/>
          <w:sz w:val="22"/>
          <w:szCs w:val="22"/>
          <w:lang w:eastAsia="en-US"/>
        </w:rPr>
        <w:t xml:space="preserve"> arba slaugytoj</w:t>
      </w:r>
      <w:r w:rsidR="00F15745">
        <w:rPr>
          <w:rFonts w:eastAsiaTheme="minorHAnsi"/>
          <w:color w:val="000000"/>
          <w:sz w:val="22"/>
          <w:szCs w:val="22"/>
          <w:lang w:eastAsia="en-US"/>
        </w:rPr>
        <w:t>ą</w:t>
      </w:r>
      <w:r>
        <w:rPr>
          <w:rFonts w:eastAsiaTheme="minorHAnsi"/>
          <w:color w:val="000000"/>
          <w:sz w:val="22"/>
          <w:szCs w:val="22"/>
          <w:lang w:eastAsia="en-US"/>
        </w:rPr>
        <w:t>.</w:t>
      </w:r>
    </w:p>
    <w:p w14:paraId="3972FDF8" w14:textId="77777777" w:rsidR="00E86446" w:rsidRPr="003171F5" w:rsidRDefault="00E86446">
      <w:pPr>
        <w:widowControl w:val="0"/>
        <w:tabs>
          <w:tab w:val="left" w:pos="567"/>
        </w:tabs>
        <w:spacing w:line="260" w:lineRule="exact"/>
        <w:rPr>
          <w:noProof/>
          <w:sz w:val="22"/>
          <w:szCs w:val="22"/>
          <w:lang w:eastAsia="en-US"/>
        </w:rPr>
      </w:pPr>
    </w:p>
    <w:p w14:paraId="0B85F3FB" w14:textId="77777777" w:rsidR="00E86446" w:rsidRPr="003171F5" w:rsidRDefault="00E86446">
      <w:pPr>
        <w:widowControl w:val="0"/>
        <w:tabs>
          <w:tab w:val="left" w:pos="567"/>
        </w:tabs>
        <w:spacing w:line="260" w:lineRule="exact"/>
        <w:rPr>
          <w:noProof/>
          <w:sz w:val="22"/>
          <w:szCs w:val="22"/>
          <w:lang w:eastAsia="en-US"/>
        </w:rPr>
      </w:pPr>
    </w:p>
    <w:p w14:paraId="2CED9257" w14:textId="77777777" w:rsidR="00E86446" w:rsidRDefault="00345E63">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3113E940" w14:textId="77777777" w:rsidR="00E86446" w:rsidRDefault="00E86446">
      <w:pPr>
        <w:widowControl w:val="0"/>
        <w:ind w:left="567" w:hanging="567"/>
        <w:rPr>
          <w:sz w:val="22"/>
          <w:szCs w:val="22"/>
          <w:lang w:eastAsia="en-US"/>
        </w:rPr>
      </w:pPr>
    </w:p>
    <w:p w14:paraId="63E80754" w14:textId="77777777" w:rsidR="00E86446" w:rsidRDefault="00345E63">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576DFB81" w14:textId="77777777" w:rsidR="00E86446" w:rsidRDefault="00E86446">
      <w:pPr>
        <w:widowControl w:val="0"/>
        <w:numPr>
          <w:ilvl w:val="12"/>
          <w:numId w:val="0"/>
        </w:numPr>
        <w:ind w:right="-2"/>
        <w:rPr>
          <w:snapToGrid w:val="0"/>
          <w:sz w:val="22"/>
          <w:szCs w:val="22"/>
          <w:lang w:eastAsia="en-US"/>
        </w:rPr>
      </w:pPr>
    </w:p>
    <w:p w14:paraId="31566379" w14:textId="3FC1E12A" w:rsidR="00E86446" w:rsidRDefault="00345E63">
      <w:pPr>
        <w:widowControl w:val="0"/>
        <w:numPr>
          <w:ilvl w:val="12"/>
          <w:numId w:val="0"/>
        </w:numPr>
        <w:ind w:right="-2"/>
        <w:rPr>
          <w:b/>
          <w:bCs/>
          <w:sz w:val="22"/>
          <w:szCs w:val="22"/>
        </w:rPr>
      </w:pPr>
      <w:r>
        <w:rPr>
          <w:b/>
          <w:bCs/>
          <w:sz w:val="22"/>
          <w:szCs w:val="22"/>
        </w:rPr>
        <w:t xml:space="preserve">Nedelsdami nutraukite </w:t>
      </w:r>
      <w:proofErr w:type="spellStart"/>
      <w:r>
        <w:rPr>
          <w:b/>
          <w:bCs/>
          <w:sz w:val="22"/>
          <w:szCs w:val="22"/>
        </w:rPr>
        <w:t>Mexdagry</w:t>
      </w:r>
      <w:proofErr w:type="spellEnd"/>
      <w:r>
        <w:rPr>
          <w:b/>
          <w:bCs/>
          <w:sz w:val="22"/>
          <w:szCs w:val="22"/>
        </w:rPr>
        <w:t xml:space="preserve"> vartojimą ir kreipkitės į gydytoją, jeigu pastebė</w:t>
      </w:r>
      <w:r w:rsidR="00CF0BA2">
        <w:rPr>
          <w:b/>
          <w:bCs/>
          <w:sz w:val="22"/>
          <w:szCs w:val="22"/>
        </w:rPr>
        <w:t>jote</w:t>
      </w:r>
      <w:r>
        <w:rPr>
          <w:b/>
          <w:bCs/>
          <w:sz w:val="22"/>
          <w:szCs w:val="22"/>
        </w:rPr>
        <w:t xml:space="preserve"> kurį nors toliau išvardytą pavojingą arba potencialiai pavojingą šalutinį poveikį.</w:t>
      </w:r>
    </w:p>
    <w:p w14:paraId="5A32EA1A" w14:textId="77777777" w:rsidR="00E86446" w:rsidRDefault="00E86446">
      <w:pPr>
        <w:autoSpaceDE w:val="0"/>
        <w:autoSpaceDN w:val="0"/>
        <w:adjustRightInd w:val="0"/>
        <w:rPr>
          <w:rFonts w:eastAsiaTheme="minorHAnsi"/>
          <w:color w:val="000000"/>
          <w:lang w:eastAsia="en-US"/>
        </w:rPr>
      </w:pPr>
    </w:p>
    <w:p w14:paraId="6E4BDCC8" w14:textId="199663D3" w:rsidR="00E86446" w:rsidRDefault="00345E63">
      <w:pPr>
        <w:numPr>
          <w:ilvl w:val="0"/>
          <w:numId w:val="37"/>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xml:space="preserve">, </w:t>
      </w:r>
      <w:r>
        <w:rPr>
          <w:rFonts w:eastAsiaTheme="minorHAnsi"/>
          <w:color w:val="000000"/>
          <w:sz w:val="22"/>
          <w:szCs w:val="22"/>
          <w:lang w:eastAsia="en-US"/>
        </w:rPr>
        <w:t>kuri pasireiškia labai retai (</w:t>
      </w:r>
      <w:r w:rsidR="00172D54">
        <w:rPr>
          <w:rFonts w:eastAsiaTheme="minorHAnsi"/>
          <w:color w:val="000000"/>
          <w:sz w:val="22"/>
          <w:szCs w:val="22"/>
          <w:lang w:eastAsia="en-US"/>
        </w:rPr>
        <w:t xml:space="preserve">gali pasireikšti </w:t>
      </w:r>
      <w:r>
        <w:rPr>
          <w:rFonts w:eastAsiaTheme="minorHAnsi"/>
          <w:color w:val="000000"/>
          <w:sz w:val="22"/>
          <w:szCs w:val="22"/>
          <w:lang w:eastAsia="en-US"/>
        </w:rPr>
        <w:t>rečiau kaip 1 iš 10 000 asmenų).</w:t>
      </w:r>
    </w:p>
    <w:p w14:paraId="6F61CFBA" w14:textId="77777777" w:rsidR="00E86446" w:rsidRDefault="00345E63">
      <w:pPr>
        <w:widowControl w:val="0"/>
        <w:numPr>
          <w:ilvl w:val="12"/>
          <w:numId w:val="0"/>
        </w:numPr>
        <w:ind w:right="-2"/>
        <w:rPr>
          <w:b/>
          <w:bCs/>
          <w:sz w:val="22"/>
          <w:szCs w:val="22"/>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gali sukelti labai retą, tačiau labai pavojingą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(žr. 2 skyriuje skyrelį „Įspėjimai ir atsargumo priemonės“). Tokiu atveju turite </w:t>
      </w:r>
      <w:r>
        <w:rPr>
          <w:rFonts w:eastAsiaTheme="minorHAnsi"/>
          <w:b/>
          <w:bCs/>
          <w:color w:val="000000"/>
          <w:sz w:val="22"/>
          <w:szCs w:val="22"/>
          <w:lang w:eastAsia="en-US"/>
        </w:rPr>
        <w:t xml:space="preserve">nustoti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ir nedelsdami kreiptis į gydytoją arba artimiausią ligoninę</w:t>
      </w:r>
      <w:r>
        <w:rPr>
          <w:rFonts w:eastAsiaTheme="minorHAnsi"/>
          <w:color w:val="000000"/>
          <w:sz w:val="22"/>
          <w:szCs w:val="22"/>
          <w:lang w:eastAsia="en-US"/>
        </w:rPr>
        <w:t xml:space="preserve">, nes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gali sukelti komą.</w:t>
      </w:r>
    </w:p>
    <w:p w14:paraId="166B0224" w14:textId="77777777" w:rsidR="00E86446" w:rsidRDefault="00E86446">
      <w:pPr>
        <w:widowControl w:val="0"/>
        <w:numPr>
          <w:ilvl w:val="12"/>
          <w:numId w:val="0"/>
        </w:numPr>
        <w:ind w:right="-2"/>
        <w:rPr>
          <w:snapToGrid w:val="0"/>
          <w:sz w:val="22"/>
          <w:szCs w:val="22"/>
          <w:lang w:eastAsia="en-US"/>
        </w:rPr>
      </w:pPr>
    </w:p>
    <w:p w14:paraId="223DE464" w14:textId="0BE7EB8B" w:rsidR="00E86446" w:rsidRDefault="00345E63">
      <w:pPr>
        <w:widowControl w:val="0"/>
        <w:numPr>
          <w:ilvl w:val="12"/>
          <w:numId w:val="0"/>
        </w:numPr>
        <w:ind w:right="-2"/>
        <w:rPr>
          <w:b/>
          <w:bCs/>
          <w:sz w:val="22"/>
          <w:szCs w:val="22"/>
        </w:rPr>
      </w:pPr>
      <w:r>
        <w:rPr>
          <w:b/>
          <w:bCs/>
          <w:sz w:val="22"/>
          <w:szCs w:val="22"/>
        </w:rPr>
        <w:t>Nedelsdami kreipkitės į gydytoją arba artimiausią ligoninę, jeigu pasirei</w:t>
      </w:r>
      <w:r w:rsidR="00466109">
        <w:rPr>
          <w:b/>
          <w:bCs/>
          <w:sz w:val="22"/>
          <w:szCs w:val="22"/>
        </w:rPr>
        <w:t>škia</w:t>
      </w:r>
      <w:r>
        <w:rPr>
          <w:b/>
          <w:bCs/>
          <w:sz w:val="22"/>
          <w:szCs w:val="22"/>
        </w:rPr>
        <w:t xml:space="preserve"> kuris nors toliau išvardytas šalutinis poveikis.</w:t>
      </w:r>
    </w:p>
    <w:p w14:paraId="3B6F847B" w14:textId="77777777" w:rsidR="00E86446" w:rsidRDefault="00E86446">
      <w:pPr>
        <w:widowControl w:val="0"/>
        <w:numPr>
          <w:ilvl w:val="12"/>
          <w:numId w:val="0"/>
        </w:numPr>
        <w:ind w:right="-2"/>
        <w:rPr>
          <w:b/>
          <w:bCs/>
          <w:sz w:val="22"/>
          <w:szCs w:val="22"/>
        </w:rPr>
      </w:pPr>
    </w:p>
    <w:p w14:paraId="403A2658" w14:textId="5B43DA75" w:rsidR="00E86446" w:rsidRDefault="00345E63">
      <w:pPr>
        <w:numPr>
          <w:ilvl w:val="0"/>
          <w:numId w:val="38"/>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Diabetinė </w:t>
      </w:r>
      <w:proofErr w:type="spellStart"/>
      <w:r>
        <w:rPr>
          <w:rFonts w:eastAsiaTheme="minorHAnsi"/>
          <w:b/>
          <w:bCs/>
          <w:color w:val="000000"/>
          <w:sz w:val="22"/>
          <w:szCs w:val="22"/>
          <w:lang w:eastAsia="en-US"/>
        </w:rPr>
        <w:t>ketoacidozė</w:t>
      </w:r>
      <w:proofErr w:type="spellEnd"/>
      <w:r w:rsidR="005341BF" w:rsidRPr="0073443F">
        <w:rPr>
          <w:rFonts w:eastAsiaTheme="minorHAnsi"/>
          <w:color w:val="000000"/>
          <w:sz w:val="22"/>
          <w:szCs w:val="22"/>
          <w:lang w:eastAsia="en-US"/>
        </w:rPr>
        <w:t xml:space="preserve">, kuri </w:t>
      </w:r>
      <w:r w:rsidR="00057B78" w:rsidRPr="0073443F">
        <w:rPr>
          <w:rFonts w:eastAsiaTheme="minorHAnsi"/>
          <w:color w:val="000000"/>
          <w:sz w:val="22"/>
          <w:szCs w:val="22"/>
          <w:lang w:eastAsia="en-US"/>
        </w:rPr>
        <w:t>pasireiškia retai</w:t>
      </w:r>
      <w:r>
        <w:rPr>
          <w:rFonts w:eastAsiaTheme="minorHAnsi"/>
          <w:color w:val="000000"/>
          <w:sz w:val="22"/>
          <w:szCs w:val="22"/>
          <w:lang w:eastAsia="en-US"/>
        </w:rPr>
        <w:t>(gali pasireikšti rečiau kaip 1 iš 1 000 asmenų).</w:t>
      </w:r>
    </w:p>
    <w:p w14:paraId="11DDD8A3"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požymiai yra šie (taip pat žr. 2 skyriuje skyrelį „Įspėjimai ir atsargumo priemonės“):</w:t>
      </w:r>
    </w:p>
    <w:p w14:paraId="06CC9074" w14:textId="3E225F28" w:rsidR="00E86446" w:rsidRPr="003171F5" w:rsidRDefault="00345E63">
      <w:pPr>
        <w:widowControl w:val="0"/>
        <w:numPr>
          <w:ilvl w:val="1"/>
          <w:numId w:val="39"/>
        </w:numPr>
        <w:spacing w:line="260" w:lineRule="exact"/>
        <w:ind w:left="1134" w:hanging="567"/>
        <w:rPr>
          <w:noProof/>
          <w:sz w:val="22"/>
          <w:szCs w:val="22"/>
          <w:lang w:eastAsia="en-US"/>
        </w:rPr>
      </w:pPr>
      <w:r>
        <w:rPr>
          <w:snapToGrid w:val="0"/>
          <w:sz w:val="22"/>
          <w:szCs w:val="22"/>
          <w:lang w:eastAsia="en-US"/>
        </w:rPr>
        <w:t xml:space="preserve">padidėjęs </w:t>
      </w:r>
      <w:proofErr w:type="spellStart"/>
      <w:r>
        <w:rPr>
          <w:snapToGrid w:val="0"/>
          <w:sz w:val="22"/>
          <w:szCs w:val="22"/>
          <w:lang w:eastAsia="en-US"/>
        </w:rPr>
        <w:t>ketoninių</w:t>
      </w:r>
      <w:proofErr w:type="spellEnd"/>
      <w:r>
        <w:rPr>
          <w:snapToGrid w:val="0"/>
          <w:sz w:val="22"/>
          <w:szCs w:val="22"/>
          <w:lang w:eastAsia="en-US"/>
        </w:rPr>
        <w:t xml:space="preserve"> kūnų kiekis šlapime ar kraujyje</w:t>
      </w:r>
      <w:r w:rsidR="00344D4D">
        <w:rPr>
          <w:snapToGrid w:val="0"/>
          <w:sz w:val="22"/>
          <w:szCs w:val="22"/>
          <w:lang w:eastAsia="en-US"/>
        </w:rPr>
        <w:t>;</w:t>
      </w:r>
    </w:p>
    <w:p w14:paraId="70CE5E32" w14:textId="23C5D947"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greitas kūno svorio mažėjimas</w:t>
      </w:r>
      <w:r w:rsidR="00344D4D">
        <w:rPr>
          <w:snapToGrid w:val="0"/>
          <w:sz w:val="22"/>
          <w:szCs w:val="22"/>
          <w:lang w:eastAsia="en-US"/>
        </w:rPr>
        <w:t>;</w:t>
      </w:r>
    </w:p>
    <w:p w14:paraId="38009CE0" w14:textId="1BD42BA7"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pykinimas ar vėmimas</w:t>
      </w:r>
      <w:r w:rsidR="00344D4D">
        <w:rPr>
          <w:snapToGrid w:val="0"/>
          <w:sz w:val="22"/>
          <w:szCs w:val="22"/>
          <w:lang w:eastAsia="en-US"/>
        </w:rPr>
        <w:t>;</w:t>
      </w:r>
    </w:p>
    <w:p w14:paraId="0A8F08D5" w14:textId="32C7BE26"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pilvo skausmas</w:t>
      </w:r>
      <w:r w:rsidR="00344D4D">
        <w:rPr>
          <w:snapToGrid w:val="0"/>
          <w:sz w:val="22"/>
          <w:szCs w:val="22"/>
          <w:lang w:eastAsia="en-US"/>
        </w:rPr>
        <w:t>;</w:t>
      </w:r>
    </w:p>
    <w:p w14:paraId="2C52837C" w14:textId="4A422790"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didelis troškulys</w:t>
      </w:r>
      <w:r w:rsidR="00344D4D">
        <w:rPr>
          <w:snapToGrid w:val="0"/>
          <w:sz w:val="22"/>
          <w:szCs w:val="22"/>
          <w:lang w:eastAsia="en-US"/>
        </w:rPr>
        <w:t>;</w:t>
      </w:r>
    </w:p>
    <w:p w14:paraId="748AF70C" w14:textId="03227562"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dažnas ir gilus kvėpavimas</w:t>
      </w:r>
      <w:r w:rsidR="00344D4D">
        <w:rPr>
          <w:snapToGrid w:val="0"/>
          <w:sz w:val="22"/>
          <w:szCs w:val="22"/>
          <w:lang w:eastAsia="en-US"/>
        </w:rPr>
        <w:t>;</w:t>
      </w:r>
    </w:p>
    <w:p w14:paraId="123480BF" w14:textId="5520A5BA" w:rsidR="00E86446" w:rsidRDefault="00A221B8">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sumišimas;</w:t>
      </w:r>
    </w:p>
    <w:p w14:paraId="033BDCC2" w14:textId="319507F0"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lastRenderedPageBreak/>
        <w:t>neįprastas mieguistumas ar nuovargis</w:t>
      </w:r>
      <w:r w:rsidR="00A221B8">
        <w:rPr>
          <w:snapToGrid w:val="0"/>
          <w:sz w:val="22"/>
          <w:szCs w:val="22"/>
          <w:lang w:eastAsia="en-US"/>
        </w:rPr>
        <w:t>;</w:t>
      </w:r>
    </w:p>
    <w:p w14:paraId="2A90A8E3" w14:textId="074B3060" w:rsidR="00E86446" w:rsidRPr="0073443F" w:rsidRDefault="00345E63">
      <w:pPr>
        <w:widowControl w:val="0"/>
        <w:numPr>
          <w:ilvl w:val="1"/>
          <w:numId w:val="39"/>
        </w:numPr>
        <w:spacing w:line="260" w:lineRule="exact"/>
        <w:ind w:left="1134" w:hanging="567"/>
        <w:rPr>
          <w:noProof/>
          <w:sz w:val="22"/>
          <w:szCs w:val="22"/>
          <w:lang w:val="pt-PT" w:eastAsia="en-US"/>
        </w:rPr>
      </w:pPr>
      <w:r>
        <w:rPr>
          <w:snapToGrid w:val="0"/>
          <w:sz w:val="22"/>
          <w:szCs w:val="22"/>
          <w:lang w:eastAsia="en-US"/>
        </w:rPr>
        <w:t>saldus kvapas iš burnos, saldus ar metalo skonis joje</w:t>
      </w:r>
      <w:r w:rsidR="00A221B8">
        <w:rPr>
          <w:snapToGrid w:val="0"/>
          <w:sz w:val="22"/>
          <w:szCs w:val="22"/>
          <w:lang w:eastAsia="en-US"/>
        </w:rPr>
        <w:t>,</w:t>
      </w:r>
      <w:r>
        <w:rPr>
          <w:snapToGrid w:val="0"/>
          <w:sz w:val="22"/>
          <w:szCs w:val="22"/>
          <w:lang w:eastAsia="en-US"/>
        </w:rPr>
        <w:t xml:space="preserve"> arba pakitęs šlapimo ar prakaito kvapas.</w:t>
      </w:r>
    </w:p>
    <w:p w14:paraId="0AABDEF8" w14:textId="77777777" w:rsidR="00E86446" w:rsidRDefault="00345E63">
      <w:pPr>
        <w:widowControl w:val="0"/>
        <w:numPr>
          <w:ilvl w:val="12"/>
          <w:numId w:val="0"/>
        </w:numPr>
        <w:ind w:right="-2"/>
        <w:rPr>
          <w:snapToGrid w:val="0"/>
          <w:sz w:val="22"/>
          <w:szCs w:val="22"/>
          <w:lang w:eastAsia="en-US"/>
        </w:rPr>
      </w:pPr>
      <w:r>
        <w:rPr>
          <w:snapToGrid w:val="0"/>
          <w:sz w:val="22"/>
          <w:szCs w:val="22"/>
          <w:lang w:eastAsia="en-US"/>
        </w:rPr>
        <w:t xml:space="preserve">Toks poveikis gali pasireikšti nepriklausomai nuo gliukozės kiekio kraujyje. Jūsų gydytojas gali nuspręsti laikinai arba visam laikui nutraukti </w:t>
      </w:r>
      <w:proofErr w:type="spellStart"/>
      <w:r>
        <w:rPr>
          <w:snapToGrid w:val="0"/>
          <w:sz w:val="22"/>
          <w:szCs w:val="22"/>
          <w:lang w:eastAsia="en-US"/>
        </w:rPr>
        <w:t>Mexdagry</w:t>
      </w:r>
      <w:proofErr w:type="spellEnd"/>
      <w:r>
        <w:rPr>
          <w:snapToGrid w:val="0"/>
          <w:sz w:val="22"/>
          <w:szCs w:val="22"/>
          <w:lang w:eastAsia="en-US"/>
        </w:rPr>
        <w:t xml:space="preserve"> vartojimą.</w:t>
      </w:r>
    </w:p>
    <w:p w14:paraId="7E9573AE" w14:textId="77777777" w:rsidR="00E86446" w:rsidRDefault="00E86446">
      <w:pPr>
        <w:autoSpaceDE w:val="0"/>
        <w:autoSpaceDN w:val="0"/>
        <w:adjustRightInd w:val="0"/>
        <w:rPr>
          <w:rFonts w:ascii="Symbol" w:eastAsiaTheme="minorHAnsi" w:hAnsi="Symbol" w:cs="Symbol"/>
          <w:color w:val="000000"/>
          <w:lang w:eastAsia="en-US"/>
        </w:rPr>
      </w:pPr>
    </w:p>
    <w:p w14:paraId="4683E521" w14:textId="77777777" w:rsidR="00E86446" w:rsidRDefault="00345E63">
      <w:pPr>
        <w:numPr>
          <w:ilvl w:val="0"/>
          <w:numId w:val="40"/>
        </w:numPr>
        <w:autoSpaceDE w:val="0"/>
        <w:autoSpaceDN w:val="0"/>
        <w:adjustRightInd w:val="0"/>
        <w:rPr>
          <w:rFonts w:eastAsiaTheme="minorHAnsi"/>
          <w:color w:val="000000"/>
          <w:sz w:val="22"/>
          <w:szCs w:val="22"/>
          <w:lang w:eastAsia="en-US"/>
        </w:rPr>
      </w:pPr>
      <w:r w:rsidRPr="0073443F">
        <w:rPr>
          <w:rFonts w:ascii="Symbol" w:eastAsiaTheme="minorHAnsi" w:hAnsi="Symbol" w:cs="Symbol"/>
          <w:b/>
          <w:bCs/>
          <w:color w:val="000000"/>
          <w:sz w:val="22"/>
          <w:szCs w:val="22"/>
          <w:lang w:eastAsia="en-US"/>
        </w:rPr>
        <w:t></w:t>
      </w:r>
      <w:proofErr w:type="spellStart"/>
      <w:r>
        <w:rPr>
          <w:rFonts w:eastAsiaTheme="minorHAnsi"/>
          <w:b/>
          <w:bCs/>
          <w:color w:val="000000"/>
          <w:sz w:val="22"/>
          <w:szCs w:val="22"/>
          <w:lang w:eastAsia="en-US"/>
        </w:rPr>
        <w:t>arpvietės</w:t>
      </w:r>
      <w:proofErr w:type="spellEnd"/>
      <w:r>
        <w:rPr>
          <w:rFonts w:eastAsiaTheme="minorHAnsi"/>
          <w:b/>
          <w:bCs/>
          <w:color w:val="000000"/>
          <w:sz w:val="22"/>
          <w:szCs w:val="22"/>
          <w:lang w:eastAsia="en-US"/>
        </w:rPr>
        <w:t xml:space="preserve"> </w:t>
      </w:r>
      <w:proofErr w:type="spellStart"/>
      <w:r>
        <w:rPr>
          <w:rFonts w:eastAsiaTheme="minorHAnsi"/>
          <w:b/>
          <w:bCs/>
          <w:color w:val="000000"/>
          <w:sz w:val="22"/>
          <w:szCs w:val="22"/>
          <w:lang w:eastAsia="en-US"/>
        </w:rPr>
        <w:t>nekrozuojantis</w:t>
      </w:r>
      <w:proofErr w:type="spellEnd"/>
      <w:r>
        <w:rPr>
          <w:rFonts w:eastAsiaTheme="minorHAnsi"/>
          <w:b/>
          <w:bCs/>
          <w:color w:val="000000"/>
          <w:sz w:val="22"/>
          <w:szCs w:val="22"/>
          <w:lang w:eastAsia="en-US"/>
        </w:rPr>
        <w:t xml:space="preserve"> </w:t>
      </w:r>
      <w:proofErr w:type="spellStart"/>
      <w:r>
        <w:rPr>
          <w:rFonts w:eastAsiaTheme="minorHAnsi"/>
          <w:b/>
          <w:bCs/>
          <w:color w:val="000000"/>
          <w:sz w:val="22"/>
          <w:szCs w:val="22"/>
          <w:lang w:eastAsia="en-US"/>
        </w:rPr>
        <w:t>fascitas</w:t>
      </w:r>
      <w:proofErr w:type="spellEnd"/>
      <w:r>
        <w:rPr>
          <w:rFonts w:eastAsiaTheme="minorHAnsi"/>
          <w:b/>
          <w:bCs/>
          <w:color w:val="000000"/>
          <w:sz w:val="22"/>
          <w:szCs w:val="22"/>
          <w:lang w:eastAsia="en-US"/>
        </w:rPr>
        <w:t xml:space="preserve"> </w:t>
      </w:r>
      <w:r>
        <w:rPr>
          <w:rFonts w:eastAsiaTheme="minorHAnsi"/>
          <w:color w:val="000000"/>
          <w:sz w:val="22"/>
          <w:szCs w:val="22"/>
          <w:lang w:eastAsia="en-US"/>
        </w:rPr>
        <w:t>(</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gangrena) – sunki lytinių organų arba srities tarp jų ir išeinamosios angos minkštųjų audinių infekcija (pasireiškia labai retai).</w:t>
      </w:r>
    </w:p>
    <w:p w14:paraId="4CF9F3D6" w14:textId="77777777" w:rsidR="00E86446" w:rsidRDefault="00E86446">
      <w:pPr>
        <w:autoSpaceDE w:val="0"/>
        <w:autoSpaceDN w:val="0"/>
        <w:adjustRightInd w:val="0"/>
        <w:rPr>
          <w:rFonts w:eastAsiaTheme="minorHAnsi"/>
          <w:color w:val="000000"/>
          <w:sz w:val="22"/>
          <w:szCs w:val="22"/>
          <w:lang w:eastAsia="en-US"/>
        </w:rPr>
      </w:pPr>
    </w:p>
    <w:p w14:paraId="2C0C3235" w14:textId="6082A7A3"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Kiek įmanoma greičiau nutraukite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vartojimą ir kreipkitės į gydytoją, jeigu pasteb</w:t>
      </w:r>
      <w:r w:rsidR="00F2211A">
        <w:rPr>
          <w:rFonts w:eastAsiaTheme="minorHAnsi"/>
          <w:b/>
          <w:bCs/>
          <w:color w:val="000000"/>
          <w:sz w:val="22"/>
          <w:szCs w:val="22"/>
          <w:lang w:eastAsia="en-US"/>
        </w:rPr>
        <w:t>ite</w:t>
      </w:r>
      <w:r>
        <w:rPr>
          <w:rFonts w:eastAsiaTheme="minorHAnsi"/>
          <w:b/>
          <w:bCs/>
          <w:color w:val="000000"/>
          <w:sz w:val="22"/>
          <w:szCs w:val="22"/>
          <w:lang w:eastAsia="en-US"/>
        </w:rPr>
        <w:t xml:space="preserve"> kurį nors toliau išvardytą pavojingą arba potencialiai pavojingą šalutinį poveikį.</w:t>
      </w:r>
    </w:p>
    <w:p w14:paraId="6AEEF072" w14:textId="77777777" w:rsidR="00E86446" w:rsidRDefault="00E86446">
      <w:pPr>
        <w:autoSpaceDE w:val="0"/>
        <w:autoSpaceDN w:val="0"/>
        <w:adjustRightInd w:val="0"/>
        <w:rPr>
          <w:rFonts w:eastAsiaTheme="minorHAnsi"/>
          <w:color w:val="000000"/>
          <w:sz w:val="22"/>
          <w:szCs w:val="22"/>
          <w:lang w:eastAsia="en-US"/>
        </w:rPr>
      </w:pPr>
    </w:p>
    <w:p w14:paraId="6B8B3368" w14:textId="77777777" w:rsidR="00E86446" w:rsidRDefault="00345E63">
      <w:pPr>
        <w:numPr>
          <w:ilvl w:val="0"/>
          <w:numId w:val="41"/>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Šlapimo takų infekcija </w:t>
      </w:r>
      <w:r>
        <w:rPr>
          <w:rFonts w:eastAsiaTheme="minorHAnsi"/>
          <w:color w:val="000000"/>
          <w:sz w:val="22"/>
          <w:szCs w:val="22"/>
          <w:lang w:eastAsia="en-US"/>
        </w:rPr>
        <w:t>(ji gali pasireikšti dažnai, t. y. rečiau kaip 1 iš 10 asmenų).</w:t>
      </w:r>
    </w:p>
    <w:p w14:paraId="56400F7F"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Sunkios šlapimo takų infekcijos požymiai yra šie:</w:t>
      </w:r>
    </w:p>
    <w:p w14:paraId="729F5892" w14:textId="756DB4D8"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 xml:space="preserve">karščiavimas ir (arba) </w:t>
      </w:r>
      <w:proofErr w:type="spellStart"/>
      <w:r>
        <w:rPr>
          <w:rFonts w:eastAsiaTheme="minorHAnsi"/>
          <w:color w:val="000000"/>
          <w:sz w:val="22"/>
          <w:szCs w:val="22"/>
          <w:lang w:eastAsia="en-US"/>
        </w:rPr>
        <w:t>šaltkrėtis</w:t>
      </w:r>
      <w:proofErr w:type="spellEnd"/>
      <w:r w:rsidR="00A9255A">
        <w:rPr>
          <w:rFonts w:eastAsiaTheme="minorHAnsi"/>
          <w:color w:val="000000"/>
          <w:sz w:val="22"/>
          <w:szCs w:val="22"/>
          <w:lang w:eastAsia="en-US"/>
        </w:rPr>
        <w:t>;</w:t>
      </w:r>
    </w:p>
    <w:p w14:paraId="6615C648" w14:textId="5623F0DB"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deginimo pojūtis šlapinantis</w:t>
      </w:r>
      <w:r w:rsidR="00A9255A">
        <w:rPr>
          <w:rFonts w:eastAsiaTheme="minorHAnsi"/>
          <w:color w:val="000000"/>
          <w:sz w:val="22"/>
          <w:szCs w:val="22"/>
          <w:lang w:eastAsia="en-US"/>
        </w:rPr>
        <w:t>;</w:t>
      </w:r>
    </w:p>
    <w:p w14:paraId="6C64B210" w14:textId="77777777"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nugaros ar šono skausmas.</w:t>
      </w:r>
    </w:p>
    <w:p w14:paraId="6E0FFDF4" w14:textId="0F65F49B"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Nedažnais atvejais šlapime gali atsirasti kraujo. Jei j</w:t>
      </w:r>
      <w:r w:rsidR="000818BF">
        <w:rPr>
          <w:rFonts w:eastAsiaTheme="minorHAnsi"/>
          <w:color w:val="000000"/>
          <w:sz w:val="22"/>
          <w:szCs w:val="22"/>
          <w:lang w:eastAsia="en-US"/>
        </w:rPr>
        <w:t>į pastebite</w:t>
      </w:r>
      <w:r>
        <w:rPr>
          <w:rFonts w:eastAsiaTheme="minorHAnsi"/>
          <w:color w:val="000000"/>
          <w:sz w:val="22"/>
          <w:szCs w:val="22"/>
          <w:lang w:eastAsia="en-US"/>
        </w:rPr>
        <w:t>, nedelsdami pasakykite gydytojui.</w:t>
      </w:r>
    </w:p>
    <w:p w14:paraId="768E7A70" w14:textId="77777777" w:rsidR="00E86446" w:rsidRDefault="00E86446">
      <w:pPr>
        <w:autoSpaceDE w:val="0"/>
        <w:autoSpaceDN w:val="0"/>
        <w:adjustRightInd w:val="0"/>
        <w:rPr>
          <w:rFonts w:eastAsiaTheme="minorHAnsi"/>
          <w:color w:val="000000"/>
          <w:sz w:val="22"/>
          <w:szCs w:val="22"/>
          <w:lang w:eastAsia="en-US"/>
        </w:rPr>
      </w:pPr>
    </w:p>
    <w:p w14:paraId="52FC242E" w14:textId="5565905C" w:rsidR="00E86446" w:rsidRDefault="00345E63">
      <w:pPr>
        <w:widowControl w:val="0"/>
        <w:numPr>
          <w:ilvl w:val="12"/>
          <w:numId w:val="0"/>
        </w:numPr>
        <w:ind w:right="-2"/>
        <w:rPr>
          <w:snapToGrid w:val="0"/>
          <w:sz w:val="22"/>
          <w:szCs w:val="22"/>
          <w:lang w:eastAsia="en-US"/>
        </w:rPr>
      </w:pPr>
      <w:r>
        <w:rPr>
          <w:rFonts w:eastAsiaTheme="minorHAnsi"/>
          <w:b/>
          <w:bCs/>
          <w:color w:val="000000"/>
          <w:sz w:val="22"/>
          <w:szCs w:val="22"/>
          <w:lang w:eastAsia="en-US"/>
        </w:rPr>
        <w:t>Nedelsdami kreipkitės į gydytoją, jeigu pasteb</w:t>
      </w:r>
      <w:r w:rsidR="007F7252">
        <w:rPr>
          <w:rFonts w:eastAsiaTheme="minorHAnsi"/>
          <w:b/>
          <w:bCs/>
          <w:color w:val="000000"/>
          <w:sz w:val="22"/>
          <w:szCs w:val="22"/>
          <w:lang w:eastAsia="en-US"/>
        </w:rPr>
        <w:t>ite</w:t>
      </w:r>
      <w:r>
        <w:rPr>
          <w:rFonts w:eastAsiaTheme="minorHAnsi"/>
          <w:b/>
          <w:bCs/>
          <w:color w:val="000000"/>
          <w:sz w:val="22"/>
          <w:szCs w:val="22"/>
          <w:lang w:eastAsia="en-US"/>
        </w:rPr>
        <w:t xml:space="preserve"> kurį nors toliau išvardytą šalutinį poveikį.</w:t>
      </w:r>
    </w:p>
    <w:p w14:paraId="2E04DE8A" w14:textId="77777777" w:rsidR="00E86446" w:rsidRDefault="00E86446">
      <w:pPr>
        <w:autoSpaceDE w:val="0"/>
        <w:autoSpaceDN w:val="0"/>
        <w:adjustRightInd w:val="0"/>
        <w:rPr>
          <w:rFonts w:ascii="Symbol" w:eastAsiaTheme="minorHAnsi" w:hAnsi="Symbol" w:cs="Symbol"/>
          <w:color w:val="000000"/>
          <w:lang w:eastAsia="en-US"/>
        </w:rPr>
      </w:pPr>
    </w:p>
    <w:p w14:paraId="0BDA2835" w14:textId="61F28CC4" w:rsidR="00E86446" w:rsidRDefault="00345E63">
      <w:pPr>
        <w:numPr>
          <w:ilvl w:val="0"/>
          <w:numId w:val="42"/>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Maža</w:t>
      </w:r>
      <w:r w:rsidR="007F7252">
        <w:rPr>
          <w:rFonts w:eastAsiaTheme="minorHAnsi"/>
          <w:b/>
          <w:bCs/>
          <w:color w:val="000000"/>
          <w:sz w:val="22"/>
          <w:szCs w:val="22"/>
          <w:lang w:eastAsia="en-US"/>
        </w:rPr>
        <w:t>s</w:t>
      </w:r>
      <w:r>
        <w:rPr>
          <w:rFonts w:eastAsiaTheme="minorHAnsi"/>
          <w:b/>
          <w:bCs/>
          <w:color w:val="000000"/>
          <w:sz w:val="22"/>
          <w:szCs w:val="22"/>
          <w:lang w:eastAsia="en-US"/>
        </w:rPr>
        <w:t xml:space="preserve"> cukraus </w:t>
      </w:r>
      <w:r w:rsidR="007F7252">
        <w:rPr>
          <w:rFonts w:eastAsiaTheme="minorHAnsi"/>
          <w:b/>
          <w:bCs/>
          <w:color w:val="000000"/>
          <w:sz w:val="22"/>
          <w:szCs w:val="22"/>
          <w:lang w:eastAsia="en-US"/>
        </w:rPr>
        <w:t xml:space="preserve">kiekis </w:t>
      </w:r>
      <w:r>
        <w:rPr>
          <w:rFonts w:eastAsiaTheme="minorHAnsi"/>
          <w:b/>
          <w:bCs/>
          <w:color w:val="000000"/>
          <w:sz w:val="22"/>
          <w:szCs w:val="22"/>
          <w:lang w:eastAsia="en-US"/>
        </w:rPr>
        <w:t xml:space="preserve">kraujyje – hipoglikemija </w:t>
      </w:r>
      <w:r>
        <w:rPr>
          <w:rFonts w:eastAsiaTheme="minorHAnsi"/>
          <w:color w:val="000000"/>
          <w:sz w:val="22"/>
          <w:szCs w:val="22"/>
          <w:lang w:eastAsia="en-US"/>
        </w:rPr>
        <w:t xml:space="preserve">(ji gali pasireikšti labai dažnai, t. y. ne rečiau kaip 1 iš 10 asmenų, vartojančių šio vaisto kartu su </w:t>
      </w:r>
      <w:proofErr w:type="spellStart"/>
      <w:r>
        <w:rPr>
          <w:rFonts w:eastAsiaTheme="minorHAnsi"/>
          <w:color w:val="000000"/>
          <w:sz w:val="22"/>
          <w:szCs w:val="22"/>
          <w:lang w:eastAsia="en-US"/>
        </w:rPr>
        <w:t>sulfonilkarbamid</w:t>
      </w:r>
      <w:r w:rsidR="00177A82">
        <w:rPr>
          <w:rFonts w:eastAsiaTheme="minorHAnsi"/>
          <w:color w:val="000000"/>
          <w:sz w:val="22"/>
          <w:szCs w:val="22"/>
          <w:lang w:eastAsia="en-US"/>
        </w:rPr>
        <w:t>ų</w:t>
      </w:r>
      <w:proofErr w:type="spellEnd"/>
      <w:r w:rsidR="00177A82">
        <w:rPr>
          <w:rFonts w:eastAsiaTheme="minorHAnsi"/>
          <w:color w:val="000000"/>
          <w:sz w:val="22"/>
          <w:szCs w:val="22"/>
          <w:lang w:eastAsia="en-US"/>
        </w:rPr>
        <w:t xml:space="preserve"> dariniais</w:t>
      </w:r>
      <w:r>
        <w:rPr>
          <w:rFonts w:eastAsiaTheme="minorHAnsi"/>
          <w:color w:val="000000"/>
          <w:sz w:val="22"/>
          <w:szCs w:val="22"/>
          <w:lang w:eastAsia="en-US"/>
        </w:rPr>
        <w:t xml:space="preserve"> arba kitais vaistais, mažinančiais cukraus kiekį kraujyje, pvz., insulinu).</w:t>
      </w:r>
    </w:p>
    <w:p w14:paraId="4B452516"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Sumažėjusio cukraus kiekio kraujyje požymiai yra šie:</w:t>
      </w:r>
    </w:p>
    <w:p w14:paraId="36ACA0CC" w14:textId="4EF075B7" w:rsidR="00E86446" w:rsidRPr="0073443F" w:rsidRDefault="00345E63">
      <w:pPr>
        <w:widowControl w:val="0"/>
        <w:numPr>
          <w:ilvl w:val="1"/>
          <w:numId w:val="39"/>
        </w:numPr>
        <w:spacing w:line="260" w:lineRule="exact"/>
        <w:ind w:left="1134" w:hanging="567"/>
        <w:rPr>
          <w:noProof/>
          <w:sz w:val="22"/>
          <w:szCs w:val="22"/>
          <w:lang w:val="pt-PT" w:eastAsia="en-US"/>
        </w:rPr>
      </w:pPr>
      <w:r>
        <w:rPr>
          <w:rFonts w:eastAsiaTheme="minorHAnsi"/>
          <w:color w:val="000000"/>
          <w:sz w:val="22"/>
          <w:szCs w:val="22"/>
          <w:lang w:eastAsia="en-US"/>
        </w:rPr>
        <w:t>drebulys, prakaitavimas, didelis nerimas, dažni širdies susitraukimai</w:t>
      </w:r>
      <w:r w:rsidR="00177A82">
        <w:rPr>
          <w:rFonts w:eastAsiaTheme="minorHAnsi"/>
          <w:color w:val="000000"/>
          <w:sz w:val="22"/>
          <w:szCs w:val="22"/>
          <w:lang w:eastAsia="en-US"/>
        </w:rPr>
        <w:t>;</w:t>
      </w:r>
    </w:p>
    <w:p w14:paraId="17A189DA" w14:textId="3EE89CE2" w:rsidR="00E86446" w:rsidRPr="0073443F" w:rsidRDefault="00345E63">
      <w:pPr>
        <w:widowControl w:val="0"/>
        <w:numPr>
          <w:ilvl w:val="1"/>
          <w:numId w:val="39"/>
        </w:numPr>
        <w:spacing w:line="260" w:lineRule="exact"/>
        <w:ind w:left="1134" w:hanging="567"/>
        <w:rPr>
          <w:noProof/>
          <w:sz w:val="22"/>
          <w:szCs w:val="22"/>
          <w:lang w:val="pt-PT" w:eastAsia="en-US"/>
        </w:rPr>
      </w:pPr>
      <w:r>
        <w:rPr>
          <w:rFonts w:eastAsiaTheme="minorHAnsi"/>
          <w:color w:val="000000"/>
          <w:sz w:val="22"/>
          <w:szCs w:val="22"/>
          <w:lang w:eastAsia="en-US"/>
        </w:rPr>
        <w:t>alkis, galvos skausmas, pakitęs matymas</w:t>
      </w:r>
      <w:r w:rsidR="00636BB1">
        <w:rPr>
          <w:rFonts w:eastAsiaTheme="minorHAnsi"/>
          <w:color w:val="000000"/>
          <w:sz w:val="22"/>
          <w:szCs w:val="22"/>
          <w:lang w:eastAsia="en-US"/>
        </w:rPr>
        <w:t>;</w:t>
      </w:r>
    </w:p>
    <w:p w14:paraId="2B323E92" w14:textId="310F28AD"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 xml:space="preserve">pakitusi nuotaika ar </w:t>
      </w:r>
      <w:r w:rsidR="00636BB1">
        <w:rPr>
          <w:rFonts w:eastAsiaTheme="minorHAnsi"/>
          <w:color w:val="000000"/>
          <w:sz w:val="22"/>
          <w:szCs w:val="22"/>
          <w:lang w:eastAsia="en-US"/>
        </w:rPr>
        <w:t>sumišimas</w:t>
      </w:r>
      <w:r>
        <w:rPr>
          <w:rFonts w:eastAsiaTheme="minorHAnsi"/>
          <w:color w:val="000000"/>
          <w:sz w:val="22"/>
          <w:szCs w:val="22"/>
          <w:lang w:eastAsia="en-US"/>
        </w:rPr>
        <w:t>.</w:t>
      </w:r>
    </w:p>
    <w:p w14:paraId="419740BA" w14:textId="437A90DD" w:rsidR="00E86446" w:rsidRDefault="00345E63">
      <w:pPr>
        <w:widowControl w:val="0"/>
        <w:numPr>
          <w:ilvl w:val="12"/>
          <w:numId w:val="0"/>
        </w:numPr>
        <w:ind w:right="-2"/>
        <w:rPr>
          <w:snapToGrid w:val="0"/>
          <w:sz w:val="22"/>
          <w:szCs w:val="22"/>
          <w:lang w:eastAsia="en-US"/>
        </w:rPr>
      </w:pPr>
      <w:r>
        <w:rPr>
          <w:rFonts w:eastAsiaTheme="minorHAnsi"/>
          <w:color w:val="000000"/>
          <w:sz w:val="22"/>
          <w:szCs w:val="22"/>
          <w:lang w:eastAsia="en-US"/>
        </w:rPr>
        <w:t xml:space="preserve">Ką daryti, sumažėjus cukraus kiekiui kraujyje arba pastebėjus kurį nors iš pirmiau išvardytų požymių, pasakys gydytojas. Jeigu </w:t>
      </w:r>
      <w:r w:rsidR="00636BB1">
        <w:rPr>
          <w:rFonts w:eastAsiaTheme="minorHAnsi"/>
          <w:color w:val="000000"/>
          <w:sz w:val="22"/>
          <w:szCs w:val="22"/>
          <w:lang w:eastAsia="en-US"/>
        </w:rPr>
        <w:t>jaučiate</w:t>
      </w:r>
      <w:r>
        <w:rPr>
          <w:rFonts w:eastAsiaTheme="minorHAnsi"/>
          <w:color w:val="000000"/>
          <w:sz w:val="22"/>
          <w:szCs w:val="22"/>
          <w:lang w:eastAsia="en-US"/>
        </w:rPr>
        <w:t xml:space="preserve"> sumažėjusio cukraus kiekio kraujyje simptomų, tai suvalgykite gliukozės tablečių, užkandį su daug cukraus arba išgerkite vaisių sulčių. Pamatuokite cukraus koncentraciją savo kraujyje, jei tik galite ir pailsėkite.</w:t>
      </w:r>
    </w:p>
    <w:p w14:paraId="629B09AB" w14:textId="77777777" w:rsidR="00E86446" w:rsidRDefault="00E86446">
      <w:pPr>
        <w:widowControl w:val="0"/>
        <w:numPr>
          <w:ilvl w:val="12"/>
          <w:numId w:val="0"/>
        </w:numPr>
        <w:ind w:right="-2"/>
        <w:rPr>
          <w:snapToGrid w:val="0"/>
          <w:sz w:val="22"/>
          <w:szCs w:val="22"/>
          <w:lang w:eastAsia="en-US"/>
        </w:rPr>
      </w:pPr>
    </w:p>
    <w:p w14:paraId="70CEC6C0"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Kiti šalutinio poveikio reiškiniai:</w:t>
      </w:r>
    </w:p>
    <w:p w14:paraId="47ABA797"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Labai dažni šalutinio poveikio reiškiniai</w:t>
      </w:r>
      <w:r>
        <w:rPr>
          <w:rFonts w:eastAsiaTheme="minorHAnsi"/>
          <w:color w:val="000000"/>
          <w:sz w:val="22"/>
          <w:szCs w:val="22"/>
          <w:lang w:eastAsia="en-US"/>
        </w:rPr>
        <w:t xml:space="preserve"> </w:t>
      </w:r>
      <w:r>
        <w:rPr>
          <w:sz w:val="22"/>
          <w:szCs w:val="22"/>
          <w:lang w:eastAsia="lt-LT"/>
        </w:rPr>
        <w:t>(gali pasireikšti ne rečiau kaip 1 iš 10 asmenų)</w:t>
      </w:r>
      <w:r>
        <w:rPr>
          <w:rFonts w:eastAsiaTheme="minorHAnsi"/>
          <w:color w:val="000000"/>
          <w:sz w:val="22"/>
          <w:szCs w:val="22"/>
          <w:lang w:eastAsia="en-US"/>
        </w:rPr>
        <w:t>:</w:t>
      </w:r>
    </w:p>
    <w:p w14:paraId="1F491ECE" w14:textId="0C31F0A4"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pykinimas, vėmimas</w:t>
      </w:r>
      <w:r w:rsidR="00EB53CC">
        <w:rPr>
          <w:rFonts w:eastAsiaTheme="minorHAnsi"/>
          <w:color w:val="000000"/>
          <w:sz w:val="22"/>
          <w:szCs w:val="22"/>
          <w:lang w:eastAsia="en-US"/>
        </w:rPr>
        <w:t>;</w:t>
      </w:r>
    </w:p>
    <w:p w14:paraId="532F7B3C" w14:textId="028CDDA4"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viduriavimas, pilvo skausmas</w:t>
      </w:r>
      <w:r w:rsidR="00EB53CC">
        <w:rPr>
          <w:rFonts w:eastAsiaTheme="minorHAnsi"/>
          <w:color w:val="000000"/>
          <w:sz w:val="22"/>
          <w:szCs w:val="22"/>
          <w:lang w:eastAsia="en-US"/>
        </w:rPr>
        <w:t>;</w:t>
      </w:r>
    </w:p>
    <w:p w14:paraId="5F9781B0"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apetito stoka.</w:t>
      </w:r>
    </w:p>
    <w:p w14:paraId="5257356C" w14:textId="77777777" w:rsidR="00E86446" w:rsidRDefault="00E86446">
      <w:pPr>
        <w:autoSpaceDE w:val="0"/>
        <w:autoSpaceDN w:val="0"/>
        <w:adjustRightInd w:val="0"/>
        <w:rPr>
          <w:rFonts w:eastAsiaTheme="minorHAnsi"/>
          <w:color w:val="000000"/>
          <w:sz w:val="22"/>
          <w:szCs w:val="22"/>
          <w:lang w:eastAsia="en-US"/>
        </w:rPr>
      </w:pPr>
    </w:p>
    <w:p w14:paraId="76A94D11"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Dažni šalutinio poveikio reiškiniai </w:t>
      </w:r>
      <w:r>
        <w:rPr>
          <w:sz w:val="22"/>
          <w:szCs w:val="22"/>
          <w:lang w:eastAsia="sl-SI"/>
        </w:rPr>
        <w:t>(gali pasireikšti rečiau kaip 1 iš 10 asmenų):</w:t>
      </w:r>
    </w:p>
    <w:p w14:paraId="57FE8766" w14:textId="501451F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lytinių organų (varpos ar makšties) infekcija (pienligė) (galimi jos požymiai yra dirginimas, </w:t>
      </w:r>
      <w:r w:rsidR="00740D4F">
        <w:rPr>
          <w:rFonts w:eastAsiaTheme="minorHAnsi"/>
          <w:color w:val="000000"/>
          <w:sz w:val="22"/>
          <w:szCs w:val="22"/>
          <w:lang w:eastAsia="en-US"/>
        </w:rPr>
        <w:t>niežėjimas</w:t>
      </w:r>
      <w:r>
        <w:rPr>
          <w:rFonts w:eastAsiaTheme="minorHAnsi"/>
          <w:color w:val="000000"/>
          <w:sz w:val="22"/>
          <w:szCs w:val="22"/>
          <w:lang w:eastAsia="en-US"/>
        </w:rPr>
        <w:t>, neįprastos išskyros ar kvapas)</w:t>
      </w:r>
      <w:r w:rsidR="00435CE0">
        <w:rPr>
          <w:rFonts w:eastAsiaTheme="minorHAnsi"/>
          <w:color w:val="000000"/>
          <w:sz w:val="22"/>
          <w:szCs w:val="22"/>
          <w:lang w:eastAsia="en-US"/>
        </w:rPr>
        <w:t>;</w:t>
      </w:r>
    </w:p>
    <w:p w14:paraId="5A9D4891" w14:textId="79D9571D"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nugaros skausmas</w:t>
      </w:r>
      <w:r w:rsidR="00435CE0">
        <w:rPr>
          <w:rFonts w:eastAsiaTheme="minorHAnsi"/>
          <w:color w:val="000000"/>
          <w:sz w:val="22"/>
          <w:szCs w:val="22"/>
          <w:lang w:eastAsia="en-US"/>
        </w:rPr>
        <w:t>;</w:t>
      </w:r>
    </w:p>
    <w:p w14:paraId="5EF5CDD2" w14:textId="2E9BD9CA"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nemalonūs pojūčiai šlapinantis, padidėjęs šlapimo kiekis ar padažnėjęs šlapinimasis</w:t>
      </w:r>
      <w:r w:rsidR="00435CE0">
        <w:rPr>
          <w:rFonts w:eastAsiaTheme="minorHAnsi"/>
          <w:color w:val="000000"/>
          <w:sz w:val="22"/>
          <w:szCs w:val="22"/>
          <w:lang w:eastAsia="en-US"/>
        </w:rPr>
        <w:t>;</w:t>
      </w:r>
    </w:p>
    <w:p w14:paraId="16E5E7C1" w14:textId="6FAA2577"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pakitęs cholesterolio ar kraujo riebalų kiekis (nustatomas tyrimais)</w:t>
      </w:r>
      <w:r w:rsidR="00435CE0">
        <w:rPr>
          <w:rFonts w:eastAsiaTheme="minorHAnsi"/>
          <w:color w:val="000000"/>
          <w:sz w:val="22"/>
          <w:szCs w:val="22"/>
          <w:lang w:eastAsia="en-US"/>
        </w:rPr>
        <w:t>;</w:t>
      </w:r>
    </w:p>
    <w:p w14:paraId="0CF89143" w14:textId="4C313D25"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padidėjęs raudonųjų kraujo kūnelių kiekis (nustatomas tyrimais)</w:t>
      </w:r>
      <w:r w:rsidR="00435CE0">
        <w:rPr>
          <w:rFonts w:eastAsiaTheme="minorHAnsi"/>
          <w:color w:val="000000"/>
          <w:sz w:val="22"/>
          <w:szCs w:val="22"/>
          <w:lang w:eastAsia="en-US"/>
        </w:rPr>
        <w:t>;</w:t>
      </w:r>
    </w:p>
    <w:p w14:paraId="36E96905" w14:textId="3698545B"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sumažėjęs inkstų kreatinino klirensas (nustatomas tyrimais) – </w:t>
      </w:r>
      <w:r w:rsidR="006E192C">
        <w:rPr>
          <w:rFonts w:eastAsiaTheme="minorHAnsi"/>
          <w:color w:val="000000"/>
          <w:sz w:val="22"/>
          <w:szCs w:val="22"/>
          <w:lang w:eastAsia="en-US"/>
        </w:rPr>
        <w:t>gydymo pradžioje</w:t>
      </w:r>
      <w:r w:rsidR="00435CE0">
        <w:rPr>
          <w:rFonts w:eastAsiaTheme="minorHAnsi"/>
          <w:color w:val="000000"/>
          <w:sz w:val="22"/>
          <w:szCs w:val="22"/>
          <w:lang w:eastAsia="en-US"/>
        </w:rPr>
        <w:t>;</w:t>
      </w:r>
    </w:p>
    <w:p w14:paraId="336EA8B4" w14:textId="72D116FB"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pakitęs skonis</w:t>
      </w:r>
      <w:r w:rsidR="00435CE0">
        <w:rPr>
          <w:rFonts w:eastAsiaTheme="minorHAnsi"/>
          <w:color w:val="000000"/>
          <w:sz w:val="22"/>
          <w:szCs w:val="22"/>
          <w:lang w:eastAsia="en-US"/>
        </w:rPr>
        <w:t>;</w:t>
      </w:r>
    </w:p>
    <w:p w14:paraId="374ACA99" w14:textId="0CE8FDAE" w:rsidR="00E86446" w:rsidRDefault="006E192C">
      <w:pPr>
        <w:widowControl w:val="0"/>
        <w:numPr>
          <w:ilvl w:val="0"/>
          <w:numId w:val="25"/>
        </w:numPr>
        <w:tabs>
          <w:tab w:val="left" w:pos="567"/>
        </w:tabs>
        <w:spacing w:line="260" w:lineRule="exact"/>
        <w:ind w:left="567" w:hanging="567"/>
        <w:rPr>
          <w:noProof/>
          <w:sz w:val="22"/>
          <w:szCs w:val="22"/>
          <w:lang w:val="en-GB" w:eastAsia="en-US"/>
        </w:rPr>
      </w:pPr>
      <w:r>
        <w:rPr>
          <w:snapToGrid w:val="0"/>
          <w:sz w:val="22"/>
          <w:szCs w:val="22"/>
          <w:lang w:eastAsia="en-US"/>
        </w:rPr>
        <w:t>svaigulys</w:t>
      </w:r>
      <w:r w:rsidR="00435CE0">
        <w:rPr>
          <w:snapToGrid w:val="0"/>
          <w:sz w:val="22"/>
          <w:szCs w:val="22"/>
          <w:lang w:eastAsia="en-US"/>
        </w:rPr>
        <w:t>;</w:t>
      </w:r>
    </w:p>
    <w:p w14:paraId="4B4B14D1" w14:textId="6158AEC9" w:rsidR="00E86446" w:rsidRDefault="00345E63">
      <w:pPr>
        <w:widowControl w:val="0"/>
        <w:numPr>
          <w:ilvl w:val="0"/>
          <w:numId w:val="25"/>
        </w:numPr>
        <w:tabs>
          <w:tab w:val="left" w:pos="567"/>
        </w:tabs>
        <w:spacing w:line="260" w:lineRule="exact"/>
        <w:ind w:left="567" w:hanging="567"/>
        <w:rPr>
          <w:noProof/>
          <w:sz w:val="22"/>
          <w:szCs w:val="22"/>
          <w:lang w:val="en-GB" w:eastAsia="en-US"/>
        </w:rPr>
      </w:pPr>
      <w:bookmarkStart w:id="13" w:name="_Hlk199931522"/>
      <w:r>
        <w:rPr>
          <w:snapToGrid w:val="0"/>
          <w:sz w:val="22"/>
          <w:szCs w:val="22"/>
          <w:lang w:eastAsia="en-US"/>
        </w:rPr>
        <w:t>bėrimas</w:t>
      </w:r>
      <w:bookmarkEnd w:id="13"/>
      <w:r w:rsidR="00435CE0">
        <w:rPr>
          <w:snapToGrid w:val="0"/>
          <w:sz w:val="22"/>
          <w:szCs w:val="22"/>
          <w:lang w:eastAsia="en-US"/>
        </w:rPr>
        <w:t>;</w:t>
      </w:r>
    </w:p>
    <w:p w14:paraId="1A6A6979" w14:textId="798BEABF"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snapToGrid w:val="0"/>
          <w:sz w:val="22"/>
          <w:szCs w:val="22"/>
          <w:lang w:eastAsia="en-US"/>
        </w:rPr>
        <w:t>sumažėj</w:t>
      </w:r>
      <w:r w:rsidR="006E192C">
        <w:rPr>
          <w:snapToGrid w:val="0"/>
          <w:sz w:val="22"/>
          <w:szCs w:val="22"/>
          <w:lang w:eastAsia="en-US"/>
        </w:rPr>
        <w:t>ęs</w:t>
      </w:r>
      <w:r>
        <w:rPr>
          <w:snapToGrid w:val="0"/>
          <w:sz w:val="22"/>
          <w:szCs w:val="22"/>
          <w:lang w:eastAsia="en-US"/>
        </w:rPr>
        <w:t xml:space="preserve"> arba maža</w:t>
      </w:r>
      <w:r w:rsidR="006E192C">
        <w:rPr>
          <w:snapToGrid w:val="0"/>
          <w:sz w:val="22"/>
          <w:szCs w:val="22"/>
          <w:lang w:eastAsia="en-US"/>
        </w:rPr>
        <w:t>s</w:t>
      </w:r>
      <w:r>
        <w:rPr>
          <w:snapToGrid w:val="0"/>
          <w:sz w:val="22"/>
          <w:szCs w:val="22"/>
          <w:lang w:eastAsia="en-US"/>
        </w:rPr>
        <w:t xml:space="preserve"> vitamino B12 </w:t>
      </w:r>
      <w:r w:rsidR="006E192C">
        <w:rPr>
          <w:snapToGrid w:val="0"/>
          <w:sz w:val="22"/>
          <w:szCs w:val="22"/>
          <w:lang w:eastAsia="en-US"/>
        </w:rPr>
        <w:t xml:space="preserve">kiekis </w:t>
      </w:r>
      <w:r>
        <w:rPr>
          <w:snapToGrid w:val="0"/>
          <w:sz w:val="22"/>
          <w:szCs w:val="22"/>
          <w:lang w:eastAsia="en-US"/>
        </w:rPr>
        <w:t>kraujyje (simptomai gali būti labai didelis nuovargis</w:t>
      </w:r>
      <w:r w:rsidR="009A6A6A">
        <w:rPr>
          <w:snapToGrid w:val="0"/>
          <w:sz w:val="22"/>
          <w:szCs w:val="22"/>
          <w:lang w:eastAsia="en-US"/>
        </w:rPr>
        <w:t xml:space="preserve">, </w:t>
      </w:r>
      <w:r>
        <w:rPr>
          <w:snapToGrid w:val="0"/>
          <w:sz w:val="22"/>
          <w:szCs w:val="22"/>
          <w:lang w:eastAsia="en-US"/>
        </w:rPr>
        <w:t xml:space="preserve">skaudantis ir raudonas liežuvis (glositas), dilgčiojimas ar </w:t>
      </w:r>
      <w:r w:rsidR="0002704F">
        <w:rPr>
          <w:snapToGrid w:val="0"/>
          <w:sz w:val="22"/>
          <w:szCs w:val="22"/>
          <w:lang w:eastAsia="en-US"/>
        </w:rPr>
        <w:t xml:space="preserve">„badymo adatomis“ jutimas </w:t>
      </w:r>
      <w:r>
        <w:rPr>
          <w:snapToGrid w:val="0"/>
          <w:sz w:val="22"/>
          <w:szCs w:val="22"/>
          <w:lang w:eastAsia="en-US"/>
        </w:rPr>
        <w:t>(</w:t>
      </w:r>
      <w:proofErr w:type="spellStart"/>
      <w:r>
        <w:rPr>
          <w:snapToGrid w:val="0"/>
          <w:sz w:val="22"/>
          <w:szCs w:val="22"/>
          <w:lang w:eastAsia="en-US"/>
        </w:rPr>
        <w:t>parestezija</w:t>
      </w:r>
      <w:proofErr w:type="spellEnd"/>
      <w:r>
        <w:rPr>
          <w:snapToGrid w:val="0"/>
          <w:sz w:val="22"/>
          <w:szCs w:val="22"/>
          <w:lang w:eastAsia="en-US"/>
        </w:rPr>
        <w:t>) arba blyški</w:t>
      </w:r>
      <w:r w:rsidR="0002704F">
        <w:rPr>
          <w:snapToGrid w:val="0"/>
          <w:sz w:val="22"/>
          <w:szCs w:val="22"/>
          <w:lang w:eastAsia="en-US"/>
        </w:rPr>
        <w:t>,</w:t>
      </w:r>
      <w:r>
        <w:rPr>
          <w:snapToGrid w:val="0"/>
          <w:sz w:val="22"/>
          <w:szCs w:val="22"/>
          <w:lang w:eastAsia="en-US"/>
        </w:rPr>
        <w:t xml:space="preserve"> ar geltona oda). Gydytojas gali paskirti tam tikrus tyrimus, kad išsiaiškintų Jūsų simptomų priežastį, nes kai kuriuos iš jų gali sukelti ir diabetas arba kitos nesusijusios sveikatos problemos.</w:t>
      </w:r>
    </w:p>
    <w:p w14:paraId="7F5D0EBC" w14:textId="77777777" w:rsidR="00E86446" w:rsidRDefault="00E86446">
      <w:pPr>
        <w:widowControl w:val="0"/>
        <w:numPr>
          <w:ilvl w:val="12"/>
          <w:numId w:val="0"/>
        </w:numPr>
        <w:ind w:right="-2"/>
        <w:rPr>
          <w:snapToGrid w:val="0"/>
          <w:sz w:val="22"/>
          <w:szCs w:val="22"/>
          <w:lang w:eastAsia="en-US"/>
        </w:rPr>
      </w:pPr>
    </w:p>
    <w:p w14:paraId="300B42F3"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Nedažni šalutinio poveikio reiškiniai </w:t>
      </w:r>
      <w:r>
        <w:rPr>
          <w:rFonts w:eastAsiaTheme="minorHAnsi"/>
          <w:color w:val="000000"/>
          <w:sz w:val="22"/>
          <w:szCs w:val="22"/>
          <w:lang w:eastAsia="en-US"/>
        </w:rPr>
        <w:t>(gali pasireikšti rečiau kaip 1 iš 100 asmenų)</w:t>
      </w:r>
      <w:r>
        <w:rPr>
          <w:rFonts w:eastAsiaTheme="minorHAnsi"/>
          <w:b/>
          <w:bCs/>
          <w:color w:val="000000"/>
          <w:sz w:val="22"/>
          <w:szCs w:val="22"/>
          <w:lang w:eastAsia="en-US"/>
        </w:rPr>
        <w:t>:</w:t>
      </w:r>
    </w:p>
    <w:p w14:paraId="3B143979" w14:textId="73B03B42"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per didelio skysčio kiekio netekimas (jis vadinamas dehidratacija ir gali pasireikšti labai sausa ar lipnia </w:t>
      </w:r>
      <w:r>
        <w:rPr>
          <w:rFonts w:eastAsiaTheme="minorHAnsi"/>
          <w:color w:val="000000"/>
          <w:sz w:val="22"/>
          <w:szCs w:val="22"/>
          <w:lang w:eastAsia="en-US"/>
        </w:rPr>
        <w:lastRenderedPageBreak/>
        <w:t>burna, mažu šlapimo kiekiu ar nesišlapinimu</w:t>
      </w:r>
      <w:r w:rsidR="00835DCA">
        <w:rPr>
          <w:rFonts w:eastAsiaTheme="minorHAnsi"/>
          <w:color w:val="000000"/>
          <w:sz w:val="22"/>
          <w:szCs w:val="22"/>
          <w:lang w:eastAsia="en-US"/>
        </w:rPr>
        <w:t>,</w:t>
      </w:r>
      <w:r>
        <w:rPr>
          <w:rFonts w:eastAsiaTheme="minorHAnsi"/>
          <w:color w:val="000000"/>
          <w:sz w:val="22"/>
          <w:szCs w:val="22"/>
          <w:lang w:eastAsia="en-US"/>
        </w:rPr>
        <w:t xml:space="preserve"> arba dažn</w:t>
      </w:r>
      <w:r w:rsidR="00835DCA">
        <w:rPr>
          <w:rFonts w:eastAsiaTheme="minorHAnsi"/>
          <w:color w:val="000000"/>
          <w:sz w:val="22"/>
          <w:szCs w:val="22"/>
          <w:lang w:eastAsia="en-US"/>
        </w:rPr>
        <w:t>u</w:t>
      </w:r>
      <w:r>
        <w:rPr>
          <w:rFonts w:eastAsiaTheme="minorHAnsi"/>
          <w:color w:val="000000"/>
          <w:sz w:val="22"/>
          <w:szCs w:val="22"/>
          <w:lang w:eastAsia="en-US"/>
        </w:rPr>
        <w:t xml:space="preserve"> širdies </w:t>
      </w:r>
      <w:r w:rsidR="00835DCA">
        <w:rPr>
          <w:rFonts w:eastAsiaTheme="minorHAnsi"/>
          <w:color w:val="000000"/>
          <w:sz w:val="22"/>
          <w:szCs w:val="22"/>
          <w:lang w:eastAsia="en-US"/>
        </w:rPr>
        <w:t>plakimu</w:t>
      </w:r>
      <w:r>
        <w:rPr>
          <w:rFonts w:eastAsiaTheme="minorHAnsi"/>
          <w:color w:val="000000"/>
          <w:sz w:val="22"/>
          <w:szCs w:val="22"/>
          <w:lang w:eastAsia="en-US"/>
        </w:rPr>
        <w:t>)</w:t>
      </w:r>
      <w:r w:rsidR="00C563EF">
        <w:rPr>
          <w:rFonts w:eastAsiaTheme="minorHAnsi"/>
          <w:color w:val="000000"/>
          <w:sz w:val="22"/>
          <w:szCs w:val="22"/>
          <w:lang w:eastAsia="en-US"/>
        </w:rPr>
        <w:t>;</w:t>
      </w:r>
    </w:p>
    <w:p w14:paraId="11ED9E97" w14:textId="49BB40A4"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troškulys</w:t>
      </w:r>
      <w:r w:rsidR="00C563EF">
        <w:rPr>
          <w:rFonts w:eastAsiaTheme="minorHAnsi"/>
          <w:color w:val="000000"/>
          <w:sz w:val="22"/>
          <w:szCs w:val="22"/>
          <w:lang w:eastAsia="en-US"/>
        </w:rPr>
        <w:t>;</w:t>
      </w:r>
    </w:p>
    <w:p w14:paraId="63E9D335" w14:textId="4BA16952"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vidurių užkietėjimas</w:t>
      </w:r>
      <w:r w:rsidR="00C563EF">
        <w:rPr>
          <w:rFonts w:eastAsiaTheme="minorHAnsi"/>
          <w:color w:val="000000"/>
          <w:sz w:val="22"/>
          <w:szCs w:val="22"/>
          <w:lang w:eastAsia="en-US"/>
        </w:rPr>
        <w:t>;</w:t>
      </w:r>
    </w:p>
    <w:p w14:paraId="1C58759E" w14:textId="4CE3579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naktiniai prabudimai šlapintis</w:t>
      </w:r>
      <w:r w:rsidR="00C563EF">
        <w:rPr>
          <w:rFonts w:eastAsiaTheme="minorHAnsi"/>
          <w:color w:val="000000"/>
          <w:sz w:val="22"/>
          <w:szCs w:val="22"/>
          <w:lang w:eastAsia="en-US"/>
        </w:rPr>
        <w:t>;</w:t>
      </w:r>
    </w:p>
    <w:p w14:paraId="08A4EE51" w14:textId="77BA20F6"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sausa burna;</w:t>
      </w:r>
    </w:p>
    <w:p w14:paraId="3A574A94" w14:textId="25F1DD90"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kūno svoris</w:t>
      </w:r>
      <w:r w:rsidR="00C563EF">
        <w:rPr>
          <w:rFonts w:eastAsiaTheme="minorHAnsi"/>
          <w:color w:val="000000"/>
          <w:sz w:val="22"/>
          <w:szCs w:val="22"/>
          <w:lang w:eastAsia="en-US"/>
        </w:rPr>
        <w:t>;</w:t>
      </w:r>
    </w:p>
    <w:p w14:paraId="41D4EF99" w14:textId="4ADE4205"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padidėjęs kreatinino kiekis (nustatomas laboratoriniais tyrimais) – </w:t>
      </w:r>
      <w:r w:rsidR="00835DCA">
        <w:rPr>
          <w:rFonts w:eastAsiaTheme="minorHAnsi"/>
          <w:color w:val="000000"/>
          <w:sz w:val="22"/>
          <w:szCs w:val="22"/>
          <w:lang w:eastAsia="en-US"/>
        </w:rPr>
        <w:t>gydymo pradžioje</w:t>
      </w:r>
      <w:r w:rsidR="00C563EF">
        <w:rPr>
          <w:rFonts w:eastAsiaTheme="minorHAnsi"/>
          <w:color w:val="000000"/>
          <w:sz w:val="22"/>
          <w:szCs w:val="22"/>
          <w:lang w:eastAsia="en-US"/>
        </w:rPr>
        <w:t>;</w:t>
      </w:r>
    </w:p>
    <w:p w14:paraId="20F8A6A3" w14:textId="77777777"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padidėjęs šlapalo kiekis (nustatomas laboratoriniais tyrimais).</w:t>
      </w:r>
    </w:p>
    <w:p w14:paraId="7E1D7DD3" w14:textId="77777777" w:rsidR="00E86446" w:rsidRPr="0073443F" w:rsidRDefault="00E86446">
      <w:pPr>
        <w:widowControl w:val="0"/>
        <w:ind w:right="-2"/>
        <w:contextualSpacing/>
        <w:rPr>
          <w:sz w:val="22"/>
          <w:szCs w:val="22"/>
          <w:lang w:val="pt-PT" w:eastAsia="en-US"/>
        </w:rPr>
      </w:pPr>
    </w:p>
    <w:p w14:paraId="4C70F3D9"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reti šalutinio poveikio reiškiniai </w:t>
      </w:r>
      <w:r>
        <w:rPr>
          <w:sz w:val="22"/>
          <w:szCs w:val="22"/>
          <w:lang w:eastAsia="sl-SI"/>
        </w:rPr>
        <w:t>(gali pasireikšti rečiau kaip 1 iš 10 000 asmenų):</w:t>
      </w:r>
    </w:p>
    <w:p w14:paraId="2447B0C3" w14:textId="4F27CE3F"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nenormalūs kepenų funkcijos rodikliai, kepenų uždegimas (hepatitas)</w:t>
      </w:r>
      <w:r w:rsidR="00055C58">
        <w:rPr>
          <w:rFonts w:eastAsiaTheme="minorHAnsi"/>
          <w:color w:val="000000"/>
          <w:sz w:val="22"/>
          <w:szCs w:val="22"/>
          <w:lang w:eastAsia="en-US"/>
        </w:rPr>
        <w:t>;</w:t>
      </w:r>
    </w:p>
    <w:p w14:paraId="6D54F603" w14:textId="1227D8C6"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odos paraudimas (</w:t>
      </w:r>
      <w:proofErr w:type="spellStart"/>
      <w:r>
        <w:rPr>
          <w:rFonts w:eastAsiaTheme="minorHAnsi"/>
          <w:color w:val="000000"/>
          <w:sz w:val="22"/>
          <w:szCs w:val="22"/>
          <w:lang w:eastAsia="en-US"/>
        </w:rPr>
        <w:t>eritema</w:t>
      </w:r>
      <w:proofErr w:type="spellEnd"/>
      <w:r>
        <w:rPr>
          <w:rFonts w:eastAsiaTheme="minorHAnsi"/>
          <w:color w:val="000000"/>
          <w:sz w:val="22"/>
          <w:szCs w:val="22"/>
          <w:lang w:eastAsia="en-US"/>
        </w:rPr>
        <w:t xml:space="preserve">), </w:t>
      </w:r>
      <w:r w:rsidR="00055C58">
        <w:rPr>
          <w:rFonts w:eastAsiaTheme="minorHAnsi"/>
          <w:color w:val="000000"/>
          <w:sz w:val="22"/>
          <w:szCs w:val="22"/>
          <w:lang w:eastAsia="en-US"/>
        </w:rPr>
        <w:t xml:space="preserve">niežėjimas </w:t>
      </w:r>
      <w:r>
        <w:rPr>
          <w:rFonts w:eastAsiaTheme="minorHAnsi"/>
          <w:color w:val="000000"/>
          <w:sz w:val="22"/>
          <w:szCs w:val="22"/>
          <w:lang w:eastAsia="en-US"/>
        </w:rPr>
        <w:t>arba niežtintis bėrimas (dilgėlinė)</w:t>
      </w:r>
      <w:r w:rsidR="00055C58">
        <w:rPr>
          <w:rFonts w:eastAsiaTheme="minorHAnsi"/>
          <w:color w:val="000000"/>
          <w:sz w:val="22"/>
          <w:szCs w:val="22"/>
          <w:lang w:eastAsia="en-US"/>
        </w:rPr>
        <w:t>;</w:t>
      </w:r>
    </w:p>
    <w:p w14:paraId="6F6ED4BC" w14:textId="77777777"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inkstų uždegimas (kanalėlių ir </w:t>
      </w:r>
      <w:proofErr w:type="spellStart"/>
      <w:r>
        <w:rPr>
          <w:rFonts w:eastAsiaTheme="minorHAnsi"/>
          <w:color w:val="000000"/>
          <w:sz w:val="22"/>
          <w:szCs w:val="22"/>
          <w:lang w:eastAsia="en-US"/>
        </w:rPr>
        <w:t>intersticinio</w:t>
      </w:r>
      <w:proofErr w:type="spellEnd"/>
      <w:r>
        <w:rPr>
          <w:rFonts w:eastAsiaTheme="minorHAnsi"/>
          <w:color w:val="000000"/>
          <w:sz w:val="22"/>
          <w:szCs w:val="22"/>
          <w:lang w:eastAsia="en-US"/>
        </w:rPr>
        <w:t xml:space="preserve"> audinio nefritas).</w:t>
      </w:r>
    </w:p>
    <w:p w14:paraId="09E4360C" w14:textId="77777777" w:rsidR="00E86446" w:rsidRPr="0073443F" w:rsidRDefault="00E86446">
      <w:pPr>
        <w:widowControl w:val="0"/>
        <w:ind w:right="-2"/>
        <w:contextualSpacing/>
        <w:rPr>
          <w:sz w:val="22"/>
          <w:szCs w:val="22"/>
          <w:lang w:val="pt-PT" w:eastAsia="en-US"/>
        </w:rPr>
      </w:pPr>
    </w:p>
    <w:p w14:paraId="12FA26AE" w14:textId="77777777" w:rsidR="00E86446" w:rsidRDefault="00345E63">
      <w:pPr>
        <w:jc w:val="both"/>
        <w:rPr>
          <w:sz w:val="22"/>
          <w:szCs w:val="22"/>
          <w:lang w:eastAsia="lt-LT"/>
        </w:rPr>
      </w:pPr>
      <w:r>
        <w:rPr>
          <w:b/>
          <w:bCs/>
          <w:sz w:val="22"/>
          <w:szCs w:val="22"/>
          <w:lang w:eastAsia="lt-LT"/>
        </w:rPr>
        <w:t>Pranešimas apie šalutinį poveikį</w:t>
      </w:r>
    </w:p>
    <w:p w14:paraId="21AA9D28" w14:textId="77777777" w:rsidR="00E86446" w:rsidRDefault="00345E63">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295BC6FF" w14:textId="77777777" w:rsidR="00E86446" w:rsidRDefault="00E86446">
      <w:pPr>
        <w:widowControl w:val="0"/>
        <w:numPr>
          <w:ilvl w:val="12"/>
          <w:numId w:val="0"/>
        </w:numPr>
        <w:ind w:right="-2"/>
        <w:rPr>
          <w:sz w:val="22"/>
          <w:szCs w:val="22"/>
          <w:lang w:eastAsia="sl-SI"/>
        </w:rPr>
      </w:pPr>
    </w:p>
    <w:p w14:paraId="40EDF8B5" w14:textId="77777777" w:rsidR="00E86446" w:rsidRDefault="00E86446">
      <w:pPr>
        <w:widowControl w:val="0"/>
        <w:numPr>
          <w:ilvl w:val="12"/>
          <w:numId w:val="0"/>
        </w:numPr>
        <w:ind w:right="-2"/>
        <w:rPr>
          <w:sz w:val="22"/>
          <w:szCs w:val="22"/>
          <w:lang w:eastAsia="sl-SI"/>
        </w:rPr>
      </w:pPr>
    </w:p>
    <w:p w14:paraId="046B09F4" w14:textId="77777777" w:rsidR="00E86446" w:rsidRDefault="00345E63">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 xml:space="preserve">Kaip laikyti </w:t>
      </w:r>
      <w:proofErr w:type="spellStart"/>
      <w:r>
        <w:rPr>
          <w:b/>
          <w:bCs/>
          <w:snapToGrid w:val="0"/>
          <w:sz w:val="22"/>
          <w:szCs w:val="22"/>
          <w:lang w:eastAsia="x-none"/>
        </w:rPr>
        <w:t>Mexdagry</w:t>
      </w:r>
      <w:proofErr w:type="spellEnd"/>
    </w:p>
    <w:p w14:paraId="19699316" w14:textId="77777777" w:rsidR="00E86446" w:rsidRDefault="00E86446">
      <w:pPr>
        <w:widowControl w:val="0"/>
        <w:numPr>
          <w:ilvl w:val="12"/>
          <w:numId w:val="0"/>
        </w:numPr>
        <w:ind w:right="-2"/>
        <w:rPr>
          <w:sz w:val="22"/>
          <w:szCs w:val="22"/>
          <w:lang w:eastAsia="sl-SI"/>
        </w:rPr>
      </w:pPr>
    </w:p>
    <w:p w14:paraId="023C6460" w14:textId="77777777" w:rsidR="00E86446" w:rsidRDefault="00345E63">
      <w:pPr>
        <w:rPr>
          <w:rFonts w:eastAsia="Cambria"/>
          <w:sz w:val="22"/>
          <w:szCs w:val="22"/>
          <w:lang w:eastAsia="en-US"/>
        </w:rPr>
      </w:pPr>
      <w:r>
        <w:rPr>
          <w:rFonts w:eastAsia="Cambria"/>
          <w:sz w:val="22"/>
          <w:szCs w:val="22"/>
          <w:lang w:eastAsia="en-US"/>
        </w:rPr>
        <w:t>Šį vaistą laikykite vaikams nepastebimoje ir nepasiekiamoje vietoje.</w:t>
      </w:r>
    </w:p>
    <w:p w14:paraId="61E35EE3" w14:textId="77777777" w:rsidR="00E86446" w:rsidRDefault="00E86446">
      <w:pPr>
        <w:rPr>
          <w:rFonts w:eastAsia="Cambria"/>
          <w:sz w:val="22"/>
          <w:szCs w:val="22"/>
          <w:lang w:eastAsia="en-US"/>
        </w:rPr>
      </w:pPr>
    </w:p>
    <w:p w14:paraId="6ABC0427" w14:textId="77777777" w:rsidR="00E86446" w:rsidRDefault="00345E63">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49F84D45" w14:textId="77777777" w:rsidR="00E86446" w:rsidRDefault="00E86446">
      <w:pPr>
        <w:rPr>
          <w:sz w:val="22"/>
          <w:szCs w:val="22"/>
          <w:lang w:eastAsia="en-US"/>
        </w:rPr>
      </w:pPr>
    </w:p>
    <w:p w14:paraId="55B928A1" w14:textId="1DB3E0D9" w:rsidR="00E86446" w:rsidRDefault="00345E63">
      <w:pPr>
        <w:spacing w:line="259" w:lineRule="auto"/>
        <w:rPr>
          <w:rFonts w:eastAsia="Calibri"/>
          <w:sz w:val="22"/>
          <w:szCs w:val="22"/>
          <w:lang w:eastAsia="en-US"/>
        </w:rPr>
      </w:pPr>
      <w:r>
        <w:rPr>
          <w:rFonts w:eastAsia="Calibri"/>
          <w:sz w:val="22"/>
          <w:szCs w:val="22"/>
          <w:lang w:eastAsia="en-US"/>
        </w:rPr>
        <w:t xml:space="preserve">Laikyti </w:t>
      </w:r>
      <w:r w:rsidR="003171F5">
        <w:rPr>
          <w:rFonts w:eastAsia="Calibri"/>
          <w:sz w:val="22"/>
          <w:szCs w:val="22"/>
          <w:lang w:eastAsia="en-US"/>
        </w:rPr>
        <w:t>gamintojo</w:t>
      </w:r>
      <w:r>
        <w:rPr>
          <w:rFonts w:eastAsia="Calibri"/>
          <w:sz w:val="22"/>
          <w:szCs w:val="22"/>
          <w:lang w:eastAsia="en-US"/>
        </w:rPr>
        <w:t xml:space="preserve"> pakuotėje, kad vaistinis preparatas būtų apsaugotas nuo drėgmės.</w:t>
      </w:r>
    </w:p>
    <w:p w14:paraId="3B589D27" w14:textId="735093C0" w:rsidR="00E86446" w:rsidRDefault="003171F5">
      <w:pPr>
        <w:spacing w:line="259" w:lineRule="auto"/>
        <w:rPr>
          <w:rFonts w:eastAsia="Calibri"/>
          <w:sz w:val="22"/>
          <w:szCs w:val="22"/>
          <w:lang w:eastAsia="en-US"/>
        </w:rPr>
      </w:pPr>
      <w:r w:rsidRPr="003171F5">
        <w:rPr>
          <w:snapToGrid w:val="0"/>
          <w:sz w:val="22"/>
          <w:szCs w:val="20"/>
          <w:lang w:eastAsia="en-US"/>
        </w:rPr>
        <w:t>Šio vaist</w:t>
      </w:r>
      <w:r>
        <w:rPr>
          <w:snapToGrid w:val="0"/>
          <w:sz w:val="22"/>
          <w:szCs w:val="20"/>
          <w:lang w:eastAsia="en-US"/>
        </w:rPr>
        <w:t>o</w:t>
      </w:r>
      <w:r w:rsidRPr="003171F5">
        <w:rPr>
          <w:snapToGrid w:val="0"/>
          <w:sz w:val="22"/>
          <w:szCs w:val="20"/>
          <w:lang w:eastAsia="en-US"/>
        </w:rPr>
        <w:t xml:space="preserve"> laikymui specialių temperatūros sąlygų nereikalaujama</w:t>
      </w:r>
      <w:r>
        <w:rPr>
          <w:snapToGrid w:val="0"/>
          <w:sz w:val="22"/>
          <w:szCs w:val="20"/>
          <w:lang w:eastAsia="en-US"/>
        </w:rPr>
        <w:t>.</w:t>
      </w:r>
    </w:p>
    <w:p w14:paraId="5191B3E3" w14:textId="77777777" w:rsidR="00E86446" w:rsidRDefault="00E86446">
      <w:pPr>
        <w:rPr>
          <w:rFonts w:eastAsia="Cambria"/>
          <w:sz w:val="22"/>
          <w:szCs w:val="22"/>
          <w:lang w:eastAsia="en-US"/>
        </w:rPr>
      </w:pPr>
    </w:p>
    <w:p w14:paraId="5DAEF9AF" w14:textId="77777777" w:rsidR="00E86446" w:rsidRDefault="00345E63">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1CAD8FD5" w14:textId="77777777" w:rsidR="00E86446" w:rsidRDefault="00E86446">
      <w:pPr>
        <w:numPr>
          <w:ilvl w:val="12"/>
          <w:numId w:val="0"/>
        </w:numPr>
        <w:rPr>
          <w:rFonts w:eastAsia="Calibri"/>
          <w:noProof/>
          <w:sz w:val="22"/>
          <w:szCs w:val="22"/>
          <w:lang w:eastAsia="en-US"/>
        </w:rPr>
      </w:pPr>
    </w:p>
    <w:p w14:paraId="4973AF60" w14:textId="77777777" w:rsidR="00E86446" w:rsidRDefault="00E86446">
      <w:pPr>
        <w:numPr>
          <w:ilvl w:val="12"/>
          <w:numId w:val="0"/>
        </w:numPr>
        <w:rPr>
          <w:rFonts w:eastAsia="Calibri"/>
          <w:noProof/>
          <w:sz w:val="22"/>
          <w:szCs w:val="22"/>
          <w:lang w:eastAsia="en-US"/>
        </w:rPr>
      </w:pPr>
    </w:p>
    <w:p w14:paraId="761BDD46" w14:textId="77777777" w:rsidR="00E86446" w:rsidRDefault="00345E63">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2604B9BF" w14:textId="77777777" w:rsidR="00E86446" w:rsidRDefault="00E86446">
      <w:pPr>
        <w:numPr>
          <w:ilvl w:val="12"/>
          <w:numId w:val="0"/>
        </w:numPr>
        <w:rPr>
          <w:rFonts w:eastAsia="Calibri"/>
          <w:sz w:val="22"/>
          <w:szCs w:val="22"/>
          <w:lang w:eastAsia="en-US"/>
        </w:rPr>
      </w:pPr>
    </w:p>
    <w:p w14:paraId="1E569CD8" w14:textId="77777777" w:rsidR="00E86446" w:rsidRDefault="00345E63">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Mexdagry</w:t>
      </w:r>
      <w:proofErr w:type="spellEnd"/>
      <w:r>
        <w:rPr>
          <w:b/>
          <w:bCs/>
          <w:snapToGrid w:val="0"/>
          <w:sz w:val="22"/>
          <w:szCs w:val="22"/>
          <w:lang w:eastAsia="x-none"/>
        </w:rPr>
        <w:t xml:space="preserve"> sudėtis</w:t>
      </w:r>
    </w:p>
    <w:p w14:paraId="7BCBD6BE" w14:textId="77777777" w:rsidR="00E86446" w:rsidRDefault="00345E63">
      <w:pPr>
        <w:widowControl w:val="0"/>
        <w:numPr>
          <w:ilvl w:val="0"/>
          <w:numId w:val="6"/>
        </w:numPr>
        <w:tabs>
          <w:tab w:val="left" w:pos="567"/>
        </w:tabs>
        <w:autoSpaceDE w:val="0"/>
        <w:autoSpaceDN w:val="0"/>
        <w:adjustRightInd w:val="0"/>
        <w:ind w:left="567" w:hanging="567"/>
        <w:rPr>
          <w:noProof/>
          <w:sz w:val="22"/>
          <w:szCs w:val="22"/>
          <w:lang w:val="sl-SI" w:eastAsia="sl-SI"/>
        </w:rPr>
      </w:pPr>
      <w:r>
        <w:rPr>
          <w:sz w:val="22"/>
          <w:szCs w:val="22"/>
        </w:rPr>
        <w:t xml:space="preserve">Veiklioji medžiaga yra dapagliflozinas ir </w:t>
      </w:r>
      <w:proofErr w:type="spellStart"/>
      <w:r>
        <w:rPr>
          <w:sz w:val="22"/>
          <w:szCs w:val="22"/>
        </w:rPr>
        <w:t>metformino</w:t>
      </w:r>
      <w:proofErr w:type="spellEnd"/>
      <w:r>
        <w:rPr>
          <w:sz w:val="22"/>
          <w:szCs w:val="22"/>
        </w:rPr>
        <w:t xml:space="preserve"> hidrochloridas.</w:t>
      </w:r>
    </w:p>
    <w:p w14:paraId="55FA33C7" w14:textId="77777777" w:rsidR="00E86446" w:rsidRDefault="00345E63">
      <w:pPr>
        <w:widowControl w:val="0"/>
        <w:tabs>
          <w:tab w:val="left" w:pos="567"/>
        </w:tabs>
        <w:autoSpaceDE w:val="0"/>
        <w:autoSpaceDN w:val="0"/>
        <w:adjustRightInd w:val="0"/>
        <w:ind w:left="567"/>
        <w:rPr>
          <w:noProof/>
          <w:sz w:val="22"/>
          <w:szCs w:val="22"/>
          <w:lang w:val="sl-SI" w:eastAsia="sl-SI"/>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mg/850 mg plėvele dengtos tabletės</w:t>
      </w:r>
    </w:p>
    <w:p w14:paraId="7AA143C3" w14:textId="77777777" w:rsidR="00E86446" w:rsidRDefault="00345E63">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7B19451" w14:textId="77777777" w:rsidR="00E86446" w:rsidRDefault="00345E63">
      <w:pPr>
        <w:widowControl w:val="0"/>
        <w:tabs>
          <w:tab w:val="left" w:pos="567"/>
        </w:tabs>
        <w:autoSpaceDE w:val="0"/>
        <w:autoSpaceDN w:val="0"/>
        <w:adjustRightInd w:val="0"/>
        <w:ind w:left="567"/>
        <w:rPr>
          <w:rFonts w:eastAsiaTheme="minorHAnsi"/>
          <w:color w:val="000000"/>
          <w:sz w:val="22"/>
          <w:szCs w:val="22"/>
          <w:lang w:eastAsia="en-US"/>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mg/1 000 mg plėvele dengtos tabletės</w:t>
      </w:r>
    </w:p>
    <w:p w14:paraId="1293A04D" w14:textId="77777777" w:rsidR="00E86446" w:rsidRDefault="00345E63">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44795847" w14:textId="77777777" w:rsidR="00E86446" w:rsidRDefault="00345E63">
      <w:pPr>
        <w:widowControl w:val="0"/>
        <w:numPr>
          <w:ilvl w:val="0"/>
          <w:numId w:val="6"/>
        </w:numPr>
        <w:tabs>
          <w:tab w:val="left" w:pos="567"/>
        </w:tabs>
        <w:autoSpaceDE w:val="0"/>
        <w:autoSpaceDN w:val="0"/>
        <w:adjustRightInd w:val="0"/>
        <w:spacing w:line="259" w:lineRule="auto"/>
        <w:ind w:left="567" w:hanging="567"/>
        <w:rPr>
          <w:noProof/>
          <w:sz w:val="22"/>
          <w:szCs w:val="22"/>
          <w:lang w:val="en-GB" w:eastAsia="sl-SI"/>
        </w:rPr>
      </w:pPr>
      <w:r>
        <w:rPr>
          <w:rFonts w:eastAsia="Calibri"/>
          <w:noProof/>
          <w:sz w:val="22"/>
          <w:szCs w:val="22"/>
          <w:lang w:eastAsia="en-US"/>
        </w:rPr>
        <w:t>Pagalbinės medžiagos:</w:t>
      </w:r>
    </w:p>
    <w:p w14:paraId="7E3C7F5F" w14:textId="09F516AD" w:rsidR="00E86446" w:rsidRDefault="00345E63">
      <w:pPr>
        <w:widowControl w:val="0"/>
        <w:numPr>
          <w:ilvl w:val="0"/>
          <w:numId w:val="6"/>
        </w:numPr>
        <w:tabs>
          <w:tab w:val="left" w:pos="567"/>
        </w:tabs>
        <w:autoSpaceDE w:val="0"/>
        <w:autoSpaceDN w:val="0"/>
        <w:adjustRightInd w:val="0"/>
        <w:spacing w:line="259" w:lineRule="auto"/>
        <w:ind w:left="567" w:hanging="567"/>
        <w:rPr>
          <w:noProof/>
          <w:sz w:val="22"/>
          <w:szCs w:val="22"/>
          <w:lang w:val="en-GB" w:eastAsia="sl-SI"/>
        </w:rPr>
      </w:pPr>
      <w:r>
        <w:rPr>
          <w:sz w:val="22"/>
          <w:szCs w:val="22"/>
          <w:u w:val="single"/>
          <w:lang w:eastAsia="en-US"/>
        </w:rPr>
        <w:t>tabletės branduolys:</w:t>
      </w:r>
      <w:r>
        <w:rPr>
          <w:sz w:val="22"/>
          <w:szCs w:val="22"/>
          <w:lang w:eastAsia="en-US"/>
        </w:rPr>
        <w:t xml:space="preserve"> </w:t>
      </w:r>
      <w:proofErr w:type="spellStart"/>
      <w:r>
        <w:rPr>
          <w:sz w:val="22"/>
          <w:szCs w:val="22"/>
          <w:lang w:eastAsia="en-US"/>
        </w:rPr>
        <w:t>krospovidonas</w:t>
      </w:r>
      <w:proofErr w:type="spellEnd"/>
      <w:r>
        <w:rPr>
          <w:sz w:val="22"/>
          <w:szCs w:val="22"/>
          <w:lang w:eastAsia="en-US"/>
        </w:rPr>
        <w:t xml:space="preserve">, </w:t>
      </w:r>
      <w:proofErr w:type="spellStart"/>
      <w:r>
        <w:rPr>
          <w:sz w:val="22"/>
          <w:szCs w:val="22"/>
          <w:lang w:eastAsia="en-US"/>
        </w:rPr>
        <w:t>kroskarmeliozės</w:t>
      </w:r>
      <w:proofErr w:type="spellEnd"/>
      <w:r>
        <w:rPr>
          <w:sz w:val="22"/>
          <w:szCs w:val="22"/>
          <w:lang w:eastAsia="en-US"/>
        </w:rPr>
        <w:t xml:space="preserve"> natrio druska, </w:t>
      </w:r>
      <w:proofErr w:type="spellStart"/>
      <w:r>
        <w:rPr>
          <w:sz w:val="22"/>
          <w:szCs w:val="22"/>
          <w:lang w:eastAsia="en-US"/>
        </w:rPr>
        <w:t>mikrokristalinė</w:t>
      </w:r>
      <w:proofErr w:type="spellEnd"/>
      <w:r>
        <w:rPr>
          <w:sz w:val="22"/>
          <w:szCs w:val="22"/>
          <w:lang w:eastAsia="en-US"/>
        </w:rPr>
        <w:t xml:space="preserve"> celiuliozė, magnio </w:t>
      </w:r>
      <w:proofErr w:type="spellStart"/>
      <w:r>
        <w:rPr>
          <w:sz w:val="22"/>
          <w:szCs w:val="22"/>
          <w:lang w:eastAsia="en-US"/>
        </w:rPr>
        <w:t>stearatas</w:t>
      </w:r>
      <w:proofErr w:type="spellEnd"/>
      <w:r w:rsidR="003171F5">
        <w:rPr>
          <w:sz w:val="22"/>
          <w:szCs w:val="22"/>
          <w:lang w:eastAsia="en-US"/>
        </w:rPr>
        <w:t>;</w:t>
      </w:r>
    </w:p>
    <w:p w14:paraId="71EF48B5" w14:textId="521DF488" w:rsidR="00E86446" w:rsidRDefault="00345E63">
      <w:pPr>
        <w:widowControl w:val="0"/>
        <w:tabs>
          <w:tab w:val="left" w:pos="567"/>
        </w:tabs>
        <w:autoSpaceDE w:val="0"/>
        <w:autoSpaceDN w:val="0"/>
        <w:adjustRightInd w:val="0"/>
        <w:spacing w:line="259" w:lineRule="auto"/>
        <w:ind w:left="567"/>
        <w:rPr>
          <w:i/>
          <w:sz w:val="22"/>
          <w:szCs w:val="20"/>
          <w:lang w:val="en-GB" w:eastAsia="sl-SI"/>
        </w:rPr>
      </w:pPr>
      <w:r>
        <w:rPr>
          <w:sz w:val="22"/>
          <w:szCs w:val="22"/>
          <w:u w:val="single"/>
          <w:lang w:eastAsia="en-US"/>
        </w:rPr>
        <w:t>tabletės plėvelė</w:t>
      </w:r>
      <w:r w:rsidR="003171F5">
        <w:rPr>
          <w:sz w:val="22"/>
          <w:szCs w:val="22"/>
          <w:u w:val="single"/>
          <w:lang w:eastAsia="en-US"/>
        </w:rPr>
        <w:t>:</w:t>
      </w:r>
      <w:r>
        <w:rPr>
          <w:sz w:val="22"/>
          <w:szCs w:val="22"/>
          <w:lang w:eastAsia="en-US"/>
        </w:rPr>
        <w:t xml:space="preserve"> polivinilo alkoholis, kalcio karbonatas, </w:t>
      </w:r>
      <w:proofErr w:type="spellStart"/>
      <w:r>
        <w:rPr>
          <w:sz w:val="22"/>
          <w:szCs w:val="22"/>
          <w:lang w:eastAsia="en-US"/>
        </w:rPr>
        <w:t>makrogolis</w:t>
      </w:r>
      <w:proofErr w:type="spellEnd"/>
      <w:r>
        <w:rPr>
          <w:sz w:val="22"/>
          <w:szCs w:val="22"/>
          <w:lang w:eastAsia="en-US"/>
        </w:rPr>
        <w:t xml:space="preserve">, talkas, geltonasis geležies oksidas (E172), raudonasis geležies oksidas (E172) </w:t>
      </w:r>
      <w:r>
        <w:rPr>
          <w:sz w:val="22"/>
          <w:szCs w:val="22"/>
          <w:lang w:val="en-GB" w:eastAsia="sl-SI"/>
        </w:rPr>
        <w:t xml:space="preserve">– </w:t>
      </w:r>
      <w:r>
        <w:rPr>
          <w:i/>
          <w:iCs/>
          <w:sz w:val="22"/>
          <w:szCs w:val="22"/>
          <w:lang w:val="en-GB" w:eastAsia="sl-SI"/>
        </w:rPr>
        <w:t xml:space="preserve">tik </w:t>
      </w:r>
      <w:r>
        <w:rPr>
          <w:i/>
          <w:sz w:val="22"/>
          <w:szCs w:val="20"/>
          <w:lang w:val="en-GB" w:eastAsia="sl-SI"/>
        </w:rPr>
        <w:t>5 mg/850 mg.</w:t>
      </w:r>
    </w:p>
    <w:p w14:paraId="03C548DC" w14:textId="77777777" w:rsidR="00E86446" w:rsidRDefault="00345E63">
      <w:pPr>
        <w:widowControl w:val="0"/>
        <w:tabs>
          <w:tab w:val="left" w:pos="567"/>
        </w:tabs>
        <w:autoSpaceDE w:val="0"/>
        <w:autoSpaceDN w:val="0"/>
        <w:adjustRightInd w:val="0"/>
        <w:spacing w:line="259" w:lineRule="auto"/>
        <w:ind w:left="567"/>
        <w:rPr>
          <w:noProof/>
          <w:sz w:val="22"/>
          <w:szCs w:val="22"/>
          <w:lang w:val="en-GB" w:eastAsia="sl-SI"/>
        </w:rPr>
      </w:pPr>
      <w:r>
        <w:rPr>
          <w:sz w:val="22"/>
          <w:szCs w:val="22"/>
          <w:lang w:eastAsia="en-US"/>
        </w:rPr>
        <w:t>Žr.</w:t>
      </w:r>
      <w:r>
        <w:rPr>
          <w:noProof/>
          <w:sz w:val="22"/>
          <w:szCs w:val="22"/>
          <w:lang w:val="en-GB" w:eastAsia="sl-SI"/>
        </w:rPr>
        <w:t xml:space="preserve"> 2 skyrių “Mexdagry sudėtyje yra natrio”.</w:t>
      </w:r>
    </w:p>
    <w:p w14:paraId="4288D233" w14:textId="77777777" w:rsidR="00E86446" w:rsidRDefault="00E86446">
      <w:pPr>
        <w:widowControl w:val="0"/>
        <w:tabs>
          <w:tab w:val="left" w:pos="567"/>
        </w:tabs>
        <w:autoSpaceDE w:val="0"/>
        <w:autoSpaceDN w:val="0"/>
        <w:adjustRightInd w:val="0"/>
        <w:spacing w:after="160" w:line="259" w:lineRule="auto"/>
        <w:rPr>
          <w:noProof/>
          <w:sz w:val="22"/>
          <w:szCs w:val="22"/>
          <w:lang w:val="en-GB" w:eastAsia="sl-SI"/>
        </w:rPr>
      </w:pPr>
    </w:p>
    <w:p w14:paraId="15F4C3CC" w14:textId="77777777" w:rsidR="00E86446" w:rsidRDefault="00345E63">
      <w:pPr>
        <w:keepNext/>
        <w:tabs>
          <w:tab w:val="left" w:pos="567"/>
        </w:tabs>
        <w:spacing w:line="260" w:lineRule="exact"/>
        <w:jc w:val="both"/>
        <w:outlineLvl w:val="3"/>
        <w:rPr>
          <w:b/>
          <w:bCs/>
          <w:snapToGrid w:val="0"/>
          <w:sz w:val="22"/>
          <w:szCs w:val="22"/>
          <w:lang w:eastAsia="x-none"/>
        </w:rPr>
      </w:pPr>
      <w:bookmarkStart w:id="14" w:name="_Hlk161231430"/>
      <w:proofErr w:type="spellStart"/>
      <w:r>
        <w:rPr>
          <w:b/>
          <w:bCs/>
          <w:snapToGrid w:val="0"/>
          <w:sz w:val="22"/>
          <w:szCs w:val="22"/>
          <w:lang w:eastAsia="x-none"/>
        </w:rPr>
        <w:t>Mexdagry</w:t>
      </w:r>
      <w:proofErr w:type="spellEnd"/>
      <w:r>
        <w:rPr>
          <w:b/>
          <w:bCs/>
          <w:snapToGrid w:val="0"/>
          <w:sz w:val="22"/>
          <w:szCs w:val="22"/>
          <w:lang w:eastAsia="x-none"/>
        </w:rPr>
        <w:t xml:space="preserve"> </w:t>
      </w:r>
      <w:bookmarkEnd w:id="14"/>
      <w:r>
        <w:rPr>
          <w:b/>
          <w:bCs/>
          <w:snapToGrid w:val="0"/>
          <w:sz w:val="22"/>
          <w:szCs w:val="22"/>
          <w:lang w:eastAsia="x-none"/>
        </w:rPr>
        <w:t>išvaizda ir kiekis pakuotėje</w:t>
      </w:r>
    </w:p>
    <w:p w14:paraId="6A0837B5" w14:textId="77777777" w:rsidR="00E86446" w:rsidRDefault="00E86446">
      <w:pPr>
        <w:widowControl w:val="0"/>
        <w:rPr>
          <w:rFonts w:ascii="Calibri" w:eastAsia="Calibri" w:hAnsi="Calibri"/>
          <w:sz w:val="22"/>
          <w:szCs w:val="22"/>
          <w:lang w:eastAsia="x-none"/>
        </w:rPr>
      </w:pPr>
    </w:p>
    <w:p w14:paraId="584E0959"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5 mg/850 mg: Oranžinė, ovali, abipus išgaubta, plėvele dengta tabletė, kurios vienoje pusėje yra žyma „K1“. Tabletės matmenys: 20 x 10 mm.</w:t>
      </w:r>
    </w:p>
    <w:p w14:paraId="44C97911" w14:textId="77777777" w:rsidR="00E86446" w:rsidRDefault="00345E63">
      <w:pPr>
        <w:rPr>
          <w:sz w:val="22"/>
          <w:szCs w:val="22"/>
        </w:rPr>
      </w:pPr>
      <w:r>
        <w:rPr>
          <w:rFonts w:eastAsiaTheme="minorHAnsi"/>
          <w:color w:val="000000"/>
          <w:sz w:val="22"/>
          <w:szCs w:val="22"/>
          <w:lang w:eastAsia="en-US"/>
        </w:rPr>
        <w:t xml:space="preserve">5 mg/1 000 mg: </w:t>
      </w:r>
      <w:r>
        <w:rPr>
          <w:sz w:val="22"/>
          <w:szCs w:val="22"/>
        </w:rPr>
        <w:t>Geltona, ovali, abipus išgaubta, plėvele dengta tabletė, kurios vienoje pusėje yra žyma „K2“. Tabletės matmenys: 22 x 11 mm.</w:t>
      </w:r>
    </w:p>
    <w:p w14:paraId="003663EF" w14:textId="77777777" w:rsidR="00E86446" w:rsidRDefault="00E86446">
      <w:pPr>
        <w:rPr>
          <w:rFonts w:eastAsiaTheme="minorHAnsi"/>
          <w:color w:val="000000"/>
          <w:sz w:val="22"/>
          <w:szCs w:val="22"/>
          <w:u w:val="single"/>
          <w:lang w:eastAsia="en-US"/>
        </w:rPr>
      </w:pPr>
    </w:p>
    <w:p w14:paraId="41A48ABC" w14:textId="77777777" w:rsidR="00E86446" w:rsidRDefault="00345E63">
      <w:pPr>
        <w:widowControl w:val="0"/>
        <w:rPr>
          <w:sz w:val="22"/>
          <w:szCs w:val="22"/>
          <w:lang w:eastAsia="sl-SI"/>
        </w:rPr>
      </w:pPr>
      <w:r>
        <w:rPr>
          <w:snapToGrid w:val="0"/>
          <w:sz w:val="22"/>
          <w:szCs w:val="22"/>
          <w:lang w:eastAsia="en-US"/>
        </w:rPr>
        <w:t>Lizdinė plokštelė (PVC/PVDC/PVC</w:t>
      </w:r>
      <w:r w:rsidRPr="003171F5">
        <w:rPr>
          <w:sz w:val="22"/>
          <w:szCs w:val="22"/>
          <w:lang w:eastAsia="en-US"/>
        </w:rPr>
        <w:t>//</w:t>
      </w:r>
      <w:r>
        <w:rPr>
          <w:snapToGrid w:val="0"/>
          <w:sz w:val="22"/>
          <w:szCs w:val="22"/>
          <w:lang w:eastAsia="en-US"/>
        </w:rPr>
        <w:t>aliuminio):</w:t>
      </w:r>
      <w:r>
        <w:rPr>
          <w:sz w:val="22"/>
          <w:szCs w:val="22"/>
          <w:lang w:eastAsia="sl-SI"/>
        </w:rPr>
        <w:t xml:space="preserve"> 14, 28, 30, 56, 60, 90 arba 196</w:t>
      </w:r>
      <w:r>
        <w:rPr>
          <w:noProof/>
          <w:sz w:val="22"/>
          <w:szCs w:val="22"/>
          <w:lang w:eastAsia="sl-SI"/>
        </w:rPr>
        <w:t xml:space="preserve"> plėvele dengtų tablečių dėžutėje.</w:t>
      </w:r>
    </w:p>
    <w:p w14:paraId="606B3001" w14:textId="77777777" w:rsidR="00E86446" w:rsidRDefault="00E86446">
      <w:pPr>
        <w:tabs>
          <w:tab w:val="left" w:pos="-142"/>
          <w:tab w:val="center" w:pos="4320"/>
          <w:tab w:val="right" w:pos="8640"/>
        </w:tabs>
        <w:spacing w:line="260" w:lineRule="exact"/>
        <w:rPr>
          <w:rFonts w:eastAsia="SimSun"/>
          <w:bCs/>
          <w:iCs/>
          <w:sz w:val="22"/>
          <w:szCs w:val="22"/>
          <w:lang w:eastAsia="zh-CN"/>
        </w:rPr>
      </w:pPr>
    </w:p>
    <w:p w14:paraId="0B1D7932" w14:textId="77777777" w:rsidR="00E86446" w:rsidRDefault="00345E63">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04BF3D0C" w14:textId="77777777" w:rsidR="00E86446" w:rsidRDefault="00E86446">
      <w:pPr>
        <w:numPr>
          <w:ilvl w:val="12"/>
          <w:numId w:val="0"/>
        </w:numPr>
        <w:rPr>
          <w:rFonts w:eastAsia="Calibri"/>
          <w:sz w:val="22"/>
          <w:szCs w:val="22"/>
          <w:lang w:eastAsia="en-US"/>
        </w:rPr>
      </w:pPr>
    </w:p>
    <w:p w14:paraId="3795AC95" w14:textId="77777777" w:rsidR="00E86446" w:rsidRDefault="00345E63">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040AA4F4" w14:textId="77777777" w:rsidR="00E86446" w:rsidRDefault="00E86446">
      <w:pPr>
        <w:numPr>
          <w:ilvl w:val="12"/>
          <w:numId w:val="0"/>
        </w:numPr>
        <w:rPr>
          <w:rFonts w:eastAsia="Calibri"/>
          <w:sz w:val="22"/>
          <w:szCs w:val="22"/>
          <w:lang w:eastAsia="en-US"/>
        </w:rPr>
      </w:pPr>
    </w:p>
    <w:p w14:paraId="2766C96F" w14:textId="77777777" w:rsidR="00E86446" w:rsidRDefault="00345E63">
      <w:pPr>
        <w:numPr>
          <w:ilvl w:val="12"/>
          <w:numId w:val="0"/>
        </w:numPr>
        <w:rPr>
          <w:rFonts w:eastAsia="Calibri"/>
          <w:i/>
          <w:iCs/>
          <w:sz w:val="22"/>
          <w:szCs w:val="22"/>
          <w:lang w:eastAsia="en-US"/>
        </w:rPr>
      </w:pPr>
      <w:r>
        <w:rPr>
          <w:rFonts w:eastAsia="Calibri"/>
          <w:i/>
          <w:iCs/>
          <w:sz w:val="22"/>
          <w:szCs w:val="22"/>
          <w:lang w:eastAsia="en-US"/>
        </w:rPr>
        <w:t>Registruotojas</w:t>
      </w:r>
    </w:p>
    <w:p w14:paraId="2D4A61EB" w14:textId="77777777" w:rsidR="00E86446" w:rsidRDefault="00345E63">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199B4FDC" w14:textId="77777777" w:rsidR="00E86446" w:rsidRDefault="00345E63">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76537C71" w14:textId="77777777" w:rsidR="00E86446" w:rsidRDefault="00345E63">
      <w:pPr>
        <w:widowControl w:val="0"/>
        <w:rPr>
          <w:sz w:val="22"/>
          <w:szCs w:val="22"/>
          <w:lang w:eastAsia="en-US"/>
        </w:rPr>
      </w:pPr>
      <w:r>
        <w:rPr>
          <w:sz w:val="22"/>
          <w:szCs w:val="22"/>
          <w:lang w:eastAsia="en-US"/>
        </w:rPr>
        <w:t>8501 Novo mesto</w:t>
      </w:r>
    </w:p>
    <w:p w14:paraId="7BD9ECDD" w14:textId="77777777" w:rsidR="00E86446" w:rsidRDefault="00345E63">
      <w:pPr>
        <w:widowControl w:val="0"/>
        <w:rPr>
          <w:sz w:val="22"/>
          <w:szCs w:val="22"/>
          <w:lang w:eastAsia="en-US"/>
        </w:rPr>
      </w:pPr>
      <w:r>
        <w:rPr>
          <w:sz w:val="22"/>
          <w:szCs w:val="22"/>
          <w:lang w:eastAsia="en-US"/>
        </w:rPr>
        <w:t>Slovėnija</w:t>
      </w:r>
    </w:p>
    <w:p w14:paraId="7260D730" w14:textId="77777777" w:rsidR="00E86446" w:rsidRDefault="00E86446">
      <w:pPr>
        <w:jc w:val="both"/>
        <w:rPr>
          <w:rFonts w:eastAsia="Calibri"/>
          <w:noProof/>
          <w:sz w:val="22"/>
          <w:szCs w:val="22"/>
          <w:lang w:eastAsia="en-US"/>
        </w:rPr>
      </w:pPr>
    </w:p>
    <w:p w14:paraId="082C44DA" w14:textId="77777777" w:rsidR="00E86446" w:rsidRDefault="00345E63">
      <w:pPr>
        <w:jc w:val="both"/>
        <w:rPr>
          <w:rFonts w:eastAsia="Calibri"/>
          <w:i/>
          <w:iCs/>
          <w:noProof/>
          <w:sz w:val="22"/>
          <w:szCs w:val="22"/>
          <w:lang w:eastAsia="en-US"/>
        </w:rPr>
      </w:pPr>
      <w:r>
        <w:rPr>
          <w:rFonts w:eastAsia="Calibri"/>
          <w:i/>
          <w:iCs/>
          <w:noProof/>
          <w:sz w:val="22"/>
          <w:szCs w:val="22"/>
          <w:lang w:eastAsia="en-US"/>
        </w:rPr>
        <w:t>Gamintojas</w:t>
      </w:r>
    </w:p>
    <w:p w14:paraId="255A0EC7" w14:textId="77777777" w:rsidR="00E86446" w:rsidRDefault="00345E63">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AF5A8E2" w14:textId="77777777" w:rsidR="00E86446" w:rsidRDefault="00345E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0D5CAF9C" w14:textId="77777777" w:rsidR="00E86446" w:rsidRDefault="00345E63">
      <w:pPr>
        <w:widowControl w:val="0"/>
        <w:rPr>
          <w:b/>
          <w:sz w:val="22"/>
          <w:szCs w:val="22"/>
          <w:lang w:eastAsia="sl-SI"/>
        </w:rPr>
      </w:pPr>
      <w:r>
        <w:rPr>
          <w:sz w:val="22"/>
          <w:szCs w:val="22"/>
          <w:lang w:eastAsia="sl-SI"/>
        </w:rPr>
        <w:t>8501 Novo mesto</w:t>
      </w:r>
    </w:p>
    <w:p w14:paraId="37C9AE6B" w14:textId="77777777" w:rsidR="00E86446" w:rsidRDefault="00345E63">
      <w:pPr>
        <w:widowControl w:val="0"/>
        <w:rPr>
          <w:b/>
          <w:sz w:val="22"/>
          <w:szCs w:val="22"/>
          <w:lang w:eastAsia="sl-SI"/>
        </w:rPr>
      </w:pPr>
      <w:r>
        <w:rPr>
          <w:sz w:val="22"/>
          <w:szCs w:val="22"/>
          <w:lang w:eastAsia="sl-SI"/>
        </w:rPr>
        <w:t>Slovėnija</w:t>
      </w:r>
    </w:p>
    <w:p w14:paraId="4F3501EE" w14:textId="77777777" w:rsidR="00E86446" w:rsidRDefault="00E86446">
      <w:pPr>
        <w:numPr>
          <w:ilvl w:val="12"/>
          <w:numId w:val="0"/>
        </w:numPr>
        <w:jc w:val="both"/>
        <w:rPr>
          <w:rFonts w:eastAsia="Calibri"/>
          <w:noProof/>
          <w:sz w:val="22"/>
          <w:szCs w:val="22"/>
          <w:lang w:eastAsia="en-US"/>
        </w:rPr>
      </w:pPr>
    </w:p>
    <w:p w14:paraId="3F97F71B" w14:textId="77777777" w:rsidR="00E86446" w:rsidRDefault="00345E63">
      <w:pPr>
        <w:numPr>
          <w:ilvl w:val="12"/>
          <w:numId w:val="0"/>
        </w:numPr>
        <w:jc w:val="both"/>
        <w:rPr>
          <w:rFonts w:eastAsia="Calibri"/>
          <w:noProof/>
          <w:sz w:val="22"/>
          <w:szCs w:val="22"/>
          <w:lang w:eastAsia="en-US"/>
        </w:rPr>
      </w:pPr>
      <w:r>
        <w:rPr>
          <w:rFonts w:eastAsia="Calibri"/>
          <w:noProof/>
          <w:sz w:val="22"/>
          <w:szCs w:val="22"/>
          <w:lang w:eastAsia="en-US"/>
        </w:rPr>
        <w:t>arba</w:t>
      </w:r>
    </w:p>
    <w:p w14:paraId="43EF9303" w14:textId="77777777" w:rsidR="00E86446" w:rsidRDefault="00E86446">
      <w:pPr>
        <w:numPr>
          <w:ilvl w:val="12"/>
          <w:numId w:val="0"/>
        </w:numPr>
        <w:jc w:val="both"/>
        <w:rPr>
          <w:rFonts w:eastAsia="Calibri"/>
          <w:noProof/>
          <w:sz w:val="22"/>
          <w:szCs w:val="22"/>
          <w:lang w:eastAsia="en-US"/>
        </w:rPr>
      </w:pPr>
    </w:p>
    <w:p w14:paraId="58E7A983" w14:textId="77777777" w:rsidR="00E86446" w:rsidRPr="003171F5" w:rsidRDefault="00345E63">
      <w:pPr>
        <w:numPr>
          <w:ilvl w:val="12"/>
          <w:numId w:val="0"/>
        </w:numPr>
        <w:jc w:val="both"/>
        <w:rPr>
          <w:rFonts w:eastAsia="Calibri"/>
          <w:sz w:val="22"/>
          <w:szCs w:val="22"/>
          <w:lang w:val="de-AT" w:eastAsia="en-US"/>
        </w:rPr>
      </w:pPr>
      <w:r w:rsidRPr="003171F5">
        <w:rPr>
          <w:rFonts w:eastAsia="Calibri"/>
          <w:sz w:val="22"/>
          <w:szCs w:val="22"/>
          <w:lang w:val="de-AT" w:eastAsia="en-US"/>
        </w:rPr>
        <w:t>TAD Pharma GmbH</w:t>
      </w:r>
    </w:p>
    <w:p w14:paraId="4A5EF51C" w14:textId="77777777" w:rsidR="00E86446" w:rsidRPr="003171F5" w:rsidRDefault="00345E63">
      <w:pPr>
        <w:numPr>
          <w:ilvl w:val="12"/>
          <w:numId w:val="0"/>
        </w:numPr>
        <w:jc w:val="both"/>
        <w:rPr>
          <w:rFonts w:eastAsia="Calibri"/>
          <w:sz w:val="22"/>
          <w:szCs w:val="22"/>
          <w:lang w:val="de-AT" w:eastAsia="en-US"/>
        </w:rPr>
      </w:pPr>
      <w:r w:rsidRPr="003171F5">
        <w:rPr>
          <w:rFonts w:eastAsia="Calibri"/>
          <w:sz w:val="22"/>
          <w:szCs w:val="22"/>
          <w:lang w:val="de-AT" w:eastAsia="en-US"/>
        </w:rPr>
        <w:t>Heinz-Lohmann - Stra</w:t>
      </w:r>
      <w:r>
        <w:rPr>
          <w:rFonts w:eastAsia="Calibri"/>
          <w:sz w:val="22"/>
          <w:szCs w:val="22"/>
          <w:lang w:val="en-US" w:eastAsia="en-US"/>
        </w:rPr>
        <w:t>β</w:t>
      </w:r>
      <w:r w:rsidRPr="003171F5">
        <w:rPr>
          <w:rFonts w:eastAsia="Calibri"/>
          <w:sz w:val="22"/>
          <w:szCs w:val="22"/>
          <w:lang w:val="de-AT" w:eastAsia="en-US"/>
        </w:rPr>
        <w:t>e 5</w:t>
      </w:r>
    </w:p>
    <w:p w14:paraId="37EE09F1" w14:textId="77777777" w:rsidR="00E86446" w:rsidRPr="003171F5" w:rsidRDefault="00345E63">
      <w:pPr>
        <w:numPr>
          <w:ilvl w:val="12"/>
          <w:numId w:val="0"/>
        </w:numPr>
        <w:jc w:val="both"/>
        <w:rPr>
          <w:rFonts w:eastAsia="Calibri"/>
          <w:sz w:val="22"/>
          <w:szCs w:val="22"/>
          <w:lang w:val="de-AT" w:eastAsia="en-US"/>
        </w:rPr>
      </w:pPr>
      <w:r w:rsidRPr="003171F5">
        <w:rPr>
          <w:rFonts w:eastAsia="Calibri"/>
          <w:sz w:val="22"/>
          <w:szCs w:val="22"/>
          <w:lang w:val="de-AT" w:eastAsia="en-US"/>
        </w:rPr>
        <w:t>27472 Cuxhaven</w:t>
      </w:r>
    </w:p>
    <w:p w14:paraId="42002310" w14:textId="77777777" w:rsidR="00E86446" w:rsidRDefault="00345E63">
      <w:pPr>
        <w:numPr>
          <w:ilvl w:val="12"/>
          <w:numId w:val="0"/>
        </w:numPr>
        <w:jc w:val="both"/>
        <w:rPr>
          <w:rFonts w:eastAsia="Calibri"/>
          <w:bCs/>
          <w:noProof/>
          <w:sz w:val="22"/>
          <w:szCs w:val="22"/>
          <w:lang w:eastAsia="en-US"/>
        </w:rPr>
      </w:pPr>
      <w:proofErr w:type="spellStart"/>
      <w:r w:rsidRPr="003171F5">
        <w:rPr>
          <w:rFonts w:eastAsia="Calibri"/>
          <w:sz w:val="22"/>
          <w:szCs w:val="22"/>
          <w:lang w:val="de-AT" w:eastAsia="en-US"/>
        </w:rPr>
        <w:t>Vokietija</w:t>
      </w:r>
      <w:proofErr w:type="spellEnd"/>
    </w:p>
    <w:p w14:paraId="1A4E05B7" w14:textId="77777777" w:rsidR="00E86446" w:rsidRDefault="00E86446">
      <w:pPr>
        <w:numPr>
          <w:ilvl w:val="12"/>
          <w:numId w:val="0"/>
        </w:numPr>
        <w:rPr>
          <w:rFonts w:eastAsia="Calibri"/>
          <w:noProof/>
          <w:sz w:val="22"/>
          <w:szCs w:val="22"/>
          <w:lang w:eastAsia="en-US"/>
        </w:rPr>
      </w:pPr>
    </w:p>
    <w:p w14:paraId="3E3DFC59" w14:textId="77777777" w:rsidR="00E86446" w:rsidRDefault="00345E63">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6B06A504" w14:textId="77777777" w:rsidR="00E86446" w:rsidRDefault="00E86446">
      <w:pPr>
        <w:numPr>
          <w:ilvl w:val="12"/>
          <w:numId w:val="0"/>
        </w:numPr>
        <w:rPr>
          <w:rFonts w:eastAsia="Calibri"/>
          <w:noProof/>
          <w:sz w:val="22"/>
          <w:szCs w:val="22"/>
          <w:lang w:eastAsia="en-US"/>
        </w:rPr>
      </w:pPr>
    </w:p>
    <w:p w14:paraId="78F57D9D" w14:textId="77777777" w:rsidR="00E86446" w:rsidRDefault="00345E63">
      <w:pPr>
        <w:rPr>
          <w:rFonts w:eastAsia="Calibri"/>
          <w:noProof/>
          <w:sz w:val="22"/>
          <w:szCs w:val="22"/>
          <w:lang w:eastAsia="en-US"/>
        </w:rPr>
      </w:pPr>
      <w:r>
        <w:rPr>
          <w:rFonts w:eastAsia="Calibri"/>
          <w:noProof/>
          <w:sz w:val="22"/>
          <w:szCs w:val="22"/>
          <w:lang w:eastAsia="en-US"/>
        </w:rPr>
        <w:t>UAB KRKA Lietuva</w:t>
      </w:r>
    </w:p>
    <w:p w14:paraId="7CE0F747" w14:textId="77777777" w:rsidR="00E86446" w:rsidRDefault="00345E63">
      <w:pPr>
        <w:rPr>
          <w:rFonts w:eastAsia="Calibri"/>
          <w:noProof/>
          <w:sz w:val="22"/>
          <w:szCs w:val="22"/>
          <w:lang w:eastAsia="en-US"/>
        </w:rPr>
      </w:pPr>
      <w:r>
        <w:rPr>
          <w:rFonts w:eastAsia="Calibri"/>
          <w:noProof/>
          <w:sz w:val="22"/>
          <w:szCs w:val="22"/>
          <w:lang w:eastAsia="en-US"/>
        </w:rPr>
        <w:t>Senasis Ukmergės kelias 4,</w:t>
      </w:r>
    </w:p>
    <w:p w14:paraId="5D7B59C0" w14:textId="77777777" w:rsidR="00E86446" w:rsidRDefault="00345E63">
      <w:pPr>
        <w:rPr>
          <w:rFonts w:eastAsia="Calibri"/>
          <w:noProof/>
          <w:sz w:val="22"/>
          <w:szCs w:val="22"/>
          <w:lang w:eastAsia="en-US"/>
        </w:rPr>
      </w:pPr>
      <w:r>
        <w:rPr>
          <w:rFonts w:eastAsia="Calibri"/>
          <w:noProof/>
          <w:sz w:val="22"/>
          <w:szCs w:val="22"/>
          <w:lang w:eastAsia="en-US"/>
        </w:rPr>
        <w:t>Užubalių km.,Vilniaus r.</w:t>
      </w:r>
    </w:p>
    <w:p w14:paraId="602EF76F" w14:textId="77777777" w:rsidR="00E86446" w:rsidRDefault="00345E63">
      <w:pPr>
        <w:rPr>
          <w:rFonts w:eastAsia="Calibri"/>
          <w:noProof/>
          <w:sz w:val="22"/>
          <w:szCs w:val="22"/>
          <w:lang w:eastAsia="en-US"/>
        </w:rPr>
      </w:pPr>
      <w:r>
        <w:rPr>
          <w:rFonts w:eastAsia="Calibri"/>
          <w:noProof/>
          <w:sz w:val="22"/>
          <w:szCs w:val="22"/>
          <w:lang w:eastAsia="en-US"/>
        </w:rPr>
        <w:t>LT - 14013</w:t>
      </w:r>
    </w:p>
    <w:p w14:paraId="04D7519E" w14:textId="77777777" w:rsidR="00E86446" w:rsidRDefault="00345E63">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5362CA47" w14:textId="77777777" w:rsidR="00E86446" w:rsidRDefault="00E86446">
      <w:pPr>
        <w:rPr>
          <w:rFonts w:eastAsia="Calibri"/>
          <w:noProof/>
          <w:sz w:val="22"/>
          <w:szCs w:val="22"/>
          <w:lang w:eastAsia="en-US"/>
        </w:rPr>
      </w:pPr>
    </w:p>
    <w:p w14:paraId="0FF6E242" w14:textId="77777777" w:rsidR="00E86446" w:rsidRDefault="00345E63">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E86446" w14:paraId="62AB20DC" w14:textId="77777777">
        <w:tc>
          <w:tcPr>
            <w:tcW w:w="3715" w:type="dxa"/>
            <w:tcBorders>
              <w:top w:val="single" w:sz="4" w:space="0" w:color="auto"/>
              <w:left w:val="single" w:sz="4" w:space="0" w:color="auto"/>
              <w:bottom w:val="single" w:sz="4" w:space="0" w:color="auto"/>
              <w:right w:val="single" w:sz="4" w:space="0" w:color="auto"/>
            </w:tcBorders>
          </w:tcPr>
          <w:p w14:paraId="0D52B700" w14:textId="77777777" w:rsidR="00E86446" w:rsidRDefault="00345E63">
            <w:pPr>
              <w:widowControl w:val="0"/>
              <w:numPr>
                <w:ilvl w:val="12"/>
                <w:numId w:val="0"/>
              </w:numPr>
              <w:tabs>
                <w:tab w:val="left" w:pos="708"/>
              </w:tabs>
              <w:ind w:right="-2"/>
              <w:rPr>
                <w:sz w:val="22"/>
                <w:szCs w:val="22"/>
                <w:lang w:eastAsia="sl-SI"/>
              </w:rPr>
            </w:pPr>
            <w:r>
              <w:rPr>
                <w:sz w:val="22"/>
                <w:szCs w:val="22"/>
                <w:lang w:eastAsia="sl-SI"/>
              </w:rPr>
              <w:t>Valstybė narė</w:t>
            </w:r>
          </w:p>
        </w:tc>
        <w:tc>
          <w:tcPr>
            <w:tcW w:w="4819" w:type="dxa"/>
            <w:tcBorders>
              <w:top w:val="single" w:sz="4" w:space="0" w:color="auto"/>
              <w:left w:val="single" w:sz="4" w:space="0" w:color="auto"/>
              <w:bottom w:val="single" w:sz="4" w:space="0" w:color="auto"/>
              <w:right w:val="single" w:sz="4" w:space="0" w:color="auto"/>
            </w:tcBorders>
          </w:tcPr>
          <w:p w14:paraId="3943373E" w14:textId="77777777" w:rsidR="00E86446" w:rsidRDefault="00345E63">
            <w:pPr>
              <w:widowControl w:val="0"/>
              <w:numPr>
                <w:ilvl w:val="12"/>
                <w:numId w:val="0"/>
              </w:numPr>
              <w:tabs>
                <w:tab w:val="left" w:pos="708"/>
              </w:tabs>
              <w:ind w:right="-2"/>
              <w:rPr>
                <w:sz w:val="22"/>
                <w:szCs w:val="22"/>
                <w:lang w:eastAsia="sl-SI"/>
              </w:rPr>
            </w:pPr>
            <w:r>
              <w:rPr>
                <w:sz w:val="22"/>
                <w:szCs w:val="22"/>
                <w:lang w:eastAsia="sl-SI"/>
              </w:rPr>
              <w:t>Vaisto pavadinimas</w:t>
            </w:r>
          </w:p>
        </w:tc>
      </w:tr>
      <w:tr w:rsidR="00E86446" w14:paraId="6BA2C478" w14:textId="77777777">
        <w:tc>
          <w:tcPr>
            <w:tcW w:w="3715" w:type="dxa"/>
            <w:tcBorders>
              <w:top w:val="single" w:sz="4" w:space="0" w:color="auto"/>
              <w:left w:val="single" w:sz="4" w:space="0" w:color="auto"/>
              <w:bottom w:val="single" w:sz="4" w:space="0" w:color="auto"/>
              <w:right w:val="single" w:sz="4" w:space="0" w:color="auto"/>
            </w:tcBorders>
          </w:tcPr>
          <w:p w14:paraId="5A1881DF" w14:textId="77777777" w:rsidR="00E86446" w:rsidRDefault="00345E63">
            <w:pPr>
              <w:widowControl w:val="0"/>
              <w:numPr>
                <w:ilvl w:val="12"/>
                <w:numId w:val="0"/>
              </w:numPr>
              <w:tabs>
                <w:tab w:val="left" w:pos="708"/>
              </w:tabs>
              <w:ind w:right="-2"/>
              <w:rPr>
                <w:sz w:val="22"/>
                <w:szCs w:val="22"/>
                <w:lang w:eastAsia="sl-SI"/>
              </w:rPr>
            </w:pPr>
            <w:r>
              <w:rPr>
                <w:sz w:val="22"/>
                <w:szCs w:val="22"/>
                <w:lang w:eastAsia="sl-SI"/>
              </w:rPr>
              <w:t>Kroatija, Slovakija, Estija, Latvija, Lietuva, Lenkija, Vengrija, Bulgarija, Slovėnija, Rumunija, Graikija, Čekija, Kipras</w:t>
            </w:r>
          </w:p>
        </w:tc>
        <w:tc>
          <w:tcPr>
            <w:tcW w:w="4819" w:type="dxa"/>
            <w:tcBorders>
              <w:top w:val="single" w:sz="4" w:space="0" w:color="auto"/>
              <w:left w:val="single" w:sz="4" w:space="0" w:color="auto"/>
              <w:bottom w:val="single" w:sz="4" w:space="0" w:color="auto"/>
              <w:right w:val="single" w:sz="4" w:space="0" w:color="auto"/>
            </w:tcBorders>
          </w:tcPr>
          <w:p w14:paraId="793B1BB4" w14:textId="77777777" w:rsidR="00E86446" w:rsidRDefault="00345E63">
            <w:pPr>
              <w:widowControl w:val="0"/>
              <w:numPr>
                <w:ilvl w:val="12"/>
                <w:numId w:val="0"/>
              </w:numPr>
              <w:tabs>
                <w:tab w:val="left" w:pos="708"/>
              </w:tabs>
              <w:ind w:right="-2"/>
              <w:rPr>
                <w:sz w:val="22"/>
                <w:szCs w:val="22"/>
                <w:lang w:eastAsia="sl-SI"/>
              </w:rPr>
            </w:pPr>
            <w:proofErr w:type="spellStart"/>
            <w:r>
              <w:rPr>
                <w:rFonts w:eastAsiaTheme="minorHAnsi"/>
                <w:color w:val="000000"/>
                <w:sz w:val="22"/>
                <w:szCs w:val="22"/>
                <w:lang w:eastAsia="en-US"/>
              </w:rPr>
              <w:t>Mexdagry</w:t>
            </w:r>
            <w:proofErr w:type="spellEnd"/>
          </w:p>
        </w:tc>
      </w:tr>
    </w:tbl>
    <w:p w14:paraId="5E582801" w14:textId="77777777" w:rsidR="00E86446" w:rsidRDefault="00E86446">
      <w:pPr>
        <w:numPr>
          <w:ilvl w:val="12"/>
          <w:numId w:val="0"/>
        </w:numPr>
        <w:spacing w:line="259" w:lineRule="auto"/>
        <w:rPr>
          <w:rFonts w:eastAsia="Calibri"/>
          <w:bCs/>
          <w:sz w:val="22"/>
          <w:szCs w:val="22"/>
          <w:lang w:eastAsia="en-US"/>
        </w:rPr>
      </w:pPr>
    </w:p>
    <w:p w14:paraId="7703844E" w14:textId="77777777" w:rsidR="00E86446" w:rsidRDefault="00E86446">
      <w:pPr>
        <w:numPr>
          <w:ilvl w:val="12"/>
          <w:numId w:val="0"/>
        </w:numPr>
        <w:spacing w:line="259" w:lineRule="auto"/>
        <w:rPr>
          <w:rFonts w:eastAsia="Calibri"/>
          <w:bCs/>
          <w:sz w:val="22"/>
          <w:szCs w:val="22"/>
          <w:lang w:eastAsia="en-US"/>
        </w:rPr>
      </w:pPr>
    </w:p>
    <w:p w14:paraId="5CF78B49" w14:textId="5D584C71" w:rsidR="00E86446" w:rsidRDefault="00345E63">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EC24F3">
        <w:rPr>
          <w:rFonts w:eastAsia="Calibri"/>
          <w:b/>
          <w:sz w:val="22"/>
          <w:szCs w:val="22"/>
          <w:lang w:eastAsia="en-US"/>
        </w:rPr>
        <w:t>2025-08-07</w:t>
      </w:r>
      <w:r>
        <w:rPr>
          <w:b/>
          <w:sz w:val="22"/>
          <w:szCs w:val="20"/>
          <w:lang w:eastAsia="en-US"/>
        </w:rPr>
        <w:t>.</w:t>
      </w:r>
    </w:p>
    <w:p w14:paraId="1FA75F8A" w14:textId="77777777" w:rsidR="00E86446" w:rsidRDefault="00E86446">
      <w:pPr>
        <w:numPr>
          <w:ilvl w:val="12"/>
          <w:numId w:val="0"/>
        </w:numPr>
        <w:rPr>
          <w:rFonts w:eastAsia="Calibri"/>
          <w:sz w:val="22"/>
          <w:szCs w:val="22"/>
          <w:lang w:eastAsia="en-US"/>
        </w:rPr>
      </w:pPr>
    </w:p>
    <w:p w14:paraId="7308F9CF" w14:textId="77777777" w:rsidR="00E86446" w:rsidRDefault="00345E63">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15" w:name="_Hlk173407610"/>
      <w:r>
        <w:rPr>
          <w:rFonts w:eastAsia="Calibri"/>
          <w:color w:val="0000EE"/>
          <w:sz w:val="22"/>
          <w:szCs w:val="22"/>
          <w:u w:val="single"/>
          <w:lang w:eastAsia="lt-LT"/>
        </w:rPr>
        <w:t>https://vvkt.lrv.lt/lt/</w:t>
      </w:r>
      <w:bookmarkEnd w:id="15"/>
      <w:r>
        <w:rPr>
          <w:rFonts w:eastAsia="Calibri"/>
          <w:sz w:val="22"/>
          <w:szCs w:val="22"/>
          <w:lang w:eastAsia="lt-LT"/>
        </w:rPr>
        <w:t>.</w:t>
      </w:r>
    </w:p>
    <w:p w14:paraId="3A6481BF" w14:textId="77777777" w:rsidR="00E86446" w:rsidRDefault="00E86446">
      <w:pPr>
        <w:widowControl w:val="0"/>
        <w:rPr>
          <w:rFonts w:eastAsia="Calibri"/>
          <w:sz w:val="22"/>
          <w:szCs w:val="22"/>
          <w:lang w:eastAsia="en-US"/>
        </w:rPr>
      </w:pPr>
    </w:p>
    <w:p w14:paraId="3CD2467E" w14:textId="77777777" w:rsidR="00E86446" w:rsidRPr="003171F5" w:rsidRDefault="00E86446">
      <w:pPr>
        <w:pStyle w:val="Antrat3"/>
        <w:spacing w:before="0" w:after="0" w:line="240" w:lineRule="auto"/>
        <w:rPr>
          <w:lang w:val="lt-LT"/>
        </w:rPr>
      </w:pPr>
    </w:p>
    <w:sectPr w:rsidR="00E86446" w:rsidRPr="003171F5">
      <w:headerReference w:type="even" r:id="rId16"/>
      <w:headerReference w:type="default" r:id="rId17"/>
      <w:footerReference w:type="even" r:id="rId18"/>
      <w:footerReference w:type="default" r:id="rId19"/>
      <w:headerReference w:type="first" r:id="rId20"/>
      <w:footerReference w:type="first" r:id="rId21"/>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D9D8" w14:textId="77777777" w:rsidR="004B45BA" w:rsidRDefault="004B45BA">
      <w:r>
        <w:separator/>
      </w:r>
    </w:p>
  </w:endnote>
  <w:endnote w:type="continuationSeparator" w:id="0">
    <w:p w14:paraId="05A6F6B3" w14:textId="77777777" w:rsidR="004B45BA" w:rsidRDefault="004B45BA">
      <w:r>
        <w:continuationSeparator/>
      </w:r>
    </w:p>
  </w:endnote>
  <w:endnote w:type="continuationNotice" w:id="1">
    <w:p w14:paraId="116E990F" w14:textId="77777777" w:rsidR="004B45BA" w:rsidRDefault="004B4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42B9C7B5" w14:textId="77777777" w:rsidR="00E86446" w:rsidRDefault="00345E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C2F5320" w14:textId="77777777" w:rsidR="00E86446" w:rsidRDefault="00E864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6359DF01" w14:textId="77777777" w:rsidR="00E86446" w:rsidRDefault="00345E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09CD19FC" w14:textId="77777777" w:rsidR="00E86446" w:rsidRDefault="00E86446">
    <w:pPr>
      <w:pStyle w:val="Porat"/>
      <w:jc w:val="right"/>
    </w:pPr>
  </w:p>
  <w:p w14:paraId="1C6A8C40" w14:textId="77777777" w:rsidR="00E86446" w:rsidRDefault="00E864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8FB4" w14:textId="77777777" w:rsidR="00E86446" w:rsidRDefault="00E864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7D47" w14:textId="77777777" w:rsidR="004B45BA" w:rsidRDefault="004B45BA">
      <w:r>
        <w:separator/>
      </w:r>
    </w:p>
  </w:footnote>
  <w:footnote w:type="continuationSeparator" w:id="0">
    <w:p w14:paraId="0BC62D40" w14:textId="77777777" w:rsidR="004B45BA" w:rsidRDefault="004B45BA">
      <w:r>
        <w:continuationSeparator/>
      </w:r>
    </w:p>
  </w:footnote>
  <w:footnote w:type="continuationNotice" w:id="1">
    <w:p w14:paraId="655D0238" w14:textId="77777777" w:rsidR="004B45BA" w:rsidRDefault="004B4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510" w14:textId="77777777" w:rsidR="00E86446" w:rsidRDefault="00E864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04DE" w14:textId="77777777" w:rsidR="00E86446" w:rsidRDefault="00E864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2942" w14:textId="77777777" w:rsidR="00E86446" w:rsidRDefault="00E864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59B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57D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3EC0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4E8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F564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FCB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407A6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BE11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7B79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A94631"/>
    <w:multiLevelType w:val="hybridMultilevel"/>
    <w:tmpl w:val="1522FFBC"/>
    <w:lvl w:ilvl="0" w:tplc="7F9274D8">
      <w:numFmt w:val="bullet"/>
      <w:lvlText w:val="-"/>
      <w:lvlJc w:val="left"/>
      <w:pPr>
        <w:ind w:left="784" w:hanging="562"/>
      </w:pPr>
      <w:rPr>
        <w:rFonts w:ascii="Times New Roman" w:eastAsia="Times New Roman" w:hAnsi="Times New Roman" w:cs="Times New Roman" w:hint="default"/>
        <w:w w:val="100"/>
        <w:sz w:val="22"/>
        <w:szCs w:val="22"/>
      </w:rPr>
    </w:lvl>
    <w:lvl w:ilvl="1" w:tplc="12EC66D4">
      <w:numFmt w:val="bullet"/>
      <w:lvlText w:val="•"/>
      <w:lvlJc w:val="left"/>
      <w:pPr>
        <w:ind w:left="1672" w:hanging="562"/>
      </w:pPr>
      <w:rPr>
        <w:rFonts w:hint="default"/>
      </w:rPr>
    </w:lvl>
    <w:lvl w:ilvl="2" w:tplc="52C27116">
      <w:numFmt w:val="bullet"/>
      <w:lvlText w:val="•"/>
      <w:lvlJc w:val="left"/>
      <w:pPr>
        <w:ind w:left="2565" w:hanging="562"/>
      </w:pPr>
      <w:rPr>
        <w:rFonts w:hint="default"/>
      </w:rPr>
    </w:lvl>
    <w:lvl w:ilvl="3" w:tplc="E5C67692">
      <w:numFmt w:val="bullet"/>
      <w:lvlText w:val="•"/>
      <w:lvlJc w:val="left"/>
      <w:pPr>
        <w:ind w:left="3457" w:hanging="562"/>
      </w:pPr>
      <w:rPr>
        <w:rFonts w:hint="default"/>
      </w:rPr>
    </w:lvl>
    <w:lvl w:ilvl="4" w:tplc="480A0B26">
      <w:numFmt w:val="bullet"/>
      <w:lvlText w:val="•"/>
      <w:lvlJc w:val="left"/>
      <w:pPr>
        <w:ind w:left="4350" w:hanging="562"/>
      </w:pPr>
      <w:rPr>
        <w:rFonts w:hint="default"/>
      </w:rPr>
    </w:lvl>
    <w:lvl w:ilvl="5" w:tplc="FE4A1950">
      <w:numFmt w:val="bullet"/>
      <w:lvlText w:val="•"/>
      <w:lvlJc w:val="left"/>
      <w:pPr>
        <w:ind w:left="5242" w:hanging="562"/>
      </w:pPr>
      <w:rPr>
        <w:rFonts w:hint="default"/>
      </w:rPr>
    </w:lvl>
    <w:lvl w:ilvl="6" w:tplc="7CDEE9A8">
      <w:numFmt w:val="bullet"/>
      <w:lvlText w:val="•"/>
      <w:lvlJc w:val="left"/>
      <w:pPr>
        <w:ind w:left="6135" w:hanging="562"/>
      </w:pPr>
      <w:rPr>
        <w:rFonts w:hint="default"/>
      </w:rPr>
    </w:lvl>
    <w:lvl w:ilvl="7" w:tplc="6DA863F2">
      <w:numFmt w:val="bullet"/>
      <w:lvlText w:val="•"/>
      <w:lvlJc w:val="left"/>
      <w:pPr>
        <w:ind w:left="7027" w:hanging="562"/>
      </w:pPr>
      <w:rPr>
        <w:rFonts w:hint="default"/>
      </w:rPr>
    </w:lvl>
    <w:lvl w:ilvl="8" w:tplc="CE809944">
      <w:numFmt w:val="bullet"/>
      <w:lvlText w:val="•"/>
      <w:lvlJc w:val="left"/>
      <w:pPr>
        <w:ind w:left="7920" w:hanging="562"/>
      </w:pPr>
      <w:rPr>
        <w:rFonts w:hint="default"/>
      </w:rPr>
    </w:lvl>
  </w:abstractNum>
  <w:abstractNum w:abstractNumId="14"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7C0CAE"/>
    <w:multiLevelType w:val="hybridMultilevel"/>
    <w:tmpl w:val="52D64512"/>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44C3185"/>
    <w:multiLevelType w:val="hybridMultilevel"/>
    <w:tmpl w:val="F0E66154"/>
    <w:lvl w:ilvl="0" w:tplc="53C64418">
      <w:numFmt w:val="bullet"/>
      <w:lvlText w:val="-"/>
      <w:lvlJc w:val="left"/>
      <w:pPr>
        <w:ind w:left="84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A07A01DA">
      <w:numFmt w:val="bullet"/>
      <w:lvlText w:val="•"/>
      <w:lvlJc w:val="left"/>
      <w:pPr>
        <w:ind w:left="1712" w:hanging="567"/>
      </w:pPr>
      <w:rPr>
        <w:rFonts w:hint="default"/>
        <w:lang w:val="en-US" w:eastAsia="en-US" w:bidi="ar-SA"/>
      </w:rPr>
    </w:lvl>
    <w:lvl w:ilvl="2" w:tplc="647E9CAE">
      <w:numFmt w:val="bullet"/>
      <w:lvlText w:val="•"/>
      <w:lvlJc w:val="left"/>
      <w:pPr>
        <w:ind w:left="2585" w:hanging="567"/>
      </w:pPr>
      <w:rPr>
        <w:rFonts w:hint="default"/>
        <w:lang w:val="en-US" w:eastAsia="en-US" w:bidi="ar-SA"/>
      </w:rPr>
    </w:lvl>
    <w:lvl w:ilvl="3" w:tplc="385A1C98">
      <w:numFmt w:val="bullet"/>
      <w:lvlText w:val="•"/>
      <w:lvlJc w:val="left"/>
      <w:pPr>
        <w:ind w:left="3457" w:hanging="567"/>
      </w:pPr>
      <w:rPr>
        <w:rFonts w:hint="default"/>
        <w:lang w:val="en-US" w:eastAsia="en-US" w:bidi="ar-SA"/>
      </w:rPr>
    </w:lvl>
    <w:lvl w:ilvl="4" w:tplc="3D36C15C">
      <w:numFmt w:val="bullet"/>
      <w:lvlText w:val="•"/>
      <w:lvlJc w:val="left"/>
      <w:pPr>
        <w:ind w:left="4330" w:hanging="567"/>
      </w:pPr>
      <w:rPr>
        <w:rFonts w:hint="default"/>
        <w:lang w:val="en-US" w:eastAsia="en-US" w:bidi="ar-SA"/>
      </w:rPr>
    </w:lvl>
    <w:lvl w:ilvl="5" w:tplc="803A941A">
      <w:numFmt w:val="bullet"/>
      <w:lvlText w:val="•"/>
      <w:lvlJc w:val="left"/>
      <w:pPr>
        <w:ind w:left="5202" w:hanging="567"/>
      </w:pPr>
      <w:rPr>
        <w:rFonts w:hint="default"/>
        <w:lang w:val="en-US" w:eastAsia="en-US" w:bidi="ar-SA"/>
      </w:rPr>
    </w:lvl>
    <w:lvl w:ilvl="6" w:tplc="286AE59E">
      <w:numFmt w:val="bullet"/>
      <w:lvlText w:val="•"/>
      <w:lvlJc w:val="left"/>
      <w:pPr>
        <w:ind w:left="6075" w:hanging="567"/>
      </w:pPr>
      <w:rPr>
        <w:rFonts w:hint="default"/>
        <w:lang w:val="en-US" w:eastAsia="en-US" w:bidi="ar-SA"/>
      </w:rPr>
    </w:lvl>
    <w:lvl w:ilvl="7" w:tplc="5D8A03C8">
      <w:numFmt w:val="bullet"/>
      <w:lvlText w:val="•"/>
      <w:lvlJc w:val="left"/>
      <w:pPr>
        <w:ind w:left="6947" w:hanging="567"/>
      </w:pPr>
      <w:rPr>
        <w:rFonts w:hint="default"/>
        <w:lang w:val="en-US" w:eastAsia="en-US" w:bidi="ar-SA"/>
      </w:rPr>
    </w:lvl>
    <w:lvl w:ilvl="8" w:tplc="5F8863EA">
      <w:numFmt w:val="bullet"/>
      <w:lvlText w:val="•"/>
      <w:lvlJc w:val="left"/>
      <w:pPr>
        <w:ind w:left="7820" w:hanging="567"/>
      </w:pPr>
      <w:rPr>
        <w:rFonts w:hint="default"/>
        <w:lang w:val="en-US" w:eastAsia="en-US" w:bidi="ar-SA"/>
      </w:rPr>
    </w:lvl>
  </w:abstractNum>
  <w:abstractNum w:abstractNumId="17" w15:restartNumberingAfterBreak="0">
    <w:nsid w:val="259A7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2E7F6CFB"/>
    <w:multiLevelType w:val="hybridMultilevel"/>
    <w:tmpl w:val="4FA6E9E4"/>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0A3779"/>
    <w:multiLevelType w:val="hybridMultilevel"/>
    <w:tmpl w:val="BAFE31A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5C4387"/>
    <w:multiLevelType w:val="hybridMultilevel"/>
    <w:tmpl w:val="84D6A30E"/>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D450914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8D0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69B8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AC52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011F8E"/>
    <w:multiLevelType w:val="hybridMultilevel"/>
    <w:tmpl w:val="3F7E2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FA5E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355E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2A15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AA4BB1"/>
    <w:multiLevelType w:val="hybridMultilevel"/>
    <w:tmpl w:val="C65A1EA8"/>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651E8C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14D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EF72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2142E8F"/>
    <w:multiLevelType w:val="hybridMultilevel"/>
    <w:tmpl w:val="ABE2832A"/>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797041"/>
    <w:multiLevelType w:val="hybridMultilevel"/>
    <w:tmpl w:val="613C96DE"/>
    <w:lvl w:ilvl="0" w:tplc="19009AC0">
      <w:start w:val="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273EEB"/>
    <w:multiLevelType w:val="hybridMultilevel"/>
    <w:tmpl w:val="0F50C754"/>
    <w:lvl w:ilvl="0" w:tplc="FFFFFFFF">
      <w:start w:val="1"/>
      <w:numFmt w:val="bullet"/>
      <w:lvlText w:val="-"/>
      <w:lvlJc w:val="left"/>
      <w:pPr>
        <w:ind w:left="720" w:hanging="360"/>
      </w:p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1753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582450165">
    <w:abstractNumId w:val="9"/>
    <w:lvlOverride w:ilvl="0">
      <w:lvl w:ilvl="0">
        <w:start w:val="1"/>
        <w:numFmt w:val="bullet"/>
        <w:lvlText w:val="-"/>
        <w:lvlJc w:val="left"/>
        <w:pPr>
          <w:ind w:left="360" w:hanging="360"/>
        </w:pPr>
      </w:lvl>
    </w:lvlOverride>
  </w:num>
  <w:num w:numId="2" w16cid:durableId="931619993">
    <w:abstractNumId w:val="26"/>
  </w:num>
  <w:num w:numId="3" w16cid:durableId="880480402">
    <w:abstractNumId w:val="13"/>
  </w:num>
  <w:num w:numId="4" w16cid:durableId="391663016">
    <w:abstractNumId w:val="8"/>
    <w:lvlOverride w:ilvl="0">
      <w:startOverride w:val="1"/>
    </w:lvlOverride>
  </w:num>
  <w:num w:numId="5" w16cid:durableId="201525841">
    <w:abstractNumId w:val="45"/>
  </w:num>
  <w:num w:numId="6" w16cid:durableId="1001663435">
    <w:abstractNumId w:val="33"/>
  </w:num>
  <w:num w:numId="7" w16cid:durableId="1394428561">
    <w:abstractNumId w:val="10"/>
  </w:num>
  <w:num w:numId="8" w16cid:durableId="1075738035">
    <w:abstractNumId w:val="40"/>
  </w:num>
  <w:num w:numId="9" w16cid:durableId="1580795952">
    <w:abstractNumId w:val="35"/>
  </w:num>
  <w:num w:numId="10" w16cid:durableId="140273322">
    <w:abstractNumId w:val="20"/>
  </w:num>
  <w:num w:numId="11" w16cid:durableId="7561492">
    <w:abstractNumId w:val="18"/>
  </w:num>
  <w:num w:numId="12" w16cid:durableId="1893809039">
    <w:abstractNumId w:val="30"/>
  </w:num>
  <w:num w:numId="13" w16cid:durableId="782187959">
    <w:abstractNumId w:val="28"/>
  </w:num>
  <w:num w:numId="14" w16cid:durableId="2008050162">
    <w:abstractNumId w:val="11"/>
  </w:num>
  <w:num w:numId="15" w16cid:durableId="1903906887">
    <w:abstractNumId w:val="31"/>
  </w:num>
  <w:num w:numId="16" w16cid:durableId="932906258">
    <w:abstractNumId w:val="14"/>
  </w:num>
  <w:num w:numId="17" w16cid:durableId="1388410789">
    <w:abstractNumId w:val="41"/>
  </w:num>
  <w:num w:numId="18" w16cid:durableId="1299653985">
    <w:abstractNumId w:val="19"/>
  </w:num>
  <w:num w:numId="19" w16cid:durableId="218370532">
    <w:abstractNumId w:val="34"/>
  </w:num>
  <w:num w:numId="20" w16cid:durableId="1713266004">
    <w:abstractNumId w:val="32"/>
  </w:num>
  <w:num w:numId="21" w16cid:durableId="805588244">
    <w:abstractNumId w:val="39"/>
  </w:num>
  <w:num w:numId="22" w16cid:durableId="811092877">
    <w:abstractNumId w:val="22"/>
  </w:num>
  <w:num w:numId="23" w16cid:durableId="29695446">
    <w:abstractNumId w:val="15"/>
  </w:num>
  <w:num w:numId="24" w16cid:durableId="1014498791">
    <w:abstractNumId w:val="16"/>
  </w:num>
  <w:num w:numId="25" w16cid:durableId="476534887">
    <w:abstractNumId w:val="21"/>
  </w:num>
  <w:num w:numId="26" w16cid:durableId="2106922102">
    <w:abstractNumId w:val="24"/>
  </w:num>
  <w:num w:numId="27" w16cid:durableId="2136291955">
    <w:abstractNumId w:val="7"/>
  </w:num>
  <w:num w:numId="28" w16cid:durableId="413018073">
    <w:abstractNumId w:val="2"/>
  </w:num>
  <w:num w:numId="29" w16cid:durableId="1064795614">
    <w:abstractNumId w:val="0"/>
  </w:num>
  <w:num w:numId="30" w16cid:durableId="1892690121">
    <w:abstractNumId w:val="42"/>
  </w:num>
  <w:num w:numId="31" w16cid:durableId="1687637297">
    <w:abstractNumId w:val="38"/>
  </w:num>
  <w:num w:numId="32" w16cid:durableId="1358192638">
    <w:abstractNumId w:val="37"/>
  </w:num>
  <w:num w:numId="33" w16cid:durableId="2043704412">
    <w:abstractNumId w:val="27"/>
  </w:num>
  <w:num w:numId="34" w16cid:durableId="1303341388">
    <w:abstractNumId w:val="5"/>
  </w:num>
  <w:num w:numId="35" w16cid:durableId="1834297033">
    <w:abstractNumId w:val="36"/>
  </w:num>
  <w:num w:numId="36" w16cid:durableId="2035035707">
    <w:abstractNumId w:val="29"/>
  </w:num>
  <w:num w:numId="37" w16cid:durableId="1703090712">
    <w:abstractNumId w:val="17"/>
  </w:num>
  <w:num w:numId="38" w16cid:durableId="1665359085">
    <w:abstractNumId w:val="1"/>
  </w:num>
  <w:num w:numId="39" w16cid:durableId="348070311">
    <w:abstractNumId w:val="43"/>
  </w:num>
  <w:num w:numId="40" w16cid:durableId="1273321488">
    <w:abstractNumId w:val="3"/>
  </w:num>
  <w:num w:numId="41" w16cid:durableId="753211351">
    <w:abstractNumId w:val="25"/>
  </w:num>
  <w:num w:numId="42" w16cid:durableId="524830530">
    <w:abstractNumId w:val="23"/>
  </w:num>
  <w:num w:numId="43" w16cid:durableId="1123034113">
    <w:abstractNumId w:val="44"/>
  </w:num>
  <w:num w:numId="44" w16cid:durableId="834808350">
    <w:abstractNumId w:val="6"/>
  </w:num>
  <w:num w:numId="45" w16cid:durableId="2092504635">
    <w:abstractNumId w:val="12"/>
  </w:num>
  <w:num w:numId="46" w16cid:durableId="204236400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46"/>
    <w:rsid w:val="00021FB8"/>
    <w:rsid w:val="00023B3D"/>
    <w:rsid w:val="00026A4E"/>
    <w:rsid w:val="0002704F"/>
    <w:rsid w:val="00037F10"/>
    <w:rsid w:val="0004779D"/>
    <w:rsid w:val="00055C58"/>
    <w:rsid w:val="00057B78"/>
    <w:rsid w:val="00061D33"/>
    <w:rsid w:val="000761FB"/>
    <w:rsid w:val="000818BF"/>
    <w:rsid w:val="000A24FC"/>
    <w:rsid w:val="000A49ED"/>
    <w:rsid w:val="000B00F1"/>
    <w:rsid w:val="000C0D17"/>
    <w:rsid w:val="000C3373"/>
    <w:rsid w:val="000D3154"/>
    <w:rsid w:val="000D49CA"/>
    <w:rsid w:val="000E01A2"/>
    <w:rsid w:val="000F00BB"/>
    <w:rsid w:val="000F2202"/>
    <w:rsid w:val="0010650C"/>
    <w:rsid w:val="00114BD6"/>
    <w:rsid w:val="001330A3"/>
    <w:rsid w:val="00133A0B"/>
    <w:rsid w:val="00136099"/>
    <w:rsid w:val="00147616"/>
    <w:rsid w:val="001501ED"/>
    <w:rsid w:val="00163CD6"/>
    <w:rsid w:val="00166BFC"/>
    <w:rsid w:val="00172D54"/>
    <w:rsid w:val="001766AB"/>
    <w:rsid w:val="00177A82"/>
    <w:rsid w:val="00183F89"/>
    <w:rsid w:val="001C2764"/>
    <w:rsid w:val="001D3001"/>
    <w:rsid w:val="001D33B4"/>
    <w:rsid w:val="001D740E"/>
    <w:rsid w:val="001E5B1D"/>
    <w:rsid w:val="001F6E7A"/>
    <w:rsid w:val="00203B8A"/>
    <w:rsid w:val="00203DED"/>
    <w:rsid w:val="00207DF1"/>
    <w:rsid w:val="00214178"/>
    <w:rsid w:val="00214E96"/>
    <w:rsid w:val="0021626F"/>
    <w:rsid w:val="00217F6C"/>
    <w:rsid w:val="002257C1"/>
    <w:rsid w:val="00235DE4"/>
    <w:rsid w:val="0023664E"/>
    <w:rsid w:val="002424CF"/>
    <w:rsid w:val="00246E02"/>
    <w:rsid w:val="002A3DC9"/>
    <w:rsid w:val="002A49CC"/>
    <w:rsid w:val="002B0484"/>
    <w:rsid w:val="002B7E07"/>
    <w:rsid w:val="002C33AD"/>
    <w:rsid w:val="002D65D3"/>
    <w:rsid w:val="002E67CD"/>
    <w:rsid w:val="002F0896"/>
    <w:rsid w:val="002F57E5"/>
    <w:rsid w:val="00315800"/>
    <w:rsid w:val="003170DB"/>
    <w:rsid w:val="003171F5"/>
    <w:rsid w:val="00317DCD"/>
    <w:rsid w:val="003214C5"/>
    <w:rsid w:val="00325573"/>
    <w:rsid w:val="003324A5"/>
    <w:rsid w:val="00344D4D"/>
    <w:rsid w:val="00345E63"/>
    <w:rsid w:val="0035524A"/>
    <w:rsid w:val="003561FB"/>
    <w:rsid w:val="00374561"/>
    <w:rsid w:val="00396F47"/>
    <w:rsid w:val="003A0C49"/>
    <w:rsid w:val="003B25BD"/>
    <w:rsid w:val="003D188D"/>
    <w:rsid w:val="003D1CE0"/>
    <w:rsid w:val="003D51CB"/>
    <w:rsid w:val="003E288C"/>
    <w:rsid w:val="003F16A0"/>
    <w:rsid w:val="003F53AD"/>
    <w:rsid w:val="00401C52"/>
    <w:rsid w:val="0041151E"/>
    <w:rsid w:val="0041741D"/>
    <w:rsid w:val="00417819"/>
    <w:rsid w:val="004276A1"/>
    <w:rsid w:val="00431CA3"/>
    <w:rsid w:val="004339FE"/>
    <w:rsid w:val="00435CE0"/>
    <w:rsid w:val="00440B1A"/>
    <w:rsid w:val="004558DA"/>
    <w:rsid w:val="00460417"/>
    <w:rsid w:val="004617A0"/>
    <w:rsid w:val="00466109"/>
    <w:rsid w:val="00472E3E"/>
    <w:rsid w:val="00474007"/>
    <w:rsid w:val="00476406"/>
    <w:rsid w:val="00477642"/>
    <w:rsid w:val="00492296"/>
    <w:rsid w:val="004937CA"/>
    <w:rsid w:val="0049497B"/>
    <w:rsid w:val="0049571C"/>
    <w:rsid w:val="00497CDD"/>
    <w:rsid w:val="004B1CA5"/>
    <w:rsid w:val="004B45BA"/>
    <w:rsid w:val="004B78D5"/>
    <w:rsid w:val="004C121E"/>
    <w:rsid w:val="004D2AE7"/>
    <w:rsid w:val="004D6590"/>
    <w:rsid w:val="004E39C2"/>
    <w:rsid w:val="004E6256"/>
    <w:rsid w:val="004F3CF7"/>
    <w:rsid w:val="00502654"/>
    <w:rsid w:val="00505DEE"/>
    <w:rsid w:val="0051579F"/>
    <w:rsid w:val="0052404D"/>
    <w:rsid w:val="00524783"/>
    <w:rsid w:val="00531404"/>
    <w:rsid w:val="005341BF"/>
    <w:rsid w:val="00540CDB"/>
    <w:rsid w:val="005424B3"/>
    <w:rsid w:val="0055146C"/>
    <w:rsid w:val="00565133"/>
    <w:rsid w:val="00565C35"/>
    <w:rsid w:val="005773D1"/>
    <w:rsid w:val="00583FB9"/>
    <w:rsid w:val="005903EF"/>
    <w:rsid w:val="00596A24"/>
    <w:rsid w:val="005A28B9"/>
    <w:rsid w:val="005A4674"/>
    <w:rsid w:val="005B0853"/>
    <w:rsid w:val="005C28E6"/>
    <w:rsid w:val="005C6902"/>
    <w:rsid w:val="005C730A"/>
    <w:rsid w:val="005D6309"/>
    <w:rsid w:val="005F16CE"/>
    <w:rsid w:val="005F3FAF"/>
    <w:rsid w:val="005F4E23"/>
    <w:rsid w:val="00603BC0"/>
    <w:rsid w:val="0062090D"/>
    <w:rsid w:val="00636BB1"/>
    <w:rsid w:val="006453D9"/>
    <w:rsid w:val="00653B77"/>
    <w:rsid w:val="00662C9E"/>
    <w:rsid w:val="00663DFA"/>
    <w:rsid w:val="006671EC"/>
    <w:rsid w:val="00672310"/>
    <w:rsid w:val="00674B62"/>
    <w:rsid w:val="00675707"/>
    <w:rsid w:val="0068267C"/>
    <w:rsid w:val="00697531"/>
    <w:rsid w:val="006A0B38"/>
    <w:rsid w:val="006A13B5"/>
    <w:rsid w:val="006A3CF0"/>
    <w:rsid w:val="006B5BC1"/>
    <w:rsid w:val="006B6AB2"/>
    <w:rsid w:val="006C0BB8"/>
    <w:rsid w:val="006C6CC1"/>
    <w:rsid w:val="006E0AFB"/>
    <w:rsid w:val="006E114E"/>
    <w:rsid w:val="006E192C"/>
    <w:rsid w:val="006E2ED1"/>
    <w:rsid w:val="006E2F0D"/>
    <w:rsid w:val="006F5396"/>
    <w:rsid w:val="006F6CAB"/>
    <w:rsid w:val="00701DFE"/>
    <w:rsid w:val="00707988"/>
    <w:rsid w:val="00715511"/>
    <w:rsid w:val="00734087"/>
    <w:rsid w:val="0073443F"/>
    <w:rsid w:val="00740D4F"/>
    <w:rsid w:val="00753DD2"/>
    <w:rsid w:val="00762452"/>
    <w:rsid w:val="00776C60"/>
    <w:rsid w:val="00777200"/>
    <w:rsid w:val="00794E67"/>
    <w:rsid w:val="00796F86"/>
    <w:rsid w:val="007A7D2C"/>
    <w:rsid w:val="007B151C"/>
    <w:rsid w:val="007B6CEF"/>
    <w:rsid w:val="007B7DF4"/>
    <w:rsid w:val="007C3C1C"/>
    <w:rsid w:val="007C4AD3"/>
    <w:rsid w:val="007E175B"/>
    <w:rsid w:val="007F2FD1"/>
    <w:rsid w:val="007F47E6"/>
    <w:rsid w:val="007F7252"/>
    <w:rsid w:val="00800BE0"/>
    <w:rsid w:val="00802C12"/>
    <w:rsid w:val="00806737"/>
    <w:rsid w:val="00835DCA"/>
    <w:rsid w:val="00841510"/>
    <w:rsid w:val="00844E0D"/>
    <w:rsid w:val="00850591"/>
    <w:rsid w:val="00855C2D"/>
    <w:rsid w:val="00871C11"/>
    <w:rsid w:val="008722DD"/>
    <w:rsid w:val="00885EC2"/>
    <w:rsid w:val="008947C0"/>
    <w:rsid w:val="008A12F6"/>
    <w:rsid w:val="008A16B6"/>
    <w:rsid w:val="008C0E43"/>
    <w:rsid w:val="008C2F93"/>
    <w:rsid w:val="008D1A0C"/>
    <w:rsid w:val="008D3626"/>
    <w:rsid w:val="008D6C14"/>
    <w:rsid w:val="0090185A"/>
    <w:rsid w:val="00902BD2"/>
    <w:rsid w:val="00902CA2"/>
    <w:rsid w:val="00905110"/>
    <w:rsid w:val="0091617B"/>
    <w:rsid w:val="009320E4"/>
    <w:rsid w:val="00943162"/>
    <w:rsid w:val="00953731"/>
    <w:rsid w:val="0095445E"/>
    <w:rsid w:val="009556A6"/>
    <w:rsid w:val="00973B7E"/>
    <w:rsid w:val="00984735"/>
    <w:rsid w:val="009A1986"/>
    <w:rsid w:val="009A6A6A"/>
    <w:rsid w:val="009B1545"/>
    <w:rsid w:val="009D4E49"/>
    <w:rsid w:val="009E1476"/>
    <w:rsid w:val="009E1EC4"/>
    <w:rsid w:val="009F519D"/>
    <w:rsid w:val="009F5535"/>
    <w:rsid w:val="00A043D3"/>
    <w:rsid w:val="00A16789"/>
    <w:rsid w:val="00A20D35"/>
    <w:rsid w:val="00A221B8"/>
    <w:rsid w:val="00A37935"/>
    <w:rsid w:val="00A47250"/>
    <w:rsid w:val="00A571C7"/>
    <w:rsid w:val="00A7077C"/>
    <w:rsid w:val="00A708DE"/>
    <w:rsid w:val="00A71512"/>
    <w:rsid w:val="00A76EF0"/>
    <w:rsid w:val="00A87274"/>
    <w:rsid w:val="00A917BC"/>
    <w:rsid w:val="00A9255A"/>
    <w:rsid w:val="00A95E27"/>
    <w:rsid w:val="00AB70F6"/>
    <w:rsid w:val="00AC1C1C"/>
    <w:rsid w:val="00AD1C9D"/>
    <w:rsid w:val="00AD533E"/>
    <w:rsid w:val="00AD7EB1"/>
    <w:rsid w:val="00AF12C1"/>
    <w:rsid w:val="00AF25F7"/>
    <w:rsid w:val="00AF2A11"/>
    <w:rsid w:val="00B03C3D"/>
    <w:rsid w:val="00B0424E"/>
    <w:rsid w:val="00B04A21"/>
    <w:rsid w:val="00B162AA"/>
    <w:rsid w:val="00B27460"/>
    <w:rsid w:val="00B32DBA"/>
    <w:rsid w:val="00B35F67"/>
    <w:rsid w:val="00B40509"/>
    <w:rsid w:val="00B42D77"/>
    <w:rsid w:val="00B43B03"/>
    <w:rsid w:val="00B46CAF"/>
    <w:rsid w:val="00B66746"/>
    <w:rsid w:val="00B72B04"/>
    <w:rsid w:val="00B809B3"/>
    <w:rsid w:val="00B87189"/>
    <w:rsid w:val="00B9287E"/>
    <w:rsid w:val="00BA2342"/>
    <w:rsid w:val="00BA555F"/>
    <w:rsid w:val="00BA568B"/>
    <w:rsid w:val="00BC1EAA"/>
    <w:rsid w:val="00BC313E"/>
    <w:rsid w:val="00BD68F0"/>
    <w:rsid w:val="00BE3DFB"/>
    <w:rsid w:val="00BE6159"/>
    <w:rsid w:val="00BE6747"/>
    <w:rsid w:val="00BF0262"/>
    <w:rsid w:val="00BF5429"/>
    <w:rsid w:val="00C04967"/>
    <w:rsid w:val="00C34830"/>
    <w:rsid w:val="00C34D37"/>
    <w:rsid w:val="00C52383"/>
    <w:rsid w:val="00C54652"/>
    <w:rsid w:val="00C55DB7"/>
    <w:rsid w:val="00C563EF"/>
    <w:rsid w:val="00C638C1"/>
    <w:rsid w:val="00C738FA"/>
    <w:rsid w:val="00C755C1"/>
    <w:rsid w:val="00C86182"/>
    <w:rsid w:val="00C870D4"/>
    <w:rsid w:val="00CB47B2"/>
    <w:rsid w:val="00CB595B"/>
    <w:rsid w:val="00CB75C0"/>
    <w:rsid w:val="00CE41A0"/>
    <w:rsid w:val="00CF0BA2"/>
    <w:rsid w:val="00CF5972"/>
    <w:rsid w:val="00D016E8"/>
    <w:rsid w:val="00D01FBB"/>
    <w:rsid w:val="00D0623D"/>
    <w:rsid w:val="00D2624C"/>
    <w:rsid w:val="00D33089"/>
    <w:rsid w:val="00D3599C"/>
    <w:rsid w:val="00D42503"/>
    <w:rsid w:val="00D47129"/>
    <w:rsid w:val="00D50019"/>
    <w:rsid w:val="00D55D15"/>
    <w:rsid w:val="00D768BB"/>
    <w:rsid w:val="00D926D7"/>
    <w:rsid w:val="00DB1BB3"/>
    <w:rsid w:val="00DB744A"/>
    <w:rsid w:val="00DC0486"/>
    <w:rsid w:val="00DC127F"/>
    <w:rsid w:val="00DD1D54"/>
    <w:rsid w:val="00DD29B6"/>
    <w:rsid w:val="00DD67D2"/>
    <w:rsid w:val="00DE5982"/>
    <w:rsid w:val="00E0355F"/>
    <w:rsid w:val="00E0482B"/>
    <w:rsid w:val="00E05CC2"/>
    <w:rsid w:val="00E13FB9"/>
    <w:rsid w:val="00E20F94"/>
    <w:rsid w:val="00E3002E"/>
    <w:rsid w:val="00E3500D"/>
    <w:rsid w:val="00E35B2C"/>
    <w:rsid w:val="00E36E15"/>
    <w:rsid w:val="00E46473"/>
    <w:rsid w:val="00E505BF"/>
    <w:rsid w:val="00E52456"/>
    <w:rsid w:val="00E52B34"/>
    <w:rsid w:val="00E5315A"/>
    <w:rsid w:val="00E732B7"/>
    <w:rsid w:val="00E754BC"/>
    <w:rsid w:val="00E8110A"/>
    <w:rsid w:val="00E86446"/>
    <w:rsid w:val="00E92459"/>
    <w:rsid w:val="00E94861"/>
    <w:rsid w:val="00E95F42"/>
    <w:rsid w:val="00EA5AFC"/>
    <w:rsid w:val="00EA74FE"/>
    <w:rsid w:val="00EB329D"/>
    <w:rsid w:val="00EB53CC"/>
    <w:rsid w:val="00EC24F3"/>
    <w:rsid w:val="00EC377F"/>
    <w:rsid w:val="00ED6394"/>
    <w:rsid w:val="00EE23B6"/>
    <w:rsid w:val="00EF2AD7"/>
    <w:rsid w:val="00EF3D4C"/>
    <w:rsid w:val="00F15745"/>
    <w:rsid w:val="00F2211A"/>
    <w:rsid w:val="00F24892"/>
    <w:rsid w:val="00F31199"/>
    <w:rsid w:val="00F31837"/>
    <w:rsid w:val="00F32145"/>
    <w:rsid w:val="00F339A9"/>
    <w:rsid w:val="00F372FC"/>
    <w:rsid w:val="00F4301D"/>
    <w:rsid w:val="00F50723"/>
    <w:rsid w:val="00F54CF8"/>
    <w:rsid w:val="00F54F44"/>
    <w:rsid w:val="00F64EF2"/>
    <w:rsid w:val="00F70ECD"/>
    <w:rsid w:val="00FA1CCE"/>
    <w:rsid w:val="00FA3C6F"/>
    <w:rsid w:val="00FA562A"/>
    <w:rsid w:val="00FA7DE9"/>
    <w:rsid w:val="00FC1B16"/>
    <w:rsid w:val="00FC453C"/>
    <w:rsid w:val="00FD5E27"/>
    <w:rsid w:val="00FE6B02"/>
    <w:rsid w:val="00FF16FE"/>
    <w:rsid w:val="00FF3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95AA"/>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4"/>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7.png@01DBB50A.63E3B75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DBB50A.63E3B750"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045F3-D3D7-44FA-A8A8-483E5901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75669</Words>
  <Characters>43132</Characters>
  <Application>Microsoft Office Word</Application>
  <DocSecurity>0</DocSecurity>
  <Lines>359</Lines>
  <Paragraphs>237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25</vt:i4>
      </vt:variant>
      <vt:variant>
        <vt:lpstr>Naslov</vt:lpstr>
      </vt:variant>
      <vt:variant>
        <vt:i4>1</vt:i4>
      </vt:variant>
    </vt:vector>
  </HeadingPairs>
  <TitlesOfParts>
    <vt:vector size="28" baseType="lpstr">
      <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Pagrindinių išsėtine skleroze (IS) sergančių pacientų tyrimų metu fingolimodo po</vt:lpstr>
      <vt:lpstr/>
      <vt:lpstr>Pacientams, kurių kepenų funkcija sutrikusi</vt:lpstr>
      <vt:lpstr>4.8	Nepageidaujamas poveikis</vt:lpstr>
      <vt:lpstr>        5.	FARMAKOLOGINĖS SAVYBĖS</vt:lpstr>
      <vt:lpstr>Ypatingų populiacijų pacientų charakteristikos</vt:lpstr>
      <vt:lpstr/>
      <vt:lpstr>Lytis, etninė grupė ir sutrikusi inkstų funkcija</vt:lpstr>
      <vt:lpstr>        6.	FARMACINĖ INFORMACIJA</vt:lpstr>
      <vt:lpstr>        7.	REGISTRUOTOJAS</vt:lpstr>
      <vt:lpstr>        8.	REGISTRACIJOS PAŽYMĖJIMO NUMERIS (-IAI) </vt:lpstr>
      <vt:lpstr>        9.	REGISTRAVIMO / PERREGISTRAVIMO DATA</vt:lpstr>
      <vt:lpstr>        10.	TEKSTO PERŽIŪROS DATA</vt:lpstr>
      <vt:lpstr>GYDYTOJO ŽYMIMAS KONTROLINIS SĄRAŠAS SUAUGUSIEMS PACIENTAMS IR VAIKAMS</vt:lpstr>
      <vt:lpstr/>
    </vt:vector>
  </TitlesOfParts>
  <Company/>
  <LinksUpToDate>false</LinksUpToDate>
  <CharactersWithSpaces>118564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2025-08-08T04:47:00Z</dcterms:created>
  <dcterms:modified xsi:type="dcterms:W3CDTF">2025-08-08T04:47:00Z</dcterms:modified>
</cp:coreProperties>
</file>