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82" w:rsidRDefault="00ED0582" w:rsidP="00ED0582">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rPr>
        <w:t>Pakuotės lapelis: informacija vartotojui</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jc w:val="center"/>
        <w:rPr>
          <w:rFonts w:ascii="Times New Roman" w:eastAsia="MS Mincho" w:hAnsi="Times New Roman" w:cs="Times New Roman"/>
          <w:b/>
          <w:lang w:eastAsia="ja-JP"/>
        </w:rPr>
      </w:pPr>
      <w:r>
        <w:rPr>
          <w:rFonts w:ascii="Times New Roman" w:eastAsia="MS Mincho" w:hAnsi="Times New Roman" w:cs="Times New Roman"/>
          <w:b/>
          <w:lang w:eastAsia="ja-JP"/>
        </w:rPr>
        <w:t>Maalox 40 mg/35 mg/ml geriamoji suspensija</w:t>
      </w:r>
    </w:p>
    <w:p w:rsidR="00ED0582" w:rsidRDefault="00ED0582" w:rsidP="00ED0582">
      <w:pPr>
        <w:spacing w:after="0" w:line="240" w:lineRule="auto"/>
        <w:jc w:val="center"/>
        <w:rPr>
          <w:rFonts w:ascii="Times New Roman" w:eastAsia="Calibri" w:hAnsi="Times New Roman" w:cs="Times New Roman"/>
        </w:rPr>
      </w:pPr>
      <w:r>
        <w:rPr>
          <w:rFonts w:ascii="Times New Roman" w:eastAsia="Calibri" w:hAnsi="Times New Roman" w:cs="Times New Roman"/>
        </w:rPr>
        <w:t>magnio hidroksidas, aliuminio hidroksidas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šį vaistą, nes jame pateikiama Jums svarbi informacija.</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 xml:space="preserve">Visada vartokite šį vaistą tiksliai kaip aprašyta šiame lapelyje arba kaip nurodė gydytojas arba vaistininkas. </w:t>
      </w:r>
    </w:p>
    <w:p w:rsidR="00ED0582" w:rsidRDefault="00ED0582" w:rsidP="00ED0582">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rsidR="00ED0582" w:rsidRDefault="00ED0582" w:rsidP="00ED0582">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Jeigu norite sužinoti daugiau arba pasitarti, kreipkitės į vaistininką.</w:t>
      </w:r>
    </w:p>
    <w:p w:rsidR="00ED0582" w:rsidRDefault="00ED0582" w:rsidP="00ED0582">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rsidR="00ED0582" w:rsidRDefault="00ED0582" w:rsidP="00ED0582">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Jeigu per 10 dienų Jūsų savijauta nepagerėjo arba net pablogėjo, kreipkitės į gydytoją.</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rsidR="00ED0582" w:rsidRDefault="00ED0582" w:rsidP="00ED0582">
      <w:pPr>
        <w:spacing w:after="0" w:line="240" w:lineRule="auto"/>
        <w:rPr>
          <w:rFonts w:ascii="Times New Roman" w:eastAsia="Calibri" w:hAnsi="Times New Roman" w:cs="Times New Roman"/>
          <w:b/>
        </w:rPr>
      </w:pPr>
    </w:p>
    <w:p w:rsidR="00ED0582" w:rsidRDefault="00ED0582" w:rsidP="00ED0582">
      <w:pPr>
        <w:spacing w:after="0" w:line="240" w:lineRule="auto"/>
        <w:ind w:left="567" w:hanging="567"/>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Maalox ir kam jis vartojamas</w:t>
      </w:r>
    </w:p>
    <w:p w:rsidR="00ED0582" w:rsidRDefault="00ED0582" w:rsidP="00ED0582">
      <w:pPr>
        <w:spacing w:after="0" w:line="240" w:lineRule="auto"/>
        <w:ind w:left="567" w:hanging="567"/>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Kas žinotina prieš vartojant Maalox</w:t>
      </w:r>
    </w:p>
    <w:p w:rsidR="00ED0582" w:rsidRDefault="00ED0582" w:rsidP="00ED0582">
      <w:pPr>
        <w:spacing w:after="0" w:line="240" w:lineRule="auto"/>
        <w:ind w:left="567" w:hanging="567"/>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Maalox </w:t>
      </w:r>
    </w:p>
    <w:p w:rsidR="00ED0582" w:rsidRDefault="00ED0582" w:rsidP="00ED0582">
      <w:pPr>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ED0582" w:rsidRDefault="00ED0582" w:rsidP="00ED0582">
      <w:pPr>
        <w:spacing w:after="0" w:line="240" w:lineRule="auto"/>
        <w:ind w:left="567" w:hanging="567"/>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Kaip laikyti Maalox</w:t>
      </w:r>
    </w:p>
    <w:p w:rsidR="00ED0582" w:rsidRDefault="00ED0582" w:rsidP="00ED0582">
      <w:pPr>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Kas yra Maalox ir kam jis vartojamas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jc w:val="both"/>
        <w:rPr>
          <w:rFonts w:ascii="Times New Roman" w:eastAsia="Calibri" w:hAnsi="Times New Roman" w:cs="Times New Roman"/>
        </w:rPr>
      </w:pPr>
      <w:r>
        <w:rPr>
          <w:rFonts w:ascii="Times New Roman" w:eastAsia="Calibri" w:hAnsi="Times New Roman" w:cs="Times New Roman"/>
        </w:rPr>
        <w:t>Šis vaistas vartojamas rėmens ir skrandžio turinio kilimo į stemplę simptomams malšinti suaugusiems ir paaugliams nuo 15 metų.</w:t>
      </w:r>
    </w:p>
    <w:p w:rsidR="00ED0582" w:rsidRDefault="00ED0582" w:rsidP="00ED0582">
      <w:pPr>
        <w:spacing w:after="0" w:line="240" w:lineRule="auto"/>
        <w:jc w:val="both"/>
        <w:rPr>
          <w:rFonts w:ascii="Times New Roman" w:eastAsia="Calibri" w:hAnsi="Times New Roman" w:cs="Times New Roman"/>
        </w:rPr>
      </w:pPr>
    </w:p>
    <w:p w:rsidR="00ED0582" w:rsidRDefault="00ED0582" w:rsidP="00ED058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Rėmenį ir skrandžio turinio kilimą į stemplę gali sukelti kai kurie maisto produktai (pvz., rūgštūs, aštrūs ir kt.), alkoholiniai gėrimai ir kai kurie vaistai (pvz., aspirinas, vaistai nuo uždegimo). </w:t>
      </w:r>
    </w:p>
    <w:p w:rsidR="00ED0582" w:rsidRDefault="00ED0582" w:rsidP="00ED0582">
      <w:pPr>
        <w:spacing w:after="0" w:line="240" w:lineRule="auto"/>
        <w:jc w:val="both"/>
      </w:pPr>
      <w:r>
        <w:rPr>
          <w:rFonts w:ascii="Times New Roman" w:eastAsia="Calibri" w:hAnsi="Times New Roman" w:cs="Times New Roman"/>
        </w:rPr>
        <w:t>Kad ligos simptomų pasireikštų rečiau, reikia:</w:t>
      </w:r>
    </w:p>
    <w:p w:rsidR="00ED0582" w:rsidRDefault="00ED0582" w:rsidP="00ED0582">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nepersivalgyti riebaus maisto;</w:t>
      </w:r>
    </w:p>
    <w:p w:rsidR="00ED0582" w:rsidRDefault="00ED0582" w:rsidP="00ED0582">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vengti kai kurių maisto produktų, pvz., šokolado, aštrių patiekalų, pipirų, vaisių sulčių, sodos gėrimų;</w:t>
      </w:r>
    </w:p>
    <w:p w:rsidR="00ED0582" w:rsidRDefault="00ED0582" w:rsidP="00ED0582">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valgyti įvairų maistą;</w:t>
      </w:r>
    </w:p>
    <w:p w:rsidR="00ED0582" w:rsidRDefault="00ED0582" w:rsidP="00ED0582">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reguliuoti kūno svorį ir reguliariai mankštintis;</w:t>
      </w:r>
    </w:p>
    <w:p w:rsidR="00ED0582" w:rsidRDefault="00ED0582" w:rsidP="00ED0582">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stengtis negulti tuoj po valgio;</w:t>
      </w:r>
    </w:p>
    <w:p w:rsidR="00ED0582" w:rsidRDefault="00ED0582" w:rsidP="00ED0582">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nedirbti sunkaus fizinio darbo tuoj po valgio;</w:t>
      </w:r>
    </w:p>
    <w:p w:rsidR="00ED0582" w:rsidRDefault="00ED0582" w:rsidP="00ED0582">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nerūkyti ir nevartoti per daug alkoholinių gėrimų.</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ind w:right="-2"/>
        <w:rPr>
          <w:rFonts w:ascii="Times New Roman" w:eastAsia="Calibri" w:hAnsi="Times New Roman" w:cs="Times New Roman"/>
        </w:rPr>
      </w:pPr>
      <w:r>
        <w:rPr>
          <w:rFonts w:ascii="Times New Roman" w:eastAsia="Calibri" w:hAnsi="Times New Roman" w:cs="Times New Roman"/>
        </w:rPr>
        <w:t>Jeigu per 10 dienų Jūsų savijauta nepagerėjo arba net pablogėjo, kreipkitės į gydytoją.</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Kas žinotina prieš vartojant Maalox</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bCs/>
        </w:rPr>
      </w:pPr>
      <w:r>
        <w:rPr>
          <w:rFonts w:ascii="Times New Roman" w:eastAsia="Calibri" w:hAnsi="Times New Roman" w:cs="Times New Roman"/>
          <w:b/>
          <w:bCs/>
        </w:rPr>
        <w:t>Maalox vartoti draudžiama:</w:t>
      </w:r>
    </w:p>
    <w:p w:rsidR="00ED0582" w:rsidRDefault="00ED0582" w:rsidP="00ED0582">
      <w:pPr>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jeigu yra alergija magnio hidroksidui ar aliuminio hidroksidui arba bet kuriai pagalbinei šio vaisto medžiagai (jos išvardytos 6 skyriuje);</w:t>
      </w:r>
    </w:p>
    <w:p w:rsidR="00ED0582" w:rsidRDefault="00ED0582" w:rsidP="00ED0582">
      <w:pPr>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jeigu sergate sunkia inkstų liga;</w:t>
      </w:r>
    </w:p>
    <w:p w:rsidR="00ED0582" w:rsidRDefault="00ED0582" w:rsidP="00ED0582">
      <w:pPr>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jeigu yra stiprus pilvo skausmas ir/arba yra žarnų nepraeinamumo tikimybė.</w:t>
      </w:r>
    </w:p>
    <w:p w:rsidR="00ED0582" w:rsidRDefault="00ED0582" w:rsidP="00ED0582">
      <w:pPr>
        <w:spacing w:after="0" w:line="240" w:lineRule="auto"/>
        <w:ind w:left="720"/>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Jei abejojate, pasitarkite su gydytoju arba vaistininku.</w:t>
      </w:r>
    </w:p>
    <w:p w:rsidR="00ED0582" w:rsidRDefault="00ED0582" w:rsidP="00ED0582">
      <w:pPr>
        <w:spacing w:after="0" w:line="240" w:lineRule="auto"/>
        <w:rPr>
          <w:rFonts w:ascii="Times New Roman" w:eastAsia="Calibri" w:hAnsi="Times New Roman" w:cs="Times New Roman"/>
        </w:rPr>
      </w:pPr>
    </w:p>
    <w:p w:rsidR="00ED0582" w:rsidRDefault="00ED0582" w:rsidP="00ED0582">
      <w:pPr>
        <w:keepNext/>
        <w:spacing w:after="0" w:line="240" w:lineRule="auto"/>
        <w:outlineLvl w:val="3"/>
        <w:rPr>
          <w:rFonts w:ascii="Times New Roman" w:eastAsia="Calibri" w:hAnsi="Times New Roman" w:cs="Times New Roman"/>
          <w:b/>
          <w:bCs/>
        </w:rPr>
      </w:pPr>
      <w:r>
        <w:rPr>
          <w:rFonts w:ascii="Times New Roman" w:eastAsia="Calibri" w:hAnsi="Times New Roman" w:cs="Times New Roman"/>
          <w:b/>
          <w:bCs/>
        </w:rPr>
        <w:lastRenderedPageBreak/>
        <w:t>Įspėjimai ir atsargumo priemonės</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Pasitarkite su gydytoju arba vaistininku, prieš pradėdami vartoti Maalox, jeigu:</w:t>
      </w:r>
    </w:p>
    <w:p w:rsidR="00ED0582" w:rsidRDefault="00ED0582" w:rsidP="00ED0582">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mažėja kūno svoris;</w:t>
      </w:r>
    </w:p>
    <w:p w:rsidR="00ED0582" w:rsidRDefault="00ED0582" w:rsidP="00ED0582">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kraujuoja arba anksčiau yra kraujavę iš virškinimo trakto;</w:t>
      </w:r>
    </w:p>
    <w:p w:rsidR="00ED0582" w:rsidRDefault="00ED0582" w:rsidP="00ED0582">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sutrikęs rijimas arba nuolat jaučiate nemalonų pojūtį pilve;</w:t>
      </w:r>
    </w:p>
    <w:p w:rsidR="00ED0582" w:rsidRDefault="00ED0582" w:rsidP="00ED0582">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virškinimo sutrikimų atsirado pirmą kartą arba jie neseniai pakito;</w:t>
      </w:r>
    </w:p>
    <w:p w:rsidR="00ED0582" w:rsidRDefault="00ED0582" w:rsidP="00ED0582">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sergate inkstų liga.</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Jei rėmuo ir skrandžio turinio refliukso į stemplę simptomai stiprėja, išlieka ar pasikartoja, reikia atmesti kitas ligas, galinčias tuos simptomus sukelti (pvz.: virškinimo trakto išopėjimas, vėžiniai susirgimai).</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Pacientams, kuriems nustatytas inkstų funkcijos sutrikimas, jaunesniems kaip 2 metų vaikams, senyviems pacientams bei kitiems pacientams, kuriems yra fosforo trūkumo pavojus, prieš pradedant vartoti Maalox reikia kreiptis į gydytoją.</w:t>
      </w:r>
    </w:p>
    <w:p w:rsidR="00ED0582" w:rsidRDefault="00ED0582" w:rsidP="00ED0582">
      <w:pPr>
        <w:tabs>
          <w:tab w:val="left" w:pos="567"/>
        </w:tabs>
        <w:spacing w:after="0"/>
        <w:rPr>
          <w:rFonts w:ascii="Times New Roman" w:eastAsia="Calibri" w:hAnsi="Times New Roman" w:cs="Times New Roman"/>
          <w:bCs/>
        </w:rPr>
      </w:pPr>
    </w:p>
    <w:p w:rsidR="00ED0582" w:rsidRDefault="00ED0582" w:rsidP="00ED0582">
      <w:pPr>
        <w:tabs>
          <w:tab w:val="left" w:pos="567"/>
        </w:tabs>
        <w:spacing w:after="0"/>
        <w:rPr>
          <w:rFonts w:ascii="Times New Roman" w:eastAsia="Calibri" w:hAnsi="Times New Roman" w:cs="Times New Roman"/>
          <w:bCs/>
        </w:rPr>
      </w:pPr>
      <w:r>
        <w:rPr>
          <w:rFonts w:ascii="Times New Roman" w:eastAsia="Calibri" w:hAnsi="Times New Roman" w:cs="Times New Roman"/>
          <w:bCs/>
        </w:rPr>
        <w:t>Nerekomenduojama kartu vartoti rūgščių maisto produktų.</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Jei per 10 dienų simptomai nepalengvėjo arba pasunkėjo, nepasidarė retesni arba padažnėjo, didinti dozės negalima. Kreipkitės į gydytoją arba vaistininką.</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Vaikai</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Mažiems vaikams magnio hidroksido vartojimas gali sukelti hipermagnezemiją, ypač jeigu jų inkstų funkcija sutrikusi arba jiems išsivysčiusi dehidratacija.</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rPr>
      </w:pPr>
      <w:r>
        <w:rPr>
          <w:rFonts w:ascii="Times New Roman" w:eastAsia="Calibri" w:hAnsi="Times New Roman" w:cs="Times New Roman"/>
          <w:b/>
        </w:rPr>
        <w:t>Kiti vaistai ir Maalox</w:t>
      </w:r>
    </w:p>
    <w:p w:rsidR="00ED0582" w:rsidRDefault="00ED0582" w:rsidP="00ED0582">
      <w:pPr>
        <w:spacing w:after="0" w:line="240" w:lineRule="auto"/>
      </w:pPr>
      <w:r>
        <w:rPr>
          <w:rFonts w:ascii="Times New Roman" w:eastAsia="Calibri" w:hAnsi="Times New Roman" w:cs="Times New Roman"/>
        </w:rPr>
        <w:t>Jeigu vartojate ar neseniai vartojote kitų vaistų arba dėl to nesate tikri, apie tai pasakykite gydytojui arba vaistininkui.</w:t>
      </w:r>
    </w:p>
    <w:p w:rsidR="00ED0582" w:rsidRDefault="00ED0582" w:rsidP="00ED0582">
      <w:pPr>
        <w:spacing w:after="0" w:line="240" w:lineRule="auto"/>
        <w:jc w:val="both"/>
        <w:rPr>
          <w:rFonts w:ascii="Times New Roman" w:eastAsia="Calibri" w:hAnsi="Times New Roman" w:cs="Times New Roman"/>
        </w:rPr>
      </w:pPr>
    </w:p>
    <w:p w:rsidR="00ED0582" w:rsidRDefault="00ED0582" w:rsidP="00ED0582">
      <w:pPr>
        <w:pBdr>
          <w:top w:val="single" w:sz="4" w:space="1" w:color="000000"/>
          <w:left w:val="single" w:sz="4" w:space="0" w:color="000000"/>
          <w:bottom w:val="single" w:sz="4" w:space="1" w:color="000000"/>
          <w:right w:val="single" w:sz="4" w:space="4" w:color="000000"/>
        </w:pBdr>
        <w:spacing w:after="0" w:line="240" w:lineRule="auto"/>
        <w:jc w:val="both"/>
        <w:rPr>
          <w:rFonts w:ascii="Times New Roman" w:eastAsia="Calibri" w:hAnsi="Times New Roman" w:cs="Times New Roman"/>
        </w:rPr>
      </w:pPr>
      <w:r>
        <w:rPr>
          <w:rFonts w:ascii="Times New Roman" w:eastAsia="Calibri" w:hAnsi="Times New Roman" w:cs="Times New Roman"/>
        </w:rPr>
        <w:t>Maalox ir kai kurių kitų vaistų sudėtyje yra skrandžio rūgštį neutralizuojančių medžiagų – aliuminio hidroksido ir magnio hidroksido. Norint išvengti perdozavimo, tokių vaistų negalima vartoti kartu.</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Jeigu vartojate ar neseniai vartojote bet kurį iš toliau išvardytų vaistų arba dėl to nesate tikri, apie tai pasakykite gydytojui arba vaistininkui, nes Maalox gali keisti kai kurių vaistų poveikį arba jie − Maalox poveikį. Ypač svarbu pasakyti apie:</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nuo širdies ligų, tokius kaip digoksinas, chinidinas, metoprololis, atenololis ir propranololis;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mažakraujystei gydyti, tokius kaip geležies druskos;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skrandžio opoms ir padidėjusiam rūgštingumui gydyti, tokius kaip ranitidinas ar cimetidinas (H</w:t>
      </w:r>
      <w:r>
        <w:rPr>
          <w:rFonts w:ascii="Times New Roman" w:eastAsia="Times New Roman" w:hAnsi="Times New Roman" w:cs="Times New Roman"/>
          <w:vertAlign w:val="subscript"/>
        </w:rPr>
        <w:t>2</w:t>
      </w:r>
      <w:r>
        <w:rPr>
          <w:rFonts w:ascii="Times New Roman" w:eastAsia="Times New Roman" w:hAnsi="Times New Roman" w:cs="Times New Roman"/>
        </w:rPr>
        <w:t xml:space="preserve"> antagonistai);</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maliarijai gydyti, tokius kaip chlorokvinas;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tam tikriems kaulų sutrikimams gydyti, tokius kaip bisfosfonatai;</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tam tikroms alerginėms, uždegiminėms ar nenormalioms imuninėms reakcijoms gydyti, tokius kaip gliukokortikoidai;</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inkstų sutrikimams gydyti, tokius kaip citratai;</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tuberkuliozei gydyti, tokius kaip etambutolis, izoniazidas;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infekcijoms gydyti, tokius kaip fluorochinolonai, linkozamidai, ketokonazolas, ciklinai, cefalosporinai (cefpodoksimas ir cefdiniras), dolutegraviras, elvitegraviras, raltegraviro kalio druska, antivirusinis sudėtinis vaistas tenofoviro alafenamido fumaratas/emtricitabinas/biktegraviro natrio druska, rilpivirinas;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psichikos ligoms (psichozėms) gydyti, tokius kaip fenotiazinai, neuroleptikai;</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padidėjusiam kalio kiekiui organizme gydyti, tokius kaip polistireno sulfonatas;</w:t>
      </w:r>
    </w:p>
    <w:p w:rsidR="00ED0582" w:rsidRDefault="00ED0582" w:rsidP="00ED0582">
      <w:pPr>
        <w:numPr>
          <w:ilvl w:val="1"/>
          <w:numId w:val="10"/>
        </w:numPr>
        <w:spacing w:after="0" w:line="240" w:lineRule="auto"/>
      </w:pPr>
      <w:r>
        <w:rPr>
          <w:rFonts w:ascii="Times New Roman" w:eastAsia="Times New Roman" w:hAnsi="Times New Roman" w:cs="Times New Roman"/>
        </w:rPr>
        <w:t>vaistus, vartojamus skausmui malšinti, tokius kaip diflunisalis, indometacinas;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dantų priežiūrai vartojamus vaistus, tokius kaip natrio fluoruras;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esant susilpnėjusiai skydliaukės veiklai, tokius kaip levotiroksinas;</w:t>
      </w:r>
    </w:p>
    <w:p w:rsidR="00ED0582" w:rsidRDefault="00ED0582" w:rsidP="00ED0582">
      <w:pPr>
        <w:numPr>
          <w:ilvl w:val="1"/>
          <w:numId w:val="10"/>
        </w:numPr>
        <w:tabs>
          <w:tab w:val="left" w:pos="9072"/>
        </w:tabs>
        <w:spacing w:after="0" w:line="240" w:lineRule="auto"/>
        <w:ind w:right="-48"/>
      </w:pPr>
      <w:r>
        <w:rPr>
          <w:rFonts w:ascii="Times New Roman" w:eastAsia="Times New Roman" w:hAnsi="Times New Roman" w:cs="Times New Roman"/>
        </w:rPr>
        <w:lastRenderedPageBreak/>
        <w:t>vaistus, vartojamus esant sąnarių skausmams ir organizme vykstant nenormalioms cheminėms reakcijoms, tokius kaip penicilaminas;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cholesterolio kiekiui mažinti, tokius kaip rozuvastatinas;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vėžiui gydyti, tokius kaip nilotinibas, dazatinibo monohidratas;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kraujo sutrikimams gydyti, tokius kaip eltrombopago olaminas;</w:t>
      </w:r>
    </w:p>
    <w:p w:rsidR="00ED0582" w:rsidRDefault="00ED0582" w:rsidP="00ED0582">
      <w:pPr>
        <w:numPr>
          <w:ilvl w:val="1"/>
          <w:numId w:val="10"/>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dideliam kraujospūdžiui plaučiuose (plautinei hipertenzijai) gydyti, tokius kaip riociguatas.</w:t>
      </w:r>
    </w:p>
    <w:p w:rsidR="00ED0582" w:rsidRDefault="00ED0582" w:rsidP="00ED0582">
      <w:pPr>
        <w:spacing w:after="0" w:line="240" w:lineRule="auto"/>
        <w:rPr>
          <w:rFonts w:ascii="Times New Roman" w:eastAsia="Times New Roman" w:hAnsi="Times New Roman" w:cs="Times New Roman"/>
        </w:rPr>
      </w:pPr>
    </w:p>
    <w:p w:rsidR="00ED0582" w:rsidRDefault="00ED0582" w:rsidP="00ED0582">
      <w:pPr>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Atsargumo dėlei tarp bet kokio per burną vartojamo vaisto ir antacidinio vaisto vartojimo turi būti bent 2 valandų (vartojant fluorochinolonų – 4 valandų) intervalas.</w:t>
      </w:r>
    </w:p>
    <w:p w:rsidR="00ED0582" w:rsidRDefault="00ED0582" w:rsidP="00ED0582">
      <w:pPr>
        <w:spacing w:after="0" w:line="240" w:lineRule="auto"/>
        <w:contextualSpacing/>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bCs/>
        </w:rPr>
      </w:pPr>
      <w:r>
        <w:rPr>
          <w:rFonts w:ascii="Times New Roman" w:eastAsia="Calibri" w:hAnsi="Times New Roman" w:cs="Times New Roman"/>
          <w:b/>
          <w:bCs/>
        </w:rPr>
        <w:t>Nėštumas, žindymo laikotarpis ir vaisingumas</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Nėščioms moterims Maalox geriamosios suspensijos vartoti nepatartina.</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Žindyvėms Maalox geriamąją suspensiją galima vartoti tik pasitarus su gydytoju.</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Duomenys neaktualūs.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rPr>
      </w:pPr>
      <w:r>
        <w:rPr>
          <w:rFonts w:ascii="Times New Roman" w:eastAsia="Calibri" w:hAnsi="Times New Roman" w:cs="Times New Roman"/>
          <w:b/>
        </w:rPr>
        <w:t>Maalox sudėtyje yra sorbitolio (E420) ir natrio</w:t>
      </w:r>
    </w:p>
    <w:p w:rsidR="00ED0582" w:rsidRPr="00DC6399" w:rsidRDefault="00ED0582" w:rsidP="00ED0582">
      <w:pPr>
        <w:spacing w:after="0" w:line="240" w:lineRule="auto"/>
        <w:rPr>
          <w:rFonts w:ascii="Times New Roman" w:eastAsia="Calibri" w:hAnsi="Times New Roman" w:cs="Times New Roman"/>
          <w:bCs/>
        </w:rPr>
      </w:pPr>
      <w:r w:rsidRPr="00DC6399">
        <w:rPr>
          <w:rFonts w:ascii="Times New Roman" w:eastAsia="Calibri" w:hAnsi="Times New Roman" w:cs="Times New Roman"/>
          <w:bCs/>
        </w:rPr>
        <w:t>Kiekvienoje šio vaisto dozėje (15</w:t>
      </w:r>
      <w:r>
        <w:rPr>
          <w:rFonts w:ascii="Times New Roman" w:eastAsia="Calibri" w:hAnsi="Times New Roman" w:cs="Times New Roman"/>
          <w:bCs/>
        </w:rPr>
        <w:t> </w:t>
      </w:r>
      <w:r w:rsidRPr="00DC6399">
        <w:rPr>
          <w:rFonts w:ascii="Times New Roman" w:eastAsia="Calibri" w:hAnsi="Times New Roman" w:cs="Times New Roman"/>
          <w:bCs/>
        </w:rPr>
        <w:t>ml) yra 214,35</w:t>
      </w:r>
      <w:r>
        <w:rPr>
          <w:rFonts w:ascii="Times New Roman" w:eastAsia="Calibri" w:hAnsi="Times New Roman" w:cs="Times New Roman"/>
          <w:bCs/>
        </w:rPr>
        <w:t> </w:t>
      </w:r>
      <w:r w:rsidRPr="00DC6399">
        <w:rPr>
          <w:rFonts w:ascii="Times New Roman" w:eastAsia="Calibri" w:hAnsi="Times New Roman" w:cs="Times New Roman"/>
          <w:bCs/>
        </w:rPr>
        <w:t>mg sorbitolio, tai atitinka 14,29</w:t>
      </w:r>
      <w:r>
        <w:rPr>
          <w:rFonts w:ascii="Times New Roman" w:eastAsia="Calibri" w:hAnsi="Times New Roman" w:cs="Times New Roman"/>
          <w:bCs/>
        </w:rPr>
        <w:t> </w:t>
      </w:r>
      <w:r w:rsidRPr="00DC6399">
        <w:rPr>
          <w:rFonts w:ascii="Times New Roman" w:eastAsia="Calibri" w:hAnsi="Times New Roman" w:cs="Times New Roman"/>
          <w:bCs/>
        </w:rPr>
        <w:t>mg/ml.</w:t>
      </w:r>
    </w:p>
    <w:p w:rsidR="00ED0582" w:rsidRPr="00215245" w:rsidRDefault="00ED0582" w:rsidP="00ED0582">
      <w:pPr>
        <w:spacing w:after="0" w:line="240" w:lineRule="auto"/>
        <w:rPr>
          <w:rFonts w:ascii="Times New Roman" w:eastAsia="Times New Roman" w:hAnsi="Times New Roman" w:cs="Times New Roman"/>
          <w:szCs w:val="20"/>
          <w:lang w:eastAsia="lt-LT"/>
        </w:rPr>
      </w:pPr>
      <w:r w:rsidRPr="00215245">
        <w:rPr>
          <w:rFonts w:ascii="Times New Roman" w:eastAsia="Times New Roman" w:hAnsi="Times New Roman" w:cs="Times New Roman"/>
          <w:szCs w:val="20"/>
          <w:lang w:eastAsia="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sidRPr="00903D46">
        <w:rPr>
          <w:rFonts w:ascii="Times New Roman" w:eastAsia="Calibri" w:hAnsi="Times New Roman" w:cs="Times New Roman"/>
        </w:rPr>
        <w:t>Šio vaisto 1</w:t>
      </w:r>
      <w:r>
        <w:rPr>
          <w:rFonts w:ascii="Times New Roman" w:eastAsia="Calibri" w:hAnsi="Times New Roman" w:cs="Times New Roman"/>
        </w:rPr>
        <w:t> </w:t>
      </w:r>
      <w:r w:rsidRPr="00903D46">
        <w:rPr>
          <w:rFonts w:ascii="Times New Roman" w:eastAsia="Calibri" w:hAnsi="Times New Roman" w:cs="Times New Roman"/>
        </w:rPr>
        <w:t>m</w:t>
      </w:r>
      <w:r>
        <w:rPr>
          <w:rFonts w:ascii="Times New Roman" w:eastAsia="Calibri" w:hAnsi="Times New Roman" w:cs="Times New Roman"/>
        </w:rPr>
        <w:t>l</w:t>
      </w:r>
      <w:r w:rsidRPr="00903D46">
        <w:rPr>
          <w:rFonts w:ascii="Times New Roman" w:eastAsia="Calibri" w:hAnsi="Times New Roman" w:cs="Times New Roman"/>
        </w:rPr>
        <w:t xml:space="preserve"> yra mažiau kaip 1</w:t>
      </w:r>
      <w:r>
        <w:rPr>
          <w:rFonts w:ascii="Times New Roman" w:eastAsia="Calibri" w:hAnsi="Times New Roman" w:cs="Times New Roman"/>
        </w:rPr>
        <w:t> </w:t>
      </w:r>
      <w:r w:rsidRPr="00903D46">
        <w:rPr>
          <w:rFonts w:ascii="Times New Roman" w:eastAsia="Calibri" w:hAnsi="Times New Roman" w:cs="Times New Roman"/>
        </w:rPr>
        <w:t>mmol (23</w:t>
      </w:r>
      <w:r>
        <w:rPr>
          <w:rFonts w:ascii="Times New Roman" w:eastAsia="Calibri" w:hAnsi="Times New Roman" w:cs="Times New Roman"/>
        </w:rPr>
        <w:t> </w:t>
      </w:r>
      <w:r w:rsidRPr="00903D46">
        <w:rPr>
          <w:rFonts w:ascii="Times New Roman" w:eastAsia="Calibri" w:hAnsi="Times New Roman" w:cs="Times New Roman"/>
        </w:rPr>
        <w:t>mg) natrio, t.</w:t>
      </w:r>
      <w:r>
        <w:rPr>
          <w:rFonts w:ascii="Times New Roman" w:eastAsia="Calibri" w:hAnsi="Times New Roman" w:cs="Times New Roman"/>
        </w:rPr>
        <w:t> </w:t>
      </w:r>
      <w:r w:rsidRPr="00903D46">
        <w:rPr>
          <w:rFonts w:ascii="Times New Roman" w:eastAsia="Calibri" w:hAnsi="Times New Roman" w:cs="Times New Roman"/>
        </w:rPr>
        <w:t>y. jis beveik neturi reikšmės.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Kaip vartoti Maalox</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 xml:space="preserve">Visada vartokite šį vaistą tiksliai kaip </w:t>
      </w:r>
      <w:r>
        <w:rPr>
          <w:rFonts w:ascii="Times New Roman" w:eastAsia="Times New Roman" w:hAnsi="Times New Roman" w:cs="Times New Roman"/>
          <w:szCs w:val="24"/>
        </w:rPr>
        <w:t xml:space="preserve">aprašyta šiame lapelyje arba kaip </w:t>
      </w:r>
      <w:r>
        <w:rPr>
          <w:rFonts w:ascii="Times New Roman" w:eastAsia="Calibri" w:hAnsi="Times New Roman" w:cs="Times New Roman"/>
        </w:rPr>
        <w:t>nurodė gydytojas arba vaistininkas. Jeigu abejojate, kreipkitės į gydytoją arba vaistininką.</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Šis vaistas yra geriamas. Jis skirtas tik vyresniems kaip 15 metų žmonėms.</w:t>
      </w:r>
      <w:bookmarkStart w:id="0" w:name="OLE_LINK7"/>
    </w:p>
    <w:p w:rsidR="00ED0582" w:rsidRDefault="00ED0582" w:rsidP="00ED058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Geriama po vieną valgomąjį šaukštą (15 ml) geriamosios suspensijos pasireiškus rėmeniui arba skrandžio turinio refliuksui į stemplę. </w:t>
      </w:r>
    </w:p>
    <w:p w:rsidR="00ED0582" w:rsidRDefault="00ED0582" w:rsidP="00ED0582">
      <w:pPr>
        <w:spacing w:after="0" w:line="240" w:lineRule="auto"/>
        <w:jc w:val="both"/>
        <w:rPr>
          <w:rFonts w:ascii="Times New Roman" w:eastAsia="Calibri" w:hAnsi="Times New Roman" w:cs="Times New Roman"/>
        </w:rPr>
      </w:pPr>
      <w:r>
        <w:rPr>
          <w:rFonts w:ascii="Times New Roman" w:eastAsia="Calibri" w:hAnsi="Times New Roman" w:cs="Times New Roman"/>
        </w:rPr>
        <w:t>Negalima gerti daugiau kaip 6 valgomųjų šaukštų (90 ml) geriamosios suspensijos per par</w:t>
      </w:r>
      <w:bookmarkEnd w:id="0"/>
      <w:r>
        <w:rPr>
          <w:rFonts w:ascii="Times New Roman" w:eastAsia="Calibri" w:hAnsi="Times New Roman" w:cs="Times New Roman"/>
        </w:rPr>
        <w:t>ą.</w:t>
      </w:r>
    </w:p>
    <w:p w:rsidR="00ED0582" w:rsidRDefault="00ED0582" w:rsidP="00ED0582">
      <w:pPr>
        <w:spacing w:after="0" w:line="240" w:lineRule="auto"/>
        <w:rPr>
          <w:rFonts w:ascii="Times New Roman" w:eastAsia="Calibri" w:hAnsi="Times New Roman" w:cs="Times New Roman"/>
        </w:rPr>
      </w:pPr>
    </w:p>
    <w:p w:rsidR="00ED0582" w:rsidRDefault="00ED0582" w:rsidP="00ED0582">
      <w:pPr>
        <w:pBdr>
          <w:top w:val="single" w:sz="4" w:space="1" w:color="000000"/>
          <w:left w:val="single" w:sz="4" w:space="0" w:color="000000"/>
          <w:bottom w:val="single" w:sz="4" w:space="1" w:color="000000"/>
          <w:right w:val="single" w:sz="4" w:space="0" w:color="000000"/>
        </w:pBdr>
        <w:spacing w:after="0" w:line="240" w:lineRule="auto"/>
        <w:rPr>
          <w:rFonts w:ascii="Times New Roman" w:eastAsia="Calibri" w:hAnsi="Times New Roman" w:cs="Times New Roman"/>
        </w:rPr>
      </w:pPr>
      <w:r>
        <w:rPr>
          <w:rFonts w:ascii="Times New Roman" w:eastAsia="Calibri" w:hAnsi="Times New Roman" w:cs="Times New Roman"/>
        </w:rPr>
        <w:t>Šio vaisto negalima vartoti ilgiau kaip 10 dienų.</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bCs/>
        </w:rPr>
      </w:pPr>
      <w:r>
        <w:rPr>
          <w:rFonts w:ascii="Times New Roman" w:eastAsia="Calibri" w:hAnsi="Times New Roman" w:cs="Times New Roman"/>
          <w:b/>
          <w:bCs/>
        </w:rPr>
        <w:t>Ką daryti pavartojus per didelę Maalox dozę</w:t>
      </w:r>
    </w:p>
    <w:p w:rsidR="00ED0582" w:rsidRDefault="00ED0582" w:rsidP="00ED0582">
      <w:pPr>
        <w:spacing w:after="0" w:line="220" w:lineRule="exact"/>
        <w:rPr>
          <w:rFonts w:ascii="Times New Roman" w:eastAsia="Calibri" w:hAnsi="Times New Roman" w:cs="Times New Roman"/>
          <w:bCs/>
        </w:rPr>
      </w:pPr>
      <w:r>
        <w:rPr>
          <w:rFonts w:ascii="Times New Roman" w:eastAsia="Calibri" w:hAnsi="Times New Roman" w:cs="Times New Roman"/>
          <w:bCs/>
        </w:rPr>
        <w:t>Pavartojus per didelę Maalox dozę, nedelsiant kreipkitės į gydytoją.</w:t>
      </w:r>
    </w:p>
    <w:p w:rsidR="00ED0582" w:rsidRDefault="00ED0582" w:rsidP="00ED0582">
      <w:pPr>
        <w:spacing w:after="0" w:line="240" w:lineRule="auto"/>
        <w:rPr>
          <w:rFonts w:ascii="Times New Roman" w:eastAsia="Calibri" w:hAnsi="Times New Roman" w:cs="Times New Roman"/>
          <w:b/>
          <w:bCs/>
        </w:rPr>
      </w:pPr>
    </w:p>
    <w:p w:rsidR="00ED0582" w:rsidRDefault="00ED0582" w:rsidP="00ED0582">
      <w:pPr>
        <w:spacing w:after="0" w:line="240" w:lineRule="auto"/>
        <w:rPr>
          <w:rFonts w:ascii="Times New Roman" w:eastAsia="Calibri" w:hAnsi="Times New Roman" w:cs="Times New Roman"/>
          <w:b/>
          <w:bCs/>
        </w:rPr>
      </w:pPr>
      <w:r>
        <w:rPr>
          <w:rFonts w:ascii="Times New Roman" w:eastAsia="Calibri" w:hAnsi="Times New Roman" w:cs="Times New Roman"/>
          <w:b/>
          <w:bCs/>
        </w:rPr>
        <w:t>Pamiršus pavartoti Maalox</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Dėl to nerimauti nereikėtų.</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Negalima vartoti dvigubos dozės norint kompensuoti praleistą dozę.</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Cs/>
        </w:rPr>
      </w:pPr>
      <w:r>
        <w:rPr>
          <w:rFonts w:ascii="Times New Roman" w:eastAsia="Calibri" w:hAnsi="Times New Roman" w:cs="Times New Roman"/>
          <w:bCs/>
        </w:rPr>
        <w:lastRenderedPageBreak/>
        <w:t>Gauta pranešimų apie toliau išvardytą šalutinį poveikį.</w:t>
      </w:r>
    </w:p>
    <w:p w:rsidR="00ED0582" w:rsidRDefault="00ED0582" w:rsidP="00ED0582">
      <w:pPr>
        <w:spacing w:after="0" w:line="240" w:lineRule="auto"/>
        <w:rPr>
          <w:rFonts w:ascii="Times New Roman" w:eastAsia="Times New Roman" w:hAnsi="Times New Roman" w:cs="Times New Roman"/>
          <w:b/>
          <w:bCs/>
          <w:noProof/>
          <w:snapToGrid w:val="0"/>
        </w:rPr>
      </w:pPr>
      <w:r w:rsidRPr="006E2393">
        <w:rPr>
          <w:rFonts w:ascii="Times New Roman" w:eastAsia="Times New Roman" w:hAnsi="Times New Roman" w:cs="Times New Roman"/>
          <w:b/>
          <w:bCs/>
          <w:noProof/>
          <w:snapToGrid w:val="0"/>
        </w:rPr>
        <w:t>Nedažni šalutinio poveikio reiškiniai (gali pasireikšti rečiau kaip 1 iš 100 asmenų):</w:t>
      </w:r>
      <w:r>
        <w:rPr>
          <w:rFonts w:ascii="Times New Roman" w:eastAsia="Times New Roman" w:hAnsi="Times New Roman" w:cs="Times New Roman"/>
          <w:b/>
          <w:bCs/>
          <w:noProof/>
          <w:snapToGrid w:val="0"/>
        </w:rPr>
        <w:t xml:space="preserve"> </w:t>
      </w:r>
    </w:p>
    <w:p w:rsidR="00ED0582" w:rsidRDefault="00ED0582" w:rsidP="00ED0582">
      <w:pPr>
        <w:numPr>
          <w:ilvl w:val="0"/>
          <w:numId w:val="9"/>
        </w:numPr>
        <w:spacing w:after="0" w:line="240" w:lineRule="auto"/>
        <w:contextualSpacing/>
        <w:rPr>
          <w:rFonts w:ascii="Times New Roman" w:eastAsia="Calibri" w:hAnsi="Times New Roman" w:cs="Times New Roman"/>
          <w:bCs/>
        </w:rPr>
      </w:pPr>
      <w:r>
        <w:rPr>
          <w:rFonts w:ascii="Times New Roman" w:eastAsia="Calibri" w:hAnsi="Times New Roman" w:cs="Times New Roman"/>
          <w:bCs/>
        </w:rPr>
        <w:t>viduriavimas arba vidurių užkietėjimas.</w:t>
      </w:r>
    </w:p>
    <w:p w:rsidR="00ED0582" w:rsidRDefault="00ED0582" w:rsidP="00ED0582">
      <w:pPr>
        <w:spacing w:after="0" w:line="240" w:lineRule="auto"/>
        <w:rPr>
          <w:rFonts w:ascii="Times New Roman" w:eastAsia="Calibri" w:hAnsi="Times New Roman" w:cs="Times New Roman"/>
          <w:bCs/>
        </w:rPr>
      </w:pPr>
    </w:p>
    <w:p w:rsidR="00ED0582" w:rsidRDefault="00ED0582" w:rsidP="00ED0582">
      <w:pPr>
        <w:spacing w:after="0" w:line="240" w:lineRule="auto"/>
        <w:rPr>
          <w:rFonts w:ascii="Times New Roman" w:eastAsia="Calibri" w:hAnsi="Times New Roman" w:cs="Times New Roman"/>
          <w:bCs/>
        </w:rPr>
      </w:pPr>
      <w:r w:rsidRPr="00213677">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Calibri" w:hAnsi="Times New Roman" w:cs="Times New Roman"/>
          <w:bCs/>
        </w:rPr>
        <w:t xml:space="preserve">): </w:t>
      </w:r>
    </w:p>
    <w:p w:rsidR="00ED0582" w:rsidRDefault="00ED0582" w:rsidP="00ED0582">
      <w:pPr>
        <w:numPr>
          <w:ilvl w:val="0"/>
          <w:numId w:val="4"/>
        </w:numPr>
        <w:spacing w:after="0" w:line="240" w:lineRule="auto"/>
        <w:ind w:left="567" w:hanging="567"/>
        <w:contextualSpacing/>
        <w:rPr>
          <w:rFonts w:ascii="Times New Roman" w:eastAsia="Calibri" w:hAnsi="Times New Roman" w:cs="Times New Roman"/>
          <w:bCs/>
        </w:rPr>
      </w:pPr>
      <w:r>
        <w:rPr>
          <w:rFonts w:ascii="Times New Roman" w:eastAsia="Calibri" w:hAnsi="Times New Roman" w:cs="Times New Roman"/>
          <w:bCs/>
        </w:rPr>
        <w:t>hipermagnezemija (magnio perteklius kraujyje). Nustatyta po ilgalaikio vartojimo pacientams, kurių inkstų funkcija sutrikusi.</w:t>
      </w:r>
    </w:p>
    <w:p w:rsidR="00ED0582" w:rsidRDefault="00ED0582" w:rsidP="00ED0582">
      <w:pPr>
        <w:spacing w:after="0" w:line="240" w:lineRule="auto"/>
        <w:rPr>
          <w:rFonts w:ascii="Times New Roman" w:eastAsia="Calibri" w:hAnsi="Times New Roman" w:cs="Times New Roman"/>
          <w:bCs/>
        </w:rPr>
      </w:pPr>
    </w:p>
    <w:p w:rsidR="00ED0582" w:rsidRDefault="00ED0582" w:rsidP="00ED0582">
      <w:pPr>
        <w:spacing w:after="0" w:line="240" w:lineRule="auto"/>
        <w:rPr>
          <w:rFonts w:ascii="Times New Roman" w:eastAsia="Calibri" w:hAnsi="Times New Roman" w:cs="Times New Roman"/>
          <w:bCs/>
        </w:rPr>
      </w:pPr>
      <w:r>
        <w:rPr>
          <w:rFonts w:ascii="Times New Roman" w:eastAsia="Calibri" w:hAnsi="Times New Roman" w:cs="Times New Roman"/>
          <w:b/>
        </w:rPr>
        <w:t>D</w:t>
      </w:r>
      <w:r w:rsidRPr="00636191">
        <w:rPr>
          <w:rFonts w:ascii="Times New Roman" w:eastAsia="Calibri" w:hAnsi="Times New Roman" w:cs="Times New Roman"/>
          <w:b/>
        </w:rPr>
        <w:t>ažnis nežinomas (negali būti apskaičiuotas pagal turimus duomenis):</w:t>
      </w:r>
      <w:r w:rsidRPr="000F4348">
        <w:rPr>
          <w:rFonts w:ascii="Times New Roman" w:eastAsia="Calibri" w:hAnsi="Times New Roman" w:cs="Times New Roman"/>
          <w:bCs/>
        </w:rPr>
        <w:t xml:space="preserve"> </w:t>
      </w:r>
    </w:p>
    <w:p w:rsidR="00ED0582" w:rsidRDefault="00ED0582" w:rsidP="00ED0582">
      <w:pPr>
        <w:numPr>
          <w:ilvl w:val="0"/>
          <w:numId w:val="2"/>
        </w:numPr>
        <w:spacing w:after="0" w:line="240" w:lineRule="auto"/>
        <w:ind w:left="567" w:hanging="567"/>
        <w:rPr>
          <w:rFonts w:ascii="Times New Roman" w:eastAsia="Calibri" w:hAnsi="Times New Roman" w:cs="Times New Roman"/>
          <w:bCs/>
        </w:rPr>
      </w:pPr>
      <w:r>
        <w:rPr>
          <w:rFonts w:ascii="Times New Roman" w:eastAsia="Calibri" w:hAnsi="Times New Roman" w:cs="Times New Roman"/>
          <w:bCs/>
        </w:rPr>
        <w:t>padidėjusio jautrumo reakcijos, pavyzdžiui: niežėjimas, dilgėlinė, angioneurozinė edema (staigus tinimas) ir anafilaksinės reakcijos;</w:t>
      </w:r>
    </w:p>
    <w:p w:rsidR="00ED0582" w:rsidRDefault="00ED0582" w:rsidP="00ED0582">
      <w:pPr>
        <w:numPr>
          <w:ilvl w:val="0"/>
          <w:numId w:val="3"/>
        </w:numPr>
        <w:spacing w:after="0" w:line="240" w:lineRule="auto"/>
        <w:rPr>
          <w:rFonts w:ascii="Times New Roman" w:eastAsia="Calibri" w:hAnsi="Times New Roman" w:cs="Times New Roman"/>
          <w:bCs/>
        </w:rPr>
      </w:pPr>
      <w:r>
        <w:rPr>
          <w:rFonts w:ascii="Times New Roman" w:eastAsia="Calibri" w:hAnsi="Times New Roman" w:cs="Times New Roman"/>
          <w:bCs/>
        </w:rPr>
        <w:t>hiperaliuminemija (aliuminio perteklius kraujyje);</w:t>
      </w:r>
    </w:p>
    <w:p w:rsidR="00ED0582" w:rsidRDefault="00ED0582" w:rsidP="00ED0582">
      <w:pPr>
        <w:numPr>
          <w:ilvl w:val="0"/>
          <w:numId w:val="3"/>
        </w:numPr>
        <w:spacing w:after="0" w:line="240" w:lineRule="auto"/>
        <w:rPr>
          <w:rFonts w:ascii="Times New Roman" w:eastAsia="Calibri" w:hAnsi="Times New Roman" w:cs="Times New Roman"/>
          <w:bCs/>
        </w:rPr>
      </w:pPr>
      <w:r>
        <w:rPr>
          <w:rFonts w:ascii="Times New Roman" w:eastAsia="Calibri" w:hAnsi="Times New Roman" w:cs="Times New Roman"/>
          <w:bCs/>
        </w:rPr>
        <w:t>hipofosfatemija (fosforo koncentracijos kraujyje sumažėjimas). Dėl to padidėja kaulų rezorbcija, pasireiškia hiperkalciurija (didelis kalcio kiekis šlapime) ir osteomaliacija (kaulų suminkštėjimas);</w:t>
      </w:r>
    </w:p>
    <w:p w:rsidR="00ED0582" w:rsidRDefault="00ED0582" w:rsidP="00ED0582">
      <w:pPr>
        <w:numPr>
          <w:ilvl w:val="0"/>
          <w:numId w:val="3"/>
        </w:numPr>
        <w:spacing w:after="0" w:line="240" w:lineRule="auto"/>
        <w:rPr>
          <w:rFonts w:ascii="Times New Roman" w:eastAsia="Calibri" w:hAnsi="Times New Roman" w:cs="Times New Roman"/>
          <w:bCs/>
        </w:rPr>
      </w:pPr>
      <w:r>
        <w:rPr>
          <w:rFonts w:ascii="Times New Roman" w:eastAsia="Calibri" w:hAnsi="Times New Roman" w:cs="Times New Roman"/>
          <w:bCs/>
        </w:rPr>
        <w:t>pilvo skausmas.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Pranešimas apie šalutinį poveikį</w:t>
      </w:r>
    </w:p>
    <w:p w:rsidR="00ED0582" w:rsidRDefault="00ED0582" w:rsidP="00ED0582">
      <w:pPr>
        <w:spacing w:after="0" w:line="240" w:lineRule="auto"/>
      </w:pPr>
      <w:r>
        <w:rPr>
          <w:rFonts w:ascii="Times New Roman" w:eastAsia="Times New Roman" w:hAnsi="Times New Roman" w:cs="Times New Roman"/>
          <w:bCs/>
        </w:rPr>
        <w:t xml:space="preserve">Jeigu pasireiškė šalutinis poveikis, įskaitant šiame lapelyje nenurodytą, pasakykite gydytojui arba vaistininkui. </w:t>
      </w:r>
      <w:r w:rsidRPr="00BF6FA4">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Pr>
          <w:rFonts w:ascii="Times New Roman" w:eastAsia="Calibri" w:hAnsi="Times New Roman" w:cs="Times New Roman"/>
        </w:rPr>
        <w:t>Pranešdami apie šalutinį poveikį galite mums padėti gauti daugiau informacijos apie šio vaisto saugumą</w:t>
      </w:r>
      <w:r>
        <w:rPr>
          <w:rFonts w:ascii="Times New Roman" w:eastAsia="Times New Roman" w:hAnsi="Times New Roman" w:cs="Times New Roman"/>
          <w:szCs w:val="24"/>
        </w:rPr>
        <w:t>.</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Kaip laikyti Maalox</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ºC temperatūroje.</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Pirmą kartą buteliuką atidarius, geriamąją suspensiją suvartoti per 6 mėnesius.</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Ant buteliuko etiketės ir dėžutės po „EXP“ nurodytam tinkamumo laikui pasibaigus, šio vaisto vartoti negalima. Vaistas tinkamas vartoti iki paskutinės nurodyto mėnesio dienos.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b/>
          <w:bCs/>
        </w:rPr>
        <w:t>Maalox sudėtis</w:t>
      </w:r>
    </w:p>
    <w:p w:rsidR="00ED0582" w:rsidRDefault="00ED0582" w:rsidP="00ED0582">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Veikliosios medžiagos yra magnio hidroksidas ir aliuminio hidroksidas. 1 ml geriamosios suspensijos yra 40 mg magnio hidroksido ir 35 mg aliuminio hidroksido.</w:t>
      </w:r>
    </w:p>
    <w:p w:rsidR="00ED0582" w:rsidRDefault="00ED0582" w:rsidP="00ED0582">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Pagalbinės medžiagos yra koncentruota vandenilio chlorido rūgštis, citrinų rūgštis monohidratas, pipirmėčių eterinis aliejus, manitolis (E421), domifeno bromidas, sacharino natrio druska, skystasis sorbitolis (nesikristalizuojantis) (E420), vandenilio peroksido 30 % tirpalas ir išgrynintas vanduo.</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bCs/>
        </w:rPr>
      </w:pPr>
      <w:r>
        <w:rPr>
          <w:rFonts w:ascii="Times New Roman" w:eastAsia="Calibri" w:hAnsi="Times New Roman" w:cs="Times New Roman"/>
          <w:b/>
          <w:bCs/>
        </w:rPr>
        <w:t>Maalox išvaizda ir kiekis pakuotėje</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Geriamoji suspensija yra pieno pavidalo, baltas, saldaus skonio ir pipirmėčių kvapo skystis, homogeniškas suplakus.</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PET buteliuke, uždarytame polipropileno dangteliu, kuris užsandarintas polietileno plėvele yra 250 ml geriamosios suspensijos.</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Dėžutėje yra 1 buteliukas.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bCs/>
        </w:rPr>
      </w:pPr>
      <w:r>
        <w:rPr>
          <w:rFonts w:ascii="Times New Roman" w:eastAsia="Calibri" w:hAnsi="Times New Roman" w:cs="Times New Roman"/>
          <w:b/>
          <w:bCs/>
        </w:rPr>
        <w:t>Registruotojas ir gamintojas</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rPr>
          <w:rFonts w:ascii="Times New Roman" w:eastAsia="Calibri" w:hAnsi="Times New Roman" w:cs="Times New Roman"/>
          <w:i/>
        </w:rPr>
      </w:pPr>
      <w:r>
        <w:rPr>
          <w:rFonts w:ascii="Times New Roman" w:eastAsia="Calibri" w:hAnsi="Times New Roman" w:cs="Times New Roman"/>
          <w:i/>
        </w:rPr>
        <w:t>Registruotojas</w:t>
      </w:r>
    </w:p>
    <w:p w:rsidR="00ED0582" w:rsidRPr="004D313A" w:rsidRDefault="00ED0582" w:rsidP="00ED0582">
      <w:pPr>
        <w:spacing w:after="0" w:line="240" w:lineRule="auto"/>
        <w:rPr>
          <w:rFonts w:ascii="Times New Roman" w:hAnsi="Times New Roman" w:cs="Times New Roman"/>
        </w:rPr>
      </w:pPr>
      <w:r w:rsidRPr="004D313A">
        <w:rPr>
          <w:rFonts w:ascii="Times New Roman" w:hAnsi="Times New Roman" w:cs="Times New Roman"/>
        </w:rPr>
        <w:t>Opella Healthcare France SAS</w:t>
      </w:r>
    </w:p>
    <w:p w:rsidR="00ED0582" w:rsidRPr="00E626A0" w:rsidRDefault="00ED0582" w:rsidP="00ED0582">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rsidR="00ED0582" w:rsidRPr="004D313A" w:rsidRDefault="00ED0582" w:rsidP="00ED0582">
      <w:pPr>
        <w:spacing w:after="0" w:line="240" w:lineRule="auto"/>
        <w:rPr>
          <w:rFonts w:ascii="Times New Roman" w:hAnsi="Times New Roman" w:cs="Times New Roman"/>
        </w:rPr>
      </w:pPr>
      <w:r w:rsidRPr="00E626A0">
        <w:rPr>
          <w:rFonts w:ascii="Times New Roman" w:hAnsi="Times New Roman" w:cs="Times New Roman"/>
        </w:rPr>
        <w:t>92200 Neuilly-sur-Seine</w:t>
      </w:r>
    </w:p>
    <w:p w:rsidR="00ED0582" w:rsidRPr="004D313A" w:rsidRDefault="00ED0582" w:rsidP="00ED0582">
      <w:pPr>
        <w:spacing w:after="0" w:line="240" w:lineRule="auto"/>
        <w:rPr>
          <w:rFonts w:ascii="Times New Roman" w:hAnsi="Times New Roman" w:cs="Times New Roman"/>
        </w:rPr>
      </w:pPr>
      <w:r w:rsidRPr="004D313A">
        <w:rPr>
          <w:rFonts w:ascii="Times New Roman" w:hAnsi="Times New Roman" w:cs="Times New Roman"/>
        </w:rPr>
        <w:t>Prancūzija</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rPr>
          <w:rFonts w:ascii="Times New Roman" w:eastAsia="Calibri" w:hAnsi="Times New Roman" w:cs="Times New Roman"/>
          <w:i/>
        </w:rPr>
      </w:pPr>
      <w:r>
        <w:rPr>
          <w:rFonts w:ascii="Times New Roman" w:eastAsia="Calibri" w:hAnsi="Times New Roman" w:cs="Times New Roman"/>
          <w:i/>
        </w:rPr>
        <w:t>Gamintojai</w:t>
      </w:r>
    </w:p>
    <w:p w:rsidR="00ED0582" w:rsidRPr="008D160B" w:rsidRDefault="00ED0582" w:rsidP="00ED0582">
      <w:pPr>
        <w:spacing w:after="0"/>
        <w:rPr>
          <w:rFonts w:ascii="Times New Roman" w:eastAsia="Calibri" w:hAnsi="Times New Roman" w:cs="Times New Roman"/>
        </w:rPr>
      </w:pPr>
      <w:r w:rsidRPr="008D160B">
        <w:rPr>
          <w:rStyle w:val="normaltextrun"/>
          <w:rFonts w:ascii="Times New Roman" w:hAnsi="Times New Roman" w:cs="Times New Roman"/>
          <w:shd w:val="clear" w:color="auto" w:fill="FFFFFF"/>
        </w:rPr>
        <w:t>Opella Healthcare Italy S.r.l.</w:t>
      </w:r>
    </w:p>
    <w:p w:rsidR="00ED0582" w:rsidRDefault="00ED0582" w:rsidP="00ED0582">
      <w:pPr>
        <w:spacing w:after="0"/>
        <w:rPr>
          <w:rFonts w:ascii="Times New Roman" w:eastAsia="Calibri" w:hAnsi="Times New Roman" w:cs="Times New Roman"/>
        </w:rPr>
      </w:pPr>
      <w:r>
        <w:rPr>
          <w:rFonts w:ascii="Times New Roman" w:eastAsia="Calibri" w:hAnsi="Times New Roman" w:cs="Times New Roman"/>
        </w:rPr>
        <w:t xml:space="preserve">Viale Europa 11 </w:t>
      </w:r>
    </w:p>
    <w:p w:rsidR="00ED0582" w:rsidRDefault="00ED0582" w:rsidP="00ED0582">
      <w:pPr>
        <w:spacing w:after="0"/>
        <w:rPr>
          <w:rFonts w:ascii="Times New Roman" w:eastAsia="Calibri" w:hAnsi="Times New Roman" w:cs="Times New Roman"/>
        </w:rPr>
      </w:pPr>
      <w:r>
        <w:rPr>
          <w:rFonts w:ascii="Times New Roman" w:eastAsia="Calibri" w:hAnsi="Times New Roman" w:cs="Times New Roman"/>
        </w:rPr>
        <w:t xml:space="preserve">21040 Origgio (VA) </w:t>
      </w:r>
    </w:p>
    <w:p w:rsidR="00ED0582" w:rsidRDefault="00ED0582" w:rsidP="00ED0582">
      <w:pPr>
        <w:spacing w:after="0"/>
        <w:rPr>
          <w:rFonts w:ascii="Times New Roman" w:eastAsia="Calibri" w:hAnsi="Times New Roman" w:cs="Times New Roman"/>
        </w:rPr>
      </w:pPr>
      <w:bookmarkStart w:id="1" w:name="OLE_LINK2"/>
      <w:bookmarkStart w:id="2" w:name="OLE_LINK1"/>
      <w:r>
        <w:rPr>
          <w:rFonts w:ascii="Times New Roman" w:eastAsia="Calibri" w:hAnsi="Times New Roman" w:cs="Times New Roman"/>
        </w:rPr>
        <w:t>Italija</w:t>
      </w:r>
      <w:bookmarkEnd w:id="1"/>
      <w:bookmarkEnd w:id="2"/>
    </w:p>
    <w:p w:rsidR="00ED0582" w:rsidRDefault="00ED0582" w:rsidP="00ED0582">
      <w:pPr>
        <w:spacing w:after="0"/>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 xml:space="preserve"> arba</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A. Nattermann &amp; Cie. GmbH</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Nattermannallee 1</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50829 Cologne</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Vokietija</w:t>
      </w:r>
    </w:p>
    <w:p w:rsidR="00ED0582" w:rsidRDefault="00ED0582" w:rsidP="00ED0582">
      <w:pPr>
        <w:spacing w:after="0" w:line="240" w:lineRule="auto"/>
        <w:rPr>
          <w:rFonts w:ascii="Times New Roman" w:eastAsia="Calibri" w:hAnsi="Times New Roman" w:cs="Times New Roman"/>
        </w:rPr>
      </w:pPr>
    </w:p>
    <w:p w:rsidR="00ED0582" w:rsidRPr="004D313A" w:rsidRDefault="00ED0582" w:rsidP="00ED0582">
      <w:pPr>
        <w:spacing w:after="0" w:line="240" w:lineRule="auto"/>
        <w:rPr>
          <w:rFonts w:ascii="Times New Roman" w:hAnsi="Times New Roman" w:cs="Times New Roman"/>
        </w:rPr>
      </w:pPr>
      <w:r w:rsidRPr="004D313A">
        <w:rPr>
          <w:rFonts w:ascii="Times New Roman" w:hAnsi="Times New Roman" w:cs="Times New Roman"/>
        </w:rPr>
        <w:t>Jeigu apie šį vaistą norite sužinoti daugiau, kreipkitės į vietinį registruotojo atstovą:</w:t>
      </w:r>
    </w:p>
    <w:p w:rsidR="00ED0582" w:rsidRDefault="00ED0582" w:rsidP="00ED0582">
      <w:pPr>
        <w:spacing w:after="0" w:line="240" w:lineRule="auto"/>
        <w:rPr>
          <w:rFonts w:ascii="Times New Roman" w:hAnsi="Times New Roman" w:cs="Times New Roman"/>
        </w:rPr>
      </w:pPr>
    </w:p>
    <w:p w:rsidR="00ED0582" w:rsidRPr="004D313A" w:rsidRDefault="00ED0582" w:rsidP="00ED0582">
      <w:pPr>
        <w:spacing w:after="0" w:line="240" w:lineRule="auto"/>
        <w:rPr>
          <w:rFonts w:ascii="Times New Roman" w:hAnsi="Times New Roman" w:cs="Times New Roman"/>
        </w:rPr>
      </w:pPr>
      <w:r w:rsidRPr="004D313A">
        <w:rPr>
          <w:rFonts w:ascii="Times New Roman" w:hAnsi="Times New Roman" w:cs="Times New Roman"/>
        </w:rPr>
        <w:t>UAB „STADA Baltics“</w:t>
      </w:r>
    </w:p>
    <w:p w:rsidR="00ED0582" w:rsidRPr="004D313A" w:rsidRDefault="00ED0582" w:rsidP="00ED0582">
      <w:pPr>
        <w:spacing w:after="0" w:line="240" w:lineRule="auto"/>
        <w:rPr>
          <w:rFonts w:ascii="Times New Roman" w:hAnsi="Times New Roman" w:cs="Times New Roman"/>
        </w:rPr>
      </w:pPr>
      <w:r w:rsidRPr="004D313A">
        <w:rPr>
          <w:rFonts w:ascii="Times New Roman" w:hAnsi="Times New Roman" w:cs="Times New Roman"/>
        </w:rPr>
        <w:t>A. Goštauto g. 40A</w:t>
      </w:r>
    </w:p>
    <w:p w:rsidR="00ED0582" w:rsidRPr="004D313A" w:rsidRDefault="00ED0582" w:rsidP="00ED0582">
      <w:pPr>
        <w:spacing w:after="0" w:line="240" w:lineRule="auto"/>
        <w:rPr>
          <w:rFonts w:ascii="Times New Roman" w:hAnsi="Times New Roman" w:cs="Times New Roman"/>
        </w:rPr>
      </w:pPr>
      <w:r w:rsidRPr="004D313A">
        <w:rPr>
          <w:rFonts w:ascii="Times New Roman" w:hAnsi="Times New Roman" w:cs="Times New Roman"/>
        </w:rPr>
        <w:t>03163 Vilnius, Lietuva</w:t>
      </w:r>
    </w:p>
    <w:p w:rsidR="00ED0582" w:rsidRPr="004D313A" w:rsidRDefault="00ED0582" w:rsidP="00ED0582">
      <w:pPr>
        <w:spacing w:after="0" w:line="240" w:lineRule="auto"/>
        <w:rPr>
          <w:rFonts w:ascii="Times New Roman" w:hAnsi="Times New Roman" w:cs="Times New Roman"/>
        </w:rPr>
      </w:pPr>
      <w:r w:rsidRPr="004D313A">
        <w:rPr>
          <w:rFonts w:ascii="Times New Roman" w:hAnsi="Times New Roman" w:cs="Times New Roman"/>
        </w:rPr>
        <w:t>Tel. +370 52603926</w:t>
      </w:r>
    </w:p>
    <w:p w:rsidR="00ED0582" w:rsidRDefault="00ED0582" w:rsidP="00ED0582">
      <w:pPr>
        <w:spacing w:after="0" w:line="240" w:lineRule="auto"/>
        <w:rPr>
          <w:rFonts w:ascii="Times New Roman" w:eastAsia="Calibri" w:hAnsi="Times New Roman" w:cs="Times New Roman"/>
        </w:rPr>
      </w:pPr>
      <w:r>
        <w:rPr>
          <w:rFonts w:ascii="Times New Roman" w:eastAsia="Calibri" w:hAnsi="Times New Roman" w:cs="Times New Roman"/>
        </w:rPr>
        <w:t>stada.baltics@stada.com</w:t>
      </w: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rPr>
      </w:pPr>
    </w:p>
    <w:p w:rsidR="00ED0582" w:rsidRDefault="00ED0582" w:rsidP="00ED0582">
      <w:pPr>
        <w:spacing w:after="0" w:line="240" w:lineRule="auto"/>
        <w:rPr>
          <w:rFonts w:ascii="Times New Roman" w:eastAsia="Calibri" w:hAnsi="Times New Roman" w:cs="Times New Roman"/>
          <w:b/>
        </w:rPr>
      </w:pPr>
      <w:r>
        <w:rPr>
          <w:rFonts w:ascii="Times New Roman" w:eastAsia="Calibri" w:hAnsi="Times New Roman" w:cs="Times New Roman"/>
          <w:b/>
          <w:bCs/>
        </w:rPr>
        <w:t>Šis pakuotės lapelis</w:t>
      </w:r>
      <w:r>
        <w:rPr>
          <w:rFonts w:ascii="Times New Roman" w:eastAsia="Calibri" w:hAnsi="Times New Roman" w:cs="Times New Roman"/>
          <w:b/>
        </w:rPr>
        <w:t xml:space="preserve"> paskutinį kartą peržiūrėtas 2023-07-15.</w:t>
      </w:r>
    </w:p>
    <w:p w:rsidR="00ED0582" w:rsidRDefault="00ED0582" w:rsidP="00ED0582">
      <w:pPr>
        <w:spacing w:after="0"/>
        <w:rPr>
          <w:rFonts w:ascii="Times New Roman" w:eastAsia="Calibri" w:hAnsi="Times New Roman" w:cs="Times New Roman"/>
        </w:rPr>
      </w:pPr>
    </w:p>
    <w:p w:rsidR="00ED0582" w:rsidRDefault="00ED0582" w:rsidP="00ED0582">
      <w:pPr>
        <w:spacing w:after="0" w:line="240" w:lineRule="auto"/>
      </w:pPr>
      <w:r>
        <w:rPr>
          <w:rFonts w:ascii="Times New Roman" w:eastAsia="Times New Roman" w:hAnsi="Times New Roman" w:cs="Times New Roman"/>
          <w:szCs w:val="20"/>
        </w:rPr>
        <w:t xml:space="preserve">Išsami informacija apie šį </w:t>
      </w:r>
      <w:r>
        <w:rPr>
          <w:rFonts w:ascii="Times New Roman" w:eastAsia="Times New Roman" w:hAnsi="Times New Roman" w:cs="Times New Roman"/>
          <w:szCs w:val="24"/>
        </w:rPr>
        <w:t>vaistą</w:t>
      </w:r>
      <w:r>
        <w:rPr>
          <w:rFonts w:ascii="Times New Roman" w:eastAsia="Times New Roman" w:hAnsi="Times New Roman" w:cs="Times New Roman"/>
          <w:szCs w:val="20"/>
        </w:rPr>
        <w:t xml:space="preserve">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5">
        <w:r>
          <w:rPr>
            <w:rFonts w:ascii="Times New Roman" w:eastAsia="SimSun" w:hAnsi="Times New Roman" w:cs="Times New Roman"/>
            <w:color w:val="0000FF"/>
            <w:szCs w:val="20"/>
            <w:u w:val="single"/>
          </w:rPr>
          <w:t>http://www.vvkt.lt/</w:t>
        </w:r>
      </w:hyperlink>
      <w:r>
        <w:rPr>
          <w:rFonts w:ascii="Times New Roman" w:eastAsia="Times New Roman" w:hAnsi="Times New Roman" w:cs="Times New Roman"/>
          <w:szCs w:val="20"/>
        </w:rPr>
        <w:t>.</w:t>
      </w:r>
    </w:p>
    <w:p w:rsidR="00ED0582" w:rsidRDefault="00ED0582" w:rsidP="00ED0582">
      <w:pPr>
        <w:rPr>
          <w:rFonts w:ascii="Calibri" w:eastAsia="Calibri" w:hAnsi="Calibri" w:cs="Times New Roman"/>
        </w:rPr>
      </w:pPr>
    </w:p>
    <w:p w:rsidR="00ED0582" w:rsidRDefault="00ED0582" w:rsidP="00ED0582">
      <w:pPr>
        <w:spacing w:after="0" w:line="240" w:lineRule="auto"/>
      </w:pPr>
    </w:p>
    <w:p w:rsidR="009041DB" w:rsidRDefault="009041DB">
      <w:bookmarkStart w:id="3" w:name="_GoBack"/>
      <w:bookmarkEnd w:id="3"/>
    </w:p>
    <w:sectPr w:rsidR="009041DB">
      <w:headerReference w:type="default" r:id="rId6"/>
      <w:footerReference w:type="default" r:id="rId7"/>
      <w:pgSz w:w="11906" w:h="16838"/>
      <w:pgMar w:top="1134" w:right="1418" w:bottom="1134" w:left="1418" w:header="0" w:footer="567"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AF" w:rsidRDefault="00ED0582">
    <w:pPr>
      <w:pStyle w:val="Porat"/>
    </w:pPr>
    <w:r>
      <w:rPr>
        <w:noProof/>
        <w:lang w:eastAsia="lt-LT"/>
      </w:rPr>
      <mc:AlternateContent>
        <mc:Choice Requires="wps">
          <w:drawing>
            <wp:anchor distT="0" distB="0" distL="0" distR="0" simplePos="0" relativeHeight="251659264" behindDoc="0" locked="0" layoutInCell="1" allowOverlap="1" wp14:anchorId="3314D5EB" wp14:editId="415F592F">
              <wp:simplePos x="0" y="0"/>
              <wp:positionH relativeFrom="margin">
                <wp:align>center</wp:align>
              </wp:positionH>
              <wp:positionV relativeFrom="paragraph">
                <wp:posOffset>635</wp:posOffset>
              </wp:positionV>
              <wp:extent cx="127635" cy="14668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566FAF" w:rsidRDefault="00ED0582">
                          <w:pPr>
                            <w:pStyle w:val="Porat"/>
                          </w:pPr>
                          <w:r>
                            <w:rPr>
                              <w:rStyle w:val="Puslapionumeris"/>
                              <w:rFonts w:ascii="Times New Roman" w:hAnsi="Times New Roman" w:cs="Times New Roman"/>
                              <w:sz w:val="20"/>
                              <w:szCs w:val="20"/>
                            </w:rPr>
                            <w:fldChar w:fldCharType="begin"/>
                          </w:r>
                          <w:r>
                            <w:rPr>
                              <w:rStyle w:val="Puslapionumeris"/>
                              <w:rFonts w:ascii="Times New Roman" w:hAnsi="Times New Roman" w:cs="Times New Roman"/>
                              <w:sz w:val="20"/>
                              <w:szCs w:val="20"/>
                            </w:rPr>
                            <w:instrText>PAGE</w:instrText>
                          </w:r>
                          <w:r>
                            <w:rPr>
                              <w:rStyle w:val="Puslapionumeris"/>
                              <w:rFonts w:ascii="Times New Roman" w:hAnsi="Times New Roman" w:cs="Times New Roman"/>
                              <w:sz w:val="20"/>
                              <w:szCs w:val="20"/>
                            </w:rPr>
                            <w:fldChar w:fldCharType="separate"/>
                          </w:r>
                          <w:r>
                            <w:rPr>
                              <w:rStyle w:val="Puslapionumeris"/>
                              <w:rFonts w:ascii="Times New Roman" w:hAnsi="Times New Roman" w:cs="Times New Roman"/>
                              <w:noProof/>
                              <w:sz w:val="20"/>
                              <w:szCs w:val="20"/>
                            </w:rPr>
                            <w:t>5</w:t>
                          </w:r>
                          <w:r>
                            <w:rPr>
                              <w:rStyle w:val="Puslapionumeris"/>
                              <w:rFonts w:ascii="Times New Roman" w:hAnsi="Times New Roman" w:cs="Times New Roman"/>
                              <w:sz w:val="20"/>
                              <w:szCs w:val="20"/>
                            </w:rPr>
                            <w:fldChar w:fldCharType="end"/>
                          </w:r>
                        </w:p>
                      </w:txbxContent>
                    </wps:txbx>
                    <wps:bodyPr lIns="0" tIns="0" rIns="0" bIns="0" anchor="t">
                      <a:spAutoFit/>
                    </wps:bodyPr>
                  </wps:wsp>
                </a:graphicData>
              </a:graphic>
            </wp:anchor>
          </w:drawing>
        </mc:Choice>
        <mc:Fallback>
          <w:pict>
            <v:shapetype w14:anchorId="3314D5EB" id="_x0000_t202" coordsize="21600,21600" o:spt="202" path="m,l,21600r21600,l21600,xe">
              <v:stroke joinstyle="miter"/>
              <v:path gradientshapeok="t" o:connecttype="rect"/>
            </v:shapetype>
            <v:shape id="Kadras1" o:spid="_x0000_s1026" type="#_x0000_t202" style="position:absolute;margin-left:0;margin-top:.05pt;width:10.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" stroked="f">
              <v:fill opacity="0"/>
              <v:textbox style="mso-fit-shape-to-text:t" inset="0,0,0,0">
                <w:txbxContent>
                  <w:p w:rsidR="00566FAF" w:rsidRDefault="00ED0582">
                    <w:pPr>
                      <w:pStyle w:val="Porat"/>
                    </w:pPr>
                    <w:r>
                      <w:rPr>
                        <w:rStyle w:val="Puslapionumeris"/>
                        <w:rFonts w:ascii="Times New Roman" w:hAnsi="Times New Roman" w:cs="Times New Roman"/>
                        <w:sz w:val="20"/>
                        <w:szCs w:val="20"/>
                      </w:rPr>
                      <w:fldChar w:fldCharType="begin"/>
                    </w:r>
                    <w:r>
                      <w:rPr>
                        <w:rStyle w:val="Puslapionumeris"/>
                        <w:rFonts w:ascii="Times New Roman" w:hAnsi="Times New Roman" w:cs="Times New Roman"/>
                        <w:sz w:val="20"/>
                        <w:szCs w:val="20"/>
                      </w:rPr>
                      <w:instrText>PAGE</w:instrText>
                    </w:r>
                    <w:r>
                      <w:rPr>
                        <w:rStyle w:val="Puslapionumeris"/>
                        <w:rFonts w:ascii="Times New Roman" w:hAnsi="Times New Roman" w:cs="Times New Roman"/>
                        <w:sz w:val="20"/>
                        <w:szCs w:val="20"/>
                      </w:rPr>
                      <w:fldChar w:fldCharType="separate"/>
                    </w:r>
                    <w:r>
                      <w:rPr>
                        <w:rStyle w:val="Puslapionumeris"/>
                        <w:rFonts w:ascii="Times New Roman" w:hAnsi="Times New Roman" w:cs="Times New Roman"/>
                        <w:noProof/>
                        <w:sz w:val="20"/>
                        <w:szCs w:val="20"/>
                      </w:rPr>
                      <w:t>5</w:t>
                    </w:r>
                    <w:r>
                      <w:rPr>
                        <w:rStyle w:val="Puslapionumeris"/>
                        <w:rFonts w:ascii="Times New Roman" w:hAnsi="Times New Roman" w:cs="Times New Roman"/>
                        <w:sz w:val="20"/>
                        <w:szCs w:val="20"/>
                      </w:rPr>
                      <w:fldChar w:fldCharType="end"/>
                    </w:r>
                  </w:p>
                </w:txbxContent>
              </v:textbox>
              <w10:wrap type="square" side="largest"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032" w:rsidRDefault="00ED05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895"/>
    <w:multiLevelType w:val="multilevel"/>
    <w:tmpl w:val="32BE12D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367628"/>
    <w:multiLevelType w:val="multilevel"/>
    <w:tmpl w:val="4CBE6C4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9F421DF"/>
    <w:multiLevelType w:val="multilevel"/>
    <w:tmpl w:val="3CCA6A72"/>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EE01C8"/>
    <w:multiLevelType w:val="multilevel"/>
    <w:tmpl w:val="2BACE2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48076AB8"/>
    <w:multiLevelType w:val="multilevel"/>
    <w:tmpl w:val="C2EC7CC8"/>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D894E6A"/>
    <w:multiLevelType w:val="multilevel"/>
    <w:tmpl w:val="0FCEC4A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57951F7"/>
    <w:multiLevelType w:val="multilevel"/>
    <w:tmpl w:val="761C8B1A"/>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6930DAF"/>
    <w:multiLevelType w:val="multilevel"/>
    <w:tmpl w:val="498E4774"/>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4DE69EE"/>
    <w:multiLevelType w:val="multilevel"/>
    <w:tmpl w:val="4086A3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2057000"/>
    <w:multiLevelType w:val="multilevel"/>
    <w:tmpl w:val="E8689F9A"/>
    <w:lvl w:ilvl="0">
      <w:start w:val="12"/>
      <w:numFmt w:val="bullet"/>
      <w:lvlText w:val="-"/>
      <w:lvlJc w:val="left"/>
      <w:pPr>
        <w:tabs>
          <w:tab w:val="num" w:pos="462"/>
        </w:tabs>
        <w:ind w:left="462" w:hanging="360"/>
      </w:pPr>
      <w:rPr>
        <w:rFonts w:ascii="Times New Roman" w:hAnsi="Times New Roman" w:cs="Times New Roman" w:hint="default"/>
      </w:rPr>
    </w:lvl>
    <w:lvl w:ilvl="1">
      <w:start w:val="12"/>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8"/>
  </w:num>
  <w:num w:numId="3">
    <w:abstractNumId w:val="7"/>
  </w:num>
  <w:num w:numId="4">
    <w:abstractNumId w:val="1"/>
  </w:num>
  <w:num w:numId="5">
    <w:abstractNumId w:val="2"/>
  </w:num>
  <w:num w:numId="6">
    <w:abstractNumId w:val="0"/>
  </w:num>
  <w:num w:numId="7">
    <w:abstractNumId w:val="4"/>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82"/>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D058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FE5C6-32F7-44A1-9564-CCC930F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0582"/>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qFormat/>
    <w:rsid w:val="00ED0582"/>
  </w:style>
  <w:style w:type="character" w:customStyle="1" w:styleId="AntratsDiagrama">
    <w:name w:val="Antraštės Diagrama"/>
    <w:basedOn w:val="Numatytasispastraiposriftas"/>
    <w:link w:val="Antrats"/>
    <w:uiPriority w:val="99"/>
    <w:qFormat/>
    <w:rsid w:val="00ED0582"/>
  </w:style>
  <w:style w:type="character" w:styleId="Puslapionumeris">
    <w:name w:val="page number"/>
    <w:basedOn w:val="Numatytasispastraiposriftas"/>
    <w:qFormat/>
    <w:rsid w:val="00ED0582"/>
  </w:style>
  <w:style w:type="paragraph" w:styleId="Porat">
    <w:name w:val="footer"/>
    <w:basedOn w:val="prastasis"/>
    <w:link w:val="PoratDiagrama"/>
    <w:uiPriority w:val="99"/>
    <w:unhideWhenUsed/>
    <w:rsid w:val="00ED0582"/>
    <w:pPr>
      <w:tabs>
        <w:tab w:val="center" w:pos="4819"/>
        <w:tab w:val="right" w:pos="9638"/>
      </w:tabs>
      <w:spacing w:after="0" w:line="240" w:lineRule="auto"/>
    </w:pPr>
    <w:rPr>
      <w:rFonts w:eastAsia="Times New Roman"/>
    </w:rPr>
  </w:style>
  <w:style w:type="character" w:customStyle="1" w:styleId="PoratDiagrama1">
    <w:name w:val="Poraštė Diagrama1"/>
    <w:basedOn w:val="Numatytasispastraiposriftas"/>
    <w:uiPriority w:val="99"/>
    <w:semiHidden/>
    <w:rsid w:val="00ED0582"/>
    <w:rPr>
      <w:rFonts w:eastAsiaTheme="minorHAnsi"/>
    </w:rPr>
  </w:style>
  <w:style w:type="paragraph" w:styleId="Antrats">
    <w:name w:val="header"/>
    <w:basedOn w:val="prastasis"/>
    <w:link w:val="AntratsDiagrama"/>
    <w:uiPriority w:val="99"/>
    <w:unhideWhenUsed/>
    <w:rsid w:val="00ED0582"/>
    <w:pPr>
      <w:tabs>
        <w:tab w:val="center" w:pos="4819"/>
        <w:tab w:val="right" w:pos="9638"/>
      </w:tabs>
      <w:spacing w:after="0" w:line="240" w:lineRule="auto"/>
    </w:pPr>
    <w:rPr>
      <w:rFonts w:eastAsia="Times New Roman"/>
    </w:rPr>
  </w:style>
  <w:style w:type="character" w:customStyle="1" w:styleId="AntratsDiagrama1">
    <w:name w:val="Antraštės Diagrama1"/>
    <w:basedOn w:val="Numatytasispastraiposriftas"/>
    <w:uiPriority w:val="99"/>
    <w:semiHidden/>
    <w:rsid w:val="00ED0582"/>
    <w:rPr>
      <w:rFonts w:eastAsiaTheme="minorHAnsi"/>
    </w:rPr>
  </w:style>
  <w:style w:type="character" w:customStyle="1" w:styleId="normaltextrun">
    <w:name w:val="normaltextrun"/>
    <w:basedOn w:val="Numatytasispastraiposriftas"/>
    <w:rsid w:val="00ED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7627</Words>
  <Characters>4348</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2023-09-06T10:50:00Z</dcterms:created>
  <dcterms:modified xsi:type="dcterms:W3CDTF">2023-09-06T10:50:00Z</dcterms:modified>
</cp:coreProperties>
</file>