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B45E"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723F5A6E"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037D1777"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70F9DA1D"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3C3178FB"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50FB0522"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4900BBEC"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3C362D05"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0569DBF5"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4927EFE3"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1C2AC5E9"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2FF74B72"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3D16190D"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13CBC9E3"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0C0CCBDB"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61F5417C"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18DE2357"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1CFE8CA9"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6C66F0E1"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4433DE80"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14EBAA98"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2FFC57BF"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7EBEFBA5" w14:textId="77777777" w:rsidR="00794F42" w:rsidRPr="00794F42" w:rsidRDefault="00794F42" w:rsidP="00794F42">
      <w:pPr>
        <w:tabs>
          <w:tab w:val="left" w:pos="567"/>
        </w:tabs>
        <w:spacing w:after="0" w:line="260" w:lineRule="exact"/>
        <w:outlineLvl w:val="0"/>
        <w:rPr>
          <w:rFonts w:ascii="Times New Roman" w:eastAsia="Times New Roman" w:hAnsi="Times New Roman" w:cs="Times New Roman"/>
          <w:snapToGrid w:val="0"/>
          <w:kern w:val="0"/>
          <w14:ligatures w14:val="none"/>
        </w:rPr>
      </w:pPr>
    </w:p>
    <w:p w14:paraId="7FC8F128" w14:textId="77777777" w:rsidR="00794F42" w:rsidRPr="00794F42" w:rsidRDefault="00794F42" w:rsidP="00794F42">
      <w:pPr>
        <w:tabs>
          <w:tab w:val="left" w:pos="567"/>
        </w:tabs>
        <w:spacing w:after="0" w:line="260" w:lineRule="exact"/>
        <w:jc w:val="center"/>
        <w:outlineLvl w:val="0"/>
        <w:rPr>
          <w:rFonts w:ascii="Times New Roman" w:eastAsia="Times New Roman" w:hAnsi="Times New Roman" w:cs="Times New Roman"/>
          <w:b/>
          <w:snapToGrid w:val="0"/>
          <w:kern w:val="0"/>
          <w14:ligatures w14:val="none"/>
        </w:rPr>
      </w:pPr>
      <w:r w:rsidRPr="00794F42">
        <w:rPr>
          <w:rFonts w:ascii="Times New Roman" w:eastAsia="Times New Roman" w:hAnsi="Times New Roman" w:cs="Times New Roman"/>
          <w:b/>
          <w:snapToGrid w:val="0"/>
          <w:kern w:val="0"/>
          <w14:ligatures w14:val="none"/>
        </w:rPr>
        <w:t>B. PAKUOTĖS LAPELIS</w:t>
      </w:r>
    </w:p>
    <w:p w14:paraId="5AD8946D" w14:textId="77777777" w:rsidR="00794F42" w:rsidRPr="00794F42" w:rsidRDefault="00794F42" w:rsidP="00794F42">
      <w:pPr>
        <w:keepNext/>
        <w:tabs>
          <w:tab w:val="left" w:pos="567"/>
        </w:tabs>
        <w:spacing w:after="0" w:line="240" w:lineRule="auto"/>
        <w:jc w:val="center"/>
        <w:outlineLvl w:val="1"/>
        <w:rPr>
          <w:rFonts w:ascii="Times New Roman" w:eastAsia="Times New Roman" w:hAnsi="Times New Roman" w:cs="Times New Roman"/>
          <w:b/>
          <w:snapToGrid w:val="0"/>
          <w:kern w:val="0"/>
          <w:lang w:eastAsia="x-none"/>
          <w14:ligatures w14:val="none"/>
        </w:rPr>
      </w:pPr>
      <w:r w:rsidRPr="00794F42">
        <w:rPr>
          <w:rFonts w:ascii="Times New Roman" w:eastAsia="Times New Roman" w:hAnsi="Times New Roman" w:cs="Times New Roman"/>
          <w:b/>
          <w:bCs/>
          <w:iCs/>
          <w:snapToGrid w:val="0"/>
          <w:kern w:val="0"/>
          <w:lang w:eastAsia="x-none"/>
          <w14:ligatures w14:val="none"/>
        </w:rPr>
        <w:br w:type="page"/>
      </w:r>
      <w:r w:rsidRPr="00794F42">
        <w:rPr>
          <w:rFonts w:ascii="Times New Roman" w:eastAsia="Times New Roman" w:hAnsi="Times New Roman" w:cs="Times New Roman"/>
          <w:b/>
          <w:bCs/>
          <w:iCs/>
          <w:snapToGrid w:val="0"/>
          <w:kern w:val="0"/>
          <w:lang w:eastAsia="x-none"/>
          <w14:ligatures w14:val="none"/>
        </w:rPr>
        <w:lastRenderedPageBreak/>
        <w:t>Pakuotės lapelis:</w:t>
      </w:r>
      <w:r w:rsidRPr="00794F42">
        <w:rPr>
          <w:rFonts w:ascii="Times New Roman" w:eastAsia="Times New Roman" w:hAnsi="Times New Roman" w:cs="Times New Roman"/>
          <w:b/>
          <w:snapToGrid w:val="0"/>
          <w:kern w:val="0"/>
          <w:lang w:eastAsia="x-none"/>
          <w14:ligatures w14:val="none"/>
        </w:rPr>
        <w:t xml:space="preserve"> </w:t>
      </w:r>
      <w:r w:rsidRPr="00794F42">
        <w:rPr>
          <w:rFonts w:ascii="Times New Roman" w:eastAsia="Times New Roman" w:hAnsi="Times New Roman" w:cs="Times New Roman"/>
          <w:b/>
          <w:bCs/>
          <w:iCs/>
          <w:snapToGrid w:val="0"/>
          <w:kern w:val="0"/>
          <w:lang w:eastAsia="x-none"/>
          <w14:ligatures w14:val="none"/>
        </w:rPr>
        <w:t>informacija vartotojui</w:t>
      </w:r>
    </w:p>
    <w:p w14:paraId="41C2EE0B" w14:textId="77777777" w:rsidR="00794F42" w:rsidRPr="00794F42" w:rsidRDefault="00794F42" w:rsidP="00794F42">
      <w:pPr>
        <w:numPr>
          <w:ilvl w:val="12"/>
          <w:numId w:val="0"/>
        </w:numPr>
        <w:shd w:val="clear" w:color="auto" w:fill="FFFFFF"/>
        <w:spacing w:after="0" w:line="240" w:lineRule="auto"/>
        <w:jc w:val="center"/>
        <w:rPr>
          <w:rFonts w:ascii="Times New Roman" w:eastAsia="Times New Roman" w:hAnsi="Times New Roman" w:cs="Times New Roman"/>
          <w:snapToGrid w:val="0"/>
          <w:kern w:val="0"/>
          <w14:ligatures w14:val="none"/>
        </w:rPr>
      </w:pPr>
    </w:p>
    <w:p w14:paraId="6E32EAAB" w14:textId="59936B08" w:rsidR="00794F42" w:rsidRPr="00794F42" w:rsidRDefault="00A250D7" w:rsidP="00794F42">
      <w:pPr>
        <w:suppressAutoHyphens/>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Supofen</w:t>
      </w:r>
      <w:r w:rsidR="00794F42" w:rsidRPr="00794F42">
        <w:rPr>
          <w:rFonts w:ascii="Times New Roman" w:eastAsia="Times New Roman" w:hAnsi="Times New Roman" w:cs="Times New Roman"/>
          <w:b/>
          <w:bCs/>
          <w:kern w:val="0"/>
          <w14:ligatures w14:val="none"/>
        </w:rPr>
        <w:t xml:space="preserve"> 10 mg/ml infuzinis tirpalas</w:t>
      </w:r>
    </w:p>
    <w:p w14:paraId="326197AF" w14:textId="77777777" w:rsidR="00794F42" w:rsidRPr="00794F42" w:rsidRDefault="00794F42" w:rsidP="00794F42">
      <w:pPr>
        <w:numPr>
          <w:ilvl w:val="12"/>
          <w:numId w:val="0"/>
        </w:numPr>
        <w:spacing w:after="0" w:line="240" w:lineRule="auto"/>
        <w:jc w:val="center"/>
        <w:rPr>
          <w:rFonts w:ascii="Times New Roman" w:eastAsia="Times New Roman" w:hAnsi="Times New Roman" w:cs="Times New Roman"/>
          <w:snapToGrid w:val="0"/>
          <w:kern w:val="0"/>
          <w14:ligatures w14:val="none"/>
        </w:rPr>
      </w:pPr>
      <w:r w:rsidRPr="00794F42">
        <w:rPr>
          <w:rFonts w:ascii="Times New Roman" w:eastAsia="Times New Roman" w:hAnsi="Times New Roman" w:cs="Times New Roman"/>
          <w:kern w:val="0"/>
          <w14:ligatures w14:val="none"/>
        </w:rPr>
        <w:t>paracetamolis</w:t>
      </w:r>
    </w:p>
    <w:p w14:paraId="6504EE43" w14:textId="77777777" w:rsidR="00794F42" w:rsidRPr="00794F42" w:rsidRDefault="00794F42" w:rsidP="00794F42">
      <w:pPr>
        <w:spacing w:after="0" w:line="240" w:lineRule="auto"/>
        <w:rPr>
          <w:rFonts w:ascii="Times New Roman" w:eastAsia="Times New Roman" w:hAnsi="Times New Roman" w:cs="Times New Roman"/>
          <w:snapToGrid w:val="0"/>
          <w:color w:val="008000"/>
          <w:kern w:val="0"/>
          <w14:ligatures w14:val="none"/>
        </w:rPr>
      </w:pPr>
    </w:p>
    <w:p w14:paraId="09356A71" w14:textId="77777777" w:rsidR="00794F42" w:rsidRPr="00794F42" w:rsidRDefault="00794F42" w:rsidP="00794F42">
      <w:pPr>
        <w:spacing w:after="0" w:line="240" w:lineRule="auto"/>
        <w:ind w:right="-2"/>
        <w:rPr>
          <w:rFonts w:ascii="Times New Roman" w:eastAsia="Times New Roman" w:hAnsi="Times New Roman" w:cs="Times New Roman"/>
          <w:kern w:val="0"/>
          <w14:ligatures w14:val="none"/>
        </w:rPr>
      </w:pPr>
      <w:r w:rsidRPr="00794F42">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61412C51" w14:textId="77777777" w:rsidR="00794F42" w:rsidRPr="00794F42" w:rsidRDefault="00794F42" w:rsidP="00794F42">
      <w:pPr>
        <w:numPr>
          <w:ilvl w:val="0"/>
          <w:numId w:val="1"/>
        </w:numPr>
        <w:spacing w:after="0" w:line="240" w:lineRule="auto"/>
        <w:ind w:left="567" w:right="-2"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Neišmeskite šio lapelio, nes vėl gali prireikti jį perskaityti.</w:t>
      </w:r>
    </w:p>
    <w:p w14:paraId="1C4E1344" w14:textId="77777777" w:rsidR="00794F42" w:rsidRPr="00794F42" w:rsidRDefault="00794F42" w:rsidP="00794F42">
      <w:pPr>
        <w:numPr>
          <w:ilvl w:val="0"/>
          <w:numId w:val="1"/>
        </w:numPr>
        <w:spacing w:after="0" w:line="240" w:lineRule="auto"/>
        <w:ind w:left="567" w:right="-2"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Jeigu kiltų daugiau klausimų, kreipkitės į gydytoją arba vaistininką. </w:t>
      </w:r>
    </w:p>
    <w:p w14:paraId="7A45EA7F" w14:textId="77777777" w:rsidR="00794F42" w:rsidRPr="00794F42" w:rsidRDefault="00794F42" w:rsidP="00794F42">
      <w:pPr>
        <w:tabs>
          <w:tab w:val="left" w:pos="567"/>
        </w:tabs>
        <w:spacing w:after="0" w:line="240" w:lineRule="auto"/>
        <w:ind w:left="567" w:right="-2"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w:t>
      </w:r>
      <w:r w:rsidRPr="00794F42">
        <w:rPr>
          <w:rFonts w:ascii="Times New Roman" w:eastAsia="Times New Roman" w:hAnsi="Times New Roman" w:cs="Times New Roman"/>
          <w:kern w:val="0"/>
          <w14:ligatures w14:val="none"/>
        </w:rPr>
        <w:tab/>
        <w:t>Šis vaistas skirtas tik Jums, todėl kitiems žmonėms jo duoti negalima. Vaistas gali jiems pakenkti (net tiems, kurių ligos požymiai yra tokie patys kaip Jūsų).</w:t>
      </w:r>
    </w:p>
    <w:p w14:paraId="6741FF53" w14:textId="77777777" w:rsidR="00794F42" w:rsidRPr="00794F42" w:rsidRDefault="00794F42" w:rsidP="00794F42">
      <w:pPr>
        <w:tabs>
          <w:tab w:val="left" w:pos="567"/>
        </w:tabs>
        <w:spacing w:after="0" w:line="240" w:lineRule="auto"/>
        <w:ind w:left="567" w:right="-2"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w:t>
      </w:r>
      <w:r w:rsidRPr="00794F42">
        <w:rPr>
          <w:rFonts w:ascii="Times New Roman" w:eastAsia="Times New Roman" w:hAnsi="Times New Roman" w:cs="Times New Roman"/>
          <w:kern w:val="0"/>
          <w14:ligatures w14:val="none"/>
        </w:rPr>
        <w:tab/>
        <w:t>Jeigu pasireiškė šalutinis poveikis (net jeigu jis šiame lapelyje nenurodytas), kreipkitės į gydytoją arba vaistininką. Žr. 4 skyrių.</w:t>
      </w:r>
    </w:p>
    <w:p w14:paraId="69ECF049" w14:textId="77777777" w:rsidR="00794F42" w:rsidRPr="00794F42" w:rsidRDefault="00794F42" w:rsidP="00794F42">
      <w:pPr>
        <w:spacing w:after="0" w:line="240" w:lineRule="auto"/>
        <w:ind w:right="-2"/>
        <w:rPr>
          <w:rFonts w:ascii="Times New Roman" w:eastAsia="Times New Roman" w:hAnsi="Times New Roman" w:cs="Times New Roman"/>
          <w:snapToGrid w:val="0"/>
          <w:kern w:val="0"/>
          <w14:ligatures w14:val="none"/>
        </w:rPr>
      </w:pPr>
    </w:p>
    <w:p w14:paraId="41CB1841" w14:textId="77777777"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Apie ką rašoma šiame lapelyje?</w:t>
      </w:r>
    </w:p>
    <w:p w14:paraId="276E597F" w14:textId="77777777" w:rsidR="00794F42" w:rsidRPr="00794F42" w:rsidRDefault="00794F42" w:rsidP="00794F42">
      <w:pPr>
        <w:numPr>
          <w:ilvl w:val="12"/>
          <w:numId w:val="0"/>
        </w:numPr>
        <w:spacing w:after="0" w:line="240" w:lineRule="auto"/>
        <w:ind w:left="284" w:right="-2"/>
        <w:rPr>
          <w:rFonts w:ascii="Times New Roman" w:eastAsia="Times New Roman" w:hAnsi="Times New Roman" w:cs="Times New Roman"/>
          <w:snapToGrid w:val="0"/>
          <w:kern w:val="0"/>
          <w14:ligatures w14:val="none"/>
        </w:rPr>
      </w:pPr>
    </w:p>
    <w:p w14:paraId="4F6C157B" w14:textId="06146131" w:rsidR="00794F42" w:rsidRPr="00794F42" w:rsidRDefault="00794F42" w:rsidP="00794F42">
      <w:pPr>
        <w:suppressAutoHyphens/>
        <w:spacing w:after="0" w:line="240" w:lineRule="auto"/>
        <w:ind w:left="567"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1.</w:t>
      </w:r>
      <w:r w:rsidRPr="00794F42">
        <w:rPr>
          <w:rFonts w:ascii="Times New Roman" w:eastAsia="Times New Roman" w:hAnsi="Times New Roman" w:cs="Times New Roman"/>
          <w:kern w:val="0"/>
          <w14:ligatures w14:val="none"/>
        </w:rPr>
        <w:tab/>
        <w:t xml:space="preserve">Kas yra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xml:space="preserve"> ir kam jis vartojamas</w:t>
      </w:r>
    </w:p>
    <w:p w14:paraId="0081004E" w14:textId="198515A7" w:rsidR="00794F42" w:rsidRPr="00794F42" w:rsidRDefault="00794F42" w:rsidP="00794F42">
      <w:pPr>
        <w:suppressAutoHyphens/>
        <w:spacing w:after="0" w:line="240" w:lineRule="auto"/>
        <w:ind w:left="567"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2.</w:t>
      </w:r>
      <w:r w:rsidRPr="00794F42">
        <w:rPr>
          <w:rFonts w:ascii="Times New Roman" w:eastAsia="Times New Roman" w:hAnsi="Times New Roman" w:cs="Times New Roman"/>
          <w:kern w:val="0"/>
          <w14:ligatures w14:val="none"/>
        </w:rPr>
        <w:tab/>
        <w:t xml:space="preserve">Kas žinotina prieš vartojant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xml:space="preserve"> </w:t>
      </w:r>
    </w:p>
    <w:p w14:paraId="6FF56409" w14:textId="06D18713" w:rsidR="00794F42" w:rsidRPr="00794F42" w:rsidRDefault="00794F42" w:rsidP="00794F42">
      <w:pPr>
        <w:suppressAutoHyphens/>
        <w:spacing w:after="0" w:line="240" w:lineRule="auto"/>
        <w:ind w:left="567"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3.</w:t>
      </w:r>
      <w:r w:rsidRPr="00794F42">
        <w:rPr>
          <w:rFonts w:ascii="Times New Roman" w:eastAsia="Times New Roman" w:hAnsi="Times New Roman" w:cs="Times New Roman"/>
          <w:kern w:val="0"/>
          <w14:ligatures w14:val="none"/>
        </w:rPr>
        <w:tab/>
        <w:t xml:space="preserve">Kaip vartoti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xml:space="preserve"> </w:t>
      </w:r>
    </w:p>
    <w:p w14:paraId="340B93D9" w14:textId="77777777" w:rsidR="00794F42" w:rsidRPr="00794F42" w:rsidRDefault="00794F42" w:rsidP="00794F42">
      <w:pPr>
        <w:suppressAutoHyphens/>
        <w:spacing w:after="0" w:line="240" w:lineRule="auto"/>
        <w:ind w:left="567"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4.</w:t>
      </w:r>
      <w:r w:rsidRPr="00794F42">
        <w:rPr>
          <w:rFonts w:ascii="Times New Roman" w:eastAsia="Times New Roman" w:hAnsi="Times New Roman" w:cs="Times New Roman"/>
          <w:kern w:val="0"/>
          <w14:ligatures w14:val="none"/>
        </w:rPr>
        <w:tab/>
        <w:t>Galimas šalutinis poveikis</w:t>
      </w:r>
    </w:p>
    <w:p w14:paraId="3B33C479" w14:textId="018F233C" w:rsidR="00794F42" w:rsidRPr="00794F42" w:rsidRDefault="00794F42" w:rsidP="00794F42">
      <w:pPr>
        <w:suppressAutoHyphens/>
        <w:spacing w:after="0" w:line="240" w:lineRule="auto"/>
        <w:ind w:left="567"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5.</w:t>
      </w:r>
      <w:r w:rsidRPr="00794F42">
        <w:rPr>
          <w:rFonts w:ascii="Times New Roman" w:eastAsia="Times New Roman" w:hAnsi="Times New Roman" w:cs="Times New Roman"/>
          <w:kern w:val="0"/>
          <w14:ligatures w14:val="none"/>
        </w:rPr>
        <w:tab/>
        <w:t xml:space="preserve">Kaip laikyti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xml:space="preserve"> </w:t>
      </w:r>
    </w:p>
    <w:p w14:paraId="4C052B3A" w14:textId="77777777" w:rsidR="00794F42" w:rsidRPr="00794F42" w:rsidRDefault="00794F42" w:rsidP="00794F42">
      <w:pPr>
        <w:suppressAutoHyphens/>
        <w:spacing w:after="0" w:line="240" w:lineRule="auto"/>
        <w:ind w:left="567" w:hanging="56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6.</w:t>
      </w:r>
      <w:r w:rsidRPr="00794F42">
        <w:rPr>
          <w:rFonts w:ascii="Times New Roman" w:eastAsia="Times New Roman" w:hAnsi="Times New Roman" w:cs="Times New Roman"/>
          <w:kern w:val="0"/>
          <w14:ligatures w14:val="none"/>
        </w:rPr>
        <w:tab/>
        <w:t>Pakuotės turinys ir kita informacija</w:t>
      </w:r>
    </w:p>
    <w:p w14:paraId="7D581EAB"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89D74B7"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B936E38" w14:textId="2DC5B39D"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1.</w:t>
      </w:r>
      <w:r w:rsidRPr="00794F42">
        <w:rPr>
          <w:rFonts w:ascii="Times New Roman" w:eastAsia="Times New Roman" w:hAnsi="Times New Roman" w:cs="Times New Roman"/>
          <w:b/>
          <w:bCs/>
          <w:snapToGrid w:val="0"/>
          <w:kern w:val="0"/>
          <w:lang w:eastAsia="x-none"/>
          <w14:ligatures w14:val="none"/>
        </w:rPr>
        <w:tab/>
      </w:r>
      <w:r w:rsidRPr="00794F42">
        <w:rPr>
          <w:rFonts w:ascii="Times New Roman" w:eastAsia="Times New Roman" w:hAnsi="Times New Roman" w:cs="Times New Roman"/>
          <w:b/>
          <w:kern w:val="0"/>
          <w14:ligatures w14:val="none"/>
        </w:rPr>
        <w:t xml:space="preserve">Kas yra </w:t>
      </w:r>
      <w:r w:rsidR="00A250D7">
        <w:rPr>
          <w:rFonts w:ascii="Times New Roman" w:eastAsia="Times New Roman" w:hAnsi="Times New Roman" w:cs="Times New Roman"/>
          <w:b/>
          <w:kern w:val="0"/>
          <w14:ligatures w14:val="none"/>
        </w:rPr>
        <w:t>Supofen</w:t>
      </w:r>
      <w:r w:rsidRPr="00794F42">
        <w:rPr>
          <w:rFonts w:ascii="Times New Roman" w:eastAsia="Times New Roman" w:hAnsi="Times New Roman" w:cs="Times New Roman"/>
          <w:b/>
          <w:kern w:val="0"/>
          <w14:ligatures w14:val="none"/>
        </w:rPr>
        <w:t> ir kam jis vartojamas</w:t>
      </w:r>
    </w:p>
    <w:p w14:paraId="31F816BD"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58D1393" w14:textId="77777777" w:rsidR="00794F42" w:rsidRPr="00794F42" w:rsidRDefault="00794F42" w:rsidP="00794F42">
      <w:pPr>
        <w:numPr>
          <w:ilvl w:val="12"/>
          <w:numId w:val="0"/>
        </w:num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Šio vaisto sudėtyje yra veikliosios medžiagos paracetamolio; jis yra analgetikas (malšina skausmą) ir antipiretikas (mažina karščiavimą). </w:t>
      </w:r>
    </w:p>
    <w:p w14:paraId="6034A9BE" w14:textId="77777777" w:rsidR="00794F42" w:rsidRPr="00794F42" w:rsidRDefault="00794F42" w:rsidP="00794F42">
      <w:pPr>
        <w:numPr>
          <w:ilvl w:val="12"/>
          <w:numId w:val="0"/>
        </w:numPr>
        <w:suppressAutoHyphens/>
        <w:spacing w:after="0" w:line="240" w:lineRule="auto"/>
        <w:rPr>
          <w:rFonts w:ascii="Times New Roman" w:eastAsia="Times New Roman" w:hAnsi="Times New Roman" w:cs="Times New Roman"/>
          <w:kern w:val="0"/>
          <w14:ligatures w14:val="none"/>
        </w:rPr>
      </w:pPr>
    </w:p>
    <w:p w14:paraId="5F60D8D4" w14:textId="77777777" w:rsidR="00794F42" w:rsidRPr="00794F42" w:rsidRDefault="00794F42" w:rsidP="00794F42">
      <w:pPr>
        <w:numPr>
          <w:ilvl w:val="12"/>
          <w:numId w:val="0"/>
        </w:num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Jis skirtas trumpalaikiam vidutinio stiprumo skausmo malšinimui, ypač po operacijos, ir trumpalaikiam karščiavimo mažinimui.</w:t>
      </w:r>
    </w:p>
    <w:p w14:paraId="216B320E" w14:textId="77777777" w:rsidR="00794F42" w:rsidRPr="00794F42" w:rsidRDefault="00794F42" w:rsidP="00794F42">
      <w:pPr>
        <w:numPr>
          <w:ilvl w:val="12"/>
          <w:numId w:val="0"/>
        </w:numPr>
        <w:suppressAutoHyphens/>
        <w:spacing w:after="0" w:line="240" w:lineRule="auto"/>
        <w:rPr>
          <w:rFonts w:ascii="Times New Roman" w:eastAsia="Times New Roman" w:hAnsi="Times New Roman" w:cs="Times New Roman"/>
          <w:kern w:val="0"/>
          <w14:ligatures w14:val="none"/>
        </w:rPr>
      </w:pPr>
    </w:p>
    <w:p w14:paraId="286C1249" w14:textId="4C84F665" w:rsidR="00794F42" w:rsidRPr="00794F42" w:rsidRDefault="00A250D7" w:rsidP="00794F42">
      <w:pPr>
        <w:numPr>
          <w:ilvl w:val="12"/>
          <w:numId w:val="0"/>
        </w:numPr>
        <w:suppressAutoHyphen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skirtas vartoti tik suaugusiesiems, paaugliams ir vaikams, sveriantiems daugiau kaip 33 kg.</w:t>
      </w:r>
    </w:p>
    <w:p w14:paraId="55065422" w14:textId="77777777" w:rsidR="00794F42" w:rsidRPr="00794F42" w:rsidRDefault="00794F42" w:rsidP="00794F42">
      <w:pPr>
        <w:spacing w:after="0" w:line="240" w:lineRule="auto"/>
        <w:ind w:right="-2"/>
        <w:rPr>
          <w:rFonts w:ascii="Times New Roman" w:eastAsia="Times New Roman" w:hAnsi="Times New Roman" w:cs="Times New Roman"/>
          <w:snapToGrid w:val="0"/>
          <w:kern w:val="0"/>
          <w14:ligatures w14:val="none"/>
        </w:rPr>
      </w:pPr>
    </w:p>
    <w:p w14:paraId="6ED67F7B"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5E57770" w14:textId="669C83B6"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2.</w:t>
      </w:r>
      <w:r w:rsidRPr="00794F42">
        <w:rPr>
          <w:rFonts w:ascii="Times New Roman" w:eastAsia="Times New Roman" w:hAnsi="Times New Roman" w:cs="Times New Roman"/>
          <w:b/>
          <w:bCs/>
          <w:snapToGrid w:val="0"/>
          <w:kern w:val="0"/>
          <w:lang w:eastAsia="x-none"/>
          <w14:ligatures w14:val="none"/>
        </w:rPr>
        <w:tab/>
      </w:r>
      <w:r w:rsidRPr="00794F42">
        <w:rPr>
          <w:rFonts w:ascii="Times New Roman" w:eastAsia="Times New Roman" w:hAnsi="Times New Roman" w:cs="Times New Roman"/>
          <w:b/>
          <w:kern w:val="0"/>
          <w14:ligatures w14:val="none"/>
        </w:rPr>
        <w:t xml:space="preserve">Kas žinotina prieš vartojant </w:t>
      </w:r>
      <w:r w:rsidR="00A250D7">
        <w:rPr>
          <w:rFonts w:ascii="Times New Roman" w:eastAsia="Times New Roman" w:hAnsi="Times New Roman" w:cs="Times New Roman"/>
          <w:b/>
          <w:kern w:val="0"/>
          <w14:ligatures w14:val="none"/>
        </w:rPr>
        <w:t>Supofen</w:t>
      </w:r>
      <w:r w:rsidRPr="00794F42">
        <w:rPr>
          <w:rFonts w:ascii="Times New Roman" w:eastAsia="Times New Roman" w:hAnsi="Times New Roman" w:cs="Times New Roman"/>
          <w:b/>
          <w:kern w:val="0"/>
          <w14:ligatures w14:val="none"/>
        </w:rPr>
        <w:t xml:space="preserve"> </w:t>
      </w:r>
    </w:p>
    <w:p w14:paraId="3F23D0F0"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C136B71" w14:textId="498B1492" w:rsidR="00794F42" w:rsidRPr="00794F42" w:rsidRDefault="00A250D7"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Pr>
          <w:rFonts w:ascii="Times New Roman" w:eastAsia="Times New Roman" w:hAnsi="Times New Roman" w:cs="Times New Roman"/>
          <w:b/>
          <w:kern w:val="0"/>
          <w14:ligatures w14:val="none"/>
        </w:rPr>
        <w:t>Supofen</w:t>
      </w:r>
      <w:r w:rsidR="00794F42" w:rsidRPr="00794F42">
        <w:rPr>
          <w:rFonts w:ascii="Times New Roman" w:eastAsia="Times New Roman" w:hAnsi="Times New Roman" w:cs="Times New Roman"/>
          <w:b/>
          <w:kern w:val="0"/>
          <w14:ligatures w14:val="none"/>
        </w:rPr>
        <w:t xml:space="preserve"> vartoti draudžiama:</w:t>
      </w:r>
    </w:p>
    <w:p w14:paraId="700DA93C" w14:textId="37221F4D" w:rsidR="00794F42" w:rsidRPr="00794F42"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jeigu yra alergija paracetamoliui arba bet kuriai pagalbinei šio vaisto medžiagai (jos išvardytos 6 skyriuje)</w:t>
      </w:r>
    </w:p>
    <w:p w14:paraId="5722652C" w14:textId="2C0B7AE2" w:rsidR="00794F42" w:rsidRPr="00794F42"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jeigu yra alergija propacetamoliui (tai kitas vaistas nuo skausmo, kurį organizmas paverčia į paracetamolį)</w:t>
      </w:r>
    </w:p>
    <w:p w14:paraId="5D9024EB" w14:textId="7E541520" w:rsidR="00794F42" w:rsidRPr="00794F42"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jeigu sergate sunkia kepenų liga.</w:t>
      </w:r>
    </w:p>
    <w:p w14:paraId="7DE546B3"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FD6407B" w14:textId="77777777"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 xml:space="preserve">Įspėjimai ir atsargumo priemonės </w:t>
      </w:r>
    </w:p>
    <w:p w14:paraId="39748779" w14:textId="761412C5"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Pasitarkite su gydytoju arba vaistininku prieš pradėdami vartoti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jeigu:</w:t>
      </w:r>
    </w:p>
    <w:p w14:paraId="467E1029" w14:textId="258F5FB5" w:rsidR="00794F42" w:rsidRPr="00A250D7"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A250D7">
        <w:rPr>
          <w:rFonts w:ascii="Times New Roman" w:eastAsia="Times New Roman" w:hAnsi="Times New Roman" w:cs="Times New Roman"/>
          <w:kern w:val="0"/>
          <w14:ligatures w14:val="none"/>
        </w:rPr>
        <w:t>galite vaistus nuo skausmo vartoti per burną, nes tai yra rekomenduojamas vartojimo būdas;</w:t>
      </w:r>
    </w:p>
    <w:p w14:paraId="6D3EE19D" w14:textId="34A23085" w:rsidR="00794F42" w:rsidRPr="00A250D7"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A250D7">
        <w:rPr>
          <w:rFonts w:ascii="Times New Roman" w:eastAsia="Times New Roman" w:hAnsi="Times New Roman" w:cs="Times New Roman"/>
          <w:kern w:val="0"/>
          <w14:ligatures w14:val="none"/>
        </w:rPr>
        <w:t>yra sutrikusi kepenų arba inkstų funkcija, arba jeigu piktnaudžiaujama alkoholiu;</w:t>
      </w:r>
    </w:p>
    <w:p w14:paraId="20623362" w14:textId="28FB1EC9" w:rsidR="00794F42" w:rsidRPr="00A250D7"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A250D7">
        <w:rPr>
          <w:rFonts w:ascii="Times New Roman" w:eastAsia="Times New Roman" w:hAnsi="Times New Roman" w:cs="Times New Roman"/>
          <w:kern w:val="0"/>
          <w14:ligatures w14:val="none"/>
        </w:rPr>
        <w:t>vartojama kitų vaistų, kurių sudėtyje yra paracetamolio;</w:t>
      </w:r>
    </w:p>
    <w:p w14:paraId="7259E714" w14:textId="20C59AC7" w:rsidR="00794F42" w:rsidRPr="00A250D7"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A250D7">
        <w:rPr>
          <w:rFonts w:ascii="Times New Roman" w:eastAsia="Times New Roman" w:hAnsi="Times New Roman" w:cs="Times New Roman"/>
          <w:kern w:val="0"/>
          <w14:ligatures w14:val="none"/>
        </w:rPr>
        <w:t>yra mitybos nepakankamumas arba dehidratacija;</w:t>
      </w:r>
    </w:p>
    <w:p w14:paraId="7E02D81B" w14:textId="00B806B4" w:rsidR="00794F42" w:rsidRPr="00A250D7" w:rsidRDefault="00794F42" w:rsidP="00A250D7">
      <w:pPr>
        <w:pStyle w:val="Sraopastraipa"/>
        <w:numPr>
          <w:ilvl w:val="0"/>
          <w:numId w:val="8"/>
        </w:numPr>
        <w:spacing w:after="0" w:line="240" w:lineRule="auto"/>
        <w:ind w:left="357" w:hanging="357"/>
        <w:rPr>
          <w:rFonts w:ascii="Times New Roman" w:eastAsia="Times New Roman" w:hAnsi="Times New Roman" w:cs="Times New Roman"/>
          <w:kern w:val="0"/>
          <w14:ligatures w14:val="none"/>
        </w:rPr>
      </w:pPr>
      <w:r w:rsidRPr="00A250D7">
        <w:rPr>
          <w:rFonts w:ascii="Times New Roman" w:eastAsia="Times New Roman" w:hAnsi="Times New Roman" w:cs="Times New Roman"/>
          <w:kern w:val="0"/>
          <w14:ligatures w14:val="none"/>
        </w:rPr>
        <w:t>yra gliukozės 6-fosfatazės dehidrogenazės nepakankamumas (galintis sukelti hemolizinę anemiją), kraujo liga.</w:t>
      </w:r>
    </w:p>
    <w:p w14:paraId="4E298F1A"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kern w:val="0"/>
          <w14:ligatures w14:val="none"/>
        </w:rPr>
      </w:pPr>
    </w:p>
    <w:p w14:paraId="2B63A5B3"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Kai tik įmanoma, rekomenduojama skirti tinkamą skausmą malšinantį gydymą per burną.</w:t>
      </w:r>
    </w:p>
    <w:p w14:paraId="28D881EB"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4FCEF90" w14:textId="3D24D8CC"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kern w:val="0"/>
          <w14:ligatures w14:val="none"/>
        </w:rPr>
        <w:lastRenderedPageBreak/>
        <w:t xml:space="preserve">Kiti vaistai ir </w:t>
      </w:r>
      <w:r w:rsidR="00A250D7">
        <w:rPr>
          <w:rFonts w:ascii="Times New Roman" w:eastAsia="Times New Roman" w:hAnsi="Times New Roman" w:cs="Times New Roman"/>
          <w:b/>
          <w:kern w:val="0"/>
          <w14:ligatures w14:val="none"/>
        </w:rPr>
        <w:t>Supofen</w:t>
      </w:r>
      <w:r w:rsidRPr="00794F42">
        <w:rPr>
          <w:rFonts w:ascii="Times New Roman" w:eastAsia="Times New Roman" w:hAnsi="Times New Roman" w:cs="Times New Roman"/>
          <w:b/>
          <w:kern w:val="0"/>
          <w14:ligatures w14:val="none"/>
        </w:rPr>
        <w:t xml:space="preserve"> </w:t>
      </w:r>
    </w:p>
    <w:p w14:paraId="467F1CF6" w14:textId="77777777" w:rsidR="00794F42" w:rsidRPr="00794F42" w:rsidRDefault="00794F42" w:rsidP="00794F42">
      <w:pPr>
        <w:numPr>
          <w:ilvl w:val="12"/>
          <w:numId w:val="0"/>
        </w:numPr>
        <w:spacing w:after="0" w:line="240" w:lineRule="auto"/>
        <w:rPr>
          <w:rFonts w:ascii="Times New Roman" w:eastAsia="Times New Roman" w:hAnsi="Times New Roman" w:cs="Times New Roman"/>
          <w:b/>
          <w:snapToGrid w:val="0"/>
          <w:kern w:val="0"/>
          <w14:ligatures w14:val="none"/>
        </w:rPr>
      </w:pPr>
    </w:p>
    <w:p w14:paraId="1586E54F"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Jeigu vartojate ar neseniai vartojote kitų vaistų arba dėl to nesate tikri, apie tai pasakykite gydytojui arba vaistininkui.</w:t>
      </w:r>
    </w:p>
    <w:p w14:paraId="7317B64D" w14:textId="4A69A580" w:rsidR="00794F42" w:rsidRPr="00794F42" w:rsidRDefault="00A250D7" w:rsidP="00794F4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gali sąveikauti su kitais vaistais:</w:t>
      </w:r>
    </w:p>
    <w:p w14:paraId="6FB9A76C" w14:textId="3CA21C6F" w:rsidR="00794F42" w:rsidRPr="00794F42" w:rsidRDefault="00794F42" w:rsidP="00794F42">
      <w:pPr>
        <w:numPr>
          <w:ilvl w:val="0"/>
          <w:numId w:val="2"/>
        </w:numPr>
        <w:spacing w:after="0" w:line="240" w:lineRule="auto"/>
        <w:contextualSpacing/>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kurių sudėtyje yra paracetamolio arba propacetamolio, todėl žiūrėkite, kad nevartotumėte didesnės nei rekomenduojamoji paros dozė (žr. 3 skyrių „Kaip vartoti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w:t>
      </w:r>
    </w:p>
    <w:p w14:paraId="4058D963" w14:textId="77777777" w:rsidR="00794F42" w:rsidRPr="00794F42" w:rsidRDefault="00794F42" w:rsidP="00794F42">
      <w:pPr>
        <w:numPr>
          <w:ilvl w:val="0"/>
          <w:numId w:val="2"/>
        </w:numPr>
        <w:spacing w:after="0" w:line="240" w:lineRule="auto"/>
        <w:contextualSpacing/>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probenecidu: gali būti reikalinga mažesnė paracetamolio dozė;</w:t>
      </w:r>
    </w:p>
    <w:p w14:paraId="2B988E3F" w14:textId="77777777" w:rsidR="00794F42" w:rsidRPr="00794F42" w:rsidRDefault="00794F42" w:rsidP="00794F42">
      <w:pPr>
        <w:numPr>
          <w:ilvl w:val="0"/>
          <w:numId w:val="2"/>
        </w:numPr>
        <w:spacing w:after="0" w:line="240" w:lineRule="auto"/>
        <w:contextualSpacing/>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salicilamidu, vaistu nuo uždegimo;</w:t>
      </w:r>
    </w:p>
    <w:p w14:paraId="1695D437" w14:textId="77777777" w:rsidR="00794F42" w:rsidRPr="00794F42" w:rsidRDefault="00794F42" w:rsidP="00794F42">
      <w:pPr>
        <w:numPr>
          <w:ilvl w:val="0"/>
          <w:numId w:val="2"/>
        </w:numPr>
        <w:spacing w:after="0" w:line="240" w:lineRule="auto"/>
        <w:contextualSpacing/>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per burną vartojamais antikoaguliantais. Gali reikėti kontroliuoti antikoagulianto poveikį;</w:t>
      </w:r>
    </w:p>
    <w:p w14:paraId="0CFB06D8" w14:textId="77777777" w:rsidR="00794F42" w:rsidRPr="00794F42" w:rsidRDefault="00794F42" w:rsidP="00794F42">
      <w:pPr>
        <w:numPr>
          <w:ilvl w:val="0"/>
          <w:numId w:val="2"/>
        </w:numPr>
        <w:spacing w:after="0" w:line="240" w:lineRule="auto"/>
        <w:contextualSpacing/>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vaistais, aktyvinančiais kepenų fermentus: būtina griežtai kontroliuoti paracetamolio dozę, kad nebūtų pažeistos kepenys;</w:t>
      </w:r>
    </w:p>
    <w:p w14:paraId="15423D2D" w14:textId="77777777" w:rsidR="00794F42" w:rsidRPr="00794F42" w:rsidRDefault="00794F42" w:rsidP="00794F42">
      <w:pPr>
        <w:numPr>
          <w:ilvl w:val="0"/>
          <w:numId w:val="2"/>
        </w:numPr>
        <w:spacing w:after="0" w:line="240" w:lineRule="auto"/>
        <w:contextualSpacing/>
        <w:rPr>
          <w:rFonts w:ascii="Times New Roman" w:eastAsia="Times New Roman" w:hAnsi="Times New Roman" w:cs="Times New Roman"/>
          <w:snapToGrid w:val="0"/>
          <w:kern w:val="0"/>
          <w14:ligatures w14:val="none"/>
        </w:rPr>
      </w:pPr>
      <w:r w:rsidRPr="00794F42">
        <w:rPr>
          <w:rFonts w:ascii="Times New Roman" w:eastAsia="Times New Roman" w:hAnsi="Times New Roman" w:cs="Times New Roman"/>
          <w:kern w:val="0"/>
          <w14:ligatures w14:val="none"/>
        </w:rPr>
        <w:t>flukloksacilinu (antibiotiku): atsiranda rimta kraujo ir skysčių pusiausvyros sutrikimų (didelio anijonų tarpo metabolinės acidozės) rizika; tokius sutrikimus būtina gydyti nedelsiant, jie atsiranda sergant sunkiu inkstų funkcijos nepakankamumu, sepsiu (kai kraujyje cirkuliuoja bakterijos ir jų toksinai, sukeliantys organų pažeidimus), jei yra mitybos nepakankamumas, lėtinis alkoholizmas ir yra vartojama didžiausia leidžiama paracetamolio paros dozė.</w:t>
      </w:r>
    </w:p>
    <w:p w14:paraId="29319D5F"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F6F1DED" w14:textId="03A39F3E" w:rsidR="00794F42" w:rsidRPr="00794F42" w:rsidRDefault="00A250D7" w:rsidP="00794F42">
      <w:pPr>
        <w:keepNext/>
        <w:tabs>
          <w:tab w:val="left" w:pos="567"/>
        </w:tabs>
        <w:spacing w:after="0" w:line="260" w:lineRule="exact"/>
        <w:outlineLvl w:val="3"/>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Supofen</w:t>
      </w:r>
      <w:r w:rsidR="00794F42" w:rsidRPr="00794F42">
        <w:rPr>
          <w:rFonts w:ascii="Times New Roman" w:eastAsia="Times New Roman" w:hAnsi="Times New Roman" w:cs="Times New Roman"/>
          <w:b/>
          <w:kern w:val="0"/>
          <w14:ligatures w14:val="none"/>
        </w:rPr>
        <w:t xml:space="preserve"> vartojimas su alkoholiu</w:t>
      </w:r>
    </w:p>
    <w:p w14:paraId="14DBF3D4"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Vartodami šį vaistą venkite alkoholio.</w:t>
      </w:r>
    </w:p>
    <w:p w14:paraId="5525C0B0" w14:textId="7777777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p>
    <w:p w14:paraId="245E1461" w14:textId="77777777"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kern w:val="0"/>
          <w14:ligatures w14:val="none"/>
        </w:rPr>
        <w:t>Nėštumas ir žindymo laikotarpis</w:t>
      </w:r>
    </w:p>
    <w:p w14:paraId="48408B0E" w14:textId="77777777" w:rsidR="00794F42" w:rsidRPr="00794F42" w:rsidRDefault="00794F42" w:rsidP="00794F42">
      <w:pPr>
        <w:suppressAutoHyphens/>
        <w:spacing w:after="0" w:line="240" w:lineRule="auto"/>
        <w:rPr>
          <w:rFonts w:ascii="Times New Roman" w:eastAsia="Times New Roman" w:hAnsi="Times New Roman" w:cs="Times New Roman"/>
          <w:bCs/>
          <w:kern w:val="0"/>
          <w14:ligatures w14:val="none"/>
        </w:rPr>
      </w:pPr>
      <w:r w:rsidRPr="00794F42">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6F236C4E" w14:textId="77777777" w:rsidR="00794F42" w:rsidRPr="00794F42" w:rsidRDefault="00794F42" w:rsidP="00794F42">
      <w:pPr>
        <w:suppressAutoHyphens/>
        <w:spacing w:after="0" w:line="240" w:lineRule="auto"/>
        <w:rPr>
          <w:rFonts w:ascii="Times New Roman" w:eastAsia="Times New Roman" w:hAnsi="Times New Roman" w:cs="Times New Roman"/>
          <w:b/>
          <w:kern w:val="0"/>
          <w14:ligatures w14:val="none"/>
        </w:rPr>
      </w:pPr>
    </w:p>
    <w:p w14:paraId="3CFECC78" w14:textId="77777777" w:rsidR="00794F42" w:rsidRPr="00794F42" w:rsidRDefault="00794F42" w:rsidP="00794F42">
      <w:pPr>
        <w:suppressAutoHyphens/>
        <w:spacing w:after="0" w:line="240" w:lineRule="auto"/>
        <w:rPr>
          <w:rFonts w:ascii="Times New Roman" w:eastAsia="Times New Roman" w:hAnsi="Times New Roman" w:cs="Times New Roman"/>
          <w:bCs/>
          <w:kern w:val="0"/>
          <w:u w:val="single"/>
          <w14:ligatures w14:val="none"/>
        </w:rPr>
      </w:pPr>
      <w:r w:rsidRPr="00794F42">
        <w:rPr>
          <w:rFonts w:ascii="Times New Roman" w:eastAsia="Times New Roman" w:hAnsi="Times New Roman" w:cs="Times New Roman"/>
          <w:kern w:val="0"/>
          <w:u w:val="single"/>
          <w14:ligatures w14:val="none"/>
        </w:rPr>
        <w:t>Nėštumas</w:t>
      </w:r>
    </w:p>
    <w:p w14:paraId="15F6F33C" w14:textId="001A1D59" w:rsidR="00794F42" w:rsidRPr="00794F42" w:rsidRDefault="00A250D7" w:rsidP="00794F42">
      <w:pPr>
        <w:suppressAutoHyphens/>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10 mg/ml infuzinį tirpalą galima vartoti nėštumo metu. Tačiau tokiu atveju gydytojas turi įvertinti, ar gydymas juo rekomenduojamas.</w:t>
      </w:r>
    </w:p>
    <w:p w14:paraId="3DDDFDE5" w14:textId="77777777" w:rsidR="00794F42" w:rsidRPr="00794F42" w:rsidRDefault="00794F42" w:rsidP="00794F42">
      <w:pPr>
        <w:suppressAutoHyphens/>
        <w:spacing w:after="0" w:line="240" w:lineRule="auto"/>
        <w:rPr>
          <w:rFonts w:ascii="Times New Roman" w:eastAsia="Times New Roman" w:hAnsi="Times New Roman" w:cs="Times New Roman"/>
          <w:bCs/>
          <w:kern w:val="0"/>
          <w14:ligatures w14:val="none"/>
        </w:rPr>
      </w:pPr>
    </w:p>
    <w:p w14:paraId="0861FD68" w14:textId="77777777" w:rsidR="00794F42" w:rsidRPr="00794F42" w:rsidRDefault="00794F42" w:rsidP="00794F42">
      <w:pPr>
        <w:suppressAutoHyphens/>
        <w:spacing w:after="0" w:line="240" w:lineRule="auto"/>
        <w:rPr>
          <w:rFonts w:ascii="Times New Roman" w:eastAsia="Times New Roman" w:hAnsi="Times New Roman" w:cs="Times New Roman"/>
          <w:bCs/>
          <w:kern w:val="0"/>
          <w:u w:val="single"/>
          <w14:ligatures w14:val="none"/>
        </w:rPr>
      </w:pPr>
      <w:r w:rsidRPr="00794F42">
        <w:rPr>
          <w:rFonts w:ascii="Times New Roman" w:eastAsia="Times New Roman" w:hAnsi="Times New Roman" w:cs="Times New Roman"/>
          <w:kern w:val="0"/>
          <w:u w:val="single"/>
          <w14:ligatures w14:val="none"/>
        </w:rPr>
        <w:t>Žindymas</w:t>
      </w:r>
    </w:p>
    <w:p w14:paraId="32432FA3" w14:textId="4D8AFBC6" w:rsidR="00794F42" w:rsidRPr="00794F42" w:rsidRDefault="00A250D7" w:rsidP="00794F42">
      <w:pPr>
        <w:numPr>
          <w:ilvl w:val="12"/>
          <w:numId w:val="0"/>
        </w:numPr>
        <w:spacing w:after="0" w:line="240" w:lineRule="auto"/>
        <w:rPr>
          <w:rFonts w:ascii="Times New Roman" w:eastAsia="Times New Roman" w:hAnsi="Times New Roman" w:cs="Times New Roman"/>
          <w:snapToGrid w:val="0"/>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10 mg/ml infuzinį tirpalą galima vartoti žindymo metu.</w:t>
      </w:r>
      <w:r w:rsidR="00794F42" w:rsidRPr="00794F42">
        <w:rPr>
          <w:rFonts w:ascii="Times New Roman" w:eastAsia="Times New Roman" w:hAnsi="Times New Roman" w:cs="Times New Roman"/>
          <w:snapToGrid w:val="0"/>
          <w:kern w:val="0"/>
          <w14:ligatures w14:val="none"/>
        </w:rPr>
        <w:t xml:space="preserve"> </w:t>
      </w:r>
    </w:p>
    <w:p w14:paraId="5687442C" w14:textId="7777777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p>
    <w:p w14:paraId="1E4F4286" w14:textId="77777777" w:rsidR="00794F42" w:rsidRPr="00794F42" w:rsidRDefault="00794F42"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Vairavimas ir mechanizmų valdymas</w:t>
      </w:r>
    </w:p>
    <w:p w14:paraId="61B7CFCA" w14:textId="0A1904B3" w:rsidR="00794F42" w:rsidRPr="00794F42" w:rsidRDefault="00A250D7" w:rsidP="00794F42">
      <w:pPr>
        <w:keepNext/>
        <w:tabs>
          <w:tab w:val="left" w:pos="567"/>
        </w:tabs>
        <w:spacing w:after="0" w:line="260" w:lineRule="exact"/>
        <w:outlineLvl w:val="3"/>
        <w:rPr>
          <w:rFonts w:ascii="Times New Roman" w:eastAsia="Times New Roman" w:hAnsi="Times New Roman" w:cs="Times New Roman"/>
          <w:b/>
          <w:bCs/>
          <w:snapToGrid w:val="0"/>
          <w:kern w:val="0"/>
          <w:lang w:eastAsia="x-none"/>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10 mg/ml infuzinis tirpalas gebėjimo vairuoti arba valdyti mechanizmus neveikia arba veikia nereikšmingai.</w:t>
      </w:r>
    </w:p>
    <w:p w14:paraId="63AB72AA"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35ACE62" w14:textId="36402C53" w:rsidR="00794F42" w:rsidRPr="00794F42" w:rsidRDefault="00A250D7" w:rsidP="00794F42">
      <w:pPr>
        <w:keepNext/>
        <w:tabs>
          <w:tab w:val="left" w:pos="567"/>
        </w:tabs>
        <w:spacing w:after="0" w:line="260" w:lineRule="exact"/>
        <w:outlineLvl w:val="3"/>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Supofen</w:t>
      </w:r>
      <w:r w:rsidR="00794F42" w:rsidRPr="00794F42">
        <w:rPr>
          <w:rFonts w:ascii="Times New Roman" w:eastAsia="Times New Roman" w:hAnsi="Times New Roman" w:cs="Times New Roman"/>
          <w:b/>
          <w:kern w:val="0"/>
          <w14:ligatures w14:val="none"/>
        </w:rPr>
        <w:t xml:space="preserve"> sudėtyje yra natrio</w:t>
      </w:r>
    </w:p>
    <w:p w14:paraId="0DAC4B4A" w14:textId="361D0D21" w:rsidR="00794F42" w:rsidRPr="00794F42" w:rsidRDefault="00794F42" w:rsidP="00794F42">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kern w:val="0"/>
          <w14:ligatures w14:val="none"/>
        </w:rPr>
        <w:t>Šio vaisto 100 ml buteliuke yra mažiau kaip 1 mmol (23 mg) natrio, t.</w:t>
      </w:r>
      <w:r w:rsidR="00A250D7">
        <w:rPr>
          <w:rFonts w:ascii="Times New Roman" w:eastAsia="Times New Roman" w:hAnsi="Times New Roman" w:cs="Times New Roman"/>
          <w:kern w:val="0"/>
          <w14:ligatures w14:val="none"/>
        </w:rPr>
        <w:t xml:space="preserve"> </w:t>
      </w:r>
      <w:r w:rsidRPr="00794F42">
        <w:rPr>
          <w:rFonts w:ascii="Times New Roman" w:eastAsia="Times New Roman" w:hAnsi="Times New Roman" w:cs="Times New Roman"/>
          <w:kern w:val="0"/>
          <w14:ligatures w14:val="none"/>
        </w:rPr>
        <w:t>y. jis beveik neturi reikšmės.</w:t>
      </w:r>
    </w:p>
    <w:p w14:paraId="25D10683"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EF3A502"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40E1A43" w14:textId="7DC9D8F7" w:rsidR="00794F42" w:rsidRPr="00794F42" w:rsidRDefault="00794F42" w:rsidP="00794F42">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3.</w:t>
      </w:r>
      <w:r w:rsidRPr="00794F42">
        <w:rPr>
          <w:rFonts w:ascii="Times New Roman" w:eastAsia="Times New Roman" w:hAnsi="Times New Roman" w:cs="Times New Roman"/>
          <w:b/>
          <w:bCs/>
          <w:snapToGrid w:val="0"/>
          <w:kern w:val="0"/>
          <w:lang w:eastAsia="x-none"/>
          <w14:ligatures w14:val="none"/>
        </w:rPr>
        <w:tab/>
      </w:r>
      <w:r w:rsidRPr="00794F42">
        <w:rPr>
          <w:rFonts w:ascii="Times New Roman" w:eastAsia="Times New Roman" w:hAnsi="Times New Roman" w:cs="Times New Roman"/>
          <w:b/>
          <w:kern w:val="0"/>
          <w14:ligatures w14:val="none"/>
        </w:rPr>
        <w:t xml:space="preserve">Kaip vartoti </w:t>
      </w:r>
      <w:r w:rsidR="00A250D7">
        <w:rPr>
          <w:rFonts w:ascii="Times New Roman" w:eastAsia="Times New Roman" w:hAnsi="Times New Roman" w:cs="Times New Roman"/>
          <w:b/>
          <w:kern w:val="0"/>
          <w14:ligatures w14:val="none"/>
        </w:rPr>
        <w:t>Supofen</w:t>
      </w:r>
      <w:r w:rsidRPr="00794F42">
        <w:rPr>
          <w:rFonts w:ascii="Times New Roman" w:eastAsia="Times New Roman" w:hAnsi="Times New Roman" w:cs="Times New Roman"/>
          <w:b/>
          <w:kern w:val="0"/>
          <w14:ligatures w14:val="none"/>
        </w:rPr>
        <w:t xml:space="preserve"> </w:t>
      </w:r>
    </w:p>
    <w:p w14:paraId="6C1262B1"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860FECA" w14:textId="5647EE06" w:rsidR="00794F42" w:rsidRPr="00794F42" w:rsidRDefault="00A250D7" w:rsidP="00794F42">
      <w:pPr>
        <w:suppressAutoHyphen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jums suleis sveikatos priežiūros specialistas infuzijos būdu į Jūsų veną per maždaug 15 minučių.</w:t>
      </w:r>
    </w:p>
    <w:p w14:paraId="5C1B40CE"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Dozę individualiai parinks Jūsų gydytojas pagal Jūsų svorį ir bendrąją sveikatos būklę.</w:t>
      </w:r>
    </w:p>
    <w:p w14:paraId="1C920C3C"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29EC14C4" w14:textId="6399DC8C" w:rsidR="00794F42" w:rsidRPr="00794F42" w:rsidRDefault="00A250D7" w:rsidP="00794F42">
      <w:pPr>
        <w:suppressAutoHyphen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skirtas vartoti tik suaugusiesiems, paaugliams ir vaikams, sveriantiems daugiau kaip 33 kg.</w:t>
      </w:r>
    </w:p>
    <w:p w14:paraId="60E57B2B"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5EB303E6" w14:textId="6FF48D3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r w:rsidRPr="00794F42">
        <w:rPr>
          <w:rFonts w:ascii="Times New Roman" w:eastAsia="Times New Roman" w:hAnsi="Times New Roman" w:cs="Times New Roman"/>
          <w:kern w:val="0"/>
          <w14:ligatures w14:val="none"/>
        </w:rPr>
        <w:t xml:space="preserve">Jeigu manote, kad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xml:space="preserve"> poveikis yra per stiprus arba per silpnas, pasakykite gydytojui.</w:t>
      </w:r>
    </w:p>
    <w:p w14:paraId="14A9823F"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5F66FBF" w14:textId="3E8E3E3C" w:rsidR="00794F42" w:rsidRPr="00794F42" w:rsidRDefault="00794F42" w:rsidP="00794F42">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kern w:val="0"/>
          <w14:ligatures w14:val="none"/>
        </w:rPr>
        <w:t xml:space="preserve">Ką daryti pavartojus per didelę </w:t>
      </w:r>
      <w:r w:rsidR="00A250D7">
        <w:rPr>
          <w:rFonts w:ascii="Times New Roman" w:eastAsia="Times New Roman" w:hAnsi="Times New Roman" w:cs="Times New Roman"/>
          <w:b/>
          <w:kern w:val="0"/>
          <w14:ligatures w14:val="none"/>
        </w:rPr>
        <w:t>Supofen</w:t>
      </w:r>
      <w:r w:rsidRPr="00794F42">
        <w:rPr>
          <w:rFonts w:ascii="Times New Roman" w:eastAsia="Times New Roman" w:hAnsi="Times New Roman" w:cs="Times New Roman"/>
          <w:b/>
          <w:kern w:val="0"/>
          <w14:ligatures w14:val="none"/>
        </w:rPr>
        <w:t xml:space="preserve"> dozę</w:t>
      </w:r>
    </w:p>
    <w:p w14:paraId="1A29C975"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50224387"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Perdozavimo tikimybė maža, nes šį vaistą Jums suleis sveikatos priežiūros specialistas. Jūsų gydytojas pasirūpins, kad Jums būtų skirta ne didesnė nei Jūsų atveju rekomenduojama dozė.</w:t>
      </w:r>
    </w:p>
    <w:p w14:paraId="4D856A75" w14:textId="113CC15E"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lastRenderedPageBreak/>
        <w:t xml:space="preserve">Tačiau perdozavus per pirmąsias 24 valandas paprastai pasireiškia tokie simptomai: pykinimas, vėmimas, apetito nebuvimas, blyškumas, pilvo skausmas, ir kyla kepenų pažeidimo rizika. Pavartojus per didelę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xml:space="preserve"> dozę, reikia iš karto pasakyti savo gydytojui.</w:t>
      </w:r>
    </w:p>
    <w:p w14:paraId="1251F13C"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6CA03F65"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Jeigu kiltų daugiau klausimų dėl šio vaisto vartojimo, kreipkitės į gydytoją arba vaistininką.</w:t>
      </w:r>
    </w:p>
    <w:p w14:paraId="5AACF329" w14:textId="7777777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p>
    <w:p w14:paraId="37F95445" w14:textId="7777777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p>
    <w:p w14:paraId="7322B5E0" w14:textId="77777777" w:rsidR="00794F42" w:rsidRPr="00794F42" w:rsidRDefault="00794F42" w:rsidP="00794F42">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4.</w:t>
      </w:r>
      <w:r w:rsidRPr="00794F42">
        <w:rPr>
          <w:rFonts w:ascii="Times New Roman" w:eastAsia="Times New Roman" w:hAnsi="Times New Roman" w:cs="Times New Roman"/>
          <w:b/>
          <w:bCs/>
          <w:snapToGrid w:val="0"/>
          <w:kern w:val="0"/>
          <w:lang w:eastAsia="x-none"/>
          <w14:ligatures w14:val="none"/>
        </w:rPr>
        <w:tab/>
        <w:t>Galimas šalutinis poveikis</w:t>
      </w:r>
    </w:p>
    <w:p w14:paraId="15A85846" w14:textId="7777777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p>
    <w:p w14:paraId="764F3FAE" w14:textId="77777777" w:rsidR="00794F42" w:rsidRPr="00794F42" w:rsidRDefault="00794F42" w:rsidP="00794F42">
      <w:pPr>
        <w:spacing w:after="0" w:line="240" w:lineRule="auto"/>
        <w:ind w:right="-29"/>
        <w:rPr>
          <w:rFonts w:ascii="Times New Roman" w:eastAsia="Times New Roman" w:hAnsi="Times New Roman" w:cs="Times New Roman"/>
          <w:snapToGrid w:val="0"/>
          <w:kern w:val="0"/>
          <w14:ligatures w14:val="none"/>
        </w:rPr>
      </w:pPr>
      <w:r w:rsidRPr="00794F42">
        <w:rPr>
          <w:rFonts w:ascii="Times New Roman" w:eastAsia="Times New Roman" w:hAnsi="Times New Roman" w:cs="Times New Roman"/>
          <w:noProof/>
          <w:snapToGrid w:val="0"/>
          <w:kern w:val="0"/>
          <w14:ligatures w14:val="none"/>
        </w:rPr>
        <w:t>Šis vaistas, kaip ir visi kiti, gali sukelti šalutinį poveikį, nors jis pasireiškia ne visiems žmonėms.</w:t>
      </w:r>
    </w:p>
    <w:p w14:paraId="594AF6A3" w14:textId="77777777" w:rsidR="00794F42" w:rsidRPr="00794F42" w:rsidRDefault="00794F42" w:rsidP="00794F42">
      <w:pPr>
        <w:tabs>
          <w:tab w:val="left" w:pos="567"/>
        </w:tabs>
        <w:spacing w:after="0" w:line="240" w:lineRule="auto"/>
        <w:ind w:right="-29"/>
        <w:rPr>
          <w:rFonts w:ascii="Times New Roman" w:eastAsia="Times New Roman" w:hAnsi="Times New Roman" w:cs="Times New Roman"/>
          <w:noProof/>
          <w:snapToGrid w:val="0"/>
          <w:kern w:val="0"/>
          <w14:ligatures w14:val="none"/>
        </w:rPr>
      </w:pPr>
    </w:p>
    <w:p w14:paraId="2BE4B1F1"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b/>
          <w:kern w:val="0"/>
          <w:szCs w:val="20"/>
          <w14:ligatures w14:val="none"/>
        </w:rPr>
        <w:t>Dažni šalutinio poveikio reiškiniai (gali pasireikšti rečiau kaip 1 iš 10 asmenų):</w:t>
      </w:r>
    </w:p>
    <w:p w14:paraId="7F8B4583" w14:textId="77777777" w:rsidR="00794F42" w:rsidRPr="00794F42" w:rsidRDefault="00794F42" w:rsidP="00794F42">
      <w:pPr>
        <w:numPr>
          <w:ilvl w:val="0"/>
          <w:numId w:val="3"/>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skausmas ir deginimo pojūtis injekcijos vietoje.</w:t>
      </w:r>
    </w:p>
    <w:p w14:paraId="1CF6A010"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p>
    <w:p w14:paraId="3C6747D3"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b/>
          <w:kern w:val="0"/>
          <w:szCs w:val="20"/>
          <w14:ligatures w14:val="none"/>
        </w:rPr>
        <w:t>Reti šalutinio poveikio reiškiniai (gali pasireikšti rečiau kaip 1 iš 1 000 asmenų):</w:t>
      </w:r>
      <w:r w:rsidRPr="00794F42">
        <w:rPr>
          <w:rFonts w:ascii="Times New Roman" w:eastAsia="Times New Roman" w:hAnsi="Times New Roman" w:cs="Times New Roman"/>
          <w:kern w:val="0"/>
          <w:szCs w:val="20"/>
          <w14:ligatures w14:val="none"/>
        </w:rPr>
        <w:t xml:space="preserve"> </w:t>
      </w:r>
    </w:p>
    <w:p w14:paraId="613B4477" w14:textId="77777777" w:rsidR="00794F42" w:rsidRPr="00794F42" w:rsidRDefault="00794F42" w:rsidP="00794F42">
      <w:pPr>
        <w:numPr>
          <w:ilvl w:val="0"/>
          <w:numId w:val="4"/>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prasta savijauta;</w:t>
      </w:r>
    </w:p>
    <w:p w14:paraId="39BE68C4" w14:textId="77777777" w:rsidR="00794F42" w:rsidRPr="00794F42" w:rsidRDefault="00794F42" w:rsidP="00794F42">
      <w:pPr>
        <w:numPr>
          <w:ilvl w:val="0"/>
          <w:numId w:val="4"/>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sumažėjęs kraujospūdis;</w:t>
      </w:r>
    </w:p>
    <w:p w14:paraId="58C5F162" w14:textId="77777777" w:rsidR="00794F42" w:rsidRPr="00794F42" w:rsidRDefault="00794F42" w:rsidP="00794F42">
      <w:pPr>
        <w:numPr>
          <w:ilvl w:val="0"/>
          <w:numId w:val="4"/>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pakitę laboratorinių tyrimų rezultatai: neįprastai aukštas kepenų fermentų kiekis, aptinkamas atliekant kraujo tyrimus. Jeigu taip nutiktų, pasakykite savo gydytojui, nes vėliau gali būti reikalingi reguliarūs kraujo tyrimai.</w:t>
      </w:r>
    </w:p>
    <w:p w14:paraId="3CCA0FB3"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2EC90A5D"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b/>
          <w:snapToGrid w:val="0"/>
          <w:color w:val="000000"/>
          <w:kern w:val="0"/>
          <w14:ligatures w14:val="none"/>
        </w:rPr>
        <w:t>Labai reti šalutinio poveikio reiškiniai (</w:t>
      </w:r>
      <w:r w:rsidRPr="00794F42">
        <w:rPr>
          <w:rFonts w:ascii="Times New Roman" w:eastAsia="Times New Roman" w:hAnsi="Times New Roman" w:cs="Times New Roman"/>
          <w:b/>
          <w:snapToGrid w:val="0"/>
          <w:kern w:val="0"/>
          <w14:ligatures w14:val="none"/>
        </w:rPr>
        <w:t>gali pasireikšti rečiau kaip 1 iš 10 000 asmenų</w:t>
      </w:r>
      <w:r w:rsidRPr="00794F42">
        <w:rPr>
          <w:rFonts w:ascii="Times New Roman" w:eastAsia="Times New Roman" w:hAnsi="Times New Roman" w:cs="Times New Roman"/>
          <w:b/>
          <w:snapToGrid w:val="0"/>
          <w:color w:val="000000"/>
          <w:kern w:val="0"/>
          <w14:ligatures w14:val="none"/>
        </w:rPr>
        <w:t>):</w:t>
      </w:r>
      <w:r w:rsidRPr="00794F42">
        <w:rPr>
          <w:rFonts w:ascii="Times New Roman" w:eastAsia="Times New Roman" w:hAnsi="Times New Roman" w:cs="Times New Roman"/>
          <w:snapToGrid w:val="0"/>
          <w:color w:val="000000"/>
          <w:kern w:val="0"/>
          <w14:ligatures w14:val="none"/>
        </w:rPr>
        <w:t xml:space="preserve"> </w:t>
      </w:r>
    </w:p>
    <w:p w14:paraId="719F5E6F" w14:textId="77777777" w:rsidR="00794F42" w:rsidRPr="00794F42" w:rsidRDefault="00794F42" w:rsidP="00794F42">
      <w:pPr>
        <w:numPr>
          <w:ilvl w:val="0"/>
          <w:numId w:val="5"/>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smarkus odos bėrimas arba alerginė reakcija (pasireiškianti kaip anafilaksinis šokas, dilgėlinė, odos paraudimas). </w:t>
      </w:r>
      <w:r w:rsidRPr="00794F42">
        <w:rPr>
          <w:rFonts w:ascii="Times New Roman" w:eastAsia="Times New Roman" w:hAnsi="Times New Roman" w:cs="Times New Roman"/>
          <w:kern w:val="0"/>
          <w:u w:val="single"/>
          <w14:ligatures w14:val="none"/>
        </w:rPr>
        <w:t>Iš karto nutraukite vartojimą</w:t>
      </w:r>
      <w:r w:rsidRPr="00794F42">
        <w:rPr>
          <w:rFonts w:ascii="Times New Roman" w:eastAsia="Times New Roman" w:hAnsi="Times New Roman" w:cs="Times New Roman"/>
          <w:kern w:val="0"/>
          <w14:ligatures w14:val="none"/>
        </w:rPr>
        <w:t xml:space="preserve"> ir pasakykite savo gydytojui.</w:t>
      </w:r>
    </w:p>
    <w:p w14:paraId="09F6C190" w14:textId="77777777" w:rsidR="00794F42" w:rsidRPr="00794F42" w:rsidRDefault="00794F42" w:rsidP="00794F42">
      <w:pPr>
        <w:numPr>
          <w:ilvl w:val="0"/>
          <w:numId w:val="5"/>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buvo stebimi ir kiti laboratorinių tyrimų rezultatų pokyčiai, dėl kurių reikėjo reguliarių kraujo tyrimų: neįprastai žemas kai kurių tipų kraujo ląstelių lygis (trombocitų, baltųjų ląstelių), dėl kurio galimai prasidėjo kraujavimas iš nosies ar dantenų. Jeigu taip nutiktų, pasakykite savo gydytojui.</w:t>
      </w:r>
    </w:p>
    <w:p w14:paraId="5A6C60E4" w14:textId="77777777" w:rsidR="00794F42" w:rsidRPr="00794F42" w:rsidRDefault="00794F42" w:rsidP="00794F42">
      <w:pPr>
        <w:numPr>
          <w:ilvl w:val="0"/>
          <w:numId w:val="5"/>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labai reti kraujo ir skysčių pusiausvyros sutrikimų (didelio anijonų tarpo metabolinės acidozės) atvejai, pasireiškiantys padidėjus kraujo plazmos rūgštingumui, kai paracetamolis vartojamas kartu su flukloksacilinu, paprastai, kai yra tam tikrų rizikos veiksnių (žr. 2 skyrių).</w:t>
      </w:r>
    </w:p>
    <w:p w14:paraId="0ACDF1C8"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19C14F2A" w14:textId="77777777" w:rsidR="00794F42" w:rsidRPr="00794F42" w:rsidRDefault="00794F42" w:rsidP="00794F42">
      <w:pPr>
        <w:suppressAutoHyphens/>
        <w:spacing w:after="0" w:line="240" w:lineRule="auto"/>
        <w:jc w:val="both"/>
        <w:rPr>
          <w:rFonts w:ascii="Times New Roman" w:eastAsia="Times New Roman" w:hAnsi="Times New Roman" w:cs="Times New Roman"/>
          <w:b/>
          <w:kern w:val="0"/>
          <w14:ligatures w14:val="none"/>
        </w:rPr>
      </w:pPr>
      <w:r w:rsidRPr="00794F42">
        <w:rPr>
          <w:rFonts w:ascii="Times New Roman" w:eastAsia="Times New Roman" w:hAnsi="Times New Roman" w:cs="Times New Roman"/>
          <w:b/>
          <w:kern w:val="0"/>
          <w14:ligatures w14:val="none"/>
        </w:rPr>
        <w:t>Šalutinio poveikio reiškiniai, kurių dažnis nežinomas (negali būti apskaičiuotas pagal turimus duomenis):</w:t>
      </w:r>
    </w:p>
    <w:p w14:paraId="2806B901" w14:textId="77777777" w:rsidR="00794F42" w:rsidRPr="00794F42" w:rsidRDefault="00794F42" w:rsidP="00794F42">
      <w:pPr>
        <w:numPr>
          <w:ilvl w:val="0"/>
          <w:numId w:val="3"/>
        </w:numPr>
        <w:suppressAutoHyphens/>
        <w:spacing w:after="0" w:line="240" w:lineRule="auto"/>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Yra gauta pranešimų apie odos paraudimą, niežėjimą ir neįprastai greitą širdies plakimą.</w:t>
      </w:r>
    </w:p>
    <w:p w14:paraId="24F41E6D" w14:textId="77777777" w:rsidR="00794F42" w:rsidRPr="00794F42" w:rsidRDefault="00794F42" w:rsidP="00794F42">
      <w:pPr>
        <w:suppressAutoHyphens/>
        <w:spacing w:after="0" w:line="240" w:lineRule="auto"/>
        <w:jc w:val="both"/>
        <w:rPr>
          <w:rFonts w:ascii="Times New Roman" w:eastAsia="Times New Roman" w:hAnsi="Times New Roman" w:cs="Times New Roman"/>
          <w:kern w:val="0"/>
          <w14:ligatures w14:val="none"/>
        </w:rPr>
      </w:pPr>
    </w:p>
    <w:p w14:paraId="444004E1" w14:textId="77777777" w:rsidR="00794F42" w:rsidRPr="00794F42" w:rsidRDefault="00794F42" w:rsidP="00794F42">
      <w:pPr>
        <w:suppressAutoHyphens/>
        <w:spacing w:after="0" w:line="240" w:lineRule="auto"/>
        <w:rPr>
          <w:rFonts w:ascii="Times New Roman" w:eastAsia="Times New Roman" w:hAnsi="Times New Roman" w:cs="Times New Roman"/>
          <w:b/>
          <w:kern w:val="0"/>
          <w14:ligatures w14:val="none"/>
        </w:rPr>
      </w:pPr>
      <w:r w:rsidRPr="00794F42">
        <w:rPr>
          <w:rFonts w:ascii="Times New Roman" w:eastAsia="Times New Roman" w:hAnsi="Times New Roman" w:cs="Times New Roman"/>
          <w:b/>
          <w:kern w:val="0"/>
          <w14:ligatures w14:val="none"/>
        </w:rPr>
        <w:t>Pranešimas apie šalutinį poveikį</w:t>
      </w:r>
    </w:p>
    <w:p w14:paraId="6707F7F0" w14:textId="6E8645BA" w:rsidR="00794F42" w:rsidRPr="00794F42" w:rsidRDefault="00794F42" w:rsidP="00794F42">
      <w:pPr>
        <w:tabs>
          <w:tab w:val="left" w:pos="567"/>
        </w:tabs>
        <w:spacing w:after="0" w:line="260" w:lineRule="exact"/>
        <w:ind w:right="-1"/>
        <w:rPr>
          <w:rFonts w:ascii="Times New Roman" w:eastAsia="Times New Roman" w:hAnsi="Times New Roman" w:cs="Times New Roman"/>
          <w:snapToGrid w:val="0"/>
          <w:kern w:val="0"/>
          <w14:ligatures w14:val="none"/>
        </w:rPr>
      </w:pPr>
      <w:r w:rsidRPr="00794F42">
        <w:rPr>
          <w:rFonts w:ascii="Times New Roman" w:eastAsia="Times New Roman" w:hAnsi="Times New Roman" w:cs="Times New Roman"/>
          <w:kern w:val="0"/>
          <w14:ligatures w14:val="none"/>
        </w:rPr>
        <w:t>Jeigu pasireiškė šalutinis poveikis, įskaitant šiame lapelyje nenurodytą, pasakykite gydytojui arba vaistininkui.</w:t>
      </w:r>
      <w:r w:rsidR="00E36326" w:rsidRPr="00E36326">
        <w:rPr>
          <w:rFonts w:asciiTheme="majorBidi" w:hAnsiTheme="majorBidi" w:cstheme="majorBidi"/>
          <w:noProof/>
        </w:rPr>
        <w:t xml:space="preserve"> </w:t>
      </w:r>
      <w:r w:rsidR="00E36326" w:rsidRPr="00C355F8">
        <w:rPr>
          <w:rFonts w:asciiTheme="majorBidi" w:hAnsiTheme="majorBidi" w:cstheme="majorBidi"/>
          <w:noProof/>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794F42">
        <w:rPr>
          <w:rFonts w:ascii="Times New Roman" w:eastAsia="Times New Roman" w:hAnsi="Times New Roman" w:cs="Times New Roman"/>
          <w:kern w:val="0"/>
          <w14:ligatures w14:val="none"/>
        </w:rPr>
        <w:t xml:space="preserve"> </w:t>
      </w:r>
    </w:p>
    <w:p w14:paraId="37BFA7FA" w14:textId="77777777" w:rsidR="00794F42" w:rsidRPr="00794F42" w:rsidRDefault="00794F42" w:rsidP="00794F42">
      <w:pPr>
        <w:tabs>
          <w:tab w:val="left" w:pos="567"/>
        </w:tabs>
        <w:spacing w:after="0" w:line="260" w:lineRule="exact"/>
        <w:ind w:right="-449"/>
        <w:rPr>
          <w:rFonts w:ascii="Times New Roman" w:eastAsia="Times New Roman" w:hAnsi="Times New Roman" w:cs="Times New Roman"/>
          <w:noProof/>
          <w:snapToGrid w:val="0"/>
          <w:kern w:val="0"/>
          <w14:ligatures w14:val="none"/>
        </w:rPr>
      </w:pPr>
    </w:p>
    <w:p w14:paraId="4E9BE9FA" w14:textId="77777777" w:rsidR="00794F42" w:rsidRPr="00794F42" w:rsidRDefault="00794F42" w:rsidP="00794F42">
      <w:pPr>
        <w:tabs>
          <w:tab w:val="left" w:pos="567"/>
        </w:tabs>
        <w:spacing w:after="0" w:line="260" w:lineRule="exact"/>
        <w:ind w:right="-449"/>
        <w:rPr>
          <w:rFonts w:ascii="Times New Roman" w:eastAsia="Times New Roman" w:hAnsi="Times New Roman" w:cs="Times New Roman"/>
          <w:noProof/>
          <w:snapToGrid w:val="0"/>
          <w:kern w:val="0"/>
          <w14:ligatures w14:val="none"/>
        </w:rPr>
      </w:pPr>
    </w:p>
    <w:p w14:paraId="4E6BF296" w14:textId="50C68FB5" w:rsidR="00794F42" w:rsidRPr="00794F42" w:rsidRDefault="00794F42" w:rsidP="00794F42">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5.</w:t>
      </w:r>
      <w:r w:rsidRPr="00794F42">
        <w:rPr>
          <w:rFonts w:ascii="Times New Roman" w:eastAsia="Times New Roman" w:hAnsi="Times New Roman" w:cs="Times New Roman"/>
          <w:b/>
          <w:bCs/>
          <w:snapToGrid w:val="0"/>
          <w:kern w:val="0"/>
          <w:lang w:eastAsia="x-none"/>
          <w14:ligatures w14:val="none"/>
        </w:rPr>
        <w:tab/>
        <w:t xml:space="preserve">Kaip laikyti </w:t>
      </w:r>
      <w:r w:rsidR="00A250D7">
        <w:rPr>
          <w:rFonts w:ascii="Times New Roman" w:eastAsia="Times New Roman" w:hAnsi="Times New Roman" w:cs="Times New Roman"/>
          <w:b/>
          <w:kern w:val="0"/>
          <w14:ligatures w14:val="none"/>
        </w:rPr>
        <w:t>Supofen</w:t>
      </w:r>
      <w:r w:rsidRPr="00794F42">
        <w:rPr>
          <w:rFonts w:ascii="Times New Roman" w:eastAsia="Times New Roman" w:hAnsi="Times New Roman" w:cs="Times New Roman"/>
          <w:b/>
          <w:kern w:val="0"/>
          <w14:ligatures w14:val="none"/>
        </w:rPr>
        <w:t xml:space="preserve"> </w:t>
      </w:r>
    </w:p>
    <w:p w14:paraId="1E464B5F"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9C63E0D"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Šį vaistą laikykite vaikams nepastebimoje ir nepasiekiamoje vietoje.</w:t>
      </w:r>
    </w:p>
    <w:p w14:paraId="15473797"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p>
    <w:p w14:paraId="682C5E8A"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Ant buteliuko po EXP nurodytam tinkamumo laikui pasibaigus, šio vaisto vartoti negalima. Vaistas tinkamas vartoti iki paskutinės nurodyto mėnesio dienos.</w:t>
      </w:r>
    </w:p>
    <w:p w14:paraId="0933C74D"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p>
    <w:p w14:paraId="22718F6B"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Laikyti ne aukštesnėje kaip 30 ºC temperatūroje.</w:t>
      </w:r>
    </w:p>
    <w:p w14:paraId="7997C96B"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Laikyti gamintojo pakuotėje, kad vaistas būtų apsaugotas nuo šviesos.</w:t>
      </w:r>
    </w:p>
    <w:p w14:paraId="4F170DFF"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p>
    <w:p w14:paraId="4280E0DB"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Vienkartiniam vartojimui. Atidarius, vaistą būtina suvartoti iš karto. Nesuvartotą tirpalo likutį reikia išpilti.</w:t>
      </w:r>
    </w:p>
    <w:p w14:paraId="653EF6A4"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p>
    <w:p w14:paraId="3B88DD8D" w14:textId="1F992C8B"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Prieš vartojant vaistą reikia apžiūrėti. Nevartokite </w:t>
      </w:r>
      <w:r w:rsidR="00A250D7">
        <w:rPr>
          <w:rFonts w:ascii="Times New Roman" w:eastAsia="Times New Roman" w:hAnsi="Times New Roman" w:cs="Times New Roman"/>
          <w:kern w:val="0"/>
          <w14:ligatures w14:val="none"/>
        </w:rPr>
        <w:t>Supofen</w:t>
      </w:r>
      <w:r w:rsidRPr="00794F42">
        <w:rPr>
          <w:rFonts w:ascii="Times New Roman" w:eastAsia="Times New Roman" w:hAnsi="Times New Roman" w:cs="Times New Roman"/>
          <w:kern w:val="0"/>
          <w14:ligatures w14:val="none"/>
        </w:rPr>
        <w:t>, jeigu pastebėjote kokių nors kietųjų dalelių arba jeigu pasikeitė spalva.</w:t>
      </w:r>
    </w:p>
    <w:p w14:paraId="0CA83A40" w14:textId="77777777" w:rsidR="00794F42" w:rsidRPr="00794F42" w:rsidRDefault="00794F42" w:rsidP="00794F42">
      <w:pPr>
        <w:suppressAutoHyphens/>
        <w:spacing w:after="0" w:line="240" w:lineRule="auto"/>
        <w:rPr>
          <w:rFonts w:ascii="Times New Roman" w:eastAsia="Times New Roman" w:hAnsi="Times New Roman" w:cs="Times New Roman"/>
          <w:kern w:val="0"/>
          <w14:ligatures w14:val="none"/>
        </w:rPr>
      </w:pPr>
    </w:p>
    <w:p w14:paraId="2CCF5C6D"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i/>
          <w:snapToGrid w:val="0"/>
          <w:kern w:val="0"/>
          <w14:ligatures w14:val="none"/>
        </w:rPr>
      </w:pPr>
      <w:r w:rsidRPr="00794F42">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2A199DC3"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noProof/>
          <w:snapToGrid w:val="0"/>
          <w:kern w:val="0"/>
          <w14:ligatures w14:val="none"/>
        </w:rPr>
      </w:pPr>
    </w:p>
    <w:p w14:paraId="33C6055A"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noProof/>
          <w:snapToGrid w:val="0"/>
          <w:kern w:val="0"/>
          <w14:ligatures w14:val="none"/>
        </w:rPr>
      </w:pPr>
    </w:p>
    <w:p w14:paraId="4EC81A6C" w14:textId="77777777" w:rsidR="00794F42" w:rsidRPr="00794F42" w:rsidRDefault="00794F42" w:rsidP="00794F42">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794F42">
        <w:rPr>
          <w:rFonts w:ascii="Times New Roman" w:eastAsia="Times New Roman" w:hAnsi="Times New Roman" w:cs="Times New Roman"/>
          <w:b/>
          <w:bCs/>
          <w:snapToGrid w:val="0"/>
          <w:kern w:val="0"/>
          <w:lang w:eastAsia="x-none"/>
          <w14:ligatures w14:val="none"/>
        </w:rPr>
        <w:t>6.</w:t>
      </w:r>
      <w:r w:rsidRPr="00794F42">
        <w:rPr>
          <w:rFonts w:ascii="Times New Roman" w:eastAsia="Times New Roman" w:hAnsi="Times New Roman" w:cs="Times New Roman"/>
          <w:bCs/>
          <w:snapToGrid w:val="0"/>
          <w:kern w:val="0"/>
          <w:lang w:eastAsia="x-none"/>
          <w14:ligatures w14:val="none"/>
        </w:rPr>
        <w:tab/>
      </w:r>
      <w:r w:rsidRPr="00794F42">
        <w:rPr>
          <w:rFonts w:ascii="Times New Roman" w:eastAsia="Times New Roman" w:hAnsi="Times New Roman" w:cs="Times New Roman"/>
          <w:b/>
          <w:bCs/>
          <w:snapToGrid w:val="0"/>
          <w:kern w:val="0"/>
          <w:lang w:eastAsia="x-none"/>
          <w14:ligatures w14:val="none"/>
        </w:rPr>
        <w:t>Pakuotės turinys ir kita informacija</w:t>
      </w:r>
    </w:p>
    <w:p w14:paraId="6DAA7B12" w14:textId="77777777" w:rsidR="00794F42" w:rsidRPr="00794F42" w:rsidRDefault="00794F42" w:rsidP="00794F42">
      <w:pPr>
        <w:numPr>
          <w:ilvl w:val="12"/>
          <w:numId w:val="0"/>
        </w:numPr>
        <w:spacing w:after="0" w:line="240" w:lineRule="auto"/>
        <w:rPr>
          <w:rFonts w:ascii="Times New Roman" w:eastAsia="Times New Roman" w:hAnsi="Times New Roman" w:cs="Times New Roman"/>
          <w:snapToGrid w:val="0"/>
          <w:kern w:val="0"/>
          <w14:ligatures w14:val="none"/>
        </w:rPr>
      </w:pPr>
    </w:p>
    <w:p w14:paraId="40405993" w14:textId="2BE71993" w:rsidR="00794F42" w:rsidRPr="00794F42" w:rsidRDefault="00A250D7" w:rsidP="00794F42">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Pr>
          <w:rFonts w:ascii="Times New Roman" w:eastAsia="Times New Roman" w:hAnsi="Times New Roman" w:cs="Times New Roman"/>
          <w:b/>
          <w:kern w:val="0"/>
          <w14:ligatures w14:val="none"/>
        </w:rPr>
        <w:t>Supofen</w:t>
      </w:r>
      <w:r w:rsidR="00794F42" w:rsidRPr="00794F42">
        <w:rPr>
          <w:rFonts w:ascii="Times New Roman" w:eastAsia="Times New Roman" w:hAnsi="Times New Roman" w:cs="Times New Roman"/>
          <w:b/>
          <w:kern w:val="0"/>
          <w14:ligatures w14:val="none"/>
        </w:rPr>
        <w:t xml:space="preserve"> sudėtis</w:t>
      </w:r>
      <w:r w:rsidR="00794F42" w:rsidRPr="00794F42">
        <w:rPr>
          <w:rFonts w:ascii="Times New Roman" w:eastAsia="Times New Roman" w:hAnsi="Times New Roman" w:cs="Times New Roman"/>
          <w:b/>
          <w:bCs/>
          <w:snapToGrid w:val="0"/>
          <w:kern w:val="0"/>
          <w:lang w:eastAsia="x-none"/>
          <w14:ligatures w14:val="none"/>
        </w:rPr>
        <w:t xml:space="preserve"> </w:t>
      </w:r>
    </w:p>
    <w:p w14:paraId="7FB935F0" w14:textId="77777777" w:rsidR="00794F42" w:rsidRPr="00794F42" w:rsidRDefault="00794F42" w:rsidP="00794F42">
      <w:pPr>
        <w:numPr>
          <w:ilvl w:val="0"/>
          <w:numId w:val="1"/>
        </w:num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Veiklioji medžiaga yra paracetamolis. 1 ml infuzinio tirpalo tirpalo yra 10 mg paracetamolio. </w:t>
      </w:r>
    </w:p>
    <w:p w14:paraId="7F573AB6" w14:textId="77777777" w:rsidR="00794F42" w:rsidRPr="00794F42" w:rsidRDefault="00794F42" w:rsidP="00794F42">
      <w:pPr>
        <w:suppressAutoHyphens/>
        <w:spacing w:after="0" w:line="240" w:lineRule="auto"/>
        <w:ind w:left="360"/>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sz w:val="24"/>
          <w:szCs w:val="20"/>
          <w14:ligatures w14:val="none"/>
        </w:rPr>
        <w:t xml:space="preserve">Kiekviename </w:t>
      </w:r>
      <w:r w:rsidRPr="00794F42">
        <w:rPr>
          <w:rFonts w:ascii="Times New Roman" w:eastAsia="Times New Roman" w:hAnsi="Times New Roman" w:cs="Times New Roman"/>
          <w:kern w:val="0"/>
          <w14:ligatures w14:val="none"/>
        </w:rPr>
        <w:t>buteliuke (100 ml) yra 1000 mg paracetamolio.</w:t>
      </w:r>
    </w:p>
    <w:p w14:paraId="50744224" w14:textId="77777777" w:rsidR="00794F42" w:rsidRPr="00794F42" w:rsidRDefault="00794F42" w:rsidP="00794F42">
      <w:pPr>
        <w:numPr>
          <w:ilvl w:val="0"/>
          <w:numId w:val="7"/>
        </w:numPr>
        <w:suppressAutoHyphens/>
        <w:spacing w:after="0" w:line="240" w:lineRule="auto"/>
        <w:ind w:left="284"/>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Pagalbinės medžiagos yra dinatrio edetatas, dinatrio fosfato dihidratas, koncentruota vandenilio chlorido rūgštis, manitolis (E421), natrio hidroksidas ir injekcinis vanduo.</w:t>
      </w:r>
    </w:p>
    <w:p w14:paraId="171A39D2"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snapToGrid w:val="0"/>
          <w:kern w:val="0"/>
          <w14:ligatures w14:val="none"/>
        </w:rPr>
      </w:pPr>
    </w:p>
    <w:p w14:paraId="6428DF7D" w14:textId="5FC7C8F0" w:rsidR="00794F42" w:rsidRPr="00794F42" w:rsidRDefault="00A250D7" w:rsidP="00794F42">
      <w:pPr>
        <w:keepNext/>
        <w:tabs>
          <w:tab w:val="left" w:pos="567"/>
        </w:tabs>
        <w:spacing w:after="0" w:line="260" w:lineRule="exact"/>
        <w:jc w:val="both"/>
        <w:outlineLvl w:val="3"/>
        <w:rPr>
          <w:rFonts w:ascii="Times New Roman" w:eastAsia="Times New Roman" w:hAnsi="Times New Roman" w:cs="Times New Roman"/>
          <w:b/>
          <w:bCs/>
          <w:snapToGrid w:val="0"/>
          <w:kern w:val="0"/>
          <w:lang w:eastAsia="x-none"/>
          <w14:ligatures w14:val="none"/>
        </w:rPr>
      </w:pPr>
      <w:r>
        <w:rPr>
          <w:rFonts w:ascii="Times New Roman" w:eastAsia="Times New Roman" w:hAnsi="Times New Roman" w:cs="Times New Roman"/>
          <w:b/>
          <w:kern w:val="0"/>
          <w14:ligatures w14:val="none"/>
        </w:rPr>
        <w:t>Supofen</w:t>
      </w:r>
      <w:r w:rsidR="00794F42" w:rsidRPr="00794F42">
        <w:rPr>
          <w:rFonts w:ascii="Times New Roman" w:eastAsia="Times New Roman" w:hAnsi="Times New Roman" w:cs="Times New Roman"/>
          <w:b/>
          <w:kern w:val="0"/>
          <w14:ligatures w14:val="none"/>
        </w:rPr>
        <w:t xml:space="preserve"> išvaizda ir kiekis pakuotėje</w:t>
      </w:r>
    </w:p>
    <w:p w14:paraId="740D6BFA" w14:textId="26ACC3B3" w:rsidR="00794F42" w:rsidRPr="00794F42" w:rsidRDefault="00A250D7" w:rsidP="00794F42">
      <w:pPr>
        <w:numPr>
          <w:ilvl w:val="12"/>
          <w:numId w:val="0"/>
        </w:numPr>
        <w:suppressAutoHyphen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yra skaidrus tirpalas be matomų kietųjų dalelių, tiekiamas polipropileno buteliukuose su dvigubais arba nuimamais polipropileno kamščiais su poliizopreninio kaučiuko dangteliu.</w:t>
      </w:r>
    </w:p>
    <w:p w14:paraId="2FF11772" w14:textId="77777777" w:rsidR="00A250D7" w:rsidRPr="00794F42" w:rsidRDefault="00A250D7" w:rsidP="00A250D7">
      <w:pPr>
        <w:numPr>
          <w:ilvl w:val="12"/>
          <w:numId w:val="0"/>
        </w:numPr>
        <w:suppressAutoHyphens/>
        <w:spacing w:after="0" w:line="240" w:lineRule="auto"/>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Kiekviename buteliuke yra 100 ml infuzinio tirpalo.</w:t>
      </w:r>
    </w:p>
    <w:p w14:paraId="41F45D71" w14:textId="4CB052C1" w:rsidR="00794F42" w:rsidRPr="00794F42" w:rsidRDefault="00A250D7" w:rsidP="00794F42">
      <w:pPr>
        <w:numPr>
          <w:ilvl w:val="12"/>
          <w:numId w:val="0"/>
        </w:numPr>
        <w:suppressAutoHyphen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teikiamas po 50 buteliukų. </w:t>
      </w:r>
    </w:p>
    <w:p w14:paraId="56B18932" w14:textId="77777777" w:rsidR="00794F42" w:rsidRPr="00794F42" w:rsidRDefault="00794F42" w:rsidP="00794F42">
      <w:pPr>
        <w:numPr>
          <w:ilvl w:val="12"/>
          <w:numId w:val="0"/>
        </w:numPr>
        <w:suppressAutoHyphens/>
        <w:spacing w:after="0" w:line="240" w:lineRule="auto"/>
        <w:jc w:val="both"/>
        <w:rPr>
          <w:rFonts w:ascii="Times New Roman" w:eastAsia="Times New Roman" w:hAnsi="Times New Roman" w:cs="Times New Roman"/>
          <w:kern w:val="0"/>
          <w14:ligatures w14:val="none"/>
        </w:rPr>
      </w:pPr>
    </w:p>
    <w:p w14:paraId="31F6DD9C" w14:textId="33892DB0" w:rsidR="00794F42" w:rsidRPr="00794F42" w:rsidRDefault="00794F42" w:rsidP="00794F42">
      <w:pPr>
        <w:keepNext/>
        <w:numPr>
          <w:ilvl w:val="12"/>
          <w:numId w:val="0"/>
        </w:numPr>
        <w:spacing w:after="0" w:line="240" w:lineRule="auto"/>
        <w:ind w:right="-2"/>
        <w:rPr>
          <w:rFonts w:ascii="Times New Roman" w:eastAsia="Times New Roman" w:hAnsi="Times New Roman" w:cs="Times New Roman"/>
          <w:b/>
          <w:kern w:val="0"/>
          <w14:ligatures w14:val="none"/>
        </w:rPr>
      </w:pPr>
      <w:r w:rsidRPr="00794F42">
        <w:rPr>
          <w:rFonts w:ascii="Times New Roman" w:eastAsia="Times New Roman" w:hAnsi="Times New Roman" w:cs="Times New Roman"/>
          <w:b/>
          <w:kern w:val="0"/>
          <w14:ligatures w14:val="none"/>
        </w:rPr>
        <w:t xml:space="preserve">Registruotojas </w:t>
      </w:r>
      <w:r>
        <w:rPr>
          <w:rFonts w:ascii="Times New Roman" w:eastAsia="Times New Roman" w:hAnsi="Times New Roman" w:cs="Times New Roman"/>
          <w:b/>
          <w:kern w:val="0"/>
          <w14:ligatures w14:val="none"/>
        </w:rPr>
        <w:t xml:space="preserve">eksportuojančioje valstybėje </w:t>
      </w:r>
      <w:r w:rsidRPr="00794F42">
        <w:rPr>
          <w:rFonts w:ascii="Times New Roman" w:eastAsia="Times New Roman" w:hAnsi="Times New Roman" w:cs="Times New Roman"/>
          <w:b/>
          <w:kern w:val="0"/>
          <w14:ligatures w14:val="none"/>
        </w:rPr>
        <w:t>ir gamintojas</w:t>
      </w:r>
    </w:p>
    <w:p w14:paraId="66A06EE7" w14:textId="77777777" w:rsidR="00794F42" w:rsidRPr="00794F42" w:rsidRDefault="00794F42" w:rsidP="00794F42">
      <w:pPr>
        <w:suppressAutoHyphens/>
        <w:spacing w:after="0" w:line="240" w:lineRule="auto"/>
        <w:rPr>
          <w:rFonts w:ascii="Times New Roman" w:eastAsia="Times New Roman" w:hAnsi="Times New Roman" w:cs="Times New Roman"/>
          <w:bCs/>
          <w:kern w:val="0"/>
          <w:u w:val="single"/>
          <w14:ligatures w14:val="none"/>
        </w:rPr>
      </w:pPr>
      <w:r w:rsidRPr="00794F42">
        <w:rPr>
          <w:rFonts w:ascii="Times New Roman" w:eastAsia="Times New Roman" w:hAnsi="Times New Roman" w:cs="Times New Roman"/>
          <w:kern w:val="0"/>
          <w:u w:val="single"/>
          <w14:ligatures w14:val="none"/>
        </w:rPr>
        <w:t>Registruotojas</w:t>
      </w:r>
    </w:p>
    <w:p w14:paraId="33CB8DD4"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Laboratórios Basi - Indústria Farmacêutica, S.A. </w:t>
      </w:r>
    </w:p>
    <w:p w14:paraId="230CC5CD"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Parque Industrial Manuel Lourenço Ferreira, Lote 15 </w:t>
      </w:r>
    </w:p>
    <w:p w14:paraId="3C0CFD66"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3450-232 Mortágua</w:t>
      </w:r>
    </w:p>
    <w:p w14:paraId="5962072C"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Portugalija</w:t>
      </w:r>
    </w:p>
    <w:p w14:paraId="199FDB8C" w14:textId="77777777" w:rsidR="00794F42" w:rsidRDefault="00794F42" w:rsidP="00794F42">
      <w:pPr>
        <w:suppressAutoHyphens/>
        <w:spacing w:after="0" w:line="240" w:lineRule="auto"/>
        <w:rPr>
          <w:rFonts w:ascii="Times New Roman" w:eastAsia="Times New Roman" w:hAnsi="Times New Roman" w:cs="Times New Roman"/>
          <w:kern w:val="0"/>
          <w:u w:val="single"/>
          <w14:ligatures w14:val="none"/>
        </w:rPr>
      </w:pPr>
    </w:p>
    <w:p w14:paraId="0758ACE8" w14:textId="30AA8AE9" w:rsidR="00794F42" w:rsidRPr="00794F42" w:rsidRDefault="00794F42" w:rsidP="00794F42">
      <w:pPr>
        <w:suppressAutoHyphens/>
        <w:spacing w:after="0" w:line="240" w:lineRule="auto"/>
        <w:rPr>
          <w:rFonts w:ascii="Times New Roman" w:eastAsia="Times New Roman" w:hAnsi="Times New Roman" w:cs="Times New Roman"/>
          <w:bCs/>
          <w:kern w:val="0"/>
          <w:u w:val="single"/>
          <w14:ligatures w14:val="none"/>
        </w:rPr>
      </w:pPr>
      <w:r w:rsidRPr="00794F42">
        <w:rPr>
          <w:rFonts w:ascii="Times New Roman" w:eastAsia="Times New Roman" w:hAnsi="Times New Roman" w:cs="Times New Roman"/>
          <w:kern w:val="0"/>
          <w:u w:val="single"/>
          <w14:ligatures w14:val="none"/>
        </w:rPr>
        <w:t>Gamintojas</w:t>
      </w:r>
    </w:p>
    <w:p w14:paraId="6FEDF7E0"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Laboratórios Basi - Indústria Farmacêutica, S.A. </w:t>
      </w:r>
    </w:p>
    <w:p w14:paraId="174B440A"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Parque Industrial Manuel Lourenço Ferreira, Lotes 8, 15, 16 </w:t>
      </w:r>
    </w:p>
    <w:p w14:paraId="3D7DEA42"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3450-232 Mortágua</w:t>
      </w:r>
    </w:p>
    <w:p w14:paraId="2290A96A" w14:textId="77777777" w:rsidR="00794F42" w:rsidRPr="00794F42" w:rsidRDefault="00794F42" w:rsidP="00794F42">
      <w:pPr>
        <w:spacing w:after="0" w:line="240" w:lineRule="auto"/>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Portugalija</w:t>
      </w:r>
    </w:p>
    <w:p w14:paraId="57145950" w14:textId="77777777" w:rsidR="00794F42" w:rsidRDefault="00794F42" w:rsidP="00794F42">
      <w:pPr>
        <w:tabs>
          <w:tab w:val="left" w:pos="567"/>
        </w:tabs>
        <w:spacing w:after="0" w:line="260" w:lineRule="exact"/>
        <w:ind w:left="567" w:hanging="567"/>
        <w:rPr>
          <w:rFonts w:ascii="Times New Roman" w:eastAsia="Times New Roman" w:hAnsi="Times New Roman" w:cs="Times New Roman"/>
          <w:snapToGrid w:val="0"/>
          <w:kern w:val="0"/>
          <w14:ligatures w14:val="none"/>
        </w:rPr>
      </w:pPr>
    </w:p>
    <w:p w14:paraId="3B200E1C" w14:textId="77777777" w:rsidR="001A743B" w:rsidRPr="00F90BE1" w:rsidRDefault="001A743B" w:rsidP="001A743B">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90BE1">
        <w:rPr>
          <w:rFonts w:ascii="Times New Roman" w:eastAsia="Times New Roman" w:hAnsi="Times New Roman" w:cs="Times New Roman"/>
          <w:b/>
          <w:lang w:eastAsia="fr-FR"/>
        </w:rPr>
        <w:t>Lygiagretus importuotojas</w:t>
      </w:r>
    </w:p>
    <w:p w14:paraId="57CA1F16" w14:textId="77777777" w:rsidR="001A743B" w:rsidRPr="00F90BE1" w:rsidRDefault="001A743B" w:rsidP="001A743B">
      <w:pPr>
        <w:spacing w:after="0" w:line="240" w:lineRule="auto"/>
        <w:rPr>
          <w:rFonts w:ascii="Times New Roman" w:eastAsia="Times New Roman" w:hAnsi="Times New Roman" w:cs="Times New Roman"/>
          <w:lang w:eastAsia="lt-LT"/>
        </w:rPr>
      </w:pPr>
      <w:r w:rsidRPr="00F90BE1">
        <w:rPr>
          <w:rFonts w:ascii="Times New Roman" w:eastAsia="Times New Roman" w:hAnsi="Times New Roman" w:cs="Times New Roman"/>
          <w:lang w:eastAsia="lt-LT"/>
        </w:rPr>
        <w:t xml:space="preserve">UAB </w:t>
      </w:r>
      <w:r w:rsidRPr="00F90BE1">
        <w:rPr>
          <w:rFonts w:ascii="Times New Roman" w:eastAsia="Times New Roman" w:hAnsi="Times New Roman" w:cs="Times New Roman"/>
          <w:lang w:eastAsia="fr-FR"/>
        </w:rPr>
        <w:t>„</w:t>
      </w:r>
      <w:r w:rsidRPr="00F90BE1">
        <w:rPr>
          <w:rFonts w:ascii="Times New Roman" w:eastAsia="Times New Roman" w:hAnsi="Times New Roman" w:cs="Times New Roman"/>
          <w:lang w:eastAsia="lt-LT"/>
        </w:rPr>
        <w:t>Ideal Trade Links</w:t>
      </w:r>
      <w:r w:rsidRPr="00F90BE1">
        <w:rPr>
          <w:rFonts w:ascii="Times New Roman" w:eastAsia="Times New Roman" w:hAnsi="Times New Roman" w:cs="Times New Roman"/>
          <w:lang w:eastAsia="fr-FR"/>
        </w:rPr>
        <w:t>“</w:t>
      </w:r>
    </w:p>
    <w:p w14:paraId="001783CF" w14:textId="77777777" w:rsidR="001A743B" w:rsidRPr="00F90BE1" w:rsidRDefault="001A743B" w:rsidP="001A743B">
      <w:pPr>
        <w:spacing w:after="0" w:line="240" w:lineRule="auto"/>
        <w:rPr>
          <w:rFonts w:ascii="Times New Roman" w:hAnsi="Times New Roman" w:cs="Times New Roman"/>
        </w:rPr>
      </w:pPr>
      <w:r w:rsidRPr="00F90BE1">
        <w:rPr>
          <w:rFonts w:ascii="Times New Roman" w:eastAsia="Times New Roman" w:hAnsi="Times New Roman" w:cs="Times New Roman"/>
        </w:rPr>
        <w:t>Kerupės g. 17, Zapyškis</w:t>
      </w:r>
    </w:p>
    <w:p w14:paraId="2128567F" w14:textId="77777777" w:rsidR="001A743B" w:rsidRPr="00F90BE1" w:rsidRDefault="001A743B" w:rsidP="001A743B">
      <w:pPr>
        <w:spacing w:after="0" w:line="240" w:lineRule="auto"/>
        <w:rPr>
          <w:rFonts w:ascii="Times New Roman" w:eastAsia="Times New Roman" w:hAnsi="Times New Roman" w:cs="Times New Roman"/>
        </w:rPr>
      </w:pPr>
      <w:r w:rsidRPr="00F90BE1">
        <w:rPr>
          <w:rFonts w:ascii="Times New Roman" w:eastAsia="Times New Roman" w:hAnsi="Times New Roman" w:cs="Times New Roman"/>
        </w:rPr>
        <w:t>LT-53431 Kauno r.</w:t>
      </w:r>
    </w:p>
    <w:p w14:paraId="238B05C1" w14:textId="77777777" w:rsidR="001A743B" w:rsidRPr="00F90BE1" w:rsidRDefault="001A743B" w:rsidP="001A743B">
      <w:pPr>
        <w:spacing w:after="0" w:line="240" w:lineRule="auto"/>
        <w:rPr>
          <w:rFonts w:ascii="Times New Roman" w:eastAsia="Times New Roman" w:hAnsi="Times New Roman" w:cs="Times New Roman"/>
        </w:rPr>
      </w:pPr>
      <w:r w:rsidRPr="00F90BE1">
        <w:rPr>
          <w:rFonts w:ascii="Times New Roman" w:eastAsia="Times New Roman" w:hAnsi="Times New Roman" w:cs="Times New Roman"/>
        </w:rPr>
        <w:t>Lietuva</w:t>
      </w:r>
    </w:p>
    <w:p w14:paraId="27688665" w14:textId="77777777" w:rsidR="001A743B" w:rsidRPr="00F90BE1" w:rsidRDefault="001A743B" w:rsidP="001A743B">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2FA7CC9E" w14:textId="77777777" w:rsidR="001A743B" w:rsidRPr="00F90BE1" w:rsidRDefault="001A743B" w:rsidP="001A743B">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F90BE1">
        <w:rPr>
          <w:rFonts w:ascii="Times New Roman" w:eastAsia="Times New Roman" w:hAnsi="Times New Roman" w:cs="Times New Roman"/>
          <w:b/>
          <w:lang w:eastAsia="fr-FR"/>
        </w:rPr>
        <w:t xml:space="preserve">Perpakavo </w:t>
      </w:r>
    </w:p>
    <w:p w14:paraId="5361918E" w14:textId="77777777" w:rsidR="001A743B" w:rsidRPr="00F90BE1" w:rsidRDefault="001A743B" w:rsidP="001A743B">
      <w:pPr>
        <w:spacing w:after="0" w:line="240" w:lineRule="auto"/>
        <w:rPr>
          <w:rFonts w:ascii="Times New Roman" w:eastAsia="Times New Roman" w:hAnsi="Times New Roman" w:cs="Times New Roman"/>
          <w:bCs/>
          <w:iCs/>
          <w:lang w:eastAsia="lt-LT"/>
        </w:rPr>
      </w:pPr>
      <w:r w:rsidRPr="00F90BE1">
        <w:rPr>
          <w:rFonts w:ascii="Times New Roman" w:eastAsia="Times New Roman" w:hAnsi="Times New Roman" w:cs="Times New Roman"/>
          <w:bCs/>
          <w:iCs/>
          <w:lang w:eastAsia="lt-LT"/>
        </w:rPr>
        <w:t>UAB „Entafarma“</w:t>
      </w:r>
    </w:p>
    <w:p w14:paraId="6119CB5A" w14:textId="77777777" w:rsidR="001A743B" w:rsidRPr="00F90BE1" w:rsidRDefault="001A743B" w:rsidP="001A743B">
      <w:pPr>
        <w:spacing w:after="0" w:line="240" w:lineRule="auto"/>
        <w:rPr>
          <w:rFonts w:ascii="Times New Roman" w:eastAsia="Times New Roman" w:hAnsi="Times New Roman" w:cs="Times New Roman"/>
          <w:bCs/>
          <w:iCs/>
          <w:lang w:eastAsia="lt-LT"/>
        </w:rPr>
      </w:pPr>
      <w:r w:rsidRPr="00F90BE1">
        <w:rPr>
          <w:rFonts w:ascii="Times New Roman" w:eastAsia="Times New Roman" w:hAnsi="Times New Roman" w:cs="Times New Roman"/>
          <w:bCs/>
          <w:iCs/>
          <w:lang w:eastAsia="lt-LT"/>
        </w:rPr>
        <w:t>Klonėnų vs. 1</w:t>
      </w:r>
    </w:p>
    <w:p w14:paraId="359B2293" w14:textId="77777777" w:rsidR="001A743B" w:rsidRPr="00F90BE1" w:rsidRDefault="001A743B" w:rsidP="001A743B">
      <w:pPr>
        <w:spacing w:after="0" w:line="240" w:lineRule="auto"/>
        <w:rPr>
          <w:rFonts w:ascii="Times New Roman" w:eastAsia="Times New Roman" w:hAnsi="Times New Roman" w:cs="Times New Roman"/>
          <w:bCs/>
          <w:iCs/>
          <w:lang w:eastAsia="lt-LT"/>
        </w:rPr>
      </w:pPr>
      <w:r w:rsidRPr="00F90BE1">
        <w:rPr>
          <w:rFonts w:ascii="Times New Roman" w:eastAsia="Times New Roman" w:hAnsi="Times New Roman" w:cs="Times New Roman"/>
          <w:bCs/>
          <w:iCs/>
          <w:lang w:eastAsia="lt-LT"/>
        </w:rPr>
        <w:t>LT-19156 Širvintų r. sav., Jauniūnų sen.</w:t>
      </w:r>
    </w:p>
    <w:p w14:paraId="1B8A23F1" w14:textId="77777777" w:rsidR="001A743B" w:rsidRPr="00F90BE1" w:rsidRDefault="001A743B" w:rsidP="001A743B">
      <w:pPr>
        <w:spacing w:after="0" w:line="240" w:lineRule="auto"/>
        <w:ind w:left="567" w:hanging="567"/>
        <w:rPr>
          <w:rFonts w:ascii="Times New Roman" w:eastAsia="Calibri" w:hAnsi="Times New Roman" w:cs="Times New Roman"/>
          <w:b/>
        </w:rPr>
      </w:pPr>
      <w:r w:rsidRPr="00F90BE1">
        <w:rPr>
          <w:rFonts w:ascii="Times New Roman" w:eastAsia="Times New Roman" w:hAnsi="Times New Roman" w:cs="Times New Roman"/>
          <w:bCs/>
          <w:iCs/>
          <w:lang w:eastAsia="lt-LT"/>
        </w:rPr>
        <w:t>Lietuva</w:t>
      </w:r>
    </w:p>
    <w:p w14:paraId="1D91936B" w14:textId="77777777" w:rsidR="001A743B" w:rsidRPr="00F90BE1" w:rsidRDefault="001A743B" w:rsidP="001A74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74D1328E" w14:textId="77777777" w:rsidR="001A743B" w:rsidRPr="00F90BE1" w:rsidRDefault="001A743B" w:rsidP="001A743B">
      <w:pPr>
        <w:spacing w:after="0" w:line="240" w:lineRule="auto"/>
        <w:rPr>
          <w:rFonts w:ascii="Times New Roman" w:hAnsi="Times New Roman" w:cs="Times New Roman"/>
          <w:bCs/>
          <w:iCs/>
        </w:rPr>
      </w:pPr>
      <w:r w:rsidRPr="00F90BE1">
        <w:rPr>
          <w:rFonts w:ascii="Times New Roman" w:hAnsi="Times New Roman" w:cs="Times New Roman"/>
          <w:bCs/>
          <w:iCs/>
        </w:rPr>
        <w:t xml:space="preserve">arba </w:t>
      </w:r>
    </w:p>
    <w:p w14:paraId="188D64C1" w14:textId="77777777" w:rsidR="001A743B" w:rsidRPr="00F90BE1" w:rsidRDefault="001A743B" w:rsidP="001A743B">
      <w:pPr>
        <w:spacing w:after="0" w:line="240" w:lineRule="auto"/>
        <w:rPr>
          <w:rFonts w:ascii="Times New Roman" w:hAnsi="Times New Roman" w:cs="Times New Roman"/>
          <w:bCs/>
          <w:iCs/>
        </w:rPr>
      </w:pPr>
    </w:p>
    <w:p w14:paraId="035EFAA3" w14:textId="77777777" w:rsidR="001A743B" w:rsidRPr="00F90BE1" w:rsidRDefault="001A743B" w:rsidP="001A743B">
      <w:pPr>
        <w:spacing w:after="0" w:line="240" w:lineRule="auto"/>
        <w:rPr>
          <w:rFonts w:ascii="Times New Roman" w:hAnsi="Times New Roman" w:cs="Times New Roman"/>
          <w:color w:val="010E18"/>
        </w:rPr>
      </w:pPr>
      <w:r w:rsidRPr="00F90BE1">
        <w:rPr>
          <w:rFonts w:ascii="Times New Roman" w:hAnsi="Times New Roman" w:cs="Times New Roman"/>
          <w:color w:val="010E18"/>
        </w:rPr>
        <w:t xml:space="preserve">Cefea Sp. z o.o. </w:t>
      </w:r>
      <w:r w:rsidRPr="00F90BE1">
        <w:rPr>
          <w:rFonts w:ascii="Times New Roman" w:eastAsia="Times New Roman" w:hAnsi="Times New Roman" w:cs="Times New Roman"/>
          <w:color w:val="010E18"/>
          <w:lang w:eastAsia="lt-LT"/>
        </w:rPr>
        <w:t>S.</w:t>
      </w:r>
      <w:r w:rsidRPr="00F90BE1">
        <w:rPr>
          <w:rFonts w:ascii="Times New Roman" w:eastAsia="Times New Roman" w:hAnsi="Times New Roman" w:cs="Times New Roman"/>
          <w:lang w:eastAsia="lt-LT"/>
        </w:rPr>
        <w:t>K.</w:t>
      </w:r>
    </w:p>
    <w:p w14:paraId="6DC1ED5E" w14:textId="77777777" w:rsidR="001A743B" w:rsidRPr="00F90BE1" w:rsidRDefault="001A743B" w:rsidP="001A743B">
      <w:pPr>
        <w:spacing w:after="0" w:line="240" w:lineRule="auto"/>
        <w:rPr>
          <w:rFonts w:ascii="Times New Roman" w:hAnsi="Times New Roman" w:cs="Times New Roman"/>
          <w:color w:val="010E18"/>
        </w:rPr>
      </w:pPr>
      <w:r w:rsidRPr="00F90BE1">
        <w:rPr>
          <w:rFonts w:ascii="Times New Roman" w:hAnsi="Times New Roman" w:cs="Times New Roman"/>
          <w:color w:val="010E18"/>
        </w:rPr>
        <w:t>ul. Działkowa 56</w:t>
      </w:r>
    </w:p>
    <w:p w14:paraId="43BC2B28" w14:textId="77777777" w:rsidR="001A743B" w:rsidRPr="00F90BE1" w:rsidRDefault="001A743B" w:rsidP="001A743B">
      <w:pPr>
        <w:spacing w:after="0" w:line="240" w:lineRule="auto"/>
        <w:rPr>
          <w:rFonts w:ascii="Times New Roman" w:hAnsi="Times New Roman" w:cs="Times New Roman"/>
          <w:color w:val="010E18"/>
        </w:rPr>
      </w:pPr>
      <w:r w:rsidRPr="00F90BE1">
        <w:rPr>
          <w:rFonts w:ascii="Times New Roman" w:hAnsi="Times New Roman" w:cs="Times New Roman"/>
          <w:color w:val="010E18"/>
        </w:rPr>
        <w:t xml:space="preserve">02-234 Warszaw </w:t>
      </w:r>
    </w:p>
    <w:p w14:paraId="24D068B0" w14:textId="77777777" w:rsidR="001A743B" w:rsidRPr="00F90BE1" w:rsidRDefault="001A743B" w:rsidP="001A743B">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F90BE1">
        <w:rPr>
          <w:rFonts w:ascii="Times New Roman" w:hAnsi="Times New Roman" w:cs="Times New Roman"/>
          <w:color w:val="010E18"/>
        </w:rPr>
        <w:t>Lenkija</w:t>
      </w:r>
    </w:p>
    <w:p w14:paraId="6A4CE287" w14:textId="77777777" w:rsidR="001A743B" w:rsidRPr="00F90BE1" w:rsidRDefault="001A743B" w:rsidP="001A743B">
      <w:pPr>
        <w:spacing w:after="0" w:line="240" w:lineRule="auto"/>
        <w:rPr>
          <w:rFonts w:ascii="Times New Roman" w:hAnsi="Times New Roman" w:cs="Times New Roman"/>
          <w:iCs/>
        </w:rPr>
      </w:pPr>
    </w:p>
    <w:p w14:paraId="229B56E5" w14:textId="77777777" w:rsidR="001A743B" w:rsidRPr="00F90BE1" w:rsidRDefault="001A743B" w:rsidP="001A743B">
      <w:pPr>
        <w:spacing w:after="0" w:line="240" w:lineRule="auto"/>
        <w:rPr>
          <w:rFonts w:ascii="Times New Roman" w:hAnsi="Times New Roman" w:cs="Times New Roman"/>
          <w:bCs/>
          <w:iCs/>
        </w:rPr>
      </w:pPr>
      <w:r w:rsidRPr="00F90BE1">
        <w:rPr>
          <w:rFonts w:ascii="Times New Roman" w:hAnsi="Times New Roman" w:cs="Times New Roman"/>
          <w:bCs/>
          <w:iCs/>
        </w:rPr>
        <w:t>arba</w:t>
      </w:r>
    </w:p>
    <w:p w14:paraId="3C6160B7" w14:textId="77777777" w:rsidR="001A743B" w:rsidRPr="00F90BE1" w:rsidRDefault="001A743B" w:rsidP="001A743B">
      <w:pPr>
        <w:spacing w:after="0" w:line="240" w:lineRule="auto"/>
        <w:rPr>
          <w:rFonts w:ascii="Times New Roman" w:hAnsi="Times New Roman" w:cs="Times New Roman"/>
          <w:iCs/>
        </w:rPr>
      </w:pPr>
    </w:p>
    <w:p w14:paraId="7EC817EE" w14:textId="07BF4662" w:rsidR="001A743B" w:rsidRPr="00F90BE1" w:rsidRDefault="001A743B" w:rsidP="001A743B">
      <w:pPr>
        <w:spacing w:after="0" w:line="240" w:lineRule="auto"/>
        <w:rPr>
          <w:rFonts w:ascii="Times New Roman" w:hAnsi="Times New Roman" w:cs="Times New Roman"/>
        </w:rPr>
      </w:pPr>
      <w:r w:rsidRPr="00F90BE1">
        <w:rPr>
          <w:rFonts w:ascii="Times New Roman" w:hAnsi="Times New Roman" w:cs="Times New Roman"/>
        </w:rPr>
        <w:t xml:space="preserve">Medezin </w:t>
      </w:r>
      <w:r w:rsidR="0073258A">
        <w:rPr>
          <w:rFonts w:ascii="Times New Roman" w:hAnsi="Times New Roman" w:cs="Times New Roman"/>
        </w:rPr>
        <w:t>S</w:t>
      </w:r>
      <w:r w:rsidRPr="00F90BE1">
        <w:rPr>
          <w:rFonts w:ascii="Times New Roman" w:hAnsi="Times New Roman" w:cs="Times New Roman"/>
        </w:rPr>
        <w:t>p. z o.o.</w:t>
      </w:r>
    </w:p>
    <w:p w14:paraId="5D4B024A" w14:textId="7996381A" w:rsidR="001A743B" w:rsidRPr="00F90BE1" w:rsidRDefault="0073258A" w:rsidP="001A743B">
      <w:pPr>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 xml:space="preserve">Ul. </w:t>
      </w:r>
      <w:r w:rsidR="001A743B" w:rsidRPr="00F90BE1">
        <w:rPr>
          <w:rFonts w:ascii="Times New Roman" w:hAnsi="Times New Roman" w:cs="Times New Roman"/>
        </w:rPr>
        <w:t>Księdza Kazimierza Janika 14</w:t>
      </w:r>
    </w:p>
    <w:p w14:paraId="21A3C267" w14:textId="546EC09B" w:rsidR="001A743B" w:rsidRPr="00F90BE1" w:rsidRDefault="001A743B" w:rsidP="001A743B">
      <w:pPr>
        <w:autoSpaceDE w:val="0"/>
        <w:autoSpaceDN w:val="0"/>
        <w:adjustRightInd w:val="0"/>
        <w:spacing w:after="0" w:line="240" w:lineRule="auto"/>
        <w:rPr>
          <w:rFonts w:ascii="Times New Roman" w:hAnsi="Times New Roman" w:cs="Times New Roman"/>
        </w:rPr>
      </w:pPr>
      <w:r w:rsidRPr="00F90BE1">
        <w:rPr>
          <w:rFonts w:ascii="Times New Roman" w:hAnsi="Times New Roman" w:cs="Times New Roman"/>
        </w:rPr>
        <w:t xml:space="preserve">Konstantynów </w:t>
      </w:r>
      <w:bookmarkStart w:id="0" w:name="_Hlk123635316"/>
      <w:r w:rsidRPr="00F90BE1">
        <w:rPr>
          <w:rFonts w:ascii="Times New Roman" w:hAnsi="Times New Roman" w:cs="Times New Roman"/>
        </w:rPr>
        <w:t>Ł</w:t>
      </w:r>
      <w:bookmarkEnd w:id="0"/>
      <w:r w:rsidRPr="00F90BE1">
        <w:rPr>
          <w:rFonts w:ascii="Times New Roman" w:hAnsi="Times New Roman" w:cs="Times New Roman"/>
        </w:rPr>
        <w:t>ódzki, Łódzkie, 95-050</w:t>
      </w:r>
    </w:p>
    <w:p w14:paraId="2265A404" w14:textId="77777777" w:rsidR="001A743B" w:rsidRPr="00F90BE1" w:rsidRDefault="001A743B" w:rsidP="001A743B">
      <w:pPr>
        <w:autoSpaceDE w:val="0"/>
        <w:autoSpaceDN w:val="0"/>
        <w:adjustRightInd w:val="0"/>
        <w:spacing w:after="0" w:line="240" w:lineRule="auto"/>
        <w:rPr>
          <w:rFonts w:ascii="Times New Roman" w:hAnsi="Times New Roman" w:cs="Times New Roman"/>
        </w:rPr>
      </w:pPr>
      <w:r w:rsidRPr="00F90BE1">
        <w:rPr>
          <w:rFonts w:ascii="Times New Roman" w:hAnsi="Times New Roman" w:cs="Times New Roman"/>
        </w:rPr>
        <w:t>Lenkija</w:t>
      </w:r>
    </w:p>
    <w:p w14:paraId="3051E294" w14:textId="77777777" w:rsidR="001A743B" w:rsidRPr="00F90BE1" w:rsidRDefault="001A743B" w:rsidP="001A743B">
      <w:pPr>
        <w:numPr>
          <w:ilvl w:val="12"/>
          <w:numId w:val="0"/>
        </w:numPr>
        <w:spacing w:after="0" w:line="240" w:lineRule="auto"/>
        <w:ind w:right="-2"/>
        <w:rPr>
          <w:rFonts w:ascii="Times New Roman" w:eastAsia="Times New Roman" w:hAnsi="Times New Roman" w:cs="Times New Roman"/>
          <w:noProof/>
          <w:kern w:val="0"/>
          <w14:ligatures w14:val="none"/>
        </w:rPr>
      </w:pPr>
    </w:p>
    <w:p w14:paraId="48001349" w14:textId="77777777" w:rsidR="0073258A" w:rsidRPr="0073258A" w:rsidRDefault="0073258A" w:rsidP="0073258A">
      <w:pPr>
        <w:spacing w:after="0" w:line="240" w:lineRule="auto"/>
        <w:rPr>
          <w:rFonts w:ascii="Times New Roman" w:eastAsia="Times New Roman" w:hAnsi="Times New Roman" w:cs="Times New Roman"/>
          <w:snapToGrid w:val="0"/>
          <w:kern w:val="0"/>
          <w14:ligatures w14:val="none"/>
        </w:rPr>
      </w:pPr>
    </w:p>
    <w:p w14:paraId="45F0A286" w14:textId="77777777" w:rsidR="0073258A" w:rsidRPr="0073258A" w:rsidRDefault="0073258A" w:rsidP="0073258A">
      <w:pPr>
        <w:numPr>
          <w:ilvl w:val="12"/>
          <w:numId w:val="0"/>
        </w:numPr>
        <w:tabs>
          <w:tab w:val="left" w:pos="567"/>
        </w:tabs>
        <w:spacing w:after="0" w:line="260" w:lineRule="exact"/>
        <w:ind w:right="-2"/>
        <w:rPr>
          <w:rFonts w:ascii="Times New Roman" w:eastAsia="Times New Roman" w:hAnsi="Times New Roman" w:cs="Times New Roman"/>
          <w:snapToGrid w:val="0"/>
          <w:kern w:val="0"/>
          <w14:ligatures w14:val="none"/>
        </w:rPr>
      </w:pPr>
      <w:r w:rsidRPr="0073258A">
        <w:rPr>
          <w:rFonts w:ascii="Times New Roman" w:eastAsia="Times New Roman" w:hAnsi="Times New Roman" w:cs="Times New Roman"/>
          <w:b/>
          <w:kern w:val="0"/>
          <w14:ligatures w14:val="none"/>
        </w:rPr>
        <w:t>Šis vaistas Europos ekonominės erdvės valstybėse narėse registruotas tokiais pavadinimais:</w:t>
      </w:r>
    </w:p>
    <w:p w14:paraId="3B97C1B3" w14:textId="77777777" w:rsidR="0073258A" w:rsidRPr="0073258A" w:rsidRDefault="0073258A" w:rsidP="0073258A">
      <w:pPr>
        <w:spacing w:after="0" w:line="240" w:lineRule="auto"/>
        <w:rPr>
          <w:rFonts w:ascii="Times New Roman" w:eastAsia="Times New Roman" w:hAnsi="Times New Roman" w:cs="Times New Roman"/>
          <w:kern w:val="0"/>
          <w14:ligatures w14:val="none"/>
        </w:rPr>
      </w:pPr>
      <w:r w:rsidRPr="0073258A">
        <w:rPr>
          <w:rFonts w:ascii="Times New Roman" w:eastAsia="Times New Roman" w:hAnsi="Times New Roman" w:cs="Times New Roman"/>
          <w:kern w:val="0"/>
          <w14:ligatures w14:val="none"/>
        </w:rPr>
        <w:t>Portugalija</w:t>
      </w:r>
      <w:r w:rsidRPr="0073258A">
        <w:rPr>
          <w:rFonts w:ascii="Times New Roman" w:eastAsia="Times New Roman" w:hAnsi="Times New Roman" w:cs="Times New Roman"/>
          <w:kern w:val="0"/>
          <w14:ligatures w14:val="none"/>
        </w:rPr>
        <w:tab/>
      </w:r>
      <w:r w:rsidRPr="0073258A">
        <w:rPr>
          <w:rFonts w:ascii="Times New Roman" w:eastAsia="Times New Roman" w:hAnsi="Times New Roman" w:cs="Times New Roman"/>
          <w:kern w:val="0"/>
          <w14:ligatures w14:val="none"/>
        </w:rPr>
        <w:tab/>
        <w:t>Supofen</w:t>
      </w:r>
    </w:p>
    <w:p w14:paraId="47EED3C2" w14:textId="77777777" w:rsidR="0073258A" w:rsidRPr="0073258A" w:rsidRDefault="0073258A" w:rsidP="0073258A">
      <w:pPr>
        <w:spacing w:after="0" w:line="240" w:lineRule="auto"/>
        <w:rPr>
          <w:rFonts w:ascii="Times New Roman" w:eastAsia="Times New Roman" w:hAnsi="Times New Roman" w:cs="Times New Roman"/>
          <w:kern w:val="0"/>
          <w14:ligatures w14:val="none"/>
        </w:rPr>
      </w:pPr>
      <w:r w:rsidRPr="0073258A">
        <w:rPr>
          <w:rFonts w:ascii="Times New Roman" w:eastAsia="Times New Roman" w:hAnsi="Times New Roman" w:cs="Times New Roman"/>
          <w:kern w:val="0"/>
          <w14:ligatures w14:val="none"/>
        </w:rPr>
        <w:t>Ispanija</w:t>
      </w:r>
      <w:r w:rsidRPr="0073258A">
        <w:rPr>
          <w:rFonts w:ascii="Times New Roman" w:eastAsia="Times New Roman" w:hAnsi="Times New Roman" w:cs="Times New Roman"/>
          <w:kern w:val="0"/>
          <w14:ligatures w14:val="none"/>
        </w:rPr>
        <w:tab/>
      </w:r>
      <w:r w:rsidRPr="0073258A">
        <w:rPr>
          <w:rFonts w:ascii="Times New Roman" w:eastAsia="Times New Roman" w:hAnsi="Times New Roman" w:cs="Times New Roman"/>
          <w:kern w:val="0"/>
          <w14:ligatures w14:val="none"/>
        </w:rPr>
        <w:tab/>
        <w:t>Supofen 10 mg/ml solucion para perfusion</w:t>
      </w:r>
    </w:p>
    <w:p w14:paraId="303E8A40" w14:textId="77777777" w:rsidR="0073258A" w:rsidRPr="0073258A" w:rsidRDefault="0073258A" w:rsidP="0073258A">
      <w:pPr>
        <w:spacing w:after="0" w:line="240" w:lineRule="auto"/>
        <w:rPr>
          <w:rFonts w:ascii="Times New Roman" w:eastAsia="Times New Roman" w:hAnsi="Times New Roman" w:cs="Times New Roman"/>
          <w:kern w:val="0"/>
          <w14:ligatures w14:val="none"/>
        </w:rPr>
      </w:pPr>
      <w:r w:rsidRPr="0073258A">
        <w:rPr>
          <w:rFonts w:ascii="Times New Roman" w:eastAsia="Times New Roman" w:hAnsi="Times New Roman" w:cs="Times New Roman"/>
          <w:kern w:val="0"/>
          <w14:ligatures w14:val="none"/>
        </w:rPr>
        <w:t>Latvija</w:t>
      </w:r>
      <w:r w:rsidRPr="0073258A">
        <w:rPr>
          <w:rFonts w:ascii="Times New Roman" w:eastAsia="Times New Roman" w:hAnsi="Times New Roman" w:cs="Times New Roman"/>
          <w:kern w:val="0"/>
          <w14:ligatures w14:val="none"/>
        </w:rPr>
        <w:tab/>
      </w:r>
      <w:r w:rsidRPr="0073258A">
        <w:rPr>
          <w:rFonts w:ascii="Times New Roman" w:eastAsia="Times New Roman" w:hAnsi="Times New Roman" w:cs="Times New Roman"/>
          <w:kern w:val="0"/>
          <w14:ligatures w14:val="none"/>
        </w:rPr>
        <w:tab/>
        <w:t>Paracetamol Basi 10 mg/ml šķīdums infūzijām</w:t>
      </w:r>
    </w:p>
    <w:p w14:paraId="6A4A8BBE" w14:textId="77777777" w:rsidR="0073258A" w:rsidRPr="0073258A" w:rsidRDefault="0073258A" w:rsidP="0073258A">
      <w:pPr>
        <w:spacing w:after="0" w:line="240" w:lineRule="auto"/>
        <w:rPr>
          <w:rFonts w:ascii="Times New Roman" w:eastAsia="Times New Roman" w:hAnsi="Times New Roman" w:cs="Times New Roman"/>
          <w:kern w:val="0"/>
          <w14:ligatures w14:val="none"/>
        </w:rPr>
      </w:pPr>
      <w:r w:rsidRPr="0073258A">
        <w:rPr>
          <w:rFonts w:ascii="Times New Roman" w:eastAsia="Times New Roman" w:hAnsi="Times New Roman" w:cs="Times New Roman"/>
          <w:kern w:val="0"/>
          <w14:ligatures w14:val="none"/>
        </w:rPr>
        <w:t>Lietuva</w:t>
      </w:r>
      <w:r w:rsidRPr="0073258A">
        <w:rPr>
          <w:rFonts w:ascii="Times New Roman" w:eastAsia="Times New Roman" w:hAnsi="Times New Roman" w:cs="Times New Roman"/>
          <w:kern w:val="0"/>
          <w14:ligatures w14:val="none"/>
        </w:rPr>
        <w:tab/>
      </w:r>
      <w:r w:rsidRPr="0073258A">
        <w:rPr>
          <w:rFonts w:ascii="Times New Roman" w:eastAsia="Times New Roman" w:hAnsi="Times New Roman" w:cs="Times New Roman"/>
          <w:kern w:val="0"/>
          <w14:ligatures w14:val="none"/>
        </w:rPr>
        <w:tab/>
        <w:t>Paracetamol Basi 10 mg/ml infuzinis tirpalas</w:t>
      </w:r>
    </w:p>
    <w:p w14:paraId="48DFF7B3" w14:textId="77777777" w:rsidR="0073258A" w:rsidRPr="0073258A" w:rsidRDefault="0073258A" w:rsidP="0073258A">
      <w:pPr>
        <w:spacing w:after="0" w:line="240" w:lineRule="auto"/>
        <w:rPr>
          <w:rFonts w:ascii="Times New Roman" w:eastAsia="Times New Roman" w:hAnsi="Times New Roman" w:cs="Times New Roman"/>
          <w:kern w:val="0"/>
          <w14:ligatures w14:val="none"/>
        </w:rPr>
      </w:pPr>
      <w:r w:rsidRPr="0073258A">
        <w:rPr>
          <w:rFonts w:ascii="Times New Roman" w:eastAsia="Times New Roman" w:hAnsi="Times New Roman" w:cs="Times New Roman"/>
          <w:kern w:val="0"/>
          <w14:ligatures w14:val="none"/>
        </w:rPr>
        <w:t>Estija</w:t>
      </w:r>
      <w:r w:rsidRPr="0073258A">
        <w:rPr>
          <w:rFonts w:ascii="Times New Roman" w:eastAsia="Times New Roman" w:hAnsi="Times New Roman" w:cs="Times New Roman"/>
          <w:kern w:val="0"/>
          <w14:ligatures w14:val="none"/>
        </w:rPr>
        <w:tab/>
      </w:r>
      <w:r w:rsidRPr="0073258A">
        <w:rPr>
          <w:rFonts w:ascii="Times New Roman" w:eastAsia="Times New Roman" w:hAnsi="Times New Roman" w:cs="Times New Roman"/>
          <w:kern w:val="0"/>
          <w14:ligatures w14:val="none"/>
        </w:rPr>
        <w:tab/>
        <w:t>Paracetamol Basi</w:t>
      </w:r>
    </w:p>
    <w:p w14:paraId="339D7862" w14:textId="77777777" w:rsidR="001A743B" w:rsidRPr="00794F42" w:rsidRDefault="001A743B" w:rsidP="00794F42">
      <w:pPr>
        <w:tabs>
          <w:tab w:val="left" w:pos="567"/>
        </w:tabs>
        <w:spacing w:after="0" w:line="260" w:lineRule="exact"/>
        <w:ind w:left="567" w:hanging="567"/>
        <w:rPr>
          <w:rFonts w:ascii="Times New Roman" w:eastAsia="Times New Roman" w:hAnsi="Times New Roman" w:cs="Times New Roman"/>
          <w:snapToGrid w:val="0"/>
          <w:kern w:val="0"/>
          <w14:ligatures w14:val="none"/>
        </w:rPr>
      </w:pPr>
    </w:p>
    <w:p w14:paraId="42B34394" w14:textId="705E1E60" w:rsidR="00794F42" w:rsidRPr="00794F42" w:rsidRDefault="00794F42" w:rsidP="00794F42">
      <w:pPr>
        <w:numPr>
          <w:ilvl w:val="12"/>
          <w:numId w:val="0"/>
        </w:numPr>
        <w:spacing w:after="0" w:line="240" w:lineRule="auto"/>
        <w:ind w:right="-2"/>
        <w:rPr>
          <w:rFonts w:ascii="Times New Roman" w:eastAsia="Times New Roman" w:hAnsi="Times New Roman" w:cs="Times New Roman"/>
          <w:b/>
          <w:snapToGrid w:val="0"/>
          <w:kern w:val="0"/>
          <w14:ligatures w14:val="none"/>
        </w:rPr>
      </w:pPr>
      <w:r w:rsidRPr="00794F42">
        <w:rPr>
          <w:rFonts w:ascii="Times New Roman" w:eastAsia="Times New Roman" w:hAnsi="Times New Roman" w:cs="Times New Roman"/>
          <w:b/>
          <w:snapToGrid w:val="0"/>
          <w:kern w:val="0"/>
          <w14:ligatures w14:val="none"/>
        </w:rPr>
        <w:t xml:space="preserve">Šis pakuotės lapelis paskutinį kartą peržiūrėtas </w:t>
      </w:r>
      <w:r w:rsidR="00A35A89">
        <w:rPr>
          <w:rFonts w:ascii="Times New Roman" w:eastAsia="Times New Roman" w:hAnsi="Times New Roman" w:cs="Times New Roman"/>
          <w:b/>
          <w:snapToGrid w:val="0"/>
          <w:kern w:val="0"/>
          <w14:ligatures w14:val="none"/>
        </w:rPr>
        <w:t>2024-10-2</w:t>
      </w:r>
      <w:r w:rsidR="0006746A">
        <w:rPr>
          <w:rFonts w:ascii="Times New Roman" w:eastAsia="Times New Roman" w:hAnsi="Times New Roman" w:cs="Times New Roman"/>
          <w:b/>
          <w:snapToGrid w:val="0"/>
          <w:kern w:val="0"/>
          <w14:ligatures w14:val="none"/>
        </w:rPr>
        <w:t>2</w:t>
      </w:r>
    </w:p>
    <w:p w14:paraId="723465B8"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b/>
          <w:snapToGrid w:val="0"/>
          <w:kern w:val="0"/>
          <w14:ligatures w14:val="none"/>
        </w:rPr>
      </w:pPr>
    </w:p>
    <w:p w14:paraId="5F2F45B1" w14:textId="6BDCC04C" w:rsidR="00794F42" w:rsidRPr="00794F42" w:rsidRDefault="00794F42" w:rsidP="00794F42">
      <w:pPr>
        <w:numPr>
          <w:ilvl w:val="12"/>
          <w:numId w:val="0"/>
        </w:numPr>
        <w:tabs>
          <w:tab w:val="left" w:pos="567"/>
        </w:tabs>
        <w:spacing w:after="0" w:line="240" w:lineRule="auto"/>
        <w:ind w:right="-2"/>
        <w:rPr>
          <w:rFonts w:ascii="Times New Roman" w:eastAsia="Times New Roman" w:hAnsi="Times New Roman" w:cs="Times New Roman"/>
          <w:snapToGrid w:val="0"/>
          <w:kern w:val="0"/>
          <w:szCs w:val="24"/>
          <w14:ligatures w14:val="none"/>
        </w:rPr>
      </w:pPr>
      <w:r w:rsidRPr="00794F42">
        <w:rPr>
          <w:rFonts w:ascii="Times New Roman" w:eastAsia="Times New Roman" w:hAnsi="Times New Roman" w:cs="Times New Roman"/>
          <w:snapToGrid w:val="0"/>
          <w:kern w:val="0"/>
          <w:szCs w:val="20"/>
          <w14:ligatures w14:val="none"/>
        </w:rPr>
        <w:t xml:space="preserve">Išsami informacija apie šį </w:t>
      </w:r>
      <w:r w:rsidRPr="00794F42">
        <w:rPr>
          <w:rFonts w:ascii="Times New Roman" w:eastAsia="Times New Roman" w:hAnsi="Times New Roman" w:cs="Times New Roman"/>
          <w:snapToGrid w:val="0"/>
          <w:kern w:val="0"/>
          <w:szCs w:val="24"/>
          <w14:ligatures w14:val="none"/>
        </w:rPr>
        <w:t>vaistą</w:t>
      </w:r>
      <w:r w:rsidRPr="00794F42">
        <w:rPr>
          <w:rFonts w:ascii="Times New Roman" w:eastAsia="Times New Roman" w:hAnsi="Times New Roman" w:cs="Times New Roman"/>
          <w:snapToGrid w:val="0"/>
          <w:kern w:val="0"/>
          <w:szCs w:val="20"/>
          <w14:ligatures w14:val="none"/>
        </w:rPr>
        <w:t xml:space="preserve"> pateikiama Valstybinės vaistų kontrolės tarnybos prie Lietuvos Respublikos sveikatos apsaugos ministerijos tinklalapyje</w:t>
      </w:r>
      <w:r w:rsidR="009714AA" w:rsidRPr="00753C78">
        <w:rPr>
          <w:rFonts w:asciiTheme="majorBidi" w:eastAsia="Calibri" w:hAnsiTheme="majorBidi" w:cstheme="majorBidi"/>
          <w:szCs w:val="20"/>
          <w:lang w:eastAsia="lt-LT" w:bidi="lt-LT"/>
        </w:rPr>
        <w:t>https://vvkt.lrv.lt</w:t>
      </w:r>
      <w:r w:rsidR="009714AA" w:rsidDel="00871F5D">
        <w:t xml:space="preserve"> </w:t>
      </w:r>
      <w:r w:rsidRPr="00794F42">
        <w:rPr>
          <w:rFonts w:ascii="Times New Roman" w:eastAsia="Times New Roman" w:hAnsi="Times New Roman" w:cs="Times New Roman"/>
          <w:snapToGrid w:val="0"/>
          <w:kern w:val="0"/>
          <w:szCs w:val="20"/>
          <w14:ligatures w14:val="none"/>
        </w:rPr>
        <w:t>.</w:t>
      </w:r>
    </w:p>
    <w:p w14:paraId="33918F43" w14:textId="77777777" w:rsidR="00794F42" w:rsidRPr="00794F42" w:rsidRDefault="00794F42" w:rsidP="00794F42">
      <w:pPr>
        <w:numPr>
          <w:ilvl w:val="12"/>
          <w:numId w:val="0"/>
        </w:numPr>
        <w:spacing w:after="0" w:line="240" w:lineRule="auto"/>
        <w:ind w:right="-2"/>
        <w:rPr>
          <w:rFonts w:ascii="Times New Roman" w:eastAsia="Times New Roman" w:hAnsi="Times New Roman" w:cs="Times New Roman"/>
          <w:b/>
          <w:snapToGrid w:val="0"/>
          <w:kern w:val="0"/>
          <w14:ligatures w14:val="none"/>
        </w:rPr>
      </w:pPr>
    </w:p>
    <w:p w14:paraId="7231CFC2" w14:textId="77777777" w:rsidR="00794F42" w:rsidRPr="00794F42" w:rsidRDefault="00794F42" w:rsidP="00794F42">
      <w:pPr>
        <w:numPr>
          <w:ilvl w:val="12"/>
          <w:numId w:val="0"/>
        </w:numPr>
        <w:tabs>
          <w:tab w:val="left" w:pos="567"/>
        </w:tabs>
        <w:spacing w:after="0" w:line="240" w:lineRule="auto"/>
        <w:ind w:right="-2"/>
        <w:rPr>
          <w:rFonts w:ascii="Times New Roman" w:eastAsia="Times New Roman" w:hAnsi="Times New Roman" w:cs="Times New Roman"/>
          <w:i/>
          <w:snapToGrid w:val="0"/>
          <w:color w:val="008000"/>
          <w:kern w:val="0"/>
          <w14:ligatures w14:val="none"/>
        </w:rPr>
      </w:pPr>
    </w:p>
    <w:p w14:paraId="7BFC3E2F" w14:textId="77777777" w:rsidR="00794F42" w:rsidRPr="00794F42" w:rsidRDefault="00794F42" w:rsidP="00794F42">
      <w:pPr>
        <w:suppressAutoHyphens/>
        <w:spacing w:after="0" w:line="240" w:lineRule="auto"/>
        <w:ind w:right="14"/>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w:t>
      </w:r>
    </w:p>
    <w:p w14:paraId="16EA82E5" w14:textId="77777777" w:rsidR="00794F42" w:rsidRPr="00794F42" w:rsidRDefault="00794F42" w:rsidP="00794F42">
      <w:pPr>
        <w:suppressAutoHyphens/>
        <w:spacing w:after="0" w:line="240" w:lineRule="auto"/>
        <w:ind w:right="14"/>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Toliau pateikta informacija skirta tik sveikatos priežiūros specialistams:</w:t>
      </w:r>
    </w:p>
    <w:p w14:paraId="3DAC3B5F" w14:textId="77777777" w:rsidR="00794F42" w:rsidRPr="00794F42" w:rsidRDefault="00794F42" w:rsidP="00794F42">
      <w:pPr>
        <w:suppressAutoHyphens/>
        <w:spacing w:after="0" w:line="240" w:lineRule="auto"/>
        <w:ind w:right="14"/>
        <w:rPr>
          <w:rFonts w:ascii="Times New Roman" w:eastAsia="Times New Roman" w:hAnsi="Times New Roman" w:cs="Times New Roman"/>
          <w:kern w:val="0"/>
          <w14:ligatures w14:val="none"/>
        </w:rPr>
      </w:pPr>
    </w:p>
    <w:p w14:paraId="136E7D7C"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Vartoti į veną.</w:t>
      </w:r>
    </w:p>
    <w:p w14:paraId="10D0CCF3" w14:textId="4375F8AA" w:rsidR="00794F42" w:rsidRPr="00794F42" w:rsidRDefault="00A250D7" w:rsidP="00794F42">
      <w:pPr>
        <w:suppressAutoHyphens/>
        <w:spacing w:after="0" w:line="240" w:lineRule="auto"/>
        <w:ind w:right="14"/>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Supofen</w:t>
      </w:r>
      <w:r w:rsidR="00794F42" w:rsidRPr="00794F42">
        <w:rPr>
          <w:rFonts w:ascii="Times New Roman" w:eastAsia="Times New Roman" w:hAnsi="Times New Roman" w:cs="Times New Roman"/>
          <w:kern w:val="0"/>
          <w14:ligatures w14:val="none"/>
        </w:rPr>
        <w:t xml:space="preserve"> 10 mg/ml infuzinis tirpalas skirtas vartoti tik suaugusiesiems, paaugliams ir vaikams, sveriantiems daugiau kaip 33 kg.</w:t>
      </w:r>
    </w:p>
    <w:p w14:paraId="35534405"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Baigiantis infuzijai būtinas atidus stebėjimas.</w:t>
      </w:r>
    </w:p>
    <w:p w14:paraId="56654111"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p>
    <w:p w14:paraId="057E0D6F"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u w:val="single"/>
          <w14:ligatures w14:val="none"/>
        </w:rPr>
      </w:pPr>
      <w:r w:rsidRPr="00794F42">
        <w:rPr>
          <w:rFonts w:ascii="Times New Roman" w:eastAsia="Times New Roman" w:hAnsi="Times New Roman" w:cs="Times New Roman"/>
          <w:kern w:val="0"/>
          <w:u w:val="single"/>
          <w14:ligatures w14:val="none"/>
        </w:rPr>
        <w:t>Dozavimas</w:t>
      </w:r>
    </w:p>
    <w:p w14:paraId="4FD61026"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Informacija prieš ruošiant dozę:</w:t>
      </w:r>
    </w:p>
    <w:p w14:paraId="62365DD1" w14:textId="77777777" w:rsidR="00794F42" w:rsidRPr="00794F42" w:rsidRDefault="00794F42" w:rsidP="00794F42">
      <w:pPr>
        <w:numPr>
          <w:ilvl w:val="0"/>
          <w:numId w:val="6"/>
        </w:numPr>
        <w:suppressAutoHyphens/>
        <w:spacing w:after="0" w:line="240" w:lineRule="auto"/>
        <w:ind w:right="14"/>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Tarp kiekvieno vartojimo turi praeiti bent 4 valandos.</w:t>
      </w:r>
    </w:p>
    <w:p w14:paraId="5AB9F6DD" w14:textId="77777777" w:rsidR="00794F42" w:rsidRPr="00794F42" w:rsidRDefault="00794F42" w:rsidP="00794F42">
      <w:pPr>
        <w:numPr>
          <w:ilvl w:val="0"/>
          <w:numId w:val="6"/>
        </w:numPr>
        <w:suppressAutoHyphens/>
        <w:spacing w:after="0" w:line="240" w:lineRule="auto"/>
        <w:ind w:right="14"/>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Tarp kiekvieno vartojimo pacientams su inkstų funkcijos pažeidimu turi praeiti bent 6 valandos.</w:t>
      </w:r>
    </w:p>
    <w:p w14:paraId="2B405141" w14:textId="77777777" w:rsidR="00794F42" w:rsidRPr="00794F42" w:rsidRDefault="00794F42" w:rsidP="00794F42">
      <w:pPr>
        <w:numPr>
          <w:ilvl w:val="0"/>
          <w:numId w:val="6"/>
        </w:numPr>
        <w:suppressAutoHyphens/>
        <w:spacing w:after="0" w:line="240" w:lineRule="auto"/>
        <w:ind w:right="14"/>
        <w:contextualSpacing/>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Per 24 valandas galima skirti ne daugiau kaip 4 dozes.</w:t>
      </w:r>
    </w:p>
    <w:p w14:paraId="5D7A03B4"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p>
    <w:p w14:paraId="2CECE91B"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xml:space="preserve">Dozavimo klaidų rizika </w:t>
      </w:r>
    </w:p>
    <w:p w14:paraId="17B78D0C"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Žiūrėkite, kad nepadarytumėte dozavimo klaidų, kurios galimos sumaišius miligramus (mg) su mililitrais (ml), kadangi tai gali lemti atsitiktinį perdozavimą ir mirtį.</w:t>
      </w:r>
    </w:p>
    <w:p w14:paraId="77AACFD6"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p>
    <w:p w14:paraId="6EF433B5"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Dozavimas pagal paciento svorį (žr. toliau pateiktą dozavimo lentelę):</w:t>
      </w:r>
    </w:p>
    <w:p w14:paraId="2970A768"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p>
    <w:tbl>
      <w:tblPr>
        <w:tblStyle w:val="Lentelstinklelis"/>
        <w:tblW w:w="0" w:type="auto"/>
        <w:tblInd w:w="0" w:type="dxa"/>
        <w:tblLook w:val="04A0" w:firstRow="1" w:lastRow="0" w:firstColumn="1" w:lastColumn="0" w:noHBand="0" w:noVBand="1"/>
      </w:tblPr>
      <w:tblGrid>
        <w:gridCol w:w="1811"/>
        <w:gridCol w:w="1812"/>
        <w:gridCol w:w="1812"/>
        <w:gridCol w:w="1930"/>
        <w:gridCol w:w="1695"/>
      </w:tblGrid>
      <w:tr w:rsidR="00794F42" w:rsidRPr="00794F42" w14:paraId="51EC93E5" w14:textId="77777777" w:rsidTr="0031264D">
        <w:tc>
          <w:tcPr>
            <w:tcW w:w="1812" w:type="dxa"/>
            <w:tcBorders>
              <w:top w:val="single" w:sz="4" w:space="0" w:color="auto"/>
              <w:left w:val="single" w:sz="4" w:space="0" w:color="auto"/>
              <w:bottom w:val="single" w:sz="4" w:space="0" w:color="auto"/>
              <w:right w:val="single" w:sz="4" w:space="0" w:color="auto"/>
            </w:tcBorders>
            <w:hideMark/>
          </w:tcPr>
          <w:p w14:paraId="61D315F9" w14:textId="77777777" w:rsidR="00794F42" w:rsidRPr="00794F42" w:rsidRDefault="00794F42" w:rsidP="00794F42">
            <w:pPr>
              <w:jc w:val="center"/>
            </w:pPr>
            <w:r w:rsidRPr="00794F42">
              <w:t>Paciento svoris</w:t>
            </w:r>
          </w:p>
        </w:tc>
        <w:tc>
          <w:tcPr>
            <w:tcW w:w="1812" w:type="dxa"/>
            <w:tcBorders>
              <w:top w:val="single" w:sz="4" w:space="0" w:color="auto"/>
              <w:left w:val="single" w:sz="4" w:space="0" w:color="auto"/>
              <w:bottom w:val="single" w:sz="4" w:space="0" w:color="auto"/>
              <w:right w:val="single" w:sz="4" w:space="0" w:color="auto"/>
            </w:tcBorders>
            <w:hideMark/>
          </w:tcPr>
          <w:p w14:paraId="79FEDF73" w14:textId="77777777" w:rsidR="00794F42" w:rsidRPr="00794F42" w:rsidRDefault="00794F42" w:rsidP="00794F42">
            <w:pPr>
              <w:jc w:val="center"/>
            </w:pPr>
            <w:r w:rsidRPr="00794F42">
              <w:t>Vartojama dozė</w:t>
            </w:r>
          </w:p>
        </w:tc>
        <w:tc>
          <w:tcPr>
            <w:tcW w:w="1812" w:type="dxa"/>
            <w:tcBorders>
              <w:top w:val="single" w:sz="4" w:space="0" w:color="auto"/>
              <w:left w:val="single" w:sz="4" w:space="0" w:color="auto"/>
              <w:bottom w:val="single" w:sz="4" w:space="0" w:color="auto"/>
              <w:right w:val="single" w:sz="4" w:space="0" w:color="auto"/>
            </w:tcBorders>
            <w:hideMark/>
          </w:tcPr>
          <w:p w14:paraId="41CF317E" w14:textId="77777777" w:rsidR="00794F42" w:rsidRPr="00794F42" w:rsidRDefault="00794F42" w:rsidP="00794F42">
            <w:pPr>
              <w:jc w:val="center"/>
            </w:pPr>
            <w:r w:rsidRPr="00794F42">
              <w:t>Vartojamas tūris</w:t>
            </w:r>
          </w:p>
        </w:tc>
        <w:tc>
          <w:tcPr>
            <w:tcW w:w="1930" w:type="dxa"/>
            <w:tcBorders>
              <w:top w:val="single" w:sz="4" w:space="0" w:color="auto"/>
              <w:left w:val="single" w:sz="4" w:space="0" w:color="auto"/>
              <w:bottom w:val="single" w:sz="4" w:space="0" w:color="auto"/>
              <w:right w:val="single" w:sz="4" w:space="0" w:color="auto"/>
            </w:tcBorders>
            <w:hideMark/>
          </w:tcPr>
          <w:p w14:paraId="44AA8C36" w14:textId="3F81451C" w:rsidR="00794F42" w:rsidRPr="00794F42" w:rsidRDefault="00794F42" w:rsidP="00794F42">
            <w:pPr>
              <w:jc w:val="center"/>
            </w:pPr>
            <w:r w:rsidRPr="00794F42">
              <w:t xml:space="preserve">Didžiausias vartojamas </w:t>
            </w:r>
            <w:r w:rsidR="00A250D7">
              <w:t>Supofen</w:t>
            </w:r>
            <w:r w:rsidRPr="00794F42">
              <w:t xml:space="preserve"> 10 mg/ml infuzinio tirpalo tūris pagal grupės viršutinę svorio ribą (ml)*</w:t>
            </w:r>
          </w:p>
        </w:tc>
        <w:tc>
          <w:tcPr>
            <w:tcW w:w="1695" w:type="dxa"/>
            <w:tcBorders>
              <w:top w:val="single" w:sz="4" w:space="0" w:color="auto"/>
              <w:left w:val="single" w:sz="4" w:space="0" w:color="auto"/>
              <w:bottom w:val="single" w:sz="4" w:space="0" w:color="auto"/>
              <w:right w:val="single" w:sz="4" w:space="0" w:color="auto"/>
            </w:tcBorders>
            <w:hideMark/>
          </w:tcPr>
          <w:p w14:paraId="5DD1BA7F" w14:textId="77777777" w:rsidR="00794F42" w:rsidRPr="00794F42" w:rsidRDefault="00794F42" w:rsidP="00794F42">
            <w:pPr>
              <w:jc w:val="center"/>
            </w:pPr>
            <w:r w:rsidRPr="00794F42">
              <w:t>Didžiausia paros dozė**</w:t>
            </w:r>
          </w:p>
        </w:tc>
      </w:tr>
      <w:tr w:rsidR="00794F42" w:rsidRPr="00794F42" w14:paraId="16E14D68" w14:textId="77777777" w:rsidTr="0031264D">
        <w:tc>
          <w:tcPr>
            <w:tcW w:w="1812" w:type="dxa"/>
            <w:tcBorders>
              <w:top w:val="single" w:sz="4" w:space="0" w:color="auto"/>
              <w:left w:val="single" w:sz="4" w:space="0" w:color="auto"/>
              <w:bottom w:val="single" w:sz="4" w:space="0" w:color="auto"/>
              <w:right w:val="single" w:sz="4" w:space="0" w:color="auto"/>
            </w:tcBorders>
            <w:hideMark/>
          </w:tcPr>
          <w:p w14:paraId="7BF29865" w14:textId="77777777" w:rsidR="00794F42" w:rsidRPr="00794F42" w:rsidRDefault="00794F42" w:rsidP="00794F42">
            <w:pPr>
              <w:jc w:val="center"/>
            </w:pPr>
            <w:r w:rsidRPr="00794F42">
              <w:t>Nuo &gt;33 kg iki ≤50 kg</w:t>
            </w:r>
          </w:p>
        </w:tc>
        <w:tc>
          <w:tcPr>
            <w:tcW w:w="1812" w:type="dxa"/>
            <w:tcBorders>
              <w:top w:val="single" w:sz="4" w:space="0" w:color="auto"/>
              <w:left w:val="single" w:sz="4" w:space="0" w:color="auto"/>
              <w:bottom w:val="single" w:sz="4" w:space="0" w:color="auto"/>
              <w:right w:val="single" w:sz="4" w:space="0" w:color="auto"/>
            </w:tcBorders>
            <w:hideMark/>
          </w:tcPr>
          <w:p w14:paraId="24CD6396" w14:textId="77777777" w:rsidR="00794F42" w:rsidRPr="00794F42" w:rsidRDefault="00794F42" w:rsidP="00794F42">
            <w:pPr>
              <w:jc w:val="center"/>
            </w:pPr>
            <w:r w:rsidRPr="00794F42">
              <w:t>15 mg/kg</w:t>
            </w:r>
          </w:p>
        </w:tc>
        <w:tc>
          <w:tcPr>
            <w:tcW w:w="1812" w:type="dxa"/>
            <w:tcBorders>
              <w:top w:val="single" w:sz="4" w:space="0" w:color="auto"/>
              <w:left w:val="single" w:sz="4" w:space="0" w:color="auto"/>
              <w:bottom w:val="single" w:sz="4" w:space="0" w:color="auto"/>
              <w:right w:val="single" w:sz="4" w:space="0" w:color="auto"/>
            </w:tcBorders>
            <w:hideMark/>
          </w:tcPr>
          <w:p w14:paraId="767245EF" w14:textId="77777777" w:rsidR="00794F42" w:rsidRPr="00794F42" w:rsidRDefault="00794F42" w:rsidP="00794F42">
            <w:pPr>
              <w:jc w:val="center"/>
            </w:pPr>
            <w:r w:rsidRPr="00794F42">
              <w:t>1,5 ml/kg</w:t>
            </w:r>
          </w:p>
        </w:tc>
        <w:tc>
          <w:tcPr>
            <w:tcW w:w="1930" w:type="dxa"/>
            <w:tcBorders>
              <w:top w:val="single" w:sz="4" w:space="0" w:color="auto"/>
              <w:left w:val="single" w:sz="4" w:space="0" w:color="auto"/>
              <w:bottom w:val="single" w:sz="4" w:space="0" w:color="auto"/>
              <w:right w:val="single" w:sz="4" w:space="0" w:color="auto"/>
            </w:tcBorders>
            <w:hideMark/>
          </w:tcPr>
          <w:p w14:paraId="18F1D6DD" w14:textId="77777777" w:rsidR="00794F42" w:rsidRPr="00794F42" w:rsidRDefault="00794F42" w:rsidP="00794F42">
            <w:pPr>
              <w:jc w:val="center"/>
            </w:pPr>
            <w:r w:rsidRPr="00794F42">
              <w:t>75 ml</w:t>
            </w:r>
          </w:p>
        </w:tc>
        <w:tc>
          <w:tcPr>
            <w:tcW w:w="1695" w:type="dxa"/>
            <w:tcBorders>
              <w:top w:val="single" w:sz="4" w:space="0" w:color="auto"/>
              <w:left w:val="single" w:sz="4" w:space="0" w:color="auto"/>
              <w:bottom w:val="single" w:sz="4" w:space="0" w:color="auto"/>
              <w:right w:val="single" w:sz="4" w:space="0" w:color="auto"/>
            </w:tcBorders>
            <w:hideMark/>
          </w:tcPr>
          <w:p w14:paraId="10CCABA3" w14:textId="77777777" w:rsidR="00794F42" w:rsidRPr="00794F42" w:rsidRDefault="00794F42" w:rsidP="00794F42">
            <w:pPr>
              <w:jc w:val="center"/>
            </w:pPr>
            <w:r w:rsidRPr="00794F42">
              <w:t>60 mg/kg, neviršijant 3 g</w:t>
            </w:r>
          </w:p>
        </w:tc>
      </w:tr>
      <w:tr w:rsidR="00794F42" w:rsidRPr="00794F42" w14:paraId="0A5C6CCD" w14:textId="77777777" w:rsidTr="0031264D">
        <w:tc>
          <w:tcPr>
            <w:tcW w:w="1812" w:type="dxa"/>
            <w:tcBorders>
              <w:top w:val="single" w:sz="4" w:space="0" w:color="auto"/>
              <w:left w:val="single" w:sz="4" w:space="0" w:color="auto"/>
              <w:bottom w:val="single" w:sz="4" w:space="0" w:color="auto"/>
              <w:right w:val="single" w:sz="4" w:space="0" w:color="auto"/>
            </w:tcBorders>
            <w:hideMark/>
          </w:tcPr>
          <w:p w14:paraId="5C63434E" w14:textId="77777777" w:rsidR="00794F42" w:rsidRPr="00794F42" w:rsidRDefault="00794F42" w:rsidP="00794F42">
            <w:pPr>
              <w:jc w:val="center"/>
            </w:pPr>
            <w:r w:rsidRPr="00794F42">
              <w:t>&gt;50 kg ir yra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6719EDD6" w14:textId="77777777" w:rsidR="00794F42" w:rsidRPr="00794F42" w:rsidRDefault="00794F42" w:rsidP="00794F42">
            <w:pPr>
              <w:jc w:val="center"/>
            </w:pPr>
            <w:r w:rsidRPr="00794F42">
              <w:t>1 g</w:t>
            </w:r>
          </w:p>
        </w:tc>
        <w:tc>
          <w:tcPr>
            <w:tcW w:w="1812" w:type="dxa"/>
            <w:tcBorders>
              <w:top w:val="single" w:sz="4" w:space="0" w:color="auto"/>
              <w:left w:val="single" w:sz="4" w:space="0" w:color="auto"/>
              <w:bottom w:val="single" w:sz="4" w:space="0" w:color="auto"/>
              <w:right w:val="single" w:sz="4" w:space="0" w:color="auto"/>
            </w:tcBorders>
            <w:hideMark/>
          </w:tcPr>
          <w:p w14:paraId="68C61729" w14:textId="77777777" w:rsidR="00794F42" w:rsidRPr="00794F42" w:rsidRDefault="00794F42" w:rsidP="00794F42">
            <w:pPr>
              <w:jc w:val="center"/>
            </w:pPr>
            <w:r w:rsidRPr="00794F42">
              <w:t>100 ml</w:t>
            </w:r>
          </w:p>
        </w:tc>
        <w:tc>
          <w:tcPr>
            <w:tcW w:w="1930" w:type="dxa"/>
            <w:tcBorders>
              <w:top w:val="single" w:sz="4" w:space="0" w:color="auto"/>
              <w:left w:val="single" w:sz="4" w:space="0" w:color="auto"/>
              <w:bottom w:val="single" w:sz="4" w:space="0" w:color="auto"/>
              <w:right w:val="single" w:sz="4" w:space="0" w:color="auto"/>
            </w:tcBorders>
            <w:hideMark/>
          </w:tcPr>
          <w:p w14:paraId="127379BB" w14:textId="77777777" w:rsidR="00794F42" w:rsidRPr="00794F42" w:rsidRDefault="00794F42" w:rsidP="00794F42">
            <w:pPr>
              <w:jc w:val="center"/>
            </w:pPr>
            <w:r w:rsidRPr="00794F42">
              <w:t>100 ml</w:t>
            </w:r>
          </w:p>
        </w:tc>
        <w:tc>
          <w:tcPr>
            <w:tcW w:w="1695" w:type="dxa"/>
            <w:tcBorders>
              <w:top w:val="single" w:sz="4" w:space="0" w:color="auto"/>
              <w:left w:val="single" w:sz="4" w:space="0" w:color="auto"/>
              <w:bottom w:val="single" w:sz="4" w:space="0" w:color="auto"/>
              <w:right w:val="single" w:sz="4" w:space="0" w:color="auto"/>
            </w:tcBorders>
            <w:hideMark/>
          </w:tcPr>
          <w:p w14:paraId="7311BBBE" w14:textId="77777777" w:rsidR="00794F42" w:rsidRPr="00794F42" w:rsidRDefault="00794F42" w:rsidP="00794F42">
            <w:pPr>
              <w:jc w:val="center"/>
            </w:pPr>
            <w:r w:rsidRPr="00794F42">
              <w:t>3 g</w:t>
            </w:r>
          </w:p>
        </w:tc>
      </w:tr>
      <w:tr w:rsidR="00794F42" w:rsidRPr="00794F42" w14:paraId="759C1F67" w14:textId="77777777" w:rsidTr="0031264D">
        <w:tc>
          <w:tcPr>
            <w:tcW w:w="1812" w:type="dxa"/>
            <w:tcBorders>
              <w:top w:val="single" w:sz="4" w:space="0" w:color="auto"/>
              <w:left w:val="single" w:sz="4" w:space="0" w:color="auto"/>
              <w:bottom w:val="single" w:sz="4" w:space="0" w:color="auto"/>
              <w:right w:val="single" w:sz="4" w:space="0" w:color="auto"/>
            </w:tcBorders>
            <w:hideMark/>
          </w:tcPr>
          <w:p w14:paraId="16C6A2DB" w14:textId="77777777" w:rsidR="00794F42" w:rsidRPr="00794F42" w:rsidRDefault="00794F42" w:rsidP="00794F42">
            <w:pPr>
              <w:jc w:val="center"/>
            </w:pPr>
            <w:r w:rsidRPr="00794F42">
              <w:t>&gt;50 kg ir nėra papildomų toksiškumo kepenims rizikos veiksnių</w:t>
            </w:r>
          </w:p>
        </w:tc>
        <w:tc>
          <w:tcPr>
            <w:tcW w:w="1812" w:type="dxa"/>
            <w:tcBorders>
              <w:top w:val="single" w:sz="4" w:space="0" w:color="auto"/>
              <w:left w:val="single" w:sz="4" w:space="0" w:color="auto"/>
              <w:bottom w:val="single" w:sz="4" w:space="0" w:color="auto"/>
              <w:right w:val="single" w:sz="4" w:space="0" w:color="auto"/>
            </w:tcBorders>
            <w:hideMark/>
          </w:tcPr>
          <w:p w14:paraId="5D626FBE" w14:textId="77777777" w:rsidR="00794F42" w:rsidRPr="00794F42" w:rsidRDefault="00794F42" w:rsidP="00794F42">
            <w:pPr>
              <w:jc w:val="center"/>
            </w:pPr>
            <w:r w:rsidRPr="00794F42">
              <w:t>1 g</w:t>
            </w:r>
          </w:p>
        </w:tc>
        <w:tc>
          <w:tcPr>
            <w:tcW w:w="1812" w:type="dxa"/>
            <w:tcBorders>
              <w:top w:val="single" w:sz="4" w:space="0" w:color="auto"/>
              <w:left w:val="single" w:sz="4" w:space="0" w:color="auto"/>
              <w:bottom w:val="single" w:sz="4" w:space="0" w:color="auto"/>
              <w:right w:val="single" w:sz="4" w:space="0" w:color="auto"/>
            </w:tcBorders>
            <w:hideMark/>
          </w:tcPr>
          <w:p w14:paraId="2465B11B" w14:textId="77777777" w:rsidR="00794F42" w:rsidRPr="00794F42" w:rsidRDefault="00794F42" w:rsidP="00794F42">
            <w:pPr>
              <w:jc w:val="center"/>
            </w:pPr>
            <w:r w:rsidRPr="00794F42">
              <w:t>100 ml</w:t>
            </w:r>
          </w:p>
        </w:tc>
        <w:tc>
          <w:tcPr>
            <w:tcW w:w="1930" w:type="dxa"/>
            <w:tcBorders>
              <w:top w:val="single" w:sz="4" w:space="0" w:color="auto"/>
              <w:left w:val="single" w:sz="4" w:space="0" w:color="auto"/>
              <w:bottom w:val="single" w:sz="4" w:space="0" w:color="auto"/>
              <w:right w:val="single" w:sz="4" w:space="0" w:color="auto"/>
            </w:tcBorders>
            <w:hideMark/>
          </w:tcPr>
          <w:p w14:paraId="6C480D8E" w14:textId="77777777" w:rsidR="00794F42" w:rsidRPr="00794F42" w:rsidRDefault="00794F42" w:rsidP="00794F42">
            <w:pPr>
              <w:jc w:val="center"/>
            </w:pPr>
            <w:r w:rsidRPr="00794F42">
              <w:t>100 ml</w:t>
            </w:r>
          </w:p>
        </w:tc>
        <w:tc>
          <w:tcPr>
            <w:tcW w:w="1695" w:type="dxa"/>
            <w:tcBorders>
              <w:top w:val="single" w:sz="4" w:space="0" w:color="auto"/>
              <w:left w:val="single" w:sz="4" w:space="0" w:color="auto"/>
              <w:bottom w:val="single" w:sz="4" w:space="0" w:color="auto"/>
              <w:right w:val="single" w:sz="4" w:space="0" w:color="auto"/>
            </w:tcBorders>
            <w:hideMark/>
          </w:tcPr>
          <w:p w14:paraId="233CFBFF" w14:textId="77777777" w:rsidR="00794F42" w:rsidRPr="00794F42" w:rsidRDefault="00794F42" w:rsidP="00794F42">
            <w:pPr>
              <w:jc w:val="center"/>
            </w:pPr>
            <w:r w:rsidRPr="00794F42">
              <w:t>4 g</w:t>
            </w:r>
          </w:p>
        </w:tc>
      </w:tr>
    </w:tbl>
    <w:p w14:paraId="016DB459"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 Mažiau sveriantiems pacientams reikės mažesnės dozės.</w:t>
      </w:r>
    </w:p>
    <w:p w14:paraId="68AC6C9B"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lastRenderedPageBreak/>
        <w:t>** Didžiausia paros dozė: pirmiau pateiktoje lentelėje nurodyta didžiausia paros dozė taikoma pacientams, nevartojantiems kitų vaistinių preparatų, kurių sudėtyje yra paracetamolio, ir turi būti koreguojama atsižvelgiant į tokius preparatus.</w:t>
      </w:r>
    </w:p>
    <w:p w14:paraId="39CF71F1"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p>
    <w:p w14:paraId="6653049D"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u w:val="single"/>
          <w14:ligatures w14:val="none"/>
        </w:rPr>
      </w:pPr>
      <w:r w:rsidRPr="00794F42">
        <w:rPr>
          <w:rFonts w:ascii="Times New Roman" w:eastAsia="Times New Roman" w:hAnsi="Times New Roman" w:cs="Times New Roman"/>
          <w:kern w:val="0"/>
          <w:u w:val="single"/>
          <w14:ligatures w14:val="none"/>
        </w:rPr>
        <w:t>Vartojimo metodas</w:t>
      </w:r>
    </w:p>
    <w:p w14:paraId="19E4E19D"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u w:val="single"/>
          <w14:ligatures w14:val="none"/>
        </w:rPr>
      </w:pPr>
    </w:p>
    <w:p w14:paraId="7CB0110F"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Paracetamolio tirpalas turi būti skiriamas kaip 15 minučių trukmės intraveninė infuzija.</w:t>
      </w:r>
    </w:p>
    <w:p w14:paraId="098B622A"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Vaistą reikia vartoti iš karto atidarius buteliuką.</w:t>
      </w:r>
    </w:p>
    <w:p w14:paraId="4341A685"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Prieš vartojimą vaistą reikia apžiūrėti ir įsitikinti, kad jame nėra kietųjų dalelių ir kad nepasikeitė jo spalva. Tik vienkartiniam vartojimui.</w:t>
      </w:r>
    </w:p>
    <w:p w14:paraId="489E1E2C" w14:textId="77777777" w:rsidR="00794F42" w:rsidRPr="00794F42" w:rsidRDefault="00794F42" w:rsidP="00794F42">
      <w:pPr>
        <w:suppressAutoHyphens/>
        <w:spacing w:after="0" w:line="240" w:lineRule="auto"/>
        <w:ind w:right="14"/>
        <w:jc w:val="both"/>
        <w:rPr>
          <w:rFonts w:ascii="Times New Roman" w:eastAsia="Times New Roman" w:hAnsi="Times New Roman" w:cs="Times New Roman"/>
          <w:kern w:val="0"/>
          <w14:ligatures w14:val="none"/>
        </w:rPr>
      </w:pPr>
      <w:r w:rsidRPr="00794F42">
        <w:rPr>
          <w:rFonts w:ascii="Times New Roman" w:eastAsia="Times New Roman" w:hAnsi="Times New Roman" w:cs="Times New Roman"/>
          <w:kern w:val="0"/>
          <w14:ligatures w14:val="none"/>
        </w:rPr>
        <w:t>Nesuvartotą vaistinį preparatą ar atliekas reikia tvarkyti laikantis vietinių reikalavimų.</w:t>
      </w:r>
    </w:p>
    <w:p w14:paraId="183A41E8" w14:textId="77777777" w:rsidR="00867275" w:rsidRDefault="00867275"/>
    <w:sectPr w:rsidR="00867275" w:rsidSect="00794F42">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B10AD0"/>
    <w:multiLevelType w:val="hybridMultilevel"/>
    <w:tmpl w:val="13AC1796"/>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2" w15:restartNumberingAfterBreak="0">
    <w:nsid w:val="17DC7D14"/>
    <w:multiLevelType w:val="hybridMultilevel"/>
    <w:tmpl w:val="7226BCF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3" w15:restartNumberingAfterBreak="0">
    <w:nsid w:val="1FF65D4C"/>
    <w:multiLevelType w:val="hybridMultilevel"/>
    <w:tmpl w:val="F1389E0A"/>
    <w:lvl w:ilvl="0" w:tplc="FFFFFFFF">
      <w:start w:val="1"/>
      <w:numFmt w:val="bullet"/>
      <w:lvlText w:val="-"/>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A024A53"/>
    <w:multiLevelType w:val="hybridMultilevel"/>
    <w:tmpl w:val="2304C8A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538E2DAA"/>
    <w:multiLevelType w:val="hybridMultilevel"/>
    <w:tmpl w:val="3E98BF4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15:restartNumberingAfterBreak="0">
    <w:nsid w:val="761D13E8"/>
    <w:multiLevelType w:val="hybridMultilevel"/>
    <w:tmpl w:val="ABBCDEA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7" w15:restartNumberingAfterBreak="0">
    <w:nsid w:val="7F054068"/>
    <w:multiLevelType w:val="hybridMultilevel"/>
    <w:tmpl w:val="4472161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518464">
    <w:abstractNumId w:val="0"/>
    <w:lvlOverride w:ilvl="0">
      <w:lvl w:ilvl="0">
        <w:numFmt w:val="bullet"/>
        <w:lvlText w:val="-"/>
        <w:legacy w:legacy="1" w:legacySpace="0" w:legacyIndent="360"/>
        <w:lvlJc w:val="left"/>
        <w:pPr>
          <w:ind w:left="360" w:hanging="360"/>
        </w:pPr>
      </w:lvl>
    </w:lvlOverride>
  </w:num>
  <w:num w:numId="2" w16cid:durableId="520972889">
    <w:abstractNumId w:val="6"/>
  </w:num>
  <w:num w:numId="3" w16cid:durableId="1296066504">
    <w:abstractNumId w:val="2"/>
  </w:num>
  <w:num w:numId="4" w16cid:durableId="1859781450">
    <w:abstractNumId w:val="5"/>
  </w:num>
  <w:num w:numId="5" w16cid:durableId="2119637234">
    <w:abstractNumId w:val="4"/>
  </w:num>
  <w:num w:numId="6" w16cid:durableId="1249777651">
    <w:abstractNumId w:val="1"/>
  </w:num>
  <w:num w:numId="7" w16cid:durableId="1309436104">
    <w:abstractNumId w:val="3"/>
  </w:num>
  <w:num w:numId="8" w16cid:durableId="14812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F42"/>
    <w:rsid w:val="0006746A"/>
    <w:rsid w:val="00072232"/>
    <w:rsid w:val="000B4F35"/>
    <w:rsid w:val="00123517"/>
    <w:rsid w:val="0013158C"/>
    <w:rsid w:val="001A743B"/>
    <w:rsid w:val="002B29CB"/>
    <w:rsid w:val="004160D7"/>
    <w:rsid w:val="00450D38"/>
    <w:rsid w:val="005645CF"/>
    <w:rsid w:val="005F2B9C"/>
    <w:rsid w:val="006B710F"/>
    <w:rsid w:val="0073258A"/>
    <w:rsid w:val="00753C78"/>
    <w:rsid w:val="00794F42"/>
    <w:rsid w:val="00867275"/>
    <w:rsid w:val="00871F5D"/>
    <w:rsid w:val="009224DE"/>
    <w:rsid w:val="009714AA"/>
    <w:rsid w:val="00A250D7"/>
    <w:rsid w:val="00A35A89"/>
    <w:rsid w:val="00C46CF2"/>
    <w:rsid w:val="00C60E15"/>
    <w:rsid w:val="00E36326"/>
    <w:rsid w:val="00EB4797"/>
    <w:rsid w:val="00EB663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EF286"/>
  <w15:chartTrackingRefBased/>
  <w15:docId w15:val="{61E9AFE4-61B0-49AA-9C3E-72D46954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94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4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4F4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4F4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4F4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4F4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4F4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4F4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4F4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4F4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94F4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4F4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4F4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4F4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4F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4F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4F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4F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4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4F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4F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4F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4F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4F42"/>
    <w:rPr>
      <w:i/>
      <w:iCs/>
      <w:color w:val="404040" w:themeColor="text1" w:themeTint="BF"/>
    </w:rPr>
  </w:style>
  <w:style w:type="paragraph" w:styleId="Sraopastraipa">
    <w:name w:val="List Paragraph"/>
    <w:basedOn w:val="prastasis"/>
    <w:uiPriority w:val="34"/>
    <w:qFormat/>
    <w:rsid w:val="00794F42"/>
    <w:pPr>
      <w:ind w:left="720"/>
      <w:contextualSpacing/>
    </w:pPr>
  </w:style>
  <w:style w:type="character" w:styleId="Rykuspabraukimas">
    <w:name w:val="Intense Emphasis"/>
    <w:basedOn w:val="Numatytasispastraiposriftas"/>
    <w:uiPriority w:val="21"/>
    <w:qFormat/>
    <w:rsid w:val="00794F42"/>
    <w:rPr>
      <w:i/>
      <w:iCs/>
      <w:color w:val="0F4761" w:themeColor="accent1" w:themeShade="BF"/>
    </w:rPr>
  </w:style>
  <w:style w:type="paragraph" w:styleId="Iskirtacitata">
    <w:name w:val="Intense Quote"/>
    <w:basedOn w:val="prastasis"/>
    <w:next w:val="prastasis"/>
    <w:link w:val="IskirtacitataDiagrama"/>
    <w:uiPriority w:val="30"/>
    <w:qFormat/>
    <w:rsid w:val="00794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4F42"/>
    <w:rPr>
      <w:i/>
      <w:iCs/>
      <w:color w:val="0F4761" w:themeColor="accent1" w:themeShade="BF"/>
    </w:rPr>
  </w:style>
  <w:style w:type="character" w:styleId="Rykinuoroda">
    <w:name w:val="Intense Reference"/>
    <w:basedOn w:val="Numatytasispastraiposriftas"/>
    <w:uiPriority w:val="32"/>
    <w:qFormat/>
    <w:rsid w:val="00794F42"/>
    <w:rPr>
      <w:b/>
      <w:bCs/>
      <w:smallCaps/>
      <w:color w:val="0F4761" w:themeColor="accent1" w:themeShade="BF"/>
      <w:spacing w:val="5"/>
    </w:rPr>
  </w:style>
  <w:style w:type="table" w:styleId="Lentelstinklelis">
    <w:name w:val="Table Grid"/>
    <w:basedOn w:val="prastojilentel"/>
    <w:rsid w:val="00794F42"/>
    <w:pPr>
      <w:spacing w:after="0" w:line="240" w:lineRule="auto"/>
    </w:pPr>
    <w:rPr>
      <w:rFonts w:ascii="Times New Roman" w:eastAsia="Times New Roman"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250D7"/>
    <w:rPr>
      <w:color w:val="467886" w:themeColor="hyperlink"/>
      <w:u w:val="single"/>
    </w:rPr>
  </w:style>
  <w:style w:type="character" w:styleId="Neapdorotaspaminjimas">
    <w:name w:val="Unresolved Mention"/>
    <w:basedOn w:val="Numatytasispastraiposriftas"/>
    <w:uiPriority w:val="99"/>
    <w:semiHidden/>
    <w:unhideWhenUsed/>
    <w:rsid w:val="00A250D7"/>
    <w:rPr>
      <w:color w:val="605E5C"/>
      <w:shd w:val="clear" w:color="auto" w:fill="E1DFDD"/>
    </w:rPr>
  </w:style>
  <w:style w:type="paragraph" w:styleId="Pataisymai">
    <w:name w:val="Revision"/>
    <w:hidden/>
    <w:uiPriority w:val="99"/>
    <w:semiHidden/>
    <w:rsid w:val="00E363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63E00-8DCE-48D6-B9C1-2FF3386F63CE}">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2.xml><?xml version="1.0" encoding="utf-8"?>
<ds:datastoreItem xmlns:ds="http://schemas.openxmlformats.org/officeDocument/2006/customXml" ds:itemID="{38C00FC7-56F5-4D53-92D5-882D215B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098F83-8468-4C1F-8026-D9E34A643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7708</Words>
  <Characters>4394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0328</dc:creator>
  <cp:keywords/>
  <dc:description/>
  <cp:lastModifiedBy>Karolina Kontrauskaitė</cp:lastModifiedBy>
  <cp:revision>4</cp:revision>
  <dcterms:created xsi:type="dcterms:W3CDTF">2024-10-04T10:47:00Z</dcterms:created>
  <dcterms:modified xsi:type="dcterms:W3CDTF">2024-11-07T06:50:00Z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ies>
</file>