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59F9" w14:textId="77777777" w:rsidR="007A2897" w:rsidRPr="0014276A" w:rsidRDefault="007A2897" w:rsidP="007A2897">
      <w:pPr>
        <w:tabs>
          <w:tab w:val="left" w:pos="567"/>
        </w:tabs>
        <w:spacing w:after="0" w:line="240" w:lineRule="auto"/>
        <w:jc w:val="center"/>
        <w:outlineLvl w:val="0"/>
        <w:rPr>
          <w:rFonts w:ascii="Times New Roman" w:eastAsia="Times New Roman" w:hAnsi="Times New Roman" w:cs="Times New Roman"/>
          <w:b/>
          <w:caps/>
          <w:strike/>
          <w:sz w:val="22"/>
          <w:szCs w:val="22"/>
          <w:lang w:val="lt-LT"/>
        </w:rPr>
      </w:pPr>
      <w:bookmarkStart w:id="0" w:name="_Toc129243138"/>
      <w:bookmarkStart w:id="1" w:name="_Toc129243263"/>
      <w:r w:rsidRPr="0014276A">
        <w:rPr>
          <w:rFonts w:ascii="Times New Roman" w:eastAsia="Times New Roman" w:hAnsi="Times New Roman" w:cs="Times New Roman"/>
          <w:b/>
          <w:sz w:val="22"/>
          <w:szCs w:val="22"/>
          <w:lang w:val="lt-LT"/>
        </w:rPr>
        <w:t xml:space="preserve">Pakuotės lapelis: informacija </w:t>
      </w:r>
      <w:bookmarkEnd w:id="0"/>
      <w:bookmarkEnd w:id="1"/>
      <w:r w:rsidRPr="0014276A">
        <w:rPr>
          <w:rFonts w:ascii="Times New Roman" w:eastAsia="Times New Roman" w:hAnsi="Times New Roman" w:cs="Times New Roman"/>
          <w:b/>
          <w:sz w:val="22"/>
          <w:szCs w:val="22"/>
          <w:lang w:val="lt-LT"/>
        </w:rPr>
        <w:t>pacientui</w:t>
      </w:r>
    </w:p>
    <w:p w14:paraId="47BF867D" w14:textId="77777777" w:rsidR="007A2897" w:rsidRPr="0014276A" w:rsidRDefault="007A2897" w:rsidP="007A2897">
      <w:pPr>
        <w:spacing w:after="0" w:line="240" w:lineRule="auto"/>
        <w:jc w:val="center"/>
        <w:rPr>
          <w:rFonts w:ascii="Times New Roman" w:eastAsia="Times New Roman" w:hAnsi="Times New Roman" w:cs="Times New Roman"/>
          <w:sz w:val="22"/>
          <w:szCs w:val="22"/>
          <w:lang w:val="lt-LT"/>
        </w:rPr>
      </w:pPr>
    </w:p>
    <w:p w14:paraId="19974BDE" w14:textId="67FB467B" w:rsidR="007A2897" w:rsidRPr="0014276A" w:rsidRDefault="00691ECB" w:rsidP="007A2897">
      <w:pPr>
        <w:keepNext/>
        <w:spacing w:after="0" w:line="240" w:lineRule="auto"/>
        <w:jc w:val="center"/>
        <w:outlineLvl w:val="1"/>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TOBREX</w:t>
      </w:r>
      <w:r w:rsidR="007A2897" w:rsidRPr="0014276A">
        <w:rPr>
          <w:rFonts w:ascii="Times New Roman" w:eastAsia="Times New Roman" w:hAnsi="Times New Roman" w:cs="Times New Roman"/>
          <w:b/>
          <w:sz w:val="22"/>
          <w:szCs w:val="22"/>
          <w:lang w:val="lt-LT"/>
        </w:rPr>
        <w:t xml:space="preserve"> 3 mg/g akių tepalas</w:t>
      </w:r>
    </w:p>
    <w:p w14:paraId="5C46510C" w14:textId="75316B85" w:rsidR="007A2897" w:rsidRPr="0014276A" w:rsidRDefault="007F7446" w:rsidP="007A2897">
      <w:pPr>
        <w:spacing w:after="0" w:line="240" w:lineRule="auto"/>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w:t>
      </w:r>
      <w:r w:rsidR="007A2897" w:rsidRPr="0014276A">
        <w:rPr>
          <w:rFonts w:ascii="Times New Roman" w:eastAsia="Times New Roman" w:hAnsi="Times New Roman" w:cs="Times New Roman"/>
          <w:sz w:val="22"/>
          <w:szCs w:val="22"/>
          <w:lang w:val="lt-LT"/>
        </w:rPr>
        <w:t>obramicinas</w:t>
      </w:r>
    </w:p>
    <w:p w14:paraId="10A02B8E"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6BB3932A"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r w:rsidRPr="0014276A">
        <w:rPr>
          <w:rFonts w:ascii="Times New Roman" w:eastAsia="Times New Roman" w:hAnsi="Times New Roman" w:cs="Times New Roman"/>
          <w:b/>
          <w:sz w:val="22"/>
          <w:szCs w:val="22"/>
          <w:lang w:val="lt-LT"/>
        </w:rPr>
        <w:t>Atidžiai perskaitykite visą šį lapelį, prieš pradėdami vartoti vaistą, nes jame pateikiama Jums svarbi informacija.</w:t>
      </w:r>
    </w:p>
    <w:p w14:paraId="6321B561" w14:textId="77777777" w:rsidR="007A2897" w:rsidRPr="0014276A" w:rsidRDefault="007A2897" w:rsidP="007A2897">
      <w:pPr>
        <w:numPr>
          <w:ilvl w:val="0"/>
          <w:numId w:val="1"/>
        </w:numPr>
        <w:spacing w:after="0" w:line="240" w:lineRule="auto"/>
        <w:ind w:left="567" w:hanging="567"/>
        <w:contextualSpacing/>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Neišmeskite šio lapelio, nes vėl gali prireikti jį perskaityti.</w:t>
      </w:r>
    </w:p>
    <w:p w14:paraId="1F3845A6" w14:textId="77777777" w:rsidR="007A2897" w:rsidRPr="0014276A" w:rsidRDefault="007A2897" w:rsidP="007A2897">
      <w:pPr>
        <w:numPr>
          <w:ilvl w:val="0"/>
          <w:numId w:val="1"/>
        </w:numPr>
        <w:spacing w:after="0" w:line="240" w:lineRule="auto"/>
        <w:ind w:left="567" w:hanging="567"/>
        <w:contextualSpacing/>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Jeigu kiltų daugiau klausimų, kreipkitės į gydytoją arba vaistininką.</w:t>
      </w:r>
    </w:p>
    <w:p w14:paraId="4CD4AB00" w14:textId="77777777" w:rsidR="007A2897" w:rsidRPr="0014276A" w:rsidRDefault="007A2897" w:rsidP="007A2897">
      <w:pPr>
        <w:numPr>
          <w:ilvl w:val="0"/>
          <w:numId w:val="1"/>
        </w:numPr>
        <w:spacing w:after="0" w:line="240" w:lineRule="auto"/>
        <w:ind w:left="567" w:hanging="567"/>
        <w:contextualSpacing/>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 xml:space="preserve">Šis vaistas skirtas Jums, todėl kitiems žmonėms jo duoti negalima. Vaistas gali jiems pakenkti </w:t>
      </w:r>
    </w:p>
    <w:p w14:paraId="15B0F399" w14:textId="77777777" w:rsidR="007A2897" w:rsidRPr="0014276A" w:rsidRDefault="007A2897" w:rsidP="007A2897">
      <w:pPr>
        <w:numPr>
          <w:ilvl w:val="0"/>
          <w:numId w:val="1"/>
        </w:numPr>
        <w:spacing w:after="0" w:line="240" w:lineRule="auto"/>
        <w:ind w:left="567" w:hanging="567"/>
        <w:contextualSpacing/>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(net tiems, kurių ligos simptomai yra tokie patys kaip Jūsų).</w:t>
      </w:r>
    </w:p>
    <w:p w14:paraId="407DEAD5" w14:textId="77777777" w:rsidR="007A2897" w:rsidRPr="0014276A" w:rsidRDefault="007A2897" w:rsidP="007A2897">
      <w:pPr>
        <w:numPr>
          <w:ilvl w:val="0"/>
          <w:numId w:val="1"/>
        </w:numPr>
        <w:spacing w:after="0" w:line="240" w:lineRule="auto"/>
        <w:ind w:left="567" w:hanging="567"/>
        <w:contextualSpacing/>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Jeigu pasireiškė šalutinis poveikis (net jeigu jis šiame lapelyje nenurodytas), kreipkitės į</w:t>
      </w:r>
    </w:p>
    <w:p w14:paraId="39A6B456" w14:textId="77777777" w:rsidR="007A2897" w:rsidRPr="0014276A" w:rsidRDefault="007A2897" w:rsidP="007A2897">
      <w:pPr>
        <w:numPr>
          <w:ilvl w:val="0"/>
          <w:numId w:val="1"/>
        </w:numPr>
        <w:spacing w:after="0" w:line="240" w:lineRule="auto"/>
        <w:ind w:left="567" w:hanging="567"/>
        <w:contextualSpacing/>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gydytoją arba vaistininką.</w:t>
      </w:r>
      <w:r w:rsidRPr="0014276A">
        <w:rPr>
          <w:rFonts w:ascii="Times New Roman" w:eastAsia="Times New Roman" w:hAnsi="Times New Roman" w:cs="Times New Roman"/>
          <w:noProof/>
          <w:snapToGrid w:val="0"/>
          <w:sz w:val="22"/>
          <w:szCs w:val="22"/>
          <w:lang w:val="lt-LT"/>
        </w:rPr>
        <w:t xml:space="preserve"> </w:t>
      </w:r>
      <w:r w:rsidRPr="0014276A">
        <w:rPr>
          <w:rFonts w:ascii="Times New Roman" w:eastAsia="Times New Roman" w:hAnsi="Times New Roman" w:cs="Times New Roman"/>
          <w:sz w:val="22"/>
          <w:szCs w:val="22"/>
          <w:lang w:val="lt-LT"/>
        </w:rPr>
        <w:t>Žr. 4 skyrių.</w:t>
      </w:r>
    </w:p>
    <w:p w14:paraId="4B61219B"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68531365"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r w:rsidRPr="0014276A">
        <w:rPr>
          <w:rFonts w:ascii="Times New Roman" w:eastAsia="Times New Roman" w:hAnsi="Times New Roman" w:cs="Times New Roman"/>
          <w:b/>
          <w:sz w:val="22"/>
          <w:szCs w:val="22"/>
          <w:lang w:val="lt-LT"/>
        </w:rPr>
        <w:t>Apie ką rašoma šiame lapelyje?</w:t>
      </w:r>
    </w:p>
    <w:p w14:paraId="561BEC99"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p>
    <w:p w14:paraId="08507A6F" w14:textId="3B8F39F8"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1.</w:t>
      </w:r>
      <w:r w:rsidRPr="0014276A">
        <w:rPr>
          <w:rFonts w:ascii="Times New Roman" w:eastAsia="Times New Roman" w:hAnsi="Times New Roman" w:cs="Times New Roman"/>
          <w:sz w:val="22"/>
          <w:szCs w:val="22"/>
          <w:lang w:val="lt-LT"/>
        </w:rPr>
        <w:tab/>
        <w:t xml:space="preserve">Kas yra </w:t>
      </w:r>
      <w:r w:rsidR="00691ECB">
        <w:rPr>
          <w:rFonts w:ascii="Times New Roman" w:eastAsia="Times New Roman" w:hAnsi="Times New Roman" w:cs="Times New Roman"/>
          <w:sz w:val="22"/>
          <w:szCs w:val="22"/>
          <w:lang w:val="lt-LT"/>
        </w:rPr>
        <w:t>TOBREX</w:t>
      </w:r>
      <w:r w:rsidRPr="0014276A">
        <w:rPr>
          <w:rFonts w:ascii="Times New Roman" w:eastAsia="Times New Roman" w:hAnsi="Times New Roman" w:cs="Times New Roman"/>
          <w:sz w:val="22"/>
          <w:szCs w:val="22"/>
          <w:lang w:val="lt-LT"/>
        </w:rPr>
        <w:t xml:space="preserve"> ir kam jis vartojamas</w:t>
      </w:r>
    </w:p>
    <w:p w14:paraId="1275A76E" w14:textId="723684E5"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2.</w:t>
      </w:r>
      <w:r w:rsidRPr="0014276A">
        <w:rPr>
          <w:rFonts w:ascii="Times New Roman" w:eastAsia="Times New Roman" w:hAnsi="Times New Roman" w:cs="Times New Roman"/>
          <w:sz w:val="22"/>
          <w:szCs w:val="22"/>
          <w:lang w:val="lt-LT"/>
        </w:rPr>
        <w:tab/>
        <w:t xml:space="preserve">Kas žinotina prieš vartojant </w:t>
      </w:r>
      <w:r w:rsidR="00691ECB">
        <w:rPr>
          <w:rFonts w:ascii="Times New Roman" w:eastAsia="Times New Roman" w:hAnsi="Times New Roman" w:cs="Times New Roman"/>
          <w:sz w:val="22"/>
          <w:szCs w:val="22"/>
          <w:lang w:val="lt-LT"/>
        </w:rPr>
        <w:t>TOBREX</w:t>
      </w:r>
      <w:r w:rsidRPr="0014276A">
        <w:rPr>
          <w:rFonts w:ascii="Times New Roman" w:eastAsia="Times New Roman" w:hAnsi="Times New Roman" w:cs="Times New Roman"/>
          <w:sz w:val="22"/>
          <w:szCs w:val="22"/>
          <w:lang w:val="lt-LT"/>
        </w:rPr>
        <w:t xml:space="preserve"> </w:t>
      </w:r>
    </w:p>
    <w:p w14:paraId="46A4D5CB" w14:textId="69DBEDAB"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3.</w:t>
      </w:r>
      <w:r w:rsidRPr="0014276A">
        <w:rPr>
          <w:rFonts w:ascii="Times New Roman" w:eastAsia="Times New Roman" w:hAnsi="Times New Roman" w:cs="Times New Roman"/>
          <w:sz w:val="22"/>
          <w:szCs w:val="22"/>
          <w:lang w:val="lt-LT"/>
        </w:rPr>
        <w:tab/>
        <w:t xml:space="preserve">Kaip vartoti </w:t>
      </w:r>
      <w:r w:rsidR="00691ECB">
        <w:rPr>
          <w:rFonts w:ascii="Times New Roman" w:eastAsia="Times New Roman" w:hAnsi="Times New Roman" w:cs="Times New Roman"/>
          <w:sz w:val="22"/>
          <w:szCs w:val="22"/>
          <w:lang w:val="lt-LT"/>
        </w:rPr>
        <w:t>TOBREX</w:t>
      </w:r>
      <w:r w:rsidRPr="0014276A">
        <w:rPr>
          <w:rFonts w:ascii="Times New Roman" w:eastAsia="Times New Roman" w:hAnsi="Times New Roman" w:cs="Times New Roman"/>
          <w:sz w:val="22"/>
          <w:szCs w:val="22"/>
          <w:lang w:val="lt-LT"/>
        </w:rPr>
        <w:t xml:space="preserve"> </w:t>
      </w:r>
    </w:p>
    <w:p w14:paraId="3CAA9461"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4.</w:t>
      </w:r>
      <w:r w:rsidRPr="0014276A">
        <w:rPr>
          <w:rFonts w:ascii="Times New Roman" w:eastAsia="Times New Roman" w:hAnsi="Times New Roman" w:cs="Times New Roman"/>
          <w:sz w:val="22"/>
          <w:szCs w:val="22"/>
          <w:lang w:val="lt-LT"/>
        </w:rPr>
        <w:tab/>
        <w:t>Galimas šalutinis poveikis</w:t>
      </w:r>
    </w:p>
    <w:p w14:paraId="770B1996" w14:textId="7E5D06CD"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5.</w:t>
      </w:r>
      <w:r w:rsidRPr="0014276A">
        <w:rPr>
          <w:rFonts w:ascii="Times New Roman" w:eastAsia="Times New Roman" w:hAnsi="Times New Roman" w:cs="Times New Roman"/>
          <w:sz w:val="22"/>
          <w:szCs w:val="22"/>
          <w:lang w:val="lt-LT"/>
        </w:rPr>
        <w:tab/>
        <w:t xml:space="preserve">Kaip laikyti </w:t>
      </w:r>
      <w:r w:rsidR="00691ECB">
        <w:rPr>
          <w:rFonts w:ascii="Times New Roman" w:eastAsia="Times New Roman" w:hAnsi="Times New Roman" w:cs="Times New Roman"/>
          <w:sz w:val="22"/>
          <w:szCs w:val="22"/>
          <w:lang w:val="lt-LT"/>
        </w:rPr>
        <w:t>TOBREX</w:t>
      </w:r>
      <w:r w:rsidRPr="0014276A">
        <w:rPr>
          <w:rFonts w:ascii="Times New Roman" w:eastAsia="Times New Roman" w:hAnsi="Times New Roman" w:cs="Times New Roman"/>
          <w:sz w:val="22"/>
          <w:szCs w:val="22"/>
          <w:lang w:val="lt-LT"/>
        </w:rPr>
        <w:t xml:space="preserve"> </w:t>
      </w:r>
    </w:p>
    <w:p w14:paraId="7FE19336"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6.</w:t>
      </w:r>
      <w:r w:rsidRPr="0014276A">
        <w:rPr>
          <w:rFonts w:ascii="Times New Roman" w:eastAsia="Times New Roman" w:hAnsi="Times New Roman" w:cs="Times New Roman"/>
          <w:sz w:val="22"/>
          <w:szCs w:val="22"/>
          <w:lang w:val="lt-LT"/>
        </w:rPr>
        <w:tab/>
        <w:t>Pakuotės turinys ir kita informacija</w:t>
      </w:r>
    </w:p>
    <w:p w14:paraId="0BD98B69"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33C5FA4F" w14:textId="77777777" w:rsidR="007A2897" w:rsidRPr="0014276A" w:rsidRDefault="007A2897" w:rsidP="007A2897">
      <w:pPr>
        <w:keepNext/>
        <w:tabs>
          <w:tab w:val="left" w:pos="567"/>
        </w:tabs>
        <w:spacing w:after="0" w:line="240" w:lineRule="auto"/>
        <w:outlineLvl w:val="1"/>
        <w:rPr>
          <w:rFonts w:ascii="Times New Roman" w:eastAsia="Times New Roman" w:hAnsi="Times New Roman" w:cs="Times New Roman"/>
          <w:b/>
          <w:sz w:val="22"/>
          <w:szCs w:val="22"/>
          <w:lang w:val="lt-LT"/>
        </w:rPr>
      </w:pPr>
      <w:bookmarkStart w:id="2" w:name="_Toc129243139"/>
      <w:bookmarkStart w:id="3" w:name="_Toc129243264"/>
    </w:p>
    <w:p w14:paraId="4D208742" w14:textId="54E77725" w:rsidR="007A2897" w:rsidRPr="0014276A" w:rsidRDefault="007A2897" w:rsidP="007A2897">
      <w:pPr>
        <w:keepNext/>
        <w:tabs>
          <w:tab w:val="left" w:pos="567"/>
        </w:tabs>
        <w:spacing w:after="0" w:line="240" w:lineRule="auto"/>
        <w:outlineLvl w:val="1"/>
        <w:rPr>
          <w:rFonts w:ascii="Times New Roman" w:eastAsia="Times New Roman" w:hAnsi="Times New Roman" w:cs="Times New Roman"/>
          <w:b/>
          <w:sz w:val="22"/>
          <w:szCs w:val="22"/>
          <w:lang w:val="lt-LT"/>
        </w:rPr>
      </w:pPr>
      <w:r w:rsidRPr="0014276A">
        <w:rPr>
          <w:rFonts w:ascii="Times New Roman" w:eastAsia="Times New Roman" w:hAnsi="Times New Roman" w:cs="Times New Roman"/>
          <w:b/>
          <w:sz w:val="22"/>
          <w:szCs w:val="22"/>
          <w:lang w:val="lt-LT"/>
        </w:rPr>
        <w:t>1.</w:t>
      </w:r>
      <w:r w:rsidRPr="0014276A">
        <w:rPr>
          <w:rFonts w:ascii="Times New Roman" w:eastAsia="Times New Roman" w:hAnsi="Times New Roman" w:cs="Times New Roman"/>
          <w:b/>
          <w:sz w:val="22"/>
          <w:szCs w:val="22"/>
          <w:lang w:val="lt-LT"/>
        </w:rPr>
        <w:tab/>
        <w:t xml:space="preserve">Kas yra </w:t>
      </w:r>
      <w:r w:rsidR="00691ECB">
        <w:rPr>
          <w:rFonts w:ascii="Times New Roman" w:eastAsia="Times New Roman" w:hAnsi="Times New Roman" w:cs="Times New Roman"/>
          <w:b/>
          <w:sz w:val="22"/>
          <w:szCs w:val="22"/>
          <w:lang w:val="lt-LT"/>
        </w:rPr>
        <w:t>TOBREX</w:t>
      </w:r>
      <w:r w:rsidRPr="0014276A">
        <w:rPr>
          <w:rFonts w:ascii="Times New Roman" w:eastAsia="Times New Roman" w:hAnsi="Times New Roman" w:cs="Times New Roman"/>
          <w:b/>
          <w:sz w:val="22"/>
          <w:szCs w:val="22"/>
          <w:lang w:val="lt-LT"/>
        </w:rPr>
        <w:t xml:space="preserve"> ir kam jis vartojamas</w:t>
      </w:r>
      <w:bookmarkEnd w:id="2"/>
      <w:bookmarkEnd w:id="3"/>
    </w:p>
    <w:p w14:paraId="73F1D1A7"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p>
    <w:p w14:paraId="1F04FC57" w14:textId="01A95857" w:rsidR="007A2897" w:rsidRPr="0014276A" w:rsidRDefault="00691ECB" w:rsidP="007A2897">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A2897" w:rsidRPr="0014276A">
        <w:rPr>
          <w:rFonts w:ascii="Times New Roman" w:eastAsia="Times New Roman" w:hAnsi="Times New Roman" w:cs="Times New Roman"/>
          <w:sz w:val="22"/>
          <w:szCs w:val="22"/>
          <w:lang w:val="lt-LT"/>
        </w:rPr>
        <w:t xml:space="preserve"> akių tepalas vartojamas tobramicinui jautrių bakterijų sukeltų akies ir jos priedinių organų (vokų, junginės, ir ašarų aparato) paviršinių infekcinių ligų gydymui suaugusiems žmonėms ir 1 metų bei vyresniems vaikams ir paaugliams. </w:t>
      </w:r>
    </w:p>
    <w:p w14:paraId="1D515512"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5439679C" w14:textId="240467AF" w:rsidR="007A2897" w:rsidRPr="0014276A" w:rsidRDefault="00691ECB" w:rsidP="007A2897">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A2897" w:rsidRPr="0014276A">
        <w:rPr>
          <w:rFonts w:ascii="Times New Roman" w:eastAsia="Times New Roman" w:hAnsi="Times New Roman" w:cs="Times New Roman"/>
          <w:sz w:val="22"/>
          <w:szCs w:val="22"/>
          <w:lang w:val="lt-LT"/>
        </w:rPr>
        <w:t xml:space="preserve"> yra vienas iš antiinfekcinių vaistų.</w:t>
      </w:r>
      <w:r w:rsidR="007A2897" w:rsidRPr="0014276A">
        <w:rPr>
          <w:rFonts w:ascii="Times New Roman" w:eastAsia="Times New Roman" w:hAnsi="Times New Roman" w:cs="Times New Roman"/>
          <w:b/>
          <w:sz w:val="22"/>
          <w:szCs w:val="22"/>
          <w:lang w:val="lt-LT"/>
        </w:rPr>
        <w:t xml:space="preserve"> </w:t>
      </w:r>
      <w:r w:rsidR="007A2897" w:rsidRPr="0014276A">
        <w:rPr>
          <w:rFonts w:ascii="Times New Roman" w:eastAsia="Times New Roman" w:hAnsi="Times New Roman" w:cs="Times New Roman"/>
          <w:sz w:val="22"/>
          <w:szCs w:val="22"/>
          <w:lang w:val="lt-LT"/>
        </w:rPr>
        <w:t>Šiai grupei priklauso antibiotikai (iš jų ir tobramicinas), veikiantys daugelį mikroorganizmų, galinčių sukelti akių ligas.</w:t>
      </w:r>
    </w:p>
    <w:p w14:paraId="39489DDE"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31DD3174"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0DBF06E3" w14:textId="580A7C50" w:rsidR="007A2897" w:rsidRPr="0014276A" w:rsidRDefault="007A2897" w:rsidP="007A2897">
      <w:pPr>
        <w:keepNext/>
        <w:tabs>
          <w:tab w:val="left" w:pos="567"/>
        </w:tabs>
        <w:spacing w:after="0" w:line="240" w:lineRule="auto"/>
        <w:outlineLvl w:val="1"/>
        <w:rPr>
          <w:rFonts w:ascii="Times New Roman" w:eastAsia="Times New Roman" w:hAnsi="Times New Roman" w:cs="Times New Roman"/>
          <w:b/>
          <w:sz w:val="22"/>
          <w:szCs w:val="22"/>
          <w:lang w:val="lt-LT"/>
        </w:rPr>
      </w:pPr>
      <w:bookmarkStart w:id="4" w:name="_Toc129243140"/>
      <w:bookmarkStart w:id="5" w:name="_Toc129243265"/>
      <w:r w:rsidRPr="0014276A">
        <w:rPr>
          <w:rFonts w:ascii="Times New Roman" w:eastAsia="Times New Roman" w:hAnsi="Times New Roman" w:cs="Times New Roman"/>
          <w:b/>
          <w:sz w:val="22"/>
          <w:szCs w:val="22"/>
          <w:lang w:val="lt-LT"/>
        </w:rPr>
        <w:t>2.</w:t>
      </w:r>
      <w:r w:rsidRPr="0014276A">
        <w:rPr>
          <w:rFonts w:ascii="Times New Roman" w:eastAsia="Times New Roman" w:hAnsi="Times New Roman" w:cs="Times New Roman"/>
          <w:b/>
          <w:sz w:val="22"/>
          <w:szCs w:val="22"/>
          <w:lang w:val="lt-LT"/>
        </w:rPr>
        <w:tab/>
        <w:t xml:space="preserve">Kas žinotina prieš vartojant </w:t>
      </w:r>
      <w:bookmarkEnd w:id="4"/>
      <w:bookmarkEnd w:id="5"/>
      <w:r w:rsidR="00691ECB">
        <w:rPr>
          <w:rFonts w:ascii="Times New Roman" w:eastAsia="Times New Roman" w:hAnsi="Times New Roman" w:cs="Times New Roman"/>
          <w:b/>
          <w:sz w:val="22"/>
          <w:szCs w:val="22"/>
          <w:lang w:val="lt-LT"/>
        </w:rPr>
        <w:t>TOBREX</w:t>
      </w:r>
    </w:p>
    <w:p w14:paraId="7477DA79"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35055403" w14:textId="726A9AE7" w:rsidR="007A2897" w:rsidRPr="0014276A" w:rsidRDefault="00691ECB" w:rsidP="007A2897">
      <w:pPr>
        <w:spacing w:after="0" w:line="240" w:lineRule="auto"/>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TOBREX</w:t>
      </w:r>
      <w:r w:rsidR="007A2897" w:rsidRPr="0014276A">
        <w:rPr>
          <w:rFonts w:ascii="Times New Roman" w:eastAsia="Times New Roman" w:hAnsi="Times New Roman" w:cs="Times New Roman"/>
          <w:b/>
          <w:bCs/>
          <w:sz w:val="22"/>
          <w:szCs w:val="22"/>
          <w:lang w:val="lt-LT"/>
        </w:rPr>
        <w:t xml:space="preserve"> </w:t>
      </w:r>
      <w:r w:rsidR="00411AF0" w:rsidRPr="00691ECB">
        <w:rPr>
          <w:rFonts w:ascii="Times New Roman" w:hAnsi="Times New Roman" w:cs="Times New Roman"/>
          <w:b/>
          <w:bCs/>
          <w:sz w:val="22"/>
          <w:szCs w:val="22"/>
          <w:lang w:val="lt-LT" w:eastAsia="sl-SI"/>
        </w:rPr>
        <w:t>vartoti draudžiama</w:t>
      </w:r>
      <w:r w:rsidR="007A2897" w:rsidRPr="0014276A">
        <w:rPr>
          <w:rFonts w:ascii="Times New Roman" w:eastAsia="Times New Roman" w:hAnsi="Times New Roman" w:cs="Times New Roman"/>
          <w:b/>
          <w:bCs/>
          <w:sz w:val="22"/>
          <w:szCs w:val="22"/>
          <w:lang w:val="lt-LT"/>
        </w:rPr>
        <w:t>:</w:t>
      </w:r>
    </w:p>
    <w:p w14:paraId="2874BAE7" w14:textId="77777777" w:rsidR="007A2897" w:rsidRPr="0014276A" w:rsidRDefault="007A2897" w:rsidP="007A2897">
      <w:pPr>
        <w:numPr>
          <w:ilvl w:val="0"/>
          <w:numId w:val="1"/>
        </w:numPr>
        <w:spacing w:after="0" w:line="240" w:lineRule="auto"/>
        <w:ind w:left="567" w:hanging="567"/>
        <w:contextualSpacing/>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jeigu yra alergija veikliajai arba bet kuriai pagalbinei šio vaisto medžiagai (jos išvardytos 6 skyriuje);</w:t>
      </w:r>
    </w:p>
    <w:p w14:paraId="2132F228" w14:textId="77777777" w:rsidR="007A2897" w:rsidRPr="0014276A" w:rsidRDefault="007A2897" w:rsidP="007A2897">
      <w:pPr>
        <w:numPr>
          <w:ilvl w:val="0"/>
          <w:numId w:val="1"/>
        </w:numPr>
        <w:spacing w:after="0" w:line="240" w:lineRule="auto"/>
        <w:ind w:left="567" w:hanging="567"/>
        <w:contextualSpacing/>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jeigu yra padidėjęs jautrumas kitiems aminoglikozidams (pvz., gentamicinui).</w:t>
      </w:r>
    </w:p>
    <w:p w14:paraId="3A80B1E3"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763524A2" w14:textId="77777777" w:rsidR="007A2897" w:rsidRPr="0014276A" w:rsidRDefault="007A2897" w:rsidP="007A2897">
      <w:pPr>
        <w:spacing w:after="0" w:line="240" w:lineRule="auto"/>
        <w:rPr>
          <w:rFonts w:ascii="Times New Roman" w:eastAsia="Times New Roman" w:hAnsi="Times New Roman" w:cs="Times New Roman"/>
          <w:b/>
          <w:bCs/>
          <w:sz w:val="22"/>
          <w:szCs w:val="22"/>
          <w:lang w:val="lt-LT"/>
        </w:rPr>
      </w:pPr>
      <w:r w:rsidRPr="0014276A">
        <w:rPr>
          <w:rFonts w:ascii="Times New Roman" w:eastAsia="Times New Roman" w:hAnsi="Times New Roman" w:cs="Times New Roman"/>
          <w:b/>
          <w:bCs/>
          <w:sz w:val="22"/>
          <w:szCs w:val="22"/>
          <w:lang w:val="lt-LT"/>
        </w:rPr>
        <w:t>Įspėjimai ir atsargumo priemonės</w:t>
      </w:r>
    </w:p>
    <w:p w14:paraId="6FCB4C84" w14:textId="7EC583C1" w:rsidR="007A2897" w:rsidRPr="0014276A" w:rsidRDefault="007A2897" w:rsidP="007A2897">
      <w:pPr>
        <w:numPr>
          <w:ilvl w:val="12"/>
          <w:numId w:val="0"/>
        </w:numPr>
        <w:spacing w:after="0" w:line="240" w:lineRule="auto"/>
        <w:ind w:right="-2"/>
        <w:rPr>
          <w:rFonts w:ascii="Times New Roman" w:eastAsia="Calibri" w:hAnsi="Times New Roman" w:cs="Times New Roman"/>
          <w:sz w:val="22"/>
          <w:szCs w:val="22"/>
          <w:lang w:val="lt-LT"/>
        </w:rPr>
      </w:pPr>
      <w:r w:rsidRPr="0014276A">
        <w:rPr>
          <w:rFonts w:ascii="Times New Roman" w:eastAsia="Calibri" w:hAnsi="Times New Roman" w:cs="Times New Roman"/>
          <w:noProof/>
          <w:sz w:val="22"/>
          <w:szCs w:val="22"/>
          <w:lang w:val="lt-LT"/>
        </w:rPr>
        <w:t xml:space="preserve">Pasitarkite su gydytoju arba vaistininku, prieš pradėdami vartoti </w:t>
      </w:r>
      <w:r w:rsidR="00691ECB">
        <w:rPr>
          <w:rFonts w:ascii="Times New Roman" w:eastAsia="Calibri" w:hAnsi="Times New Roman" w:cs="Times New Roman"/>
          <w:noProof/>
          <w:sz w:val="22"/>
          <w:szCs w:val="22"/>
          <w:lang w:val="lt-LT"/>
        </w:rPr>
        <w:t>TOBREX</w:t>
      </w:r>
      <w:r w:rsidRPr="0014276A">
        <w:rPr>
          <w:rFonts w:ascii="Times New Roman" w:eastAsia="Calibri" w:hAnsi="Times New Roman" w:cs="Times New Roman"/>
          <w:noProof/>
          <w:sz w:val="22"/>
          <w:szCs w:val="22"/>
          <w:lang w:val="lt-LT"/>
        </w:rPr>
        <w:t>.</w:t>
      </w:r>
    </w:p>
    <w:p w14:paraId="654352EC" w14:textId="7A5C7C6B" w:rsidR="007A2897" w:rsidRPr="0014276A" w:rsidRDefault="007A2897" w:rsidP="007A2897">
      <w:pPr>
        <w:numPr>
          <w:ilvl w:val="0"/>
          <w:numId w:val="1"/>
        </w:numPr>
        <w:spacing w:after="0" w:line="240" w:lineRule="auto"/>
        <w:ind w:left="567" w:hanging="567"/>
        <w:contextualSpacing/>
        <w:rPr>
          <w:rFonts w:ascii="Times New Roman" w:eastAsia="Times New Roman" w:hAnsi="Times New Roman" w:cs="Times New Roman"/>
          <w:noProof/>
          <w:sz w:val="22"/>
          <w:szCs w:val="22"/>
          <w:lang w:val="lt-LT"/>
        </w:rPr>
      </w:pPr>
      <w:r w:rsidRPr="0014276A">
        <w:rPr>
          <w:rFonts w:ascii="Times New Roman" w:eastAsia="Times New Roman" w:hAnsi="Times New Roman" w:cs="Times New Roman"/>
          <w:noProof/>
          <w:sz w:val="22"/>
          <w:szCs w:val="22"/>
          <w:lang w:val="lt-LT"/>
        </w:rPr>
        <w:t xml:space="preserve">jeigu pasireiškia alerginė reakcija į </w:t>
      </w:r>
      <w:r w:rsidR="00691ECB">
        <w:rPr>
          <w:rFonts w:ascii="Times New Roman" w:eastAsia="Times New Roman" w:hAnsi="Times New Roman" w:cs="Times New Roman"/>
          <w:sz w:val="22"/>
          <w:szCs w:val="22"/>
          <w:lang w:val="lt-LT"/>
        </w:rPr>
        <w:t>TOBREX</w:t>
      </w:r>
      <w:r w:rsidRPr="0014276A">
        <w:rPr>
          <w:rFonts w:ascii="Times New Roman" w:eastAsia="Times New Roman" w:hAnsi="Times New Roman" w:cs="Times New Roman"/>
          <w:sz w:val="22"/>
          <w:szCs w:val="22"/>
          <w:lang w:val="lt-LT"/>
        </w:rPr>
        <w:t xml:space="preserve">, nutraukite vaisto vartojimą ir kreipkitės į </w:t>
      </w:r>
      <w:r w:rsidRPr="0014276A">
        <w:rPr>
          <w:rFonts w:ascii="Times New Roman" w:eastAsia="Times New Roman" w:hAnsi="Times New Roman" w:cs="Times New Roman"/>
          <w:noProof/>
          <w:sz w:val="22"/>
          <w:szCs w:val="22"/>
          <w:lang w:val="lt-LT"/>
        </w:rPr>
        <w:t>gydytoją. Alerginė reakcija gali būti įvairi</w:t>
      </w:r>
      <w:r w:rsidRPr="0014276A">
        <w:rPr>
          <w:rFonts w:ascii="Times New Roman" w:eastAsia="Times New Roman" w:hAnsi="Times New Roman" w:cs="Times New Roman"/>
          <w:sz w:val="22"/>
          <w:szCs w:val="22"/>
          <w:lang w:val="lt-LT"/>
        </w:rPr>
        <w:t xml:space="preserve"> (</w:t>
      </w:r>
      <w:r w:rsidRPr="0014276A">
        <w:rPr>
          <w:rFonts w:ascii="Times New Roman" w:eastAsia="Times New Roman" w:hAnsi="Times New Roman" w:cs="Times New Roman"/>
          <w:noProof/>
          <w:sz w:val="22"/>
          <w:szCs w:val="22"/>
          <w:lang w:val="lt-LT"/>
        </w:rPr>
        <w:t>nuo vietinio niežėjimo ar odos paraudimo iki sunkios alerginės reakcijos (anafilasinės reakcijos) ar sunkios odos reakcijos). Tokių alerginių reakcijų gali atsirasti ir vartojant kitokių tos pačios grupės vietinio ar sisteminio poveikio antibiotikų (aminoglikozidų);</w:t>
      </w:r>
    </w:p>
    <w:p w14:paraId="62D10205" w14:textId="491E1812" w:rsidR="007A2897" w:rsidRPr="0014276A" w:rsidRDefault="007A2897" w:rsidP="007A2897">
      <w:pPr>
        <w:numPr>
          <w:ilvl w:val="0"/>
          <w:numId w:val="1"/>
        </w:numPr>
        <w:spacing w:after="0" w:line="240" w:lineRule="auto"/>
        <w:ind w:left="567" w:hanging="567"/>
        <w:contextualSpacing/>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 xml:space="preserve">jeigu kartu su </w:t>
      </w:r>
      <w:r w:rsidR="00691ECB">
        <w:rPr>
          <w:rFonts w:ascii="Times New Roman" w:eastAsia="Times New Roman" w:hAnsi="Times New Roman" w:cs="Times New Roman"/>
          <w:sz w:val="22"/>
          <w:szCs w:val="22"/>
          <w:lang w:val="lt-LT"/>
        </w:rPr>
        <w:t>TOBREX</w:t>
      </w:r>
      <w:r w:rsidRPr="0014276A">
        <w:rPr>
          <w:rFonts w:ascii="Times New Roman" w:eastAsia="Times New Roman" w:hAnsi="Times New Roman" w:cs="Times New Roman"/>
          <w:sz w:val="22"/>
          <w:szCs w:val="22"/>
          <w:lang w:val="lt-LT"/>
        </w:rPr>
        <w:t xml:space="preserve"> akių tepalu vartojate kitus antibiotikus, pasitarkite su gydytoju;</w:t>
      </w:r>
    </w:p>
    <w:p w14:paraId="0747754D" w14:textId="77777777" w:rsidR="007A2897" w:rsidRPr="0014276A" w:rsidRDefault="007A2897" w:rsidP="007A2897">
      <w:pPr>
        <w:numPr>
          <w:ilvl w:val="0"/>
          <w:numId w:val="1"/>
        </w:numPr>
        <w:spacing w:after="0" w:line="240" w:lineRule="auto"/>
        <w:ind w:left="567" w:hanging="567"/>
        <w:contextualSpacing/>
        <w:rPr>
          <w:rFonts w:ascii="Times New Roman" w:eastAsia="Times New Roman" w:hAnsi="Times New Roman" w:cs="Times New Roman"/>
          <w:sz w:val="22"/>
          <w:szCs w:val="22"/>
          <w:lang w:val="lt-LT"/>
        </w:rPr>
      </w:pPr>
      <w:r w:rsidRPr="0014276A">
        <w:rPr>
          <w:rFonts w:ascii="Times New Roman" w:eastAsia="Times New Roman" w:hAnsi="Times New Roman" w:cs="Times New Roman"/>
          <w:noProof/>
          <w:sz w:val="22"/>
          <w:szCs w:val="22"/>
          <w:lang w:val="lt-LT"/>
        </w:rPr>
        <w:t>jeigu sergate ligomis, kurių metu pažeidžiamos nervų raumenų jungtys, pvz., generalizuota m</w:t>
      </w:r>
      <w:r w:rsidRPr="00691ECB">
        <w:rPr>
          <w:rFonts w:ascii="Times New Roman" w:eastAsia="Times New Roman" w:hAnsi="Times New Roman" w:cs="Times New Roman"/>
          <w:noProof/>
          <w:sz w:val="22"/>
          <w:szCs w:val="22"/>
          <w:lang w:val="lt-LT"/>
        </w:rPr>
        <w:t xml:space="preserve">iastenija </w:t>
      </w:r>
      <w:r w:rsidRPr="0014276A">
        <w:rPr>
          <w:rFonts w:ascii="Times New Roman" w:eastAsia="Times New Roman" w:hAnsi="Times New Roman" w:cs="Times New Roman"/>
          <w:noProof/>
          <w:sz w:val="22"/>
          <w:szCs w:val="22"/>
          <w:lang w:val="lt-LT"/>
        </w:rPr>
        <w:t>ar Parkinsono liga, pasitarkite su gydytoju. Aminoglikozidų grupės antibiotikai, jiems priskiriamas tobramicinas, gali sustiprinti raumenų silpnumą;</w:t>
      </w:r>
    </w:p>
    <w:p w14:paraId="5B6BCBA2" w14:textId="228E467A" w:rsidR="007A2897" w:rsidRPr="0014276A" w:rsidRDefault="007A2897" w:rsidP="007A2897">
      <w:pPr>
        <w:numPr>
          <w:ilvl w:val="0"/>
          <w:numId w:val="1"/>
        </w:numPr>
        <w:spacing w:after="0" w:line="240" w:lineRule="auto"/>
        <w:ind w:left="567" w:hanging="567"/>
        <w:contextualSpacing/>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lastRenderedPageBreak/>
        <w:t xml:space="preserve">jeigu Jūsų simptomai pasunkėja ar staiga atsinaujina. Jei </w:t>
      </w:r>
      <w:r w:rsidR="00691ECB">
        <w:rPr>
          <w:rFonts w:ascii="Times New Roman" w:eastAsia="Times New Roman" w:hAnsi="Times New Roman" w:cs="Times New Roman"/>
          <w:sz w:val="22"/>
          <w:szCs w:val="22"/>
          <w:lang w:val="lt-LT"/>
        </w:rPr>
        <w:t>TOBREX</w:t>
      </w:r>
      <w:r w:rsidRPr="0014276A">
        <w:rPr>
          <w:rFonts w:ascii="Times New Roman" w:eastAsia="Times New Roman" w:hAnsi="Times New Roman" w:cs="Times New Roman"/>
          <w:sz w:val="22"/>
          <w:szCs w:val="22"/>
          <w:lang w:val="lt-LT"/>
        </w:rPr>
        <w:t xml:space="preserve"> vartojate ilgai, gali padidėti akies infekcijos pavojus;</w:t>
      </w:r>
    </w:p>
    <w:p w14:paraId="516FFCB0" w14:textId="77777777" w:rsidR="007A2897" w:rsidRPr="0014276A" w:rsidRDefault="007A2897" w:rsidP="007A2897">
      <w:pPr>
        <w:numPr>
          <w:ilvl w:val="0"/>
          <w:numId w:val="1"/>
        </w:numPr>
        <w:spacing w:after="0" w:line="240" w:lineRule="auto"/>
        <w:ind w:left="567" w:hanging="567"/>
        <w:contextualSpacing/>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akių tepalai gali lėtinti akių opų gijimą.</w:t>
      </w:r>
    </w:p>
    <w:p w14:paraId="503DC8EC"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6D51EF88"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Esant akių infekcijai nenešiokite kontaktinių lęšių.</w:t>
      </w:r>
    </w:p>
    <w:p w14:paraId="7B5F2086"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0B6FB915"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b/>
          <w:sz w:val="22"/>
          <w:szCs w:val="22"/>
          <w:lang w:val="lt-LT"/>
        </w:rPr>
        <w:t>Vaikams ir paaugliams</w:t>
      </w:r>
    </w:p>
    <w:p w14:paraId="581C0C9B" w14:textId="47328B4A"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 xml:space="preserve">Nevartokite </w:t>
      </w:r>
      <w:r w:rsidR="00691ECB">
        <w:rPr>
          <w:rFonts w:ascii="Times New Roman" w:eastAsia="Times New Roman" w:hAnsi="Times New Roman" w:cs="Times New Roman"/>
          <w:sz w:val="22"/>
          <w:szCs w:val="22"/>
          <w:lang w:val="lt-LT"/>
        </w:rPr>
        <w:t>TOBREX</w:t>
      </w:r>
      <w:r w:rsidRPr="0014276A">
        <w:rPr>
          <w:rFonts w:ascii="Times New Roman" w:eastAsia="Times New Roman" w:hAnsi="Times New Roman" w:cs="Times New Roman"/>
          <w:sz w:val="22"/>
          <w:szCs w:val="22"/>
          <w:lang w:val="lt-LT"/>
        </w:rPr>
        <w:t xml:space="preserve"> akių tepalo vaikams iki 1 metų.</w:t>
      </w:r>
    </w:p>
    <w:p w14:paraId="471C7611"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29EA4943" w14:textId="79166EF8" w:rsidR="007A2897" w:rsidRPr="0014276A" w:rsidRDefault="007A2897" w:rsidP="007A2897">
      <w:pPr>
        <w:spacing w:after="0" w:line="240" w:lineRule="auto"/>
        <w:rPr>
          <w:rFonts w:ascii="Times New Roman" w:eastAsia="Times New Roman" w:hAnsi="Times New Roman" w:cs="Times New Roman"/>
          <w:b/>
          <w:bCs/>
          <w:sz w:val="22"/>
          <w:szCs w:val="22"/>
          <w:lang w:val="lt-LT"/>
        </w:rPr>
      </w:pPr>
      <w:r w:rsidRPr="0014276A">
        <w:rPr>
          <w:rFonts w:ascii="Times New Roman" w:eastAsia="Times New Roman" w:hAnsi="Times New Roman" w:cs="Times New Roman"/>
          <w:b/>
          <w:bCs/>
          <w:sz w:val="22"/>
          <w:szCs w:val="22"/>
          <w:lang w:val="lt-LT"/>
        </w:rPr>
        <w:t xml:space="preserve">Kiti vaistai ir </w:t>
      </w:r>
      <w:r w:rsidR="00691ECB">
        <w:rPr>
          <w:rFonts w:ascii="Times New Roman" w:eastAsia="Times New Roman" w:hAnsi="Times New Roman" w:cs="Times New Roman"/>
          <w:b/>
          <w:bCs/>
          <w:sz w:val="22"/>
          <w:szCs w:val="22"/>
          <w:lang w:val="lt-LT"/>
        </w:rPr>
        <w:t>TOBREX</w:t>
      </w:r>
    </w:p>
    <w:p w14:paraId="1C095613"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Jeigu vartojate arba neseniai vartojote kitų vaistų</w:t>
      </w:r>
      <w:r w:rsidRPr="0014276A">
        <w:rPr>
          <w:rFonts w:ascii="Times New Roman" w:eastAsia="Times New Roman" w:hAnsi="Times New Roman" w:cs="Times New Roman"/>
          <w:noProof/>
          <w:snapToGrid w:val="0"/>
          <w:sz w:val="22"/>
          <w:szCs w:val="22"/>
          <w:lang w:val="lt-LT"/>
        </w:rPr>
        <w:t xml:space="preserve"> </w:t>
      </w:r>
      <w:r w:rsidRPr="0014276A">
        <w:rPr>
          <w:rFonts w:ascii="Times New Roman" w:eastAsia="Times New Roman" w:hAnsi="Times New Roman" w:cs="Times New Roman"/>
          <w:sz w:val="22"/>
          <w:szCs w:val="22"/>
          <w:lang w:val="lt-LT"/>
        </w:rPr>
        <w:t>arba dėl to nesate tikri, apie tai pasakykite gydytojui arba vaistininkui.</w:t>
      </w:r>
    </w:p>
    <w:p w14:paraId="2D37DC5D"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530D9DDF"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Vartojant kartu su kortikosteroidais, gali būti maskuojami infekcinio susirgimo požymiai.</w:t>
      </w:r>
    </w:p>
    <w:p w14:paraId="4C6E55CB"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3FDE2829"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Kartu vartojant kitus akių vaistus tarp vienų ir kitų vartojimo reikia daryti 10–15 minučių pertrauką.</w:t>
      </w:r>
    </w:p>
    <w:p w14:paraId="48B77773"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Akių tepalą vartokite paskiausiai.</w:t>
      </w:r>
    </w:p>
    <w:p w14:paraId="416E465A" w14:textId="77777777" w:rsidR="007A2897" w:rsidRPr="0014276A" w:rsidRDefault="007A2897" w:rsidP="007A2897">
      <w:pPr>
        <w:spacing w:after="0" w:line="220" w:lineRule="exact"/>
        <w:rPr>
          <w:rFonts w:ascii="Times New Roman" w:eastAsia="Times New Roman" w:hAnsi="Times New Roman" w:cs="Times New Roman"/>
          <w:b/>
          <w:bCs/>
          <w:sz w:val="22"/>
          <w:szCs w:val="22"/>
          <w:lang w:val="lt-LT"/>
        </w:rPr>
      </w:pPr>
    </w:p>
    <w:p w14:paraId="3E8DC0CA" w14:textId="77777777" w:rsidR="007A2897" w:rsidRPr="0014276A" w:rsidRDefault="007A2897" w:rsidP="007A2897">
      <w:pPr>
        <w:spacing w:after="0" w:line="220" w:lineRule="exact"/>
        <w:rPr>
          <w:rFonts w:ascii="Times New Roman" w:eastAsia="Times New Roman" w:hAnsi="Times New Roman" w:cs="Times New Roman"/>
          <w:b/>
          <w:bCs/>
          <w:sz w:val="22"/>
          <w:szCs w:val="22"/>
          <w:lang w:val="lt-LT"/>
        </w:rPr>
      </w:pPr>
      <w:r w:rsidRPr="0014276A">
        <w:rPr>
          <w:rFonts w:ascii="Times New Roman" w:eastAsia="Times New Roman" w:hAnsi="Times New Roman" w:cs="Times New Roman"/>
          <w:b/>
          <w:bCs/>
          <w:sz w:val="22"/>
          <w:szCs w:val="22"/>
          <w:lang w:val="lt-LT"/>
        </w:rPr>
        <w:t>Nėštumas ir žindymo laikotarpis</w:t>
      </w:r>
    </w:p>
    <w:p w14:paraId="5F29D3E8" w14:textId="6CAC1F2B" w:rsidR="007A2897" w:rsidRPr="0014276A" w:rsidRDefault="00691ECB" w:rsidP="007A2897">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A2897" w:rsidRPr="0014276A">
        <w:rPr>
          <w:rFonts w:ascii="Times New Roman" w:eastAsia="Times New Roman" w:hAnsi="Times New Roman" w:cs="Times New Roman"/>
          <w:sz w:val="22"/>
          <w:szCs w:val="22"/>
          <w:lang w:val="lt-LT"/>
        </w:rPr>
        <w:t xml:space="preserve"> </w:t>
      </w:r>
      <w:r w:rsidR="007A2897" w:rsidRPr="0014276A">
        <w:rPr>
          <w:rFonts w:ascii="Times New Roman" w:eastAsia="Times New Roman" w:hAnsi="Times New Roman" w:cs="Times New Roman"/>
          <w:noProof/>
          <w:sz w:val="22"/>
          <w:szCs w:val="22"/>
          <w:lang w:val="lt-LT"/>
        </w:rPr>
        <w:t xml:space="preserve">nėščioms moterims galima vartoti tik neabejotinai būtinu atveju. </w:t>
      </w:r>
      <w:r w:rsidR="007A2897" w:rsidRPr="0014276A">
        <w:rPr>
          <w:rFonts w:ascii="Times New Roman" w:eastAsia="Times New Roman" w:hAnsi="Times New Roman" w:cs="Times New Roman"/>
          <w:sz w:val="22"/>
          <w:szCs w:val="22"/>
          <w:lang w:val="lt-LT"/>
        </w:rPr>
        <w:t>Jeigu esate nėščia, žindote kūdikį, manote, kad galbūt esate nėščia arba planuojate pastoti, tai prieš vartodama šį vaistą pasitarkite su gydytoju arba vaistininku.</w:t>
      </w:r>
    </w:p>
    <w:p w14:paraId="62B352E8"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14807024" w14:textId="2234B739"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 xml:space="preserve">Nėštumo arba žindymo laikotarpiu </w:t>
      </w:r>
      <w:r w:rsidR="00691ECB">
        <w:rPr>
          <w:rFonts w:ascii="Times New Roman" w:eastAsia="Times New Roman" w:hAnsi="Times New Roman" w:cs="Times New Roman"/>
          <w:sz w:val="22"/>
          <w:szCs w:val="22"/>
          <w:lang w:val="lt-LT"/>
        </w:rPr>
        <w:t>TOBREX</w:t>
      </w:r>
      <w:r w:rsidRPr="0014276A">
        <w:rPr>
          <w:rFonts w:ascii="Times New Roman" w:eastAsia="Times New Roman" w:hAnsi="Times New Roman" w:cs="Times New Roman"/>
          <w:sz w:val="22"/>
          <w:szCs w:val="22"/>
          <w:lang w:val="lt-LT"/>
        </w:rPr>
        <w:t xml:space="preserve"> akių tepalo nevartokite, nebent gydytojas nuspręstų, kad vaistą vartoti reikia. Prieš vartojant bet kokį vaistą, būtina pasitarti su gydytoju arba vaistininku.</w:t>
      </w:r>
    </w:p>
    <w:p w14:paraId="1E5AD119"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1D147284" w14:textId="77777777" w:rsidR="007A2897" w:rsidRPr="0014276A" w:rsidRDefault="007A2897" w:rsidP="007A2897">
      <w:pPr>
        <w:spacing w:after="0" w:line="220" w:lineRule="exact"/>
        <w:rPr>
          <w:rFonts w:ascii="Times New Roman" w:eastAsia="Times New Roman" w:hAnsi="Times New Roman" w:cs="Times New Roman"/>
          <w:b/>
          <w:bCs/>
          <w:sz w:val="22"/>
          <w:szCs w:val="22"/>
          <w:lang w:val="lt-LT"/>
        </w:rPr>
      </w:pPr>
      <w:r w:rsidRPr="0014276A">
        <w:rPr>
          <w:rFonts w:ascii="Times New Roman" w:eastAsia="Times New Roman" w:hAnsi="Times New Roman" w:cs="Times New Roman"/>
          <w:b/>
          <w:bCs/>
          <w:sz w:val="22"/>
          <w:szCs w:val="22"/>
          <w:lang w:val="lt-LT"/>
        </w:rPr>
        <w:t>Vairavimas ir mechanizmų valdymas</w:t>
      </w:r>
    </w:p>
    <w:p w14:paraId="347A01E7" w14:textId="6BF369E9" w:rsidR="007A2897" w:rsidRPr="0014276A" w:rsidRDefault="00691ECB" w:rsidP="007A2897">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A2897" w:rsidRPr="0014276A">
        <w:rPr>
          <w:rFonts w:ascii="Times New Roman" w:eastAsia="Times New Roman" w:hAnsi="Times New Roman" w:cs="Times New Roman"/>
          <w:sz w:val="22"/>
          <w:szCs w:val="22"/>
          <w:lang w:val="lt-LT"/>
        </w:rPr>
        <w:t xml:space="preserve"> akių tepalas neturėtų veikti gebėjimo vairuoti ir dirbti su mechanizmais. Patepus akis </w:t>
      </w:r>
      <w:r>
        <w:rPr>
          <w:rFonts w:ascii="Times New Roman" w:eastAsia="Times New Roman" w:hAnsi="Times New Roman" w:cs="Times New Roman"/>
          <w:sz w:val="22"/>
          <w:szCs w:val="22"/>
          <w:lang w:val="lt-LT"/>
        </w:rPr>
        <w:t>TOBREX</w:t>
      </w:r>
      <w:r w:rsidR="007A2897" w:rsidRPr="0014276A">
        <w:rPr>
          <w:rFonts w:ascii="Times New Roman" w:eastAsia="Times New Roman" w:hAnsi="Times New Roman" w:cs="Times New Roman"/>
          <w:sz w:val="22"/>
          <w:szCs w:val="22"/>
          <w:lang w:val="lt-LT"/>
        </w:rPr>
        <w:t xml:space="preserve"> trumpai gali būti neryškus matymas. Nevairuokite ir nevaldykite mechanizmų, kol matymas nepagerės.</w:t>
      </w:r>
    </w:p>
    <w:p w14:paraId="47A7CD7D"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0B8314B2"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3EBDB3CD" w14:textId="74330C19" w:rsidR="007A2897" w:rsidRPr="0014276A" w:rsidRDefault="007A2897" w:rsidP="007A2897">
      <w:pPr>
        <w:keepNext/>
        <w:numPr>
          <w:ilvl w:val="0"/>
          <w:numId w:val="2"/>
        </w:numPr>
        <w:spacing w:after="0" w:line="240" w:lineRule="auto"/>
        <w:ind w:left="540" w:hanging="540"/>
        <w:outlineLvl w:val="0"/>
        <w:rPr>
          <w:rFonts w:ascii="Times New Roman" w:eastAsia="Times New Roman" w:hAnsi="Times New Roman" w:cs="Times New Roman"/>
          <w:b/>
          <w:sz w:val="22"/>
          <w:szCs w:val="22"/>
          <w:lang w:val="lt-LT"/>
        </w:rPr>
      </w:pPr>
      <w:r w:rsidRPr="0014276A">
        <w:rPr>
          <w:rFonts w:ascii="Times New Roman" w:eastAsia="Times New Roman" w:hAnsi="Times New Roman" w:cs="Times New Roman"/>
          <w:b/>
          <w:sz w:val="22"/>
          <w:szCs w:val="22"/>
          <w:lang w:val="lt-LT"/>
        </w:rPr>
        <w:t xml:space="preserve">Kaip vartoti </w:t>
      </w:r>
      <w:r w:rsidR="00691ECB">
        <w:rPr>
          <w:rFonts w:ascii="Times New Roman" w:eastAsia="Times New Roman" w:hAnsi="Times New Roman" w:cs="Times New Roman"/>
          <w:b/>
          <w:sz w:val="22"/>
          <w:szCs w:val="22"/>
          <w:lang w:val="lt-LT"/>
        </w:rPr>
        <w:t>TOBREX</w:t>
      </w:r>
    </w:p>
    <w:p w14:paraId="0EA78FB9"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4D41744A"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 xml:space="preserve">Visada vartokite šį vaistą tiksliai kaip nurodė gydytojas. Jeigu abejojate, kreipkitės į gydytoją arba vaistininką. </w:t>
      </w:r>
    </w:p>
    <w:p w14:paraId="63170AAE"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0601A036"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Suaugusiesiems (taip pat senyviems žmonėms) ir vyresniems nei 1 metų vaikams ir paaugliams.</w:t>
      </w:r>
    </w:p>
    <w:p w14:paraId="076BF9C8"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545A300B" w14:textId="6564100B" w:rsidR="007A2897" w:rsidRPr="0014276A" w:rsidRDefault="007A2897" w:rsidP="007A2897">
      <w:pPr>
        <w:spacing w:after="0" w:line="240" w:lineRule="auto"/>
        <w:rPr>
          <w:rFonts w:ascii="Times New Roman" w:eastAsia="Times New Roman" w:hAnsi="Times New Roman" w:cs="Times New Roman"/>
          <w:b/>
          <w:sz w:val="22"/>
          <w:szCs w:val="22"/>
          <w:lang w:val="lt-LT"/>
        </w:rPr>
      </w:pPr>
      <w:r w:rsidRPr="0014276A">
        <w:rPr>
          <w:rFonts w:ascii="Times New Roman" w:eastAsia="Times New Roman" w:hAnsi="Times New Roman" w:cs="Times New Roman"/>
          <w:sz w:val="22"/>
          <w:szCs w:val="22"/>
          <w:lang w:val="lt-LT"/>
        </w:rPr>
        <w:t>Įprasta dozė yra:</w:t>
      </w:r>
      <w:r w:rsidRPr="0014276A">
        <w:rPr>
          <w:rFonts w:ascii="Times New Roman" w:eastAsia="Times New Roman" w:hAnsi="Times New Roman" w:cs="Times New Roman"/>
          <w:b/>
          <w:sz w:val="22"/>
          <w:szCs w:val="22"/>
          <w:lang w:val="lt-LT"/>
        </w:rPr>
        <w:t xml:space="preserve"> </w:t>
      </w:r>
      <w:r w:rsidRPr="0014276A">
        <w:rPr>
          <w:rFonts w:ascii="Times New Roman" w:eastAsia="Times New Roman" w:hAnsi="Times New Roman" w:cs="Times New Roman"/>
          <w:sz w:val="22"/>
          <w:szCs w:val="22"/>
          <w:lang w:val="lt-LT"/>
        </w:rPr>
        <w:t xml:space="preserve">nedaug </w:t>
      </w:r>
      <w:r w:rsidR="00691ECB">
        <w:rPr>
          <w:rFonts w:ascii="Times New Roman" w:eastAsia="Times New Roman" w:hAnsi="Times New Roman" w:cs="Times New Roman"/>
          <w:sz w:val="22"/>
          <w:szCs w:val="22"/>
          <w:lang w:val="lt-LT"/>
        </w:rPr>
        <w:t>TOBREX</w:t>
      </w:r>
      <w:r w:rsidRPr="0014276A">
        <w:rPr>
          <w:rFonts w:ascii="Times New Roman" w:eastAsia="Times New Roman" w:hAnsi="Times New Roman" w:cs="Times New Roman"/>
          <w:sz w:val="22"/>
          <w:szCs w:val="22"/>
          <w:lang w:val="lt-LT"/>
        </w:rPr>
        <w:t xml:space="preserve"> akių tepalo (apie 1,5 cm juostelę) išspausti į nesveikos akies arba abiejų akių junginės maišelį du </w:t>
      </w:r>
      <w:r w:rsidRPr="0014276A">
        <w:rPr>
          <w:rFonts w:ascii="Times New Roman" w:eastAsia="Times New Roman" w:hAnsi="Times New Roman" w:cs="Times New Roman"/>
          <w:sz w:val="22"/>
          <w:szCs w:val="22"/>
          <w:lang w:val="lt-LT"/>
        </w:rPr>
        <w:noBreakHyphen/>
        <w:t xml:space="preserve"> tris kartus per parą.</w:t>
      </w:r>
    </w:p>
    <w:p w14:paraId="22F1ED4A"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3628FAD0"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Vartokite po tiek, jei gydytojas nenurodė kitaip. Į abi akis vartokite tik tada, jei gydytojas taip paskyrė.</w:t>
      </w:r>
    </w:p>
    <w:p w14:paraId="5D2AC99D"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4D8573E3" w14:textId="4AC864AA"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 xml:space="preserve">Tepalą galima vartoti kartu su </w:t>
      </w:r>
      <w:r w:rsidR="00691ECB">
        <w:rPr>
          <w:rFonts w:ascii="Times New Roman" w:eastAsia="Times New Roman" w:hAnsi="Times New Roman" w:cs="Times New Roman"/>
          <w:sz w:val="22"/>
          <w:szCs w:val="22"/>
          <w:lang w:val="lt-LT"/>
        </w:rPr>
        <w:t>TOBREX</w:t>
      </w:r>
      <w:r w:rsidRPr="0014276A">
        <w:rPr>
          <w:rFonts w:ascii="Times New Roman" w:eastAsia="Times New Roman" w:hAnsi="Times New Roman" w:cs="Times New Roman"/>
          <w:sz w:val="22"/>
          <w:szCs w:val="22"/>
          <w:lang w:val="lt-LT"/>
        </w:rPr>
        <w:t xml:space="preserve"> akių lašais: lašus – dieną, tepalą – vakare.</w:t>
      </w:r>
    </w:p>
    <w:p w14:paraId="13BB9BDE"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1F57434E"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Įprastinė gydymo trukmė – 7±1 diena. Gydytojas pasakys, kaip ilgai vartoti vaistą.</w:t>
      </w:r>
    </w:p>
    <w:p w14:paraId="71BDCEE4"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19B6EC94"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Kartu vartojant kitokių akių lašų ar tepalo, tarp jų vartojimo reikia daryti mažiausiai 5 min. pertrauką. Akių tepalą reikia vartoti paskiausiai.</w:t>
      </w:r>
    </w:p>
    <w:p w14:paraId="199EA509"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762E17BE" w14:textId="04CAB277" w:rsidR="007A2897" w:rsidRPr="0014276A" w:rsidRDefault="00691ECB" w:rsidP="007A2897">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A2897" w:rsidRPr="0014276A">
        <w:rPr>
          <w:rFonts w:ascii="Times New Roman" w:eastAsia="Times New Roman" w:hAnsi="Times New Roman" w:cs="Times New Roman"/>
          <w:sz w:val="22"/>
          <w:szCs w:val="22"/>
          <w:lang w:val="lt-LT"/>
        </w:rPr>
        <w:t xml:space="preserve"> galima vartoti tik ant akių.</w:t>
      </w:r>
    </w:p>
    <w:p w14:paraId="6151CD2E"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1A3952FA"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r w:rsidRPr="0014276A">
        <w:rPr>
          <w:rFonts w:ascii="Times New Roman" w:eastAsia="Times New Roman" w:hAnsi="Times New Roman" w:cs="Times New Roman"/>
          <w:b/>
          <w:sz w:val="22"/>
          <w:szCs w:val="22"/>
          <w:lang w:val="lt-LT"/>
        </w:rPr>
        <w:t>Vartojimas vaikams ir paaugliams</w:t>
      </w:r>
    </w:p>
    <w:p w14:paraId="2430FE90" w14:textId="6F2D3780"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 xml:space="preserve">1 metų ir vyresniems vaikams ir paaugliams </w:t>
      </w:r>
      <w:r w:rsidR="00691ECB">
        <w:rPr>
          <w:rFonts w:ascii="Times New Roman" w:eastAsia="Times New Roman" w:hAnsi="Times New Roman" w:cs="Times New Roman"/>
          <w:sz w:val="22"/>
          <w:szCs w:val="22"/>
          <w:lang w:val="lt-LT"/>
        </w:rPr>
        <w:t>TOBREX</w:t>
      </w:r>
      <w:r w:rsidRPr="0014276A">
        <w:rPr>
          <w:rFonts w:ascii="Times New Roman" w:eastAsia="Times New Roman" w:hAnsi="Times New Roman" w:cs="Times New Roman"/>
          <w:sz w:val="22"/>
          <w:szCs w:val="22"/>
          <w:lang w:val="lt-LT"/>
        </w:rPr>
        <w:t xml:space="preserve"> akių tepalą galima vartoti tokiomis pačiomis dozėmis, kaip ir suaugusiesiems. Šio vaisto veiksmingumas ir saugumas jaunesniems kaip 1 metų vaikams nenustatytas, duomenų nėra.</w:t>
      </w:r>
    </w:p>
    <w:p w14:paraId="06A2A791"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29032391"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r w:rsidRPr="0014276A">
        <w:rPr>
          <w:rFonts w:ascii="Times New Roman" w:eastAsia="Times New Roman" w:hAnsi="Times New Roman" w:cs="Times New Roman"/>
          <w:b/>
          <w:sz w:val="22"/>
          <w:szCs w:val="22"/>
          <w:lang w:val="lt-LT"/>
        </w:rPr>
        <w:t>Pacientams, kurių kepenų ir inkstų funkcija sutrikusi</w:t>
      </w:r>
    </w:p>
    <w:p w14:paraId="78784CDC" w14:textId="34B71326"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 xml:space="preserve">Šių pacientų gydymas </w:t>
      </w:r>
      <w:r w:rsidR="00691ECB">
        <w:rPr>
          <w:rFonts w:ascii="Times New Roman" w:eastAsia="Times New Roman" w:hAnsi="Times New Roman" w:cs="Times New Roman"/>
          <w:sz w:val="22"/>
          <w:szCs w:val="22"/>
          <w:lang w:val="lt-LT"/>
        </w:rPr>
        <w:t>TOBREX</w:t>
      </w:r>
      <w:r w:rsidRPr="0014276A">
        <w:rPr>
          <w:rFonts w:ascii="Times New Roman" w:eastAsia="Times New Roman" w:hAnsi="Times New Roman" w:cs="Times New Roman"/>
          <w:sz w:val="22"/>
          <w:szCs w:val="22"/>
          <w:lang w:val="lt-LT"/>
        </w:rPr>
        <w:t xml:space="preserve"> akių tepalu netirtas. Akims vartojamo tobramicino sisteminė absorbcija yra labai maža. Jei tuo pačiu metu gydoma sisteminio poveikio aminoglikozidų grupės antibiotikais, reikėtų matuoti bendrąją jų koncentraciją serume, kad būtų galima palaikyti tinkamą gydomąją koncentraciją.</w:t>
      </w:r>
    </w:p>
    <w:p w14:paraId="3A29964C"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6877BD8B"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Pasitepus akis vaistu rekomenduojama užsimerkti ir užspausti nosinį ašarų kanalą. Tai gali sumažinti vaisto absorbciją ir sisteminį šalutinį poveikį.</w:t>
      </w:r>
    </w:p>
    <w:p w14:paraId="54AF78D4"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6ABB361A" w14:textId="6E667723" w:rsidR="007A2897" w:rsidRPr="0014276A" w:rsidRDefault="00691ECB" w:rsidP="007A2897">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A2897" w:rsidRPr="0014276A">
        <w:rPr>
          <w:rFonts w:ascii="Times New Roman" w:eastAsia="Times New Roman" w:hAnsi="Times New Roman" w:cs="Times New Roman"/>
          <w:sz w:val="22"/>
          <w:szCs w:val="22"/>
          <w:lang w:val="lt-LT"/>
        </w:rPr>
        <w:t xml:space="preserve"> skirtas tik Jūsų akims.</w:t>
      </w:r>
    </w:p>
    <w:p w14:paraId="2B178286"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p>
    <w:p w14:paraId="3FF72AEB"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r w:rsidRPr="0014276A">
        <w:rPr>
          <w:rFonts w:ascii="Times New Roman" w:eastAsia="Times New Roman" w:hAnsi="Times New Roman" w:cs="Times New Roman"/>
          <w:b/>
          <w:sz w:val="22"/>
          <w:szCs w:val="22"/>
          <w:lang w:val="lt-LT"/>
        </w:rPr>
        <w:t>Vartojimo metodas</w:t>
      </w:r>
    </w:p>
    <w:p w14:paraId="083643DB"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1170"/>
        <w:gridCol w:w="1980"/>
      </w:tblGrid>
      <w:tr w:rsidR="007A2897" w:rsidRPr="0014276A" w14:paraId="731C8123" w14:textId="77777777" w:rsidTr="007A2897">
        <w:trPr>
          <w:trHeight w:val="1646"/>
        </w:trPr>
        <w:tc>
          <w:tcPr>
            <w:tcW w:w="1823" w:type="dxa"/>
            <w:tcBorders>
              <w:top w:val="single" w:sz="4" w:space="0" w:color="auto"/>
              <w:left w:val="single" w:sz="4" w:space="0" w:color="auto"/>
              <w:bottom w:val="single" w:sz="4" w:space="0" w:color="auto"/>
              <w:right w:val="single" w:sz="4" w:space="0" w:color="auto"/>
            </w:tcBorders>
            <w:hideMark/>
          </w:tcPr>
          <w:p w14:paraId="24D5CACE" w14:textId="57D58455" w:rsidR="007A2897" w:rsidRPr="0014276A" w:rsidRDefault="007A2897">
            <w:pPr>
              <w:numPr>
                <w:ilvl w:val="12"/>
                <w:numId w:val="0"/>
              </w:numPr>
              <w:spacing w:after="0" w:line="240" w:lineRule="auto"/>
              <w:ind w:right="-2"/>
              <w:rPr>
                <w:rFonts w:ascii="Times New Roman" w:eastAsia="Times New Roman" w:hAnsi="Times New Roman" w:cs="Times New Roman"/>
                <w:sz w:val="22"/>
                <w:szCs w:val="22"/>
                <w:lang w:val="lt-LT"/>
              </w:rPr>
            </w:pPr>
            <w:r w:rsidRPr="0014276A">
              <w:rPr>
                <w:rFonts w:ascii="Times New Roman" w:eastAsia="Times New Roman" w:hAnsi="Times New Roman" w:cs="Times New Roman"/>
                <w:noProof/>
                <w:sz w:val="22"/>
                <w:szCs w:val="22"/>
                <w:lang w:val="lt-LT" w:eastAsia="lt-LT"/>
              </w:rPr>
              <w:drawing>
                <wp:inline distT="0" distB="0" distL="0" distR="0" wp14:anchorId="7F942247" wp14:editId="62A46577">
                  <wp:extent cx="1600200" cy="1019175"/>
                  <wp:effectExtent l="0" t="0" r="0" b="9525"/>
                  <wp:docPr id="544615558" name="Picture 2"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pend o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019175"/>
                          </a:xfrm>
                          <a:prstGeom prst="rect">
                            <a:avLst/>
                          </a:prstGeom>
                          <a:noFill/>
                          <a:ln>
                            <a:noFill/>
                          </a:ln>
                        </pic:spPr>
                      </pic:pic>
                    </a:graphicData>
                  </a:graphic>
                </wp:inline>
              </w:drawing>
            </w:r>
          </w:p>
        </w:tc>
        <w:tc>
          <w:tcPr>
            <w:tcW w:w="1170" w:type="dxa"/>
            <w:tcBorders>
              <w:top w:val="nil"/>
              <w:left w:val="single" w:sz="4" w:space="0" w:color="auto"/>
              <w:bottom w:val="nil"/>
              <w:right w:val="single" w:sz="4" w:space="0" w:color="auto"/>
            </w:tcBorders>
          </w:tcPr>
          <w:p w14:paraId="38D1F4B0" w14:textId="77777777" w:rsidR="007A2897" w:rsidRPr="0014276A" w:rsidRDefault="007A2897">
            <w:pPr>
              <w:numPr>
                <w:ilvl w:val="12"/>
                <w:numId w:val="0"/>
              </w:numPr>
              <w:spacing w:after="0" w:line="240" w:lineRule="auto"/>
              <w:ind w:right="-2"/>
              <w:rPr>
                <w:rFonts w:ascii="Times New Roman" w:eastAsia="Times New Roman" w:hAnsi="Times New Roman" w:cs="Times New Roman"/>
                <w:sz w:val="22"/>
                <w:szCs w:val="22"/>
                <w:lang w:val="lt-LT"/>
              </w:rPr>
            </w:pPr>
          </w:p>
        </w:tc>
        <w:tc>
          <w:tcPr>
            <w:tcW w:w="1980" w:type="dxa"/>
            <w:tcBorders>
              <w:top w:val="single" w:sz="4" w:space="0" w:color="auto"/>
              <w:left w:val="single" w:sz="4" w:space="0" w:color="auto"/>
              <w:bottom w:val="single" w:sz="4" w:space="0" w:color="auto"/>
              <w:right w:val="single" w:sz="4" w:space="0" w:color="auto"/>
            </w:tcBorders>
            <w:hideMark/>
          </w:tcPr>
          <w:p w14:paraId="69A4D216" w14:textId="1CA7351B" w:rsidR="007A2897" w:rsidRPr="0014276A" w:rsidRDefault="007A2897">
            <w:pPr>
              <w:numPr>
                <w:ilvl w:val="12"/>
                <w:numId w:val="0"/>
              </w:numPr>
              <w:spacing w:after="0" w:line="240" w:lineRule="auto"/>
              <w:ind w:right="-2"/>
              <w:rPr>
                <w:rFonts w:ascii="Times New Roman" w:eastAsia="Times New Roman" w:hAnsi="Times New Roman" w:cs="Times New Roman"/>
                <w:sz w:val="22"/>
                <w:szCs w:val="22"/>
                <w:lang w:val="lt-LT"/>
              </w:rPr>
            </w:pPr>
            <w:r w:rsidRPr="0014276A">
              <w:rPr>
                <w:rFonts w:ascii="Times New Roman" w:eastAsia="Times New Roman" w:hAnsi="Times New Roman" w:cs="Times New Roman"/>
                <w:noProof/>
                <w:sz w:val="22"/>
                <w:szCs w:val="22"/>
                <w:lang w:val="lt-LT" w:eastAsia="lt-LT"/>
              </w:rPr>
              <w:drawing>
                <wp:inline distT="0" distB="0" distL="0" distR="0" wp14:anchorId="70F3F8F9" wp14:editId="2B77593D">
                  <wp:extent cx="1123950" cy="876300"/>
                  <wp:effectExtent l="0" t="0" r="0" b="0"/>
                  <wp:docPr id="815581459" name="Picture 1"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pend oog met tub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876300"/>
                          </a:xfrm>
                          <a:prstGeom prst="rect">
                            <a:avLst/>
                          </a:prstGeom>
                          <a:noFill/>
                          <a:ln>
                            <a:noFill/>
                          </a:ln>
                        </pic:spPr>
                      </pic:pic>
                    </a:graphicData>
                  </a:graphic>
                </wp:inline>
              </w:drawing>
            </w:r>
          </w:p>
        </w:tc>
      </w:tr>
    </w:tbl>
    <w:p w14:paraId="2793122E" w14:textId="77777777" w:rsidR="007A2897" w:rsidRPr="0014276A" w:rsidRDefault="007A2897" w:rsidP="007A2897">
      <w:pPr>
        <w:spacing w:after="0" w:line="240" w:lineRule="atLeast"/>
        <w:rPr>
          <w:rFonts w:ascii="Times New Roman" w:eastAsia="Times New Roman" w:hAnsi="Times New Roman" w:cs="Times New Roman"/>
          <w:sz w:val="22"/>
          <w:szCs w:val="22"/>
          <w:lang w:val="lt-LT"/>
        </w:rPr>
      </w:pPr>
    </w:p>
    <w:p w14:paraId="502D28EE" w14:textId="77777777" w:rsidR="007A2897" w:rsidRPr="0014276A" w:rsidRDefault="007A2897" w:rsidP="007A2897">
      <w:pPr>
        <w:spacing w:after="0" w:line="240" w:lineRule="atLeast"/>
        <w:rPr>
          <w:rFonts w:ascii="Times New Roman" w:eastAsia="Times New Roman" w:hAnsi="Times New Roman" w:cs="Times New Roman"/>
          <w:b/>
          <w:sz w:val="22"/>
          <w:szCs w:val="22"/>
          <w:lang w:val="lt-LT"/>
        </w:rPr>
      </w:pPr>
      <w:r w:rsidRPr="0014276A">
        <w:rPr>
          <w:rFonts w:ascii="Times New Roman" w:eastAsia="Times New Roman" w:hAnsi="Times New Roman" w:cs="Times New Roman"/>
          <w:sz w:val="22"/>
          <w:szCs w:val="22"/>
          <w:lang w:val="lt-LT"/>
        </w:rPr>
        <w:tab/>
      </w:r>
      <w:r w:rsidRPr="0014276A">
        <w:rPr>
          <w:rFonts w:ascii="Times New Roman" w:eastAsia="Times New Roman" w:hAnsi="Times New Roman" w:cs="Times New Roman"/>
          <w:sz w:val="22"/>
          <w:szCs w:val="22"/>
          <w:lang w:val="lt-LT"/>
        </w:rPr>
        <w:tab/>
        <w:t>1</w:t>
      </w:r>
      <w:r w:rsidRPr="0014276A">
        <w:rPr>
          <w:rFonts w:ascii="Times New Roman" w:eastAsia="Times New Roman" w:hAnsi="Times New Roman" w:cs="Times New Roman"/>
          <w:sz w:val="22"/>
          <w:szCs w:val="22"/>
          <w:lang w:val="lt-LT"/>
        </w:rPr>
        <w:tab/>
      </w:r>
      <w:r w:rsidRPr="0014276A">
        <w:rPr>
          <w:rFonts w:ascii="Times New Roman" w:eastAsia="Times New Roman" w:hAnsi="Times New Roman" w:cs="Times New Roman"/>
          <w:sz w:val="22"/>
          <w:szCs w:val="22"/>
          <w:lang w:val="lt-LT"/>
        </w:rPr>
        <w:tab/>
      </w:r>
      <w:r w:rsidRPr="0014276A">
        <w:rPr>
          <w:rFonts w:ascii="Times New Roman" w:eastAsia="Times New Roman" w:hAnsi="Times New Roman" w:cs="Times New Roman"/>
          <w:sz w:val="22"/>
          <w:szCs w:val="22"/>
          <w:lang w:val="lt-LT"/>
        </w:rPr>
        <w:tab/>
      </w:r>
      <w:r w:rsidRPr="0014276A">
        <w:rPr>
          <w:rFonts w:ascii="Times New Roman" w:eastAsia="Times New Roman" w:hAnsi="Times New Roman" w:cs="Times New Roman"/>
          <w:sz w:val="22"/>
          <w:szCs w:val="22"/>
          <w:lang w:val="lt-LT"/>
        </w:rPr>
        <w:tab/>
        <w:t>2</w:t>
      </w:r>
      <w:r w:rsidRPr="0014276A">
        <w:rPr>
          <w:rFonts w:ascii="Times New Roman" w:eastAsia="Times New Roman" w:hAnsi="Times New Roman" w:cs="Times New Roman"/>
          <w:sz w:val="22"/>
          <w:szCs w:val="22"/>
          <w:lang w:val="lt-LT"/>
        </w:rPr>
        <w:tab/>
      </w:r>
      <w:r w:rsidRPr="0014276A">
        <w:rPr>
          <w:rFonts w:ascii="Times New Roman" w:eastAsia="Times New Roman" w:hAnsi="Times New Roman" w:cs="Times New Roman"/>
          <w:sz w:val="22"/>
          <w:szCs w:val="22"/>
          <w:lang w:val="lt-LT"/>
        </w:rPr>
        <w:tab/>
      </w:r>
      <w:r w:rsidRPr="0014276A">
        <w:rPr>
          <w:rFonts w:ascii="Times New Roman" w:eastAsia="Times New Roman" w:hAnsi="Times New Roman" w:cs="Times New Roman"/>
          <w:sz w:val="22"/>
          <w:szCs w:val="22"/>
          <w:lang w:val="lt-LT"/>
        </w:rPr>
        <w:tab/>
      </w:r>
    </w:p>
    <w:p w14:paraId="6F881178"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52130EB8" w14:textId="6BF56DDA" w:rsidR="007A2897" w:rsidRPr="0014276A" w:rsidRDefault="007A2897" w:rsidP="007A2897">
      <w:pPr>
        <w:numPr>
          <w:ilvl w:val="0"/>
          <w:numId w:val="3"/>
        </w:numPr>
        <w:tabs>
          <w:tab w:val="num" w:pos="0"/>
        </w:tabs>
        <w:spacing w:after="0" w:line="240" w:lineRule="auto"/>
        <w:ind w:left="567" w:hanging="567"/>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 xml:space="preserve">Paimkite </w:t>
      </w:r>
      <w:r w:rsidR="00691ECB">
        <w:rPr>
          <w:rFonts w:ascii="Times New Roman" w:eastAsia="Times New Roman" w:hAnsi="Times New Roman" w:cs="Times New Roman"/>
          <w:sz w:val="22"/>
          <w:szCs w:val="22"/>
          <w:lang w:val="lt-LT"/>
        </w:rPr>
        <w:t>TOBREX</w:t>
      </w:r>
      <w:r w:rsidRPr="0014276A">
        <w:rPr>
          <w:rFonts w:ascii="Times New Roman" w:eastAsia="Times New Roman" w:hAnsi="Times New Roman" w:cs="Times New Roman"/>
          <w:sz w:val="22"/>
          <w:szCs w:val="22"/>
          <w:lang w:val="lt-LT"/>
        </w:rPr>
        <w:t xml:space="preserve"> tūbelę ir veidrodėlį.</w:t>
      </w:r>
    </w:p>
    <w:p w14:paraId="402898DD" w14:textId="77777777" w:rsidR="007A2897" w:rsidRPr="0014276A" w:rsidRDefault="007A2897" w:rsidP="007A2897">
      <w:pPr>
        <w:numPr>
          <w:ilvl w:val="0"/>
          <w:numId w:val="3"/>
        </w:numPr>
        <w:tabs>
          <w:tab w:val="num" w:pos="0"/>
        </w:tabs>
        <w:spacing w:after="0" w:line="240" w:lineRule="auto"/>
        <w:ind w:left="567" w:hanging="567"/>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Nusiplaukite rankas.</w:t>
      </w:r>
    </w:p>
    <w:p w14:paraId="707D1EF7" w14:textId="77777777" w:rsidR="007A2897" w:rsidRPr="0014276A" w:rsidRDefault="007A2897" w:rsidP="007A2897">
      <w:pPr>
        <w:numPr>
          <w:ilvl w:val="0"/>
          <w:numId w:val="3"/>
        </w:numPr>
        <w:tabs>
          <w:tab w:val="num" w:pos="0"/>
        </w:tabs>
        <w:spacing w:after="0" w:line="240" w:lineRule="auto"/>
        <w:ind w:left="567" w:hanging="567"/>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Atsukite tūbelės dangtelį.</w:t>
      </w:r>
    </w:p>
    <w:p w14:paraId="0B19CAEB" w14:textId="77777777" w:rsidR="007A2897" w:rsidRPr="0014276A" w:rsidRDefault="007A2897" w:rsidP="007A2897">
      <w:pPr>
        <w:numPr>
          <w:ilvl w:val="0"/>
          <w:numId w:val="3"/>
        </w:numPr>
        <w:tabs>
          <w:tab w:val="num" w:pos="0"/>
        </w:tabs>
        <w:spacing w:after="0" w:line="240" w:lineRule="auto"/>
        <w:ind w:left="567" w:hanging="567"/>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Laikykite tūbelę nykščiu ir smiliumi.</w:t>
      </w:r>
    </w:p>
    <w:p w14:paraId="778A3D1C" w14:textId="77777777" w:rsidR="007A2897" w:rsidRPr="0014276A" w:rsidRDefault="007A2897" w:rsidP="007A2897">
      <w:pPr>
        <w:numPr>
          <w:ilvl w:val="0"/>
          <w:numId w:val="3"/>
        </w:numPr>
        <w:tabs>
          <w:tab w:val="num" w:pos="0"/>
        </w:tabs>
        <w:spacing w:after="0" w:line="240" w:lineRule="auto"/>
        <w:ind w:left="567" w:hanging="567"/>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Atloškite galvą. Kitos rankos smiliumi atsargiai patraukite žemyn apatinį akies voką, kad tarp jo ir akies obuolio susidarytų „kišenėlė“ (1 pav.).</w:t>
      </w:r>
    </w:p>
    <w:p w14:paraId="0D574DAA" w14:textId="77777777" w:rsidR="007A2897" w:rsidRPr="0014276A" w:rsidRDefault="007A2897" w:rsidP="007A2897">
      <w:pPr>
        <w:numPr>
          <w:ilvl w:val="0"/>
          <w:numId w:val="3"/>
        </w:numPr>
        <w:tabs>
          <w:tab w:val="num" w:pos="0"/>
        </w:tabs>
        <w:spacing w:after="0" w:line="240" w:lineRule="auto"/>
        <w:ind w:left="567" w:hanging="567"/>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Prikiškite tūbelės snapelį netoli akies. Naudokitės veidrodžiu, jei taip lengviau.</w:t>
      </w:r>
    </w:p>
    <w:p w14:paraId="694B3B36" w14:textId="77777777" w:rsidR="007A2897" w:rsidRPr="0014276A" w:rsidRDefault="007A2897" w:rsidP="007A2897">
      <w:pPr>
        <w:numPr>
          <w:ilvl w:val="0"/>
          <w:numId w:val="3"/>
        </w:numPr>
        <w:tabs>
          <w:tab w:val="num" w:pos="0"/>
        </w:tabs>
        <w:spacing w:after="0" w:line="240" w:lineRule="auto"/>
        <w:ind w:left="567" w:hanging="567"/>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Nelieskite tūbelės galu akies, voko ar kito paviršiaus, kad neužterštumėte tepalo.</w:t>
      </w:r>
    </w:p>
    <w:p w14:paraId="062B7943" w14:textId="77777777" w:rsidR="007A2897" w:rsidRPr="0014276A" w:rsidRDefault="007A2897" w:rsidP="007A2897">
      <w:pPr>
        <w:numPr>
          <w:ilvl w:val="0"/>
          <w:numId w:val="3"/>
        </w:numPr>
        <w:tabs>
          <w:tab w:val="num" w:pos="0"/>
        </w:tabs>
        <w:spacing w:after="0" w:line="240" w:lineRule="auto"/>
        <w:ind w:left="567" w:hanging="567"/>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Lengvai paspauskite tūbelę, kad šiek tiek tepalo patektų į „kišenėlę“ tarp akies ir apatinio voko (2 pav.).</w:t>
      </w:r>
    </w:p>
    <w:p w14:paraId="4CD7AF5E" w14:textId="77777777" w:rsidR="007A2897" w:rsidRPr="0014276A" w:rsidRDefault="007A2897" w:rsidP="007A2897">
      <w:pPr>
        <w:numPr>
          <w:ilvl w:val="0"/>
          <w:numId w:val="3"/>
        </w:numPr>
        <w:tabs>
          <w:tab w:val="num" w:pos="0"/>
        </w:tabs>
        <w:spacing w:after="0" w:line="240" w:lineRule="auto"/>
        <w:ind w:left="567" w:hanging="567"/>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Atleiskite apatinį voką ir keletą kartų pamirksėkite, kad tepalas pasklistų po visą akį. Kelioms sekundėms užsimerkite, kad mažiau vaisto absorbuotųsi į organizmą.</w:t>
      </w:r>
    </w:p>
    <w:p w14:paraId="096F938D" w14:textId="77777777" w:rsidR="007A2897" w:rsidRPr="0014276A" w:rsidRDefault="007A2897" w:rsidP="007A2897">
      <w:pPr>
        <w:numPr>
          <w:ilvl w:val="0"/>
          <w:numId w:val="3"/>
        </w:numPr>
        <w:tabs>
          <w:tab w:val="num" w:pos="0"/>
        </w:tabs>
        <w:spacing w:after="0" w:line="240" w:lineRule="auto"/>
        <w:ind w:left="567" w:hanging="567"/>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 xml:space="preserve">Jei reikia, tokiu pačiu būdu patepkite kitą akį. </w:t>
      </w:r>
    </w:p>
    <w:p w14:paraId="187C3901" w14:textId="77777777" w:rsidR="007A2897" w:rsidRPr="0014276A" w:rsidRDefault="007A2897" w:rsidP="007A2897">
      <w:pPr>
        <w:numPr>
          <w:ilvl w:val="0"/>
          <w:numId w:val="3"/>
        </w:numPr>
        <w:tabs>
          <w:tab w:val="num" w:pos="0"/>
        </w:tabs>
        <w:spacing w:after="0" w:line="240" w:lineRule="auto"/>
        <w:ind w:left="567" w:hanging="567"/>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Uždėkite ir sandariai užsukite tūbelės dangtelį.</w:t>
      </w:r>
    </w:p>
    <w:p w14:paraId="70A3985A"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4F18AF5A"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Jei nepataikėte patepti tepalo į akį, bandykite dar kartą.</w:t>
      </w:r>
    </w:p>
    <w:p w14:paraId="010BF6E0"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430AA76C" w14:textId="41843304" w:rsidR="007A2897" w:rsidRPr="0014276A" w:rsidRDefault="007A2897" w:rsidP="007A2897">
      <w:pPr>
        <w:spacing w:after="0" w:line="220" w:lineRule="exact"/>
        <w:rPr>
          <w:rFonts w:ascii="Times New Roman" w:eastAsia="Times New Roman" w:hAnsi="Times New Roman" w:cs="Times New Roman"/>
          <w:b/>
          <w:bCs/>
          <w:sz w:val="22"/>
          <w:szCs w:val="22"/>
          <w:lang w:val="lt-LT"/>
        </w:rPr>
      </w:pPr>
      <w:r w:rsidRPr="0014276A">
        <w:rPr>
          <w:rFonts w:ascii="Times New Roman" w:eastAsia="Times New Roman" w:hAnsi="Times New Roman" w:cs="Times New Roman"/>
          <w:b/>
          <w:bCs/>
          <w:sz w:val="22"/>
          <w:szCs w:val="22"/>
          <w:lang w:val="lt-LT"/>
        </w:rPr>
        <w:t xml:space="preserve">Ką daryti pavartojus per didelę </w:t>
      </w:r>
      <w:r w:rsidR="00691ECB">
        <w:rPr>
          <w:rFonts w:ascii="Times New Roman" w:eastAsia="Times New Roman" w:hAnsi="Times New Roman" w:cs="Times New Roman"/>
          <w:b/>
          <w:bCs/>
          <w:sz w:val="22"/>
          <w:szCs w:val="22"/>
          <w:lang w:val="lt-LT"/>
        </w:rPr>
        <w:t>TOBREX</w:t>
      </w:r>
      <w:r w:rsidRPr="0014276A">
        <w:rPr>
          <w:rFonts w:ascii="Times New Roman" w:eastAsia="Times New Roman" w:hAnsi="Times New Roman" w:cs="Times New Roman"/>
          <w:b/>
          <w:bCs/>
          <w:sz w:val="22"/>
          <w:szCs w:val="22"/>
          <w:lang w:val="lt-LT"/>
        </w:rPr>
        <w:t xml:space="preserve"> dozę?</w:t>
      </w:r>
    </w:p>
    <w:p w14:paraId="0AC5AEFC" w14:textId="07A5ECCF" w:rsidR="007A2897" w:rsidRPr="0014276A" w:rsidRDefault="00691ECB" w:rsidP="007A2897">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A2897" w:rsidRPr="0014276A">
        <w:rPr>
          <w:rFonts w:ascii="Times New Roman" w:eastAsia="Times New Roman" w:hAnsi="Times New Roman" w:cs="Times New Roman"/>
          <w:sz w:val="22"/>
          <w:szCs w:val="22"/>
          <w:lang w:val="lt-LT"/>
        </w:rPr>
        <w:t xml:space="preserve"> akių tepalo perteklių iš akies (akių) galima išplauti drungnu vandeniu. Daugiau vaisto netepkite, kol ateis laikas vartoti vėl.</w:t>
      </w:r>
    </w:p>
    <w:p w14:paraId="5CD6A2D5" w14:textId="77777777" w:rsidR="007A2897" w:rsidRPr="0014276A" w:rsidRDefault="007A2897" w:rsidP="007A2897">
      <w:pPr>
        <w:spacing w:after="0" w:line="220" w:lineRule="exact"/>
        <w:rPr>
          <w:rFonts w:ascii="Times New Roman" w:eastAsia="Times New Roman" w:hAnsi="Times New Roman" w:cs="Times New Roman"/>
          <w:b/>
          <w:bCs/>
          <w:sz w:val="22"/>
          <w:szCs w:val="22"/>
          <w:lang w:val="lt-LT"/>
        </w:rPr>
      </w:pPr>
    </w:p>
    <w:p w14:paraId="3131A271" w14:textId="037A7833" w:rsidR="007A2897" w:rsidRPr="0014276A" w:rsidRDefault="007A2897" w:rsidP="007A2897">
      <w:pPr>
        <w:spacing w:after="0" w:line="220" w:lineRule="exact"/>
        <w:rPr>
          <w:rFonts w:ascii="Times New Roman" w:eastAsia="Times New Roman" w:hAnsi="Times New Roman" w:cs="Times New Roman"/>
          <w:b/>
          <w:bCs/>
          <w:sz w:val="22"/>
          <w:szCs w:val="22"/>
          <w:lang w:val="lt-LT"/>
        </w:rPr>
      </w:pPr>
      <w:r w:rsidRPr="0014276A">
        <w:rPr>
          <w:rFonts w:ascii="Times New Roman" w:eastAsia="Times New Roman" w:hAnsi="Times New Roman" w:cs="Times New Roman"/>
          <w:b/>
          <w:bCs/>
          <w:sz w:val="22"/>
          <w:szCs w:val="22"/>
          <w:lang w:val="lt-LT"/>
        </w:rPr>
        <w:t xml:space="preserve">Pamiršus pavartoti </w:t>
      </w:r>
      <w:r w:rsidR="00691ECB">
        <w:rPr>
          <w:rFonts w:ascii="Times New Roman" w:eastAsia="Times New Roman" w:hAnsi="Times New Roman" w:cs="Times New Roman"/>
          <w:b/>
          <w:bCs/>
          <w:sz w:val="22"/>
          <w:szCs w:val="22"/>
          <w:lang w:val="lt-LT"/>
        </w:rPr>
        <w:t>TOBREX</w:t>
      </w:r>
    </w:p>
    <w:p w14:paraId="58319374"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lastRenderedPageBreak/>
        <w:t>Pasitepkite, kai tik prisiminsite. Jei beveik atėjęs laikas vartoti vaistą kitą kartą, praleiskite užmirštąją dozę ir toliau vartokite įprastu laiku. Negalima vartoti dvigubos dozės norint kompensuoti praleistą dozę.</w:t>
      </w:r>
    </w:p>
    <w:p w14:paraId="00F2B125"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79829069" w14:textId="0C61FC72" w:rsidR="007A2897" w:rsidRPr="0014276A" w:rsidRDefault="007A2897" w:rsidP="007A2897">
      <w:pPr>
        <w:spacing w:after="0" w:line="240" w:lineRule="auto"/>
        <w:rPr>
          <w:rFonts w:ascii="Times New Roman" w:eastAsia="Times New Roman" w:hAnsi="Times New Roman" w:cs="Times New Roman"/>
          <w:b/>
          <w:sz w:val="22"/>
          <w:szCs w:val="22"/>
          <w:lang w:val="lt-LT"/>
        </w:rPr>
      </w:pPr>
      <w:r w:rsidRPr="0014276A">
        <w:rPr>
          <w:rFonts w:ascii="Times New Roman" w:eastAsia="Times New Roman" w:hAnsi="Times New Roman" w:cs="Times New Roman"/>
          <w:b/>
          <w:sz w:val="22"/>
          <w:szCs w:val="22"/>
          <w:lang w:val="lt-LT"/>
        </w:rPr>
        <w:t xml:space="preserve">Nustojus vartoti </w:t>
      </w:r>
      <w:r w:rsidR="00691ECB">
        <w:rPr>
          <w:rFonts w:ascii="Times New Roman" w:eastAsia="Times New Roman" w:hAnsi="Times New Roman" w:cs="Times New Roman"/>
          <w:b/>
          <w:sz w:val="22"/>
          <w:szCs w:val="22"/>
          <w:lang w:val="lt-LT"/>
        </w:rPr>
        <w:t>TOBREX</w:t>
      </w:r>
    </w:p>
    <w:p w14:paraId="20EB0049"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r w:rsidRPr="0014276A">
        <w:rPr>
          <w:rFonts w:ascii="Times New Roman" w:eastAsia="Times New Roman" w:hAnsi="Times New Roman" w:cs="Times New Roman"/>
          <w:sz w:val="22"/>
          <w:szCs w:val="22"/>
          <w:lang w:val="lt-LT"/>
        </w:rPr>
        <w:t>Jeigu kiltų daugiau klausimų dėl šio vaisto vartojimo, kreipkitės į gydytoją arba vaistininką.</w:t>
      </w:r>
    </w:p>
    <w:p w14:paraId="7276C45D"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51580770"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39224401" w14:textId="77777777" w:rsidR="007A2897" w:rsidRPr="0014276A" w:rsidRDefault="007A2897" w:rsidP="007A2897">
      <w:pPr>
        <w:keepNext/>
        <w:tabs>
          <w:tab w:val="left" w:pos="567"/>
        </w:tabs>
        <w:spacing w:after="0" w:line="240" w:lineRule="auto"/>
        <w:outlineLvl w:val="1"/>
        <w:rPr>
          <w:rFonts w:ascii="Times New Roman" w:eastAsia="Times New Roman" w:hAnsi="Times New Roman" w:cs="Times New Roman"/>
          <w:b/>
          <w:sz w:val="22"/>
          <w:szCs w:val="22"/>
          <w:lang w:val="lt-LT"/>
        </w:rPr>
      </w:pPr>
      <w:bookmarkStart w:id="6" w:name="_Toc129243142"/>
      <w:bookmarkStart w:id="7" w:name="_Toc129243267"/>
      <w:r w:rsidRPr="0014276A">
        <w:rPr>
          <w:rFonts w:ascii="Times New Roman" w:eastAsia="Times New Roman" w:hAnsi="Times New Roman" w:cs="Times New Roman"/>
          <w:b/>
          <w:sz w:val="22"/>
          <w:szCs w:val="22"/>
          <w:lang w:val="lt-LT"/>
        </w:rPr>
        <w:t>4.</w:t>
      </w:r>
      <w:r w:rsidRPr="0014276A">
        <w:rPr>
          <w:rFonts w:ascii="Times New Roman" w:eastAsia="Times New Roman" w:hAnsi="Times New Roman" w:cs="Times New Roman"/>
          <w:b/>
          <w:sz w:val="22"/>
          <w:szCs w:val="22"/>
          <w:lang w:val="lt-LT"/>
        </w:rPr>
        <w:tab/>
        <w:t>Galimas šalutinis poveikis</w:t>
      </w:r>
      <w:bookmarkEnd w:id="6"/>
      <w:bookmarkEnd w:id="7"/>
    </w:p>
    <w:p w14:paraId="7297BEEA"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p>
    <w:p w14:paraId="42840E12"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Šis vaistas, kaip ir visi kiti, gali sukelti šalutinį poveikį, nors jis pasireiškia ne visiems žmonėms.</w:t>
      </w:r>
    </w:p>
    <w:p w14:paraId="5F1C9424"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p>
    <w:p w14:paraId="666C0D7B" w14:textId="77777777" w:rsidR="007A2897" w:rsidRPr="0014276A" w:rsidRDefault="007A2897" w:rsidP="007A2897">
      <w:pPr>
        <w:autoSpaceDE w:val="0"/>
        <w:autoSpaceDN w:val="0"/>
        <w:adjustRightInd w:val="0"/>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 xml:space="preserve">Toliau išvardyti šalutiniai poveikiai pastebėti vartojant tobramicino akių tepalą: </w:t>
      </w:r>
    </w:p>
    <w:p w14:paraId="5A4E10CF" w14:textId="77777777" w:rsidR="007A2897" w:rsidRPr="0014276A" w:rsidRDefault="007A2897" w:rsidP="007A2897">
      <w:pPr>
        <w:tabs>
          <w:tab w:val="left" w:pos="567"/>
        </w:tabs>
        <w:spacing w:after="0" w:line="240" w:lineRule="auto"/>
        <w:rPr>
          <w:rFonts w:ascii="Times New Roman" w:eastAsia="Times New Roman" w:hAnsi="Times New Roman" w:cs="Times New Roman"/>
          <w:i/>
          <w:sz w:val="22"/>
          <w:szCs w:val="22"/>
          <w:lang w:val="lt-LT"/>
        </w:rPr>
      </w:pPr>
    </w:p>
    <w:p w14:paraId="6A70E3F5" w14:textId="77777777" w:rsidR="00411AF0" w:rsidRPr="00691ECB" w:rsidRDefault="00411AF0" w:rsidP="007A2897">
      <w:pPr>
        <w:widowControl w:val="0"/>
        <w:spacing w:after="0" w:line="240" w:lineRule="auto"/>
        <w:ind w:right="-2"/>
        <w:rPr>
          <w:rFonts w:ascii="Times New Roman" w:hAnsi="Times New Roman" w:cs="Times New Roman"/>
          <w:b/>
          <w:bCs/>
          <w:noProof/>
          <w:snapToGrid w:val="0"/>
          <w:sz w:val="22"/>
          <w:szCs w:val="22"/>
          <w:lang w:val="lt-LT"/>
        </w:rPr>
      </w:pPr>
      <w:r w:rsidRPr="00691ECB">
        <w:rPr>
          <w:rFonts w:ascii="Times New Roman" w:hAnsi="Times New Roman" w:cs="Times New Roman"/>
          <w:b/>
          <w:bCs/>
          <w:noProof/>
          <w:snapToGrid w:val="0"/>
          <w:sz w:val="22"/>
          <w:szCs w:val="22"/>
          <w:lang w:val="lt-LT"/>
        </w:rPr>
        <w:t xml:space="preserve">Dažni šalutinio poveikio reiškiniai (gali pasireikšti rečiau kaip 1 iš 10 asmenų): </w:t>
      </w:r>
    </w:p>
    <w:p w14:paraId="754A0EC7" w14:textId="4B147247" w:rsidR="007A2897" w:rsidRPr="0014276A" w:rsidRDefault="007A2897" w:rsidP="007A2897">
      <w:pPr>
        <w:widowControl w:val="0"/>
        <w:spacing w:after="0" w:line="240" w:lineRule="auto"/>
        <w:ind w:right="-2"/>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Akių sutrikimai: akies diskomfortas, akies paraudimas.</w:t>
      </w:r>
    </w:p>
    <w:p w14:paraId="3525DCA8" w14:textId="77777777" w:rsidR="007A2897" w:rsidRPr="0014276A" w:rsidRDefault="007A2897" w:rsidP="007A2897">
      <w:pPr>
        <w:widowControl w:val="0"/>
        <w:spacing w:after="0" w:line="240" w:lineRule="auto"/>
        <w:ind w:right="-2"/>
        <w:rPr>
          <w:rFonts w:ascii="Times New Roman" w:eastAsia="Times New Roman" w:hAnsi="Times New Roman" w:cs="Times New Roman"/>
          <w:i/>
          <w:sz w:val="22"/>
          <w:szCs w:val="22"/>
          <w:lang w:val="lt-LT"/>
        </w:rPr>
      </w:pPr>
    </w:p>
    <w:p w14:paraId="0E220B34" w14:textId="77777777" w:rsidR="00411AF0" w:rsidRPr="00691ECB" w:rsidRDefault="00411AF0" w:rsidP="007A2897">
      <w:pPr>
        <w:widowControl w:val="0"/>
        <w:spacing w:after="0" w:line="240" w:lineRule="auto"/>
        <w:ind w:right="-2"/>
        <w:rPr>
          <w:rFonts w:ascii="Times New Roman" w:hAnsi="Times New Roman" w:cs="Times New Roman"/>
          <w:sz w:val="22"/>
          <w:szCs w:val="22"/>
          <w:lang w:val="lt-LT" w:eastAsia="sl-SI"/>
        </w:rPr>
      </w:pPr>
      <w:r w:rsidRPr="00691ECB">
        <w:rPr>
          <w:rFonts w:ascii="Times New Roman" w:hAnsi="Times New Roman" w:cs="Times New Roman"/>
          <w:b/>
          <w:bCs/>
          <w:noProof/>
          <w:snapToGrid w:val="0"/>
          <w:sz w:val="22"/>
          <w:szCs w:val="22"/>
          <w:lang w:val="lt-LT"/>
        </w:rPr>
        <w:t>Nedažni šalutinio poveikio reiškiniai (gali pasireikšti rečiau kaip 1 iš 100 asmenų):</w:t>
      </w:r>
      <w:r w:rsidRPr="00691ECB">
        <w:rPr>
          <w:rFonts w:ascii="Times New Roman" w:hAnsi="Times New Roman" w:cs="Times New Roman"/>
          <w:sz w:val="22"/>
          <w:szCs w:val="22"/>
          <w:lang w:val="lt-LT" w:eastAsia="sl-SI"/>
        </w:rPr>
        <w:t xml:space="preserve"> </w:t>
      </w:r>
    </w:p>
    <w:p w14:paraId="6F8C60BB" w14:textId="495CF4A4" w:rsidR="007A2897" w:rsidRPr="0014276A" w:rsidRDefault="007A2897" w:rsidP="007A2897">
      <w:pPr>
        <w:widowControl w:val="0"/>
        <w:spacing w:after="0" w:line="240" w:lineRule="auto"/>
        <w:ind w:right="-2"/>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Akių sutrikimai: akies paviršiaus uždegimas, ragenos pažeidimas, regėjimo pablogėjimas, neryškus matymas, voko paraudimas, akies ir voko patinimas, akies skausmas, akies sausumas, išskyros iš akies, akies niežėjimas, padidėjusi ašarų gamyba.</w:t>
      </w:r>
    </w:p>
    <w:p w14:paraId="7767E7EE" w14:textId="77777777" w:rsidR="007A2897" w:rsidRPr="0014276A" w:rsidRDefault="007A2897" w:rsidP="007A2897">
      <w:pPr>
        <w:widowControl w:val="0"/>
        <w:spacing w:after="0" w:line="240" w:lineRule="auto"/>
        <w:ind w:right="-2"/>
        <w:rPr>
          <w:rFonts w:ascii="Times New Roman" w:eastAsia="Times New Roman" w:hAnsi="Times New Roman" w:cs="Times New Roman"/>
          <w:sz w:val="22"/>
          <w:szCs w:val="22"/>
          <w:lang w:val="lt-LT"/>
        </w:rPr>
      </w:pPr>
    </w:p>
    <w:p w14:paraId="68399B5B" w14:textId="77777777" w:rsidR="007A2897" w:rsidRPr="0014276A" w:rsidRDefault="007A2897" w:rsidP="007A2897">
      <w:pPr>
        <w:widowControl w:val="0"/>
        <w:spacing w:after="0" w:line="240" w:lineRule="auto"/>
        <w:ind w:right="-2"/>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Bendrieji sutrikimai: alergija (padidėjęs jautrumas), galvos skausmas, dilgėlinė, odos uždegimas, sumažėjęs blakstienų augimas arba jų skaičius, odos pigmentacijos išnykimas, niežėjimas ir odos sausumas.</w:t>
      </w:r>
    </w:p>
    <w:p w14:paraId="0509E2AE" w14:textId="77777777" w:rsidR="007A2897" w:rsidRPr="001A542F" w:rsidRDefault="007A2897" w:rsidP="007A2897">
      <w:pPr>
        <w:widowControl w:val="0"/>
        <w:autoSpaceDE w:val="0"/>
        <w:autoSpaceDN w:val="0"/>
        <w:adjustRightInd w:val="0"/>
        <w:spacing w:after="0" w:line="240" w:lineRule="auto"/>
        <w:rPr>
          <w:rFonts w:ascii="Times New Roman" w:eastAsia="Times New Roman" w:hAnsi="Times New Roman" w:cs="Times New Roman"/>
          <w:i/>
          <w:sz w:val="22"/>
          <w:szCs w:val="22"/>
          <w:lang w:val="lt-LT"/>
        </w:rPr>
      </w:pPr>
    </w:p>
    <w:p w14:paraId="6749E0E9" w14:textId="019569C5" w:rsidR="007A2897" w:rsidRPr="001A542F" w:rsidRDefault="001A542F" w:rsidP="007A2897">
      <w:pPr>
        <w:widowControl w:val="0"/>
        <w:autoSpaceDE w:val="0"/>
        <w:autoSpaceDN w:val="0"/>
        <w:adjustRightInd w:val="0"/>
        <w:spacing w:after="0" w:line="240" w:lineRule="auto"/>
        <w:rPr>
          <w:rFonts w:ascii="Times New Roman" w:eastAsia="Times New Roman" w:hAnsi="Times New Roman" w:cs="Times New Roman"/>
          <w:b/>
          <w:bCs/>
          <w:sz w:val="22"/>
          <w:szCs w:val="22"/>
          <w:lang w:val="lt-LT"/>
        </w:rPr>
      </w:pPr>
      <w:r w:rsidRPr="00691ECB">
        <w:rPr>
          <w:rFonts w:ascii="Times New Roman" w:hAnsi="Times New Roman" w:cs="Times New Roman"/>
          <w:b/>
          <w:bCs/>
          <w:noProof/>
          <w:snapToGrid w:val="0"/>
          <w:sz w:val="22"/>
          <w:szCs w:val="22"/>
          <w:lang w:val="lt-LT"/>
        </w:rPr>
        <w:t>Šalutinio poveikio reiškiniai, kurių dažnis nežinomas (negali būti apskaičiuotas pagal turimus duomenis):</w:t>
      </w:r>
    </w:p>
    <w:p w14:paraId="18463139" w14:textId="77777777" w:rsidR="007A2897" w:rsidRPr="001A542F" w:rsidRDefault="007A2897" w:rsidP="007A2897">
      <w:pPr>
        <w:widowControl w:val="0"/>
        <w:spacing w:after="0" w:line="240" w:lineRule="auto"/>
        <w:ind w:right="-2"/>
        <w:rPr>
          <w:rFonts w:ascii="Times New Roman" w:eastAsia="Times New Roman" w:hAnsi="Times New Roman" w:cs="Times New Roman"/>
          <w:sz w:val="22"/>
          <w:szCs w:val="22"/>
          <w:lang w:val="lt-LT"/>
        </w:rPr>
      </w:pPr>
      <w:r w:rsidRPr="001A542F">
        <w:rPr>
          <w:rFonts w:ascii="Times New Roman" w:eastAsia="Times New Roman" w:hAnsi="Times New Roman" w:cs="Times New Roman"/>
          <w:sz w:val="22"/>
          <w:szCs w:val="22"/>
          <w:lang w:val="lt-LT"/>
        </w:rPr>
        <w:t>Akių sutrikimai: akies alergija, akies sudirginimas, voko niežėjimas.</w:t>
      </w:r>
    </w:p>
    <w:p w14:paraId="57DB24BB" w14:textId="77777777" w:rsidR="007A2897" w:rsidRPr="001A542F" w:rsidRDefault="007A2897" w:rsidP="007A2897">
      <w:pPr>
        <w:widowControl w:val="0"/>
        <w:spacing w:after="0" w:line="240" w:lineRule="auto"/>
        <w:ind w:right="-2"/>
        <w:rPr>
          <w:rFonts w:ascii="Times New Roman" w:eastAsia="Times New Roman" w:hAnsi="Times New Roman" w:cs="Times New Roman"/>
          <w:sz w:val="22"/>
          <w:szCs w:val="22"/>
          <w:lang w:val="lt-LT"/>
        </w:rPr>
      </w:pPr>
    </w:p>
    <w:p w14:paraId="0D1D0FA6" w14:textId="77777777" w:rsidR="007A2897" w:rsidRPr="0014276A" w:rsidRDefault="007A2897" w:rsidP="007A2897">
      <w:pPr>
        <w:widowControl w:val="0"/>
        <w:numPr>
          <w:ilvl w:val="12"/>
          <w:numId w:val="0"/>
        </w:numPr>
        <w:suppressAutoHyphens/>
        <w:spacing w:after="0" w:line="240" w:lineRule="auto"/>
        <w:ind w:right="-29"/>
        <w:rPr>
          <w:rFonts w:ascii="Times New Roman" w:eastAsia="Times New Roman" w:hAnsi="Times New Roman" w:cs="Times New Roman"/>
          <w:sz w:val="22"/>
          <w:szCs w:val="22"/>
          <w:lang w:val="lt-LT"/>
        </w:rPr>
      </w:pPr>
      <w:r w:rsidRPr="001A542F">
        <w:rPr>
          <w:rFonts w:ascii="Times New Roman" w:eastAsia="Times New Roman" w:hAnsi="Times New Roman" w:cs="Times New Roman"/>
          <w:sz w:val="22"/>
          <w:szCs w:val="22"/>
          <w:lang w:val="lt-LT"/>
        </w:rPr>
        <w:t>Bendrieji sutrikimai: sunki alerginė reakcija</w:t>
      </w:r>
      <w:r w:rsidRPr="0014276A">
        <w:rPr>
          <w:rFonts w:ascii="Times New Roman" w:eastAsia="Times New Roman" w:hAnsi="Times New Roman" w:cs="Times New Roman"/>
          <w:sz w:val="22"/>
          <w:szCs w:val="22"/>
          <w:lang w:val="lt-LT"/>
        </w:rPr>
        <w:t>, sunkios odos reakcijos (Stevens</w:t>
      </w:r>
      <w:r w:rsidRPr="0014276A">
        <w:rPr>
          <w:rFonts w:ascii="Times New Roman" w:eastAsia="Times New Roman" w:hAnsi="Times New Roman" w:cs="Times New Roman"/>
          <w:sz w:val="22"/>
          <w:szCs w:val="22"/>
          <w:lang w:val="lt-LT"/>
        </w:rPr>
        <w:noBreakHyphen/>
        <w:t>Johnson sindromas ir daugiaformė eritema).</w:t>
      </w:r>
    </w:p>
    <w:p w14:paraId="2EEE147E" w14:textId="77777777" w:rsidR="007A2897" w:rsidRPr="0014276A" w:rsidRDefault="007A2897" w:rsidP="007A2897">
      <w:pPr>
        <w:spacing w:after="0" w:line="240" w:lineRule="auto"/>
        <w:jc w:val="both"/>
        <w:rPr>
          <w:rFonts w:ascii="Times New Roman" w:eastAsia="Times New Roman" w:hAnsi="Times New Roman" w:cs="Times New Roman"/>
          <w:sz w:val="22"/>
          <w:szCs w:val="22"/>
          <w:lang w:val="lt-LT"/>
        </w:rPr>
      </w:pPr>
    </w:p>
    <w:p w14:paraId="7E9500A8" w14:textId="77777777" w:rsidR="007A2897" w:rsidRPr="0014276A" w:rsidRDefault="007A2897" w:rsidP="007A2897">
      <w:pPr>
        <w:tabs>
          <w:tab w:val="left" w:pos="567"/>
        </w:tabs>
        <w:spacing w:after="0" w:line="240" w:lineRule="auto"/>
        <w:rPr>
          <w:rFonts w:ascii="Times New Roman" w:eastAsia="Times New Roman" w:hAnsi="Times New Roman" w:cs="Times New Roman"/>
          <w:b/>
          <w:snapToGrid w:val="0"/>
          <w:sz w:val="22"/>
          <w:szCs w:val="22"/>
          <w:lang w:val="lt-LT"/>
        </w:rPr>
      </w:pPr>
      <w:r w:rsidRPr="0014276A">
        <w:rPr>
          <w:rFonts w:ascii="Times New Roman" w:eastAsia="Times New Roman" w:hAnsi="Times New Roman" w:cs="Times New Roman"/>
          <w:b/>
          <w:noProof/>
          <w:snapToGrid w:val="0"/>
          <w:sz w:val="22"/>
          <w:szCs w:val="22"/>
          <w:lang w:val="lt-LT"/>
        </w:rPr>
        <w:t>Pranešimas apie šalutinį poveikį</w:t>
      </w:r>
    </w:p>
    <w:p w14:paraId="354739E6" w14:textId="17A1DC2E" w:rsidR="007A2897" w:rsidRPr="0014276A" w:rsidRDefault="007A2897" w:rsidP="007A2897">
      <w:pPr>
        <w:tabs>
          <w:tab w:val="left" w:pos="567"/>
        </w:tabs>
        <w:spacing w:after="0" w:line="260" w:lineRule="exact"/>
        <w:rPr>
          <w:rFonts w:ascii="Times New Roman" w:eastAsia="Times New Roman" w:hAnsi="Times New Roman" w:cs="Times New Roman"/>
          <w:sz w:val="22"/>
          <w:szCs w:val="22"/>
          <w:lang w:val="lt-LT"/>
        </w:rPr>
      </w:pPr>
      <w:r w:rsidRPr="0014276A">
        <w:rPr>
          <w:rFonts w:ascii="Times New Roman" w:eastAsia="Times New Roman" w:hAnsi="Times New Roman" w:cs="Times New Roman"/>
          <w:noProof/>
          <w:snapToGrid w:val="0"/>
          <w:sz w:val="22"/>
          <w:szCs w:val="22"/>
          <w:lang w:val="lt-LT"/>
        </w:rPr>
        <w:t>Jeigu pasireiškė šalutinis poveikis, įskaitant šiame lapelyje nenurodytą, pasakykite gydytojui arba vaistininkui</w:t>
      </w:r>
      <w:r w:rsidRPr="0014276A">
        <w:rPr>
          <w:rFonts w:ascii="Times New Roman" w:eastAsia="Times New Roman" w:hAnsi="Times New Roman" w:cs="Times New Roman"/>
          <w:snapToGrid w:val="0"/>
          <w:sz w:val="22"/>
          <w:szCs w:val="22"/>
          <w:lang w:val="lt-LT"/>
        </w:rPr>
        <w:t>.</w:t>
      </w:r>
      <w:r w:rsidRPr="0014276A">
        <w:rPr>
          <w:rFonts w:ascii="Times New Roman" w:eastAsia="Times New Roman" w:hAnsi="Times New Roman" w:cs="Times New Roman"/>
          <w:noProof/>
          <w:snapToGrid w:val="0"/>
          <w:sz w:val="22"/>
          <w:szCs w:val="22"/>
          <w:lang w:val="lt-LT"/>
        </w:rPr>
        <w:t xml:space="preserve"> </w:t>
      </w:r>
      <w:r w:rsidR="009355B3" w:rsidRPr="00691ECB">
        <w:rPr>
          <w:rFonts w:asciiTheme="majorBidi" w:hAnsiTheme="majorBidi" w:cstheme="majorBidi"/>
          <w:sz w:val="22"/>
          <w:szCs w:val="22"/>
          <w:lang w:val="lt-LT" w:eastAsia="lt-LT"/>
        </w:rPr>
        <w:t xml:space="preserve">Pranešimą apie šalutinį poveikį galite užpildyti ir pateikti Valstybinės vaistų kontrolės tarnybos prie Lietuvos Respublikos sveikatos apsaugos ministerijos tinklalapyje </w:t>
      </w:r>
      <w:r w:rsidR="009355B3" w:rsidRPr="00691ECB">
        <w:rPr>
          <w:rFonts w:asciiTheme="majorBidi" w:hAnsiTheme="majorBidi" w:cstheme="majorBidi"/>
          <w:color w:val="0000EE"/>
          <w:sz w:val="22"/>
          <w:szCs w:val="22"/>
          <w:u w:val="single"/>
          <w:lang w:val="lt-LT" w:eastAsia="lt-LT"/>
        </w:rPr>
        <w:t>https://vvkt.lrv.lt/lt/</w:t>
      </w:r>
      <w:r w:rsidR="009355B3" w:rsidRPr="00691ECB">
        <w:rPr>
          <w:rFonts w:asciiTheme="majorBidi" w:hAnsiTheme="majorBidi" w:cstheme="majorBidi"/>
          <w:sz w:val="22"/>
          <w:szCs w:val="22"/>
          <w:lang w:val="lt-LT" w:eastAsia="lt-LT"/>
        </w:rPr>
        <w:t xml:space="preserve"> nurodytais būdais arba paskambinti nemokamu telefonu 8 800 73 568. Pranešdami apie šalutinį poveikį galite mums padėti gauti daugiau informacijos apie šio vaisto saugumą</w:t>
      </w:r>
      <w:r w:rsidR="009355B3" w:rsidRPr="00691ECB">
        <w:rPr>
          <w:sz w:val="22"/>
          <w:lang w:val="lt-LT"/>
        </w:rPr>
        <w:t>.</w:t>
      </w:r>
    </w:p>
    <w:p w14:paraId="0884F29E"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6F5C4481"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41BCF00A" w14:textId="261E5292" w:rsidR="007A2897" w:rsidRPr="0014276A" w:rsidRDefault="007A2897" w:rsidP="007A2897">
      <w:pPr>
        <w:tabs>
          <w:tab w:val="left" w:pos="567"/>
        </w:tabs>
        <w:spacing w:after="0" w:line="240" w:lineRule="auto"/>
        <w:rPr>
          <w:rFonts w:ascii="Times New Roman" w:eastAsia="Times New Roman" w:hAnsi="Times New Roman" w:cs="Times New Roman"/>
          <w:b/>
          <w:sz w:val="22"/>
          <w:szCs w:val="22"/>
          <w:lang w:val="lt-LT"/>
        </w:rPr>
      </w:pPr>
      <w:r w:rsidRPr="0014276A">
        <w:rPr>
          <w:rFonts w:ascii="Times New Roman" w:eastAsia="Times New Roman" w:hAnsi="Times New Roman" w:cs="Times New Roman"/>
          <w:b/>
          <w:sz w:val="22"/>
          <w:szCs w:val="22"/>
          <w:lang w:val="lt-LT"/>
        </w:rPr>
        <w:t>5.</w:t>
      </w:r>
      <w:r w:rsidRPr="0014276A">
        <w:rPr>
          <w:rFonts w:ascii="Times New Roman" w:eastAsia="Times New Roman" w:hAnsi="Times New Roman" w:cs="Times New Roman"/>
          <w:b/>
          <w:sz w:val="22"/>
          <w:szCs w:val="22"/>
          <w:lang w:val="lt-LT"/>
        </w:rPr>
        <w:tab/>
        <w:t xml:space="preserve">Kaip laikyti </w:t>
      </w:r>
      <w:r w:rsidR="00691ECB">
        <w:rPr>
          <w:rFonts w:ascii="Times New Roman" w:eastAsia="Times New Roman" w:hAnsi="Times New Roman" w:cs="Times New Roman"/>
          <w:b/>
          <w:sz w:val="22"/>
          <w:szCs w:val="22"/>
          <w:lang w:val="lt-LT"/>
        </w:rPr>
        <w:t>TOBREX</w:t>
      </w:r>
    </w:p>
    <w:p w14:paraId="08518E1F"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3BC5F09C" w14:textId="77777777" w:rsidR="007A2897" w:rsidRPr="0014276A" w:rsidRDefault="007A2897" w:rsidP="007A2897">
      <w:pPr>
        <w:numPr>
          <w:ilvl w:val="12"/>
          <w:numId w:val="0"/>
        </w:numPr>
        <w:spacing w:after="0" w:line="240" w:lineRule="auto"/>
        <w:ind w:right="-2"/>
        <w:rPr>
          <w:rFonts w:ascii="Times New Roman" w:eastAsia="Times New Roman" w:hAnsi="Times New Roman" w:cs="Times New Roman"/>
          <w:snapToGrid w:val="0"/>
          <w:sz w:val="22"/>
          <w:szCs w:val="22"/>
          <w:lang w:val="lt-LT"/>
        </w:rPr>
      </w:pPr>
      <w:r w:rsidRPr="0014276A">
        <w:rPr>
          <w:rFonts w:ascii="Times New Roman" w:eastAsia="Times New Roman" w:hAnsi="Times New Roman" w:cs="Times New Roman"/>
          <w:noProof/>
          <w:snapToGrid w:val="0"/>
          <w:sz w:val="22"/>
          <w:szCs w:val="22"/>
          <w:lang w:val="lt-LT"/>
        </w:rPr>
        <w:t>Šį vaistą laikykite vaikams nepastebimoje ir nepasiekiamoje vietoje.</w:t>
      </w:r>
    </w:p>
    <w:p w14:paraId="33AC771A"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p>
    <w:p w14:paraId="7A61DF88"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 xml:space="preserve">Pirmą kartą atidarius tūbelę, vaisto tinkamumo laikas </w:t>
      </w:r>
      <w:r w:rsidRPr="0014276A">
        <w:rPr>
          <w:rFonts w:ascii="Times New Roman" w:eastAsia="Times New Roman" w:hAnsi="Times New Roman" w:cs="Times New Roman"/>
          <w:sz w:val="22"/>
          <w:szCs w:val="22"/>
          <w:lang w:val="lt-LT"/>
        </w:rPr>
        <w:noBreakHyphen/>
        <w:t xml:space="preserve"> 4 savaitės.</w:t>
      </w:r>
    </w:p>
    <w:p w14:paraId="17C9625D"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 xml:space="preserve">Užsirašykite datą, kada atsukote tūbelę žemiau esančiame laukelyje: </w:t>
      </w:r>
    </w:p>
    <w:p w14:paraId="23CF4A4D"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Atidaryta:</w:t>
      </w:r>
    </w:p>
    <w:p w14:paraId="62622E82"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p>
    <w:p w14:paraId="6B9F1674"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Laikyti ne aukštesnėje kaip 25 °C temperatūroje.</w:t>
      </w:r>
    </w:p>
    <w:p w14:paraId="512D4930"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Negalima užšaldyti.</w:t>
      </w:r>
    </w:p>
    <w:p w14:paraId="1146197F"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p>
    <w:p w14:paraId="494CE272"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lastRenderedPageBreak/>
        <w:t>Ant dėžutės ir tūbelės po „EXP“ nurodytam tinkamumo laikui pasibaigus, šio vaisto vartoti negalima. Vaistas tinkamas vartoti iki paskutinės nurodyto mėnesio dienos.</w:t>
      </w:r>
    </w:p>
    <w:p w14:paraId="259809EE"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54C1B31F"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r w:rsidRPr="0014276A">
        <w:rPr>
          <w:rFonts w:ascii="Times New Roman" w:eastAsia="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14:paraId="260186ED"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p>
    <w:p w14:paraId="23A203B2"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p>
    <w:p w14:paraId="19749616" w14:textId="77777777" w:rsidR="007A2897" w:rsidRPr="0014276A" w:rsidRDefault="007A2897" w:rsidP="007A2897">
      <w:pPr>
        <w:keepNext/>
        <w:tabs>
          <w:tab w:val="left" w:pos="567"/>
        </w:tabs>
        <w:spacing w:after="0" w:line="240" w:lineRule="auto"/>
        <w:outlineLvl w:val="1"/>
        <w:rPr>
          <w:rFonts w:ascii="Times New Roman" w:eastAsia="Times New Roman" w:hAnsi="Times New Roman" w:cs="Times New Roman"/>
          <w:b/>
          <w:sz w:val="22"/>
          <w:szCs w:val="22"/>
          <w:lang w:val="lt-LT"/>
        </w:rPr>
      </w:pPr>
      <w:bookmarkStart w:id="8" w:name="_Toc129243144"/>
      <w:bookmarkStart w:id="9" w:name="_Toc129243269"/>
      <w:r w:rsidRPr="0014276A">
        <w:rPr>
          <w:rFonts w:ascii="Times New Roman" w:eastAsia="Times New Roman" w:hAnsi="Times New Roman" w:cs="Times New Roman"/>
          <w:b/>
          <w:sz w:val="22"/>
          <w:szCs w:val="22"/>
          <w:lang w:val="lt-LT"/>
        </w:rPr>
        <w:t>6.</w:t>
      </w:r>
      <w:r w:rsidRPr="0014276A">
        <w:rPr>
          <w:rFonts w:ascii="Times New Roman" w:eastAsia="Times New Roman" w:hAnsi="Times New Roman" w:cs="Times New Roman"/>
          <w:b/>
          <w:sz w:val="22"/>
          <w:szCs w:val="22"/>
          <w:lang w:val="lt-LT"/>
        </w:rPr>
        <w:tab/>
        <w:t>Pakuotės turinys ir kita informacija</w:t>
      </w:r>
      <w:bookmarkEnd w:id="8"/>
      <w:bookmarkEnd w:id="9"/>
    </w:p>
    <w:p w14:paraId="28AE9C57"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p>
    <w:p w14:paraId="4DB080FC" w14:textId="74526482" w:rsidR="007A2897" w:rsidRPr="0014276A" w:rsidRDefault="00691ECB" w:rsidP="007A2897">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b/>
          <w:bCs/>
          <w:sz w:val="22"/>
          <w:szCs w:val="22"/>
          <w:lang w:val="lt-LT"/>
        </w:rPr>
        <w:t>TOBREX</w:t>
      </w:r>
      <w:r w:rsidR="007A2897" w:rsidRPr="0014276A">
        <w:rPr>
          <w:rFonts w:ascii="Times New Roman" w:eastAsia="Times New Roman" w:hAnsi="Times New Roman" w:cs="Times New Roman"/>
          <w:b/>
          <w:bCs/>
          <w:sz w:val="22"/>
          <w:szCs w:val="22"/>
          <w:lang w:val="lt-LT"/>
        </w:rPr>
        <w:t xml:space="preserve"> sudėtis</w:t>
      </w:r>
    </w:p>
    <w:p w14:paraId="0751130D" w14:textId="77777777" w:rsidR="007A2897" w:rsidRPr="0014276A" w:rsidRDefault="007A2897" w:rsidP="007A2897">
      <w:pPr>
        <w:numPr>
          <w:ilvl w:val="0"/>
          <w:numId w:val="1"/>
        </w:numPr>
        <w:spacing w:after="0" w:line="240" w:lineRule="auto"/>
        <w:ind w:left="567" w:hanging="567"/>
        <w:contextualSpacing/>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Veiklioji medžiaga yra tobramicinas. Viename grame akių tepalo yra 3 mg tobramicino.</w:t>
      </w:r>
    </w:p>
    <w:p w14:paraId="4C54827C" w14:textId="77777777" w:rsidR="007A2897" w:rsidRPr="0014276A" w:rsidRDefault="007A2897" w:rsidP="007A2897">
      <w:pPr>
        <w:numPr>
          <w:ilvl w:val="0"/>
          <w:numId w:val="1"/>
        </w:numPr>
        <w:spacing w:after="0" w:line="240" w:lineRule="auto"/>
        <w:ind w:left="567" w:hanging="567"/>
        <w:contextualSpacing/>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Pagalbinės medžiagos yra chlorobutanolis, skystasis parafinas, minkštasis baltas parafinas.</w:t>
      </w:r>
    </w:p>
    <w:p w14:paraId="611EA1B1"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p>
    <w:p w14:paraId="6F2DEA8D" w14:textId="17E6B548" w:rsidR="007A2897" w:rsidRPr="0014276A" w:rsidRDefault="00691ECB" w:rsidP="007A2897">
      <w:pPr>
        <w:spacing w:after="0" w:line="240" w:lineRule="auto"/>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TOBREX</w:t>
      </w:r>
      <w:r w:rsidR="007A2897" w:rsidRPr="0014276A">
        <w:rPr>
          <w:rFonts w:ascii="Times New Roman" w:eastAsia="Times New Roman" w:hAnsi="Times New Roman" w:cs="Times New Roman"/>
          <w:b/>
          <w:bCs/>
          <w:sz w:val="22"/>
          <w:szCs w:val="22"/>
          <w:lang w:val="lt-LT"/>
        </w:rPr>
        <w:t xml:space="preserve"> išvaizda ir kiekis pakuotėje</w:t>
      </w:r>
    </w:p>
    <w:p w14:paraId="4F8C089A" w14:textId="08C54DEC" w:rsidR="007A2897" w:rsidRPr="0014276A" w:rsidRDefault="00691ECB" w:rsidP="007A2897">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7A2897" w:rsidRPr="0014276A">
        <w:rPr>
          <w:rFonts w:ascii="Times New Roman" w:eastAsia="Times New Roman" w:hAnsi="Times New Roman" w:cs="Times New Roman"/>
          <w:sz w:val="22"/>
          <w:szCs w:val="22"/>
          <w:lang w:val="lt-LT"/>
        </w:rPr>
        <w:t xml:space="preserve"> yra baltas arba beveik baltas homogeniškas tepalas.</w:t>
      </w:r>
    </w:p>
    <w:p w14:paraId="4A32CCA5" w14:textId="77777777" w:rsidR="007A2897" w:rsidRPr="0014276A" w:rsidRDefault="007A2897" w:rsidP="007A2897">
      <w:pPr>
        <w:spacing w:after="0" w:line="240" w:lineRule="auto"/>
        <w:jc w:val="both"/>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Kartono dėžutėje yra viena tūbelė su plastiko snapeliu ir plastiko dangteliu, kurioje yra 3,5 g tepalo.</w:t>
      </w:r>
    </w:p>
    <w:p w14:paraId="19E1A179" w14:textId="77777777" w:rsidR="007A2897" w:rsidRPr="0014276A" w:rsidRDefault="007A2897" w:rsidP="007A2897">
      <w:pPr>
        <w:spacing w:after="0" w:line="240" w:lineRule="auto"/>
        <w:rPr>
          <w:rFonts w:ascii="Times New Roman" w:eastAsia="Times New Roman" w:hAnsi="Times New Roman" w:cs="Times New Roman"/>
          <w:b/>
          <w:bCs/>
          <w:sz w:val="22"/>
          <w:szCs w:val="22"/>
          <w:lang w:val="lt-LT"/>
        </w:rPr>
      </w:pPr>
    </w:p>
    <w:p w14:paraId="23E0C06E" w14:textId="77777777" w:rsidR="00411AF0" w:rsidRPr="0014276A" w:rsidRDefault="00411AF0" w:rsidP="007A2897">
      <w:pPr>
        <w:spacing w:after="0" w:line="240" w:lineRule="auto"/>
        <w:rPr>
          <w:rFonts w:ascii="Times New Roman" w:eastAsia="Times New Roman" w:hAnsi="Times New Roman" w:cs="Times New Roman"/>
          <w:b/>
          <w:bCs/>
          <w:sz w:val="22"/>
          <w:szCs w:val="22"/>
          <w:lang w:val="lt-LT"/>
        </w:rPr>
      </w:pPr>
    </w:p>
    <w:p w14:paraId="242A5EE0" w14:textId="77777777" w:rsidR="00411AF0" w:rsidRPr="0014276A" w:rsidRDefault="00411AF0" w:rsidP="007A2897">
      <w:pPr>
        <w:spacing w:after="0" w:line="240" w:lineRule="auto"/>
        <w:rPr>
          <w:rFonts w:ascii="Times New Roman" w:eastAsia="Times New Roman" w:hAnsi="Times New Roman" w:cs="Times New Roman"/>
          <w:b/>
          <w:bCs/>
          <w:sz w:val="22"/>
          <w:szCs w:val="22"/>
          <w:lang w:val="lt-LT"/>
        </w:rPr>
      </w:pPr>
    </w:p>
    <w:p w14:paraId="22F890DF" w14:textId="05E80DAE" w:rsidR="00411AF0" w:rsidRPr="0014276A" w:rsidRDefault="00411AF0" w:rsidP="00411AF0">
      <w:pPr>
        <w:rPr>
          <w:rFonts w:ascii="Times New Roman" w:hAnsi="Times New Roman" w:cs="Times New Roman"/>
          <w:b/>
          <w:bCs/>
          <w:sz w:val="22"/>
          <w:szCs w:val="22"/>
          <w:lang w:eastAsia="ko-KR"/>
        </w:rPr>
      </w:pPr>
      <w:r w:rsidRPr="0014276A">
        <w:rPr>
          <w:rFonts w:ascii="Times New Roman" w:hAnsi="Times New Roman" w:cs="Times New Roman"/>
          <w:b/>
          <w:sz w:val="22"/>
          <w:szCs w:val="22"/>
          <w:lang w:eastAsia="ko-KR"/>
        </w:rPr>
        <w:t xml:space="preserve">Registruotojas ir gamintojas </w:t>
      </w:r>
    </w:p>
    <w:p w14:paraId="2D3E8DE3" w14:textId="55C51CA0" w:rsidR="00411AF0" w:rsidRPr="0014276A" w:rsidRDefault="00411AF0" w:rsidP="0014276A">
      <w:pPr>
        <w:rPr>
          <w:rFonts w:ascii="Times New Roman" w:hAnsi="Times New Roman" w:cs="Times New Roman"/>
          <w:b/>
          <w:sz w:val="22"/>
          <w:szCs w:val="22"/>
          <w:lang w:eastAsia="ko-KR"/>
        </w:rPr>
      </w:pPr>
      <w:r w:rsidRPr="0014276A">
        <w:rPr>
          <w:rFonts w:ascii="Times New Roman" w:hAnsi="Times New Roman" w:cs="Times New Roman"/>
          <w:b/>
          <w:sz w:val="22"/>
          <w:szCs w:val="22"/>
          <w:lang w:eastAsia="ko-KR"/>
        </w:rPr>
        <w:t>Registruotojas eksportuojančioje valstybėje</w:t>
      </w:r>
    </w:p>
    <w:p w14:paraId="7FFC5607" w14:textId="77777777" w:rsidR="007A2897" w:rsidRPr="0014276A" w:rsidRDefault="007A2897" w:rsidP="007A2897">
      <w:pPr>
        <w:spacing w:after="0" w:line="240" w:lineRule="auto"/>
        <w:rPr>
          <w:rFonts w:ascii="Times New Roman" w:eastAsia="Times New Roman" w:hAnsi="Times New Roman" w:cs="Times New Roman"/>
          <w:b/>
          <w:sz w:val="22"/>
          <w:szCs w:val="22"/>
          <w:lang w:val="lt-LT" w:eastAsia="lt-LT"/>
        </w:rPr>
      </w:pPr>
      <w:r w:rsidRPr="0014276A">
        <w:rPr>
          <w:rFonts w:ascii="Times New Roman" w:eastAsia="Times New Roman" w:hAnsi="Times New Roman" w:cs="Times New Roman"/>
          <w:b/>
          <w:sz w:val="22"/>
          <w:szCs w:val="22"/>
          <w:lang w:val="lt-LT" w:eastAsia="lt-LT"/>
        </w:rPr>
        <w:t>Registruotojas</w:t>
      </w:r>
    </w:p>
    <w:p w14:paraId="2A9379F7" w14:textId="2FFE4E5B" w:rsidR="007A2897" w:rsidRPr="0014276A" w:rsidRDefault="0014276A" w:rsidP="007A2897">
      <w:pPr>
        <w:spacing w:after="0" w:line="240" w:lineRule="auto"/>
        <w:rPr>
          <w:rFonts w:ascii="Times New Roman" w:eastAsia="Times New Roman" w:hAnsi="Times New Roman" w:cs="Times New Roman"/>
          <w:sz w:val="22"/>
          <w:szCs w:val="22"/>
          <w:lang w:val="it-IT" w:eastAsia="et-EE"/>
        </w:rPr>
      </w:pPr>
      <w:r w:rsidRPr="0014276A">
        <w:rPr>
          <w:rFonts w:ascii="Times New Roman" w:eastAsia="Times New Roman" w:hAnsi="Times New Roman" w:cs="Times New Roman"/>
          <w:sz w:val="22"/>
          <w:szCs w:val="22"/>
          <w:lang w:val="it-IT" w:eastAsia="et-EE"/>
        </w:rPr>
        <w:t>Novartis Pharma NV</w:t>
      </w:r>
    </w:p>
    <w:p w14:paraId="0066AB07" w14:textId="2DF2C767" w:rsidR="0014276A" w:rsidRPr="0014276A" w:rsidRDefault="0014276A" w:rsidP="007A2897">
      <w:pPr>
        <w:spacing w:after="0" w:line="240" w:lineRule="auto"/>
        <w:rPr>
          <w:rFonts w:ascii="Times New Roman" w:eastAsia="Times New Roman" w:hAnsi="Times New Roman" w:cs="Times New Roman"/>
          <w:sz w:val="22"/>
          <w:szCs w:val="22"/>
          <w:lang w:val="it-IT" w:eastAsia="et-EE"/>
        </w:rPr>
      </w:pPr>
      <w:r w:rsidRPr="0014276A">
        <w:rPr>
          <w:rFonts w:ascii="Times New Roman" w:eastAsia="Times New Roman" w:hAnsi="Times New Roman" w:cs="Times New Roman"/>
          <w:sz w:val="22"/>
          <w:szCs w:val="22"/>
          <w:lang w:val="it-IT" w:eastAsia="et-EE"/>
        </w:rPr>
        <w:t xml:space="preserve">Medialaan 40, </w:t>
      </w:r>
    </w:p>
    <w:p w14:paraId="6C052FF7" w14:textId="4878039D" w:rsidR="0014276A" w:rsidRPr="0014276A" w:rsidRDefault="0014276A" w:rsidP="007A2897">
      <w:pPr>
        <w:spacing w:after="0" w:line="240" w:lineRule="auto"/>
        <w:rPr>
          <w:rFonts w:ascii="Times New Roman" w:eastAsia="Times New Roman" w:hAnsi="Times New Roman" w:cs="Times New Roman"/>
          <w:sz w:val="22"/>
          <w:szCs w:val="22"/>
          <w:lang w:val="it-IT" w:eastAsia="et-EE"/>
        </w:rPr>
      </w:pPr>
      <w:r w:rsidRPr="0014276A">
        <w:rPr>
          <w:rFonts w:ascii="Times New Roman" w:eastAsia="Times New Roman" w:hAnsi="Times New Roman" w:cs="Times New Roman"/>
          <w:sz w:val="22"/>
          <w:szCs w:val="22"/>
          <w:lang w:val="it-IT" w:eastAsia="et-EE"/>
        </w:rPr>
        <w:t>B-1800 Vilvoorde</w:t>
      </w:r>
    </w:p>
    <w:p w14:paraId="75CAADA4" w14:textId="326180BD" w:rsidR="0014276A" w:rsidRPr="0014276A" w:rsidRDefault="0014276A" w:rsidP="007A2897">
      <w:pPr>
        <w:spacing w:after="0" w:line="240" w:lineRule="auto"/>
        <w:rPr>
          <w:rFonts w:ascii="Times New Roman" w:eastAsia="Times New Roman" w:hAnsi="Times New Roman" w:cs="Times New Roman"/>
          <w:sz w:val="22"/>
          <w:szCs w:val="22"/>
          <w:lang w:val="it-IT" w:eastAsia="et-EE"/>
        </w:rPr>
      </w:pPr>
      <w:r w:rsidRPr="0014276A">
        <w:rPr>
          <w:rFonts w:ascii="Times New Roman" w:eastAsia="Times New Roman" w:hAnsi="Times New Roman" w:cs="Times New Roman"/>
          <w:sz w:val="22"/>
          <w:szCs w:val="22"/>
          <w:lang w:val="it-IT" w:eastAsia="et-EE"/>
        </w:rPr>
        <w:t>Belgija</w:t>
      </w:r>
    </w:p>
    <w:p w14:paraId="76BAB56B"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p>
    <w:p w14:paraId="73CECF04" w14:textId="77777777" w:rsidR="007A2897" w:rsidRPr="0014276A" w:rsidRDefault="007A2897" w:rsidP="007A2897">
      <w:pPr>
        <w:spacing w:after="0" w:line="240" w:lineRule="auto"/>
        <w:rPr>
          <w:rFonts w:ascii="Times New Roman" w:eastAsia="Times New Roman" w:hAnsi="Times New Roman" w:cs="Times New Roman"/>
          <w:b/>
          <w:sz w:val="22"/>
          <w:szCs w:val="22"/>
          <w:lang w:val="lt-LT"/>
        </w:rPr>
      </w:pPr>
      <w:r w:rsidRPr="0014276A">
        <w:rPr>
          <w:rFonts w:ascii="Times New Roman" w:eastAsia="Times New Roman" w:hAnsi="Times New Roman" w:cs="Times New Roman"/>
          <w:b/>
          <w:sz w:val="22"/>
          <w:szCs w:val="22"/>
          <w:lang w:val="lt-LT"/>
        </w:rPr>
        <w:t>Gamintojai</w:t>
      </w:r>
    </w:p>
    <w:p w14:paraId="5FE8C41D"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 xml:space="preserve">Alcon-Couvreur NV </w:t>
      </w:r>
    </w:p>
    <w:p w14:paraId="7FB86985"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Rijksweg 14</w:t>
      </w:r>
    </w:p>
    <w:p w14:paraId="60B4FD1D"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2870 Puurs</w:t>
      </w:r>
    </w:p>
    <w:p w14:paraId="1A5F2DA9"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 xml:space="preserve">Belgija </w:t>
      </w:r>
    </w:p>
    <w:p w14:paraId="506763FE"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p>
    <w:p w14:paraId="2973D893"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highlight w:val="yellow"/>
          <w:lang w:val="lt-LT"/>
        </w:rPr>
      </w:pPr>
      <w:r w:rsidRPr="0014276A">
        <w:rPr>
          <w:rFonts w:ascii="Times New Roman" w:eastAsia="Times New Roman" w:hAnsi="Times New Roman" w:cs="Times New Roman"/>
          <w:sz w:val="22"/>
          <w:szCs w:val="22"/>
          <w:lang w:val="lt-LT"/>
        </w:rPr>
        <w:t>arba</w:t>
      </w:r>
    </w:p>
    <w:p w14:paraId="5C4835F3"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highlight w:val="yellow"/>
          <w:lang w:val="lt-LT"/>
        </w:rPr>
      </w:pPr>
    </w:p>
    <w:p w14:paraId="594A8E1B"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Siegfried El Masnou, S.A.</w:t>
      </w:r>
    </w:p>
    <w:p w14:paraId="1C3A920E"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Camil Fabra, 58</w:t>
      </w:r>
    </w:p>
    <w:p w14:paraId="0E01DA50"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08320 El Masnou</w:t>
      </w:r>
    </w:p>
    <w:p w14:paraId="7820DD84"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Barcelona</w:t>
      </w:r>
    </w:p>
    <w:p w14:paraId="1FDF0279" w14:textId="77777777" w:rsidR="007A2897" w:rsidRPr="0014276A" w:rsidRDefault="007A2897" w:rsidP="007A2897">
      <w:pPr>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Ispanija</w:t>
      </w:r>
    </w:p>
    <w:p w14:paraId="496E96A0"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p>
    <w:p w14:paraId="32955A95"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arba</w:t>
      </w:r>
    </w:p>
    <w:p w14:paraId="26C0D388"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p>
    <w:p w14:paraId="4E7FD43C"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Novartis Pharma GmbH</w:t>
      </w:r>
    </w:p>
    <w:p w14:paraId="18FDD4BF"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Roonstrasse 25</w:t>
      </w:r>
    </w:p>
    <w:p w14:paraId="5CD759C9"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90429 Nürnberg</w:t>
      </w:r>
    </w:p>
    <w:p w14:paraId="4C9C48EA"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Vokietija</w:t>
      </w:r>
    </w:p>
    <w:p w14:paraId="22A60B22"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p>
    <w:p w14:paraId="5705CDD3"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arba</w:t>
      </w:r>
    </w:p>
    <w:p w14:paraId="14B5F384"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p>
    <w:p w14:paraId="234BDCF5"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Novartis Farmacéutica, S.A.</w:t>
      </w:r>
    </w:p>
    <w:p w14:paraId="306859DA"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Gran Via de les Corts Catalanes, 764</w:t>
      </w:r>
    </w:p>
    <w:p w14:paraId="2E4BD88A"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08013 Barcelona</w:t>
      </w:r>
    </w:p>
    <w:p w14:paraId="6C5C8DA7" w14:textId="619492CC" w:rsidR="00411AF0"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r w:rsidRPr="0014276A">
        <w:rPr>
          <w:rFonts w:ascii="Times New Roman" w:eastAsia="Times New Roman" w:hAnsi="Times New Roman" w:cs="Times New Roman"/>
          <w:sz w:val="22"/>
          <w:szCs w:val="22"/>
          <w:lang w:val="lt-LT"/>
        </w:rPr>
        <w:t>Ispanija</w:t>
      </w:r>
    </w:p>
    <w:p w14:paraId="348CEF0A" w14:textId="77777777" w:rsidR="00411AF0" w:rsidRPr="0014276A" w:rsidRDefault="00411AF0" w:rsidP="007A2897">
      <w:pPr>
        <w:tabs>
          <w:tab w:val="left" w:pos="567"/>
        </w:tabs>
        <w:spacing w:after="0" w:line="240" w:lineRule="auto"/>
        <w:rPr>
          <w:rFonts w:ascii="Times New Roman" w:eastAsia="Times New Roman" w:hAnsi="Times New Roman" w:cs="Times New Roman"/>
          <w:sz w:val="22"/>
          <w:szCs w:val="22"/>
          <w:lang w:val="lt-LT"/>
        </w:rPr>
      </w:pPr>
    </w:p>
    <w:p w14:paraId="6B921D20" w14:textId="77777777" w:rsidR="007A2897" w:rsidRPr="0014276A" w:rsidRDefault="007A2897" w:rsidP="007A2897">
      <w:pPr>
        <w:tabs>
          <w:tab w:val="left" w:pos="567"/>
        </w:tabs>
        <w:spacing w:after="0" w:line="240" w:lineRule="auto"/>
        <w:rPr>
          <w:rFonts w:ascii="Times New Roman" w:eastAsia="Times New Roman" w:hAnsi="Times New Roman" w:cs="Times New Roman"/>
          <w:sz w:val="22"/>
          <w:szCs w:val="22"/>
          <w:lang w:val="lt-LT"/>
        </w:rPr>
      </w:pPr>
    </w:p>
    <w:p w14:paraId="0B15EBB2" w14:textId="77777777" w:rsidR="00411AF0" w:rsidRPr="00691ECB" w:rsidRDefault="00411AF0" w:rsidP="0014276A">
      <w:pPr>
        <w:spacing w:after="0"/>
        <w:rPr>
          <w:rFonts w:ascii="Times New Roman" w:hAnsi="Times New Roman" w:cs="Times New Roman"/>
          <w:b/>
          <w:sz w:val="22"/>
          <w:szCs w:val="22"/>
          <w:lang w:val="lt-LT"/>
        </w:rPr>
      </w:pPr>
      <w:r w:rsidRPr="00691ECB">
        <w:rPr>
          <w:rFonts w:ascii="Times New Roman" w:hAnsi="Times New Roman" w:cs="Times New Roman"/>
          <w:b/>
          <w:sz w:val="22"/>
          <w:szCs w:val="22"/>
          <w:lang w:val="lt-LT"/>
        </w:rPr>
        <w:t xml:space="preserve">Lygiagretus importuotojas </w:t>
      </w:r>
    </w:p>
    <w:p w14:paraId="62FFD145" w14:textId="77777777" w:rsidR="00411AF0" w:rsidRPr="00691ECB" w:rsidRDefault="00411AF0" w:rsidP="0014276A">
      <w:pPr>
        <w:tabs>
          <w:tab w:val="left" w:pos="567"/>
        </w:tabs>
        <w:spacing w:after="0"/>
        <w:rPr>
          <w:rFonts w:ascii="Times New Roman" w:hAnsi="Times New Roman" w:cs="Times New Roman"/>
          <w:sz w:val="22"/>
          <w:szCs w:val="22"/>
          <w:lang w:val="lt-LT" w:eastAsia="lt-LT"/>
        </w:rPr>
      </w:pPr>
      <w:r w:rsidRPr="00691ECB">
        <w:rPr>
          <w:rFonts w:ascii="Times New Roman" w:hAnsi="Times New Roman" w:cs="Times New Roman"/>
          <w:sz w:val="22"/>
          <w:szCs w:val="22"/>
          <w:lang w:val="lt-LT"/>
        </w:rPr>
        <w:t xml:space="preserve">UAB „TOJARIS PROJEKTAI“ </w:t>
      </w:r>
    </w:p>
    <w:p w14:paraId="0B0C3A75" w14:textId="77777777" w:rsidR="00411AF0" w:rsidRPr="00691ECB" w:rsidRDefault="00411AF0" w:rsidP="0014276A">
      <w:pPr>
        <w:tabs>
          <w:tab w:val="left" w:pos="567"/>
        </w:tabs>
        <w:spacing w:after="0"/>
        <w:rPr>
          <w:rFonts w:ascii="Times New Roman" w:hAnsi="Times New Roman" w:cs="Times New Roman"/>
          <w:sz w:val="22"/>
          <w:szCs w:val="22"/>
          <w:lang w:val="lt-LT"/>
        </w:rPr>
      </w:pPr>
      <w:r w:rsidRPr="00691ECB">
        <w:rPr>
          <w:rFonts w:ascii="Times New Roman" w:hAnsi="Times New Roman" w:cs="Times New Roman"/>
          <w:sz w:val="22"/>
          <w:szCs w:val="22"/>
          <w:lang w:val="lt-LT"/>
        </w:rPr>
        <w:t>Ukmergės g. 369A</w:t>
      </w:r>
    </w:p>
    <w:p w14:paraId="6F2B4DAD" w14:textId="77777777" w:rsidR="00411AF0" w:rsidRPr="00691ECB" w:rsidRDefault="00411AF0" w:rsidP="0014276A">
      <w:pPr>
        <w:tabs>
          <w:tab w:val="left" w:pos="567"/>
        </w:tabs>
        <w:spacing w:after="0"/>
        <w:rPr>
          <w:rFonts w:ascii="Times New Roman" w:hAnsi="Times New Roman" w:cs="Times New Roman"/>
          <w:sz w:val="22"/>
          <w:szCs w:val="22"/>
          <w:lang w:val="lt-LT"/>
        </w:rPr>
      </w:pPr>
      <w:r w:rsidRPr="00691ECB">
        <w:rPr>
          <w:rFonts w:ascii="Times New Roman" w:hAnsi="Times New Roman" w:cs="Times New Roman"/>
          <w:sz w:val="22"/>
          <w:szCs w:val="22"/>
          <w:lang w:val="lt-LT"/>
        </w:rPr>
        <w:t>LT-12142 Vilnius</w:t>
      </w:r>
    </w:p>
    <w:p w14:paraId="6B4FE85F" w14:textId="77777777" w:rsidR="00411AF0" w:rsidRPr="00691ECB" w:rsidRDefault="00411AF0" w:rsidP="0014276A">
      <w:pPr>
        <w:tabs>
          <w:tab w:val="left" w:pos="567"/>
        </w:tabs>
        <w:spacing w:after="0"/>
        <w:rPr>
          <w:rFonts w:ascii="Times New Roman" w:hAnsi="Times New Roman" w:cs="Times New Roman"/>
          <w:sz w:val="22"/>
          <w:szCs w:val="22"/>
          <w:lang w:val="lt-LT"/>
        </w:rPr>
      </w:pPr>
      <w:r w:rsidRPr="00691ECB">
        <w:rPr>
          <w:rFonts w:ascii="Times New Roman" w:hAnsi="Times New Roman" w:cs="Times New Roman"/>
          <w:sz w:val="22"/>
          <w:szCs w:val="22"/>
          <w:lang w:val="lt-LT"/>
        </w:rPr>
        <w:t>Lietuva</w:t>
      </w:r>
    </w:p>
    <w:p w14:paraId="73926E88" w14:textId="77777777" w:rsidR="00411AF0" w:rsidRPr="00691ECB" w:rsidRDefault="00411AF0" w:rsidP="0014276A">
      <w:pPr>
        <w:spacing w:after="0"/>
        <w:rPr>
          <w:rFonts w:ascii="Times New Roman" w:hAnsi="Times New Roman" w:cs="Times New Roman"/>
          <w:b/>
          <w:sz w:val="22"/>
          <w:szCs w:val="22"/>
          <w:lang w:val="lt-LT"/>
        </w:rPr>
      </w:pPr>
    </w:p>
    <w:p w14:paraId="53A75882" w14:textId="77777777" w:rsidR="00411AF0" w:rsidRPr="00691ECB" w:rsidRDefault="00411AF0" w:rsidP="0014276A">
      <w:pPr>
        <w:spacing w:after="0"/>
        <w:rPr>
          <w:rFonts w:ascii="Times New Roman" w:hAnsi="Times New Roman" w:cs="Times New Roman"/>
          <w:b/>
          <w:sz w:val="22"/>
          <w:szCs w:val="22"/>
          <w:lang w:val="lt-LT"/>
        </w:rPr>
      </w:pPr>
      <w:r w:rsidRPr="00691ECB">
        <w:rPr>
          <w:rFonts w:ascii="Times New Roman" w:hAnsi="Times New Roman" w:cs="Times New Roman"/>
          <w:b/>
          <w:sz w:val="22"/>
          <w:szCs w:val="22"/>
          <w:lang w:val="lt-LT"/>
        </w:rPr>
        <w:t xml:space="preserve">Perpakavo </w:t>
      </w:r>
    </w:p>
    <w:p w14:paraId="55FB4BDE" w14:textId="77777777" w:rsidR="00411AF0" w:rsidRPr="00691ECB" w:rsidRDefault="00411AF0" w:rsidP="0014276A">
      <w:pPr>
        <w:numPr>
          <w:ilvl w:val="12"/>
          <w:numId w:val="0"/>
        </w:numPr>
        <w:spacing w:after="0"/>
        <w:ind w:right="-2"/>
        <w:outlineLvl w:val="0"/>
        <w:rPr>
          <w:rFonts w:ascii="Times New Roman" w:hAnsi="Times New Roman" w:cs="Times New Roman"/>
          <w:bCs/>
          <w:sz w:val="22"/>
          <w:szCs w:val="22"/>
          <w:lang w:val="lt-LT"/>
        </w:rPr>
      </w:pPr>
      <w:r w:rsidRPr="00691ECB">
        <w:rPr>
          <w:rFonts w:ascii="Times New Roman" w:hAnsi="Times New Roman" w:cs="Times New Roman"/>
          <w:bCs/>
          <w:sz w:val="22"/>
          <w:szCs w:val="22"/>
          <w:lang w:val="lt-LT"/>
        </w:rPr>
        <w:t>UAB “ENTAFARMA”</w:t>
      </w:r>
    </w:p>
    <w:p w14:paraId="249A58EB" w14:textId="77777777" w:rsidR="00411AF0" w:rsidRPr="00691ECB" w:rsidRDefault="00411AF0" w:rsidP="0014276A">
      <w:pPr>
        <w:numPr>
          <w:ilvl w:val="12"/>
          <w:numId w:val="0"/>
        </w:numPr>
        <w:spacing w:after="0"/>
        <w:ind w:right="-2"/>
        <w:outlineLvl w:val="0"/>
        <w:rPr>
          <w:rFonts w:ascii="Times New Roman" w:hAnsi="Times New Roman" w:cs="Times New Roman"/>
          <w:bCs/>
          <w:sz w:val="22"/>
          <w:szCs w:val="22"/>
          <w:lang w:val="lt-LT"/>
        </w:rPr>
      </w:pPr>
      <w:r w:rsidRPr="00691ECB">
        <w:rPr>
          <w:rFonts w:ascii="Times New Roman" w:hAnsi="Times New Roman" w:cs="Times New Roman"/>
          <w:bCs/>
          <w:sz w:val="22"/>
          <w:szCs w:val="22"/>
          <w:lang w:val="lt-LT"/>
        </w:rPr>
        <w:t>Klonėnų vs. 1</w:t>
      </w:r>
    </w:p>
    <w:p w14:paraId="5051FDF8" w14:textId="77777777" w:rsidR="00411AF0" w:rsidRPr="00691ECB" w:rsidRDefault="00411AF0" w:rsidP="0014276A">
      <w:pPr>
        <w:numPr>
          <w:ilvl w:val="12"/>
          <w:numId w:val="0"/>
        </w:numPr>
        <w:spacing w:after="0"/>
        <w:ind w:right="-2"/>
        <w:outlineLvl w:val="0"/>
        <w:rPr>
          <w:rFonts w:ascii="Times New Roman" w:hAnsi="Times New Roman" w:cs="Times New Roman"/>
          <w:bCs/>
          <w:sz w:val="22"/>
          <w:szCs w:val="22"/>
          <w:lang w:val="lt-LT"/>
        </w:rPr>
      </w:pPr>
      <w:r w:rsidRPr="00691ECB">
        <w:rPr>
          <w:rFonts w:ascii="Times New Roman" w:hAnsi="Times New Roman" w:cs="Times New Roman"/>
          <w:bCs/>
          <w:sz w:val="22"/>
          <w:szCs w:val="22"/>
          <w:lang w:val="lt-LT"/>
        </w:rPr>
        <w:t>LT-19156 Širvintų r. sav.</w:t>
      </w:r>
    </w:p>
    <w:p w14:paraId="748901AF" w14:textId="77777777" w:rsidR="00411AF0" w:rsidRPr="00691ECB" w:rsidRDefault="00411AF0" w:rsidP="0014276A">
      <w:pPr>
        <w:numPr>
          <w:ilvl w:val="12"/>
          <w:numId w:val="0"/>
        </w:numPr>
        <w:spacing w:after="0"/>
        <w:ind w:right="-2"/>
        <w:outlineLvl w:val="0"/>
        <w:rPr>
          <w:rFonts w:ascii="Times New Roman" w:hAnsi="Times New Roman" w:cs="Times New Roman"/>
          <w:bCs/>
          <w:sz w:val="22"/>
          <w:szCs w:val="22"/>
          <w:lang w:val="lt-LT"/>
        </w:rPr>
      </w:pPr>
      <w:r w:rsidRPr="00691ECB">
        <w:rPr>
          <w:rFonts w:ascii="Times New Roman" w:hAnsi="Times New Roman" w:cs="Times New Roman"/>
          <w:bCs/>
          <w:sz w:val="22"/>
          <w:szCs w:val="22"/>
          <w:lang w:val="lt-LT"/>
        </w:rPr>
        <w:t>Lietuva</w:t>
      </w:r>
    </w:p>
    <w:p w14:paraId="47129AAC" w14:textId="77777777" w:rsidR="00411AF0" w:rsidRPr="00691ECB" w:rsidRDefault="00411AF0" w:rsidP="0014276A">
      <w:pPr>
        <w:numPr>
          <w:ilvl w:val="12"/>
          <w:numId w:val="0"/>
        </w:numPr>
        <w:spacing w:after="0"/>
        <w:ind w:right="-2"/>
        <w:outlineLvl w:val="0"/>
        <w:rPr>
          <w:rFonts w:ascii="Times New Roman" w:hAnsi="Times New Roman" w:cs="Times New Roman"/>
          <w:bCs/>
          <w:sz w:val="22"/>
          <w:szCs w:val="22"/>
          <w:lang w:val="lt-LT"/>
        </w:rPr>
      </w:pPr>
    </w:p>
    <w:p w14:paraId="2FC49B51" w14:textId="77777777" w:rsidR="00411AF0" w:rsidRPr="00691ECB" w:rsidRDefault="00411AF0" w:rsidP="0014276A">
      <w:pPr>
        <w:numPr>
          <w:ilvl w:val="12"/>
          <w:numId w:val="0"/>
        </w:numPr>
        <w:spacing w:after="0"/>
        <w:ind w:right="-2"/>
        <w:outlineLvl w:val="0"/>
        <w:rPr>
          <w:rFonts w:ascii="Times New Roman" w:hAnsi="Times New Roman" w:cs="Times New Roman"/>
          <w:bCs/>
          <w:sz w:val="22"/>
          <w:szCs w:val="22"/>
          <w:lang w:val="lt-LT"/>
        </w:rPr>
      </w:pPr>
      <w:r w:rsidRPr="00691ECB">
        <w:rPr>
          <w:rFonts w:ascii="Times New Roman" w:hAnsi="Times New Roman" w:cs="Times New Roman"/>
          <w:bCs/>
          <w:sz w:val="22"/>
          <w:szCs w:val="22"/>
          <w:lang w:val="lt-LT"/>
        </w:rPr>
        <w:t>arba</w:t>
      </w:r>
    </w:p>
    <w:p w14:paraId="24873C4F" w14:textId="77777777" w:rsidR="00411AF0" w:rsidRPr="00691ECB" w:rsidRDefault="00411AF0" w:rsidP="0014276A">
      <w:pPr>
        <w:numPr>
          <w:ilvl w:val="12"/>
          <w:numId w:val="0"/>
        </w:numPr>
        <w:spacing w:after="0"/>
        <w:ind w:right="-2"/>
        <w:outlineLvl w:val="0"/>
        <w:rPr>
          <w:rFonts w:ascii="Times New Roman" w:hAnsi="Times New Roman" w:cs="Times New Roman"/>
          <w:bCs/>
          <w:sz w:val="22"/>
          <w:szCs w:val="22"/>
          <w:lang w:val="lt-LT"/>
        </w:rPr>
      </w:pPr>
    </w:p>
    <w:p w14:paraId="732159EB" w14:textId="77777777" w:rsidR="00411AF0" w:rsidRPr="00691ECB" w:rsidRDefault="00411AF0" w:rsidP="0014276A">
      <w:pPr>
        <w:widowControl w:val="0"/>
        <w:numPr>
          <w:ilvl w:val="12"/>
          <w:numId w:val="0"/>
        </w:numPr>
        <w:tabs>
          <w:tab w:val="left" w:pos="567"/>
        </w:tabs>
        <w:snapToGrid w:val="0"/>
        <w:spacing w:after="0"/>
        <w:ind w:right="-2"/>
        <w:rPr>
          <w:rFonts w:ascii="Times New Roman" w:hAnsi="Times New Roman" w:cs="Times New Roman"/>
          <w:sz w:val="22"/>
          <w:szCs w:val="22"/>
          <w:lang w:val="lt-LT"/>
        </w:rPr>
      </w:pPr>
      <w:r w:rsidRPr="00691ECB">
        <w:rPr>
          <w:rFonts w:ascii="Times New Roman" w:hAnsi="Times New Roman" w:cs="Times New Roman"/>
          <w:sz w:val="22"/>
          <w:szCs w:val="22"/>
          <w:lang w:val="lt-LT"/>
        </w:rPr>
        <w:t>UAB ,,ARMILA“</w:t>
      </w:r>
    </w:p>
    <w:p w14:paraId="6183878D" w14:textId="77777777" w:rsidR="00411AF0" w:rsidRPr="00691ECB" w:rsidRDefault="00411AF0" w:rsidP="0014276A">
      <w:pPr>
        <w:widowControl w:val="0"/>
        <w:numPr>
          <w:ilvl w:val="12"/>
          <w:numId w:val="0"/>
        </w:numPr>
        <w:tabs>
          <w:tab w:val="left" w:pos="567"/>
        </w:tabs>
        <w:snapToGrid w:val="0"/>
        <w:spacing w:after="0"/>
        <w:ind w:right="-2"/>
        <w:rPr>
          <w:rFonts w:ascii="Times New Roman" w:hAnsi="Times New Roman" w:cs="Times New Roman"/>
          <w:sz w:val="22"/>
          <w:szCs w:val="22"/>
          <w:lang w:val="lt-LT"/>
        </w:rPr>
      </w:pPr>
      <w:r w:rsidRPr="00691ECB">
        <w:rPr>
          <w:rFonts w:ascii="Times New Roman" w:hAnsi="Times New Roman" w:cs="Times New Roman"/>
          <w:sz w:val="22"/>
          <w:szCs w:val="22"/>
          <w:lang w:val="lt-LT"/>
        </w:rPr>
        <w:t>Molėtų pl. 75</w:t>
      </w:r>
    </w:p>
    <w:p w14:paraId="0DF41DBE" w14:textId="77777777" w:rsidR="00411AF0" w:rsidRPr="00691ECB" w:rsidRDefault="00411AF0" w:rsidP="0014276A">
      <w:pPr>
        <w:widowControl w:val="0"/>
        <w:numPr>
          <w:ilvl w:val="12"/>
          <w:numId w:val="0"/>
        </w:numPr>
        <w:tabs>
          <w:tab w:val="left" w:pos="567"/>
        </w:tabs>
        <w:snapToGrid w:val="0"/>
        <w:spacing w:after="0"/>
        <w:ind w:right="-2"/>
        <w:rPr>
          <w:rFonts w:ascii="Times New Roman" w:hAnsi="Times New Roman" w:cs="Times New Roman"/>
          <w:sz w:val="22"/>
          <w:szCs w:val="22"/>
          <w:lang w:val="lt-LT"/>
        </w:rPr>
      </w:pPr>
      <w:r w:rsidRPr="00691ECB">
        <w:rPr>
          <w:rFonts w:ascii="Times New Roman" w:hAnsi="Times New Roman" w:cs="Times New Roman"/>
          <w:sz w:val="22"/>
          <w:szCs w:val="22"/>
          <w:lang w:val="lt-LT"/>
        </w:rPr>
        <w:t>LT-14259 Vilnius</w:t>
      </w:r>
    </w:p>
    <w:p w14:paraId="6925BC9D" w14:textId="77777777" w:rsidR="00411AF0" w:rsidRPr="00691ECB" w:rsidRDefault="00411AF0" w:rsidP="0014276A">
      <w:pPr>
        <w:numPr>
          <w:ilvl w:val="12"/>
          <w:numId w:val="0"/>
        </w:numPr>
        <w:spacing w:after="0"/>
        <w:ind w:right="-2"/>
        <w:outlineLvl w:val="0"/>
        <w:rPr>
          <w:rFonts w:ascii="Times New Roman" w:hAnsi="Times New Roman" w:cs="Times New Roman"/>
          <w:sz w:val="22"/>
          <w:szCs w:val="22"/>
          <w:lang w:val="lt-LT"/>
        </w:rPr>
      </w:pPr>
      <w:r w:rsidRPr="00691ECB">
        <w:rPr>
          <w:rFonts w:ascii="Times New Roman" w:hAnsi="Times New Roman" w:cs="Times New Roman"/>
          <w:sz w:val="22"/>
          <w:szCs w:val="22"/>
          <w:lang w:val="lt-LT"/>
        </w:rPr>
        <w:t>Lietuva</w:t>
      </w:r>
    </w:p>
    <w:p w14:paraId="67C1D4E2" w14:textId="77777777" w:rsidR="00411AF0" w:rsidRPr="00691ECB" w:rsidRDefault="00411AF0" w:rsidP="00411AF0">
      <w:pPr>
        <w:tabs>
          <w:tab w:val="left" w:pos="567"/>
        </w:tabs>
        <w:ind w:left="567" w:hanging="567"/>
        <w:rPr>
          <w:rFonts w:ascii="Times New Roman" w:hAnsi="Times New Roman" w:cs="Times New Roman"/>
          <w:sz w:val="22"/>
          <w:szCs w:val="22"/>
          <w:lang w:val="lt-LT" w:eastAsia="ko-KR"/>
        </w:rPr>
      </w:pPr>
    </w:p>
    <w:p w14:paraId="1210D9FD" w14:textId="77777777" w:rsidR="00411AF0" w:rsidRPr="00691ECB" w:rsidRDefault="00411AF0" w:rsidP="00411AF0">
      <w:pPr>
        <w:tabs>
          <w:tab w:val="left" w:pos="567"/>
        </w:tabs>
        <w:ind w:left="567" w:hanging="567"/>
        <w:rPr>
          <w:rFonts w:ascii="Times New Roman" w:hAnsi="Times New Roman" w:cs="Times New Roman"/>
          <w:sz w:val="22"/>
          <w:szCs w:val="22"/>
          <w:lang w:val="lt-LT" w:eastAsia="ko-KR"/>
        </w:rPr>
      </w:pPr>
    </w:p>
    <w:p w14:paraId="2B878A5D" w14:textId="1C839FC2" w:rsidR="00411AF0" w:rsidRPr="00691ECB" w:rsidRDefault="00411AF0" w:rsidP="00411AF0">
      <w:pPr>
        <w:tabs>
          <w:tab w:val="left" w:pos="567"/>
        </w:tabs>
        <w:rPr>
          <w:rFonts w:ascii="Times New Roman" w:hAnsi="Times New Roman" w:cs="Times New Roman"/>
          <w:sz w:val="22"/>
          <w:szCs w:val="22"/>
          <w:lang w:val="lt-LT" w:eastAsia="ko-KR"/>
        </w:rPr>
      </w:pPr>
      <w:r w:rsidRPr="00691ECB">
        <w:rPr>
          <w:rFonts w:ascii="Times New Roman" w:hAnsi="Times New Roman" w:cs="Times New Roman"/>
          <w:b/>
          <w:sz w:val="22"/>
          <w:szCs w:val="22"/>
          <w:lang w:val="lt-LT" w:eastAsia="ko-KR"/>
        </w:rPr>
        <w:t xml:space="preserve">Šis pakuotės lapelis paskutinį kartą peržiūrėtas </w:t>
      </w:r>
      <w:r w:rsidR="0072575F">
        <w:rPr>
          <w:rFonts w:ascii="Times New Roman" w:hAnsi="Times New Roman" w:cs="Times New Roman"/>
          <w:b/>
          <w:sz w:val="22"/>
          <w:szCs w:val="22"/>
          <w:lang w:val="lt-LT" w:eastAsia="ko-KR"/>
        </w:rPr>
        <w:t>2025-01-27</w:t>
      </w:r>
    </w:p>
    <w:p w14:paraId="09D3E842" w14:textId="77777777" w:rsidR="00411AF0" w:rsidRPr="00691ECB" w:rsidRDefault="00411AF0" w:rsidP="00411AF0">
      <w:pPr>
        <w:tabs>
          <w:tab w:val="left" w:pos="567"/>
        </w:tabs>
        <w:rPr>
          <w:rFonts w:ascii="Times New Roman" w:hAnsi="Times New Roman" w:cs="Times New Roman"/>
          <w:sz w:val="22"/>
          <w:szCs w:val="22"/>
          <w:lang w:val="lt-LT" w:eastAsia="ko-KR"/>
        </w:rPr>
      </w:pPr>
    </w:p>
    <w:p w14:paraId="2181D09E" w14:textId="0BE1401D" w:rsidR="00411AF0" w:rsidRPr="00691ECB" w:rsidRDefault="00411AF0" w:rsidP="00411AF0">
      <w:pPr>
        <w:numPr>
          <w:ilvl w:val="12"/>
          <w:numId w:val="0"/>
        </w:numPr>
        <w:tabs>
          <w:tab w:val="left" w:pos="567"/>
        </w:tabs>
        <w:ind w:right="-2"/>
        <w:rPr>
          <w:rFonts w:ascii="Times New Roman" w:hAnsi="Times New Roman" w:cs="Times New Roman"/>
          <w:sz w:val="22"/>
          <w:szCs w:val="22"/>
          <w:lang w:val="lt-LT" w:eastAsia="ko-KR"/>
        </w:rPr>
      </w:pPr>
      <w:r w:rsidRPr="00691ECB">
        <w:rPr>
          <w:rFonts w:ascii="Times New Roman" w:hAnsi="Times New Roman" w:cs="Times New Roman"/>
          <w:sz w:val="22"/>
          <w:szCs w:val="22"/>
          <w:lang w:val="lt-LT" w:eastAsia="ko-KR"/>
        </w:rPr>
        <w:t>Išsami informacija apie šį vaistą pateikiama Valstybinės vaistų kontrolės tarnybos prie Lietuvos Respublikos sveikatos apsaugos ministerijos tinklalapyje</w:t>
      </w:r>
      <w:r w:rsidR="009B6059" w:rsidRPr="00691ECB">
        <w:rPr>
          <w:color w:val="0000EE"/>
          <w:sz w:val="22"/>
          <w:szCs w:val="22"/>
          <w:u w:val="single"/>
          <w:lang w:val="lt-LT" w:eastAsia="lt-LT"/>
        </w:rPr>
        <w:t xml:space="preserve"> </w:t>
      </w:r>
      <w:r w:rsidR="009B6059" w:rsidRPr="00691ECB">
        <w:rPr>
          <w:rFonts w:asciiTheme="majorBidi" w:hAnsiTheme="majorBidi" w:cstheme="majorBidi"/>
          <w:color w:val="0000EE"/>
          <w:sz w:val="22"/>
          <w:szCs w:val="22"/>
          <w:u w:val="single"/>
          <w:lang w:val="lt-LT" w:eastAsia="lt-LT"/>
        </w:rPr>
        <w:t>https://vvkt.lrv.lt/lt/</w:t>
      </w:r>
      <w:r w:rsidRPr="00691ECB">
        <w:rPr>
          <w:rFonts w:ascii="Times New Roman" w:hAnsi="Times New Roman" w:cs="Times New Roman"/>
          <w:sz w:val="22"/>
          <w:szCs w:val="22"/>
          <w:lang w:val="lt-LT" w:eastAsia="ko-KR"/>
        </w:rPr>
        <w:t>.</w:t>
      </w:r>
    </w:p>
    <w:p w14:paraId="0C2D106C" w14:textId="77777777" w:rsidR="00411AF0" w:rsidRPr="00691ECB" w:rsidRDefault="00411AF0" w:rsidP="00411AF0">
      <w:pPr>
        <w:numPr>
          <w:ilvl w:val="12"/>
          <w:numId w:val="0"/>
        </w:numPr>
        <w:tabs>
          <w:tab w:val="left" w:pos="567"/>
        </w:tabs>
        <w:ind w:right="-2"/>
        <w:rPr>
          <w:rFonts w:ascii="Times New Roman" w:hAnsi="Times New Roman" w:cs="Times New Roman"/>
          <w:sz w:val="22"/>
          <w:szCs w:val="22"/>
          <w:lang w:val="lt-LT" w:eastAsia="ko-KR"/>
        </w:rPr>
      </w:pPr>
    </w:p>
    <w:p w14:paraId="0705521A" w14:textId="77777777" w:rsidR="003E58E7" w:rsidRPr="00691ECB" w:rsidRDefault="003E58E7">
      <w:pPr>
        <w:rPr>
          <w:rFonts w:ascii="Times New Roman" w:hAnsi="Times New Roman" w:cs="Times New Roman"/>
          <w:sz w:val="22"/>
          <w:szCs w:val="22"/>
          <w:lang w:val="lt-LT"/>
        </w:rPr>
      </w:pPr>
    </w:p>
    <w:sectPr w:rsidR="003E58E7" w:rsidRPr="00691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5BF47AA5"/>
    <w:multiLevelType w:val="hybridMultilevel"/>
    <w:tmpl w:val="540EEEC2"/>
    <w:lvl w:ilvl="0" w:tplc="51AA36B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721042"/>
    <w:multiLevelType w:val="hybridMultilevel"/>
    <w:tmpl w:val="FA58A592"/>
    <w:lvl w:ilvl="0" w:tplc="0807000F">
      <w:start w:val="3"/>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num w:numId="1" w16cid:durableId="621620814">
    <w:abstractNumId w:val="1"/>
  </w:num>
  <w:num w:numId="2" w16cid:durableId="16258872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9968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25"/>
    <w:rsid w:val="000E2E47"/>
    <w:rsid w:val="0014276A"/>
    <w:rsid w:val="001A542F"/>
    <w:rsid w:val="002A0525"/>
    <w:rsid w:val="002E5EE6"/>
    <w:rsid w:val="00394D91"/>
    <w:rsid w:val="003E58E7"/>
    <w:rsid w:val="003E5F92"/>
    <w:rsid w:val="00411AF0"/>
    <w:rsid w:val="004E099C"/>
    <w:rsid w:val="00500511"/>
    <w:rsid w:val="005704E4"/>
    <w:rsid w:val="00691ECB"/>
    <w:rsid w:val="0072575F"/>
    <w:rsid w:val="00777A1F"/>
    <w:rsid w:val="007A2897"/>
    <w:rsid w:val="007F7446"/>
    <w:rsid w:val="009355B3"/>
    <w:rsid w:val="009B6059"/>
    <w:rsid w:val="009C1B8D"/>
    <w:rsid w:val="00C10F75"/>
    <w:rsid w:val="00C95C47"/>
    <w:rsid w:val="00EC3615"/>
    <w:rsid w:val="00EC5EC0"/>
    <w:rsid w:val="00F23CCF"/>
    <w:rsid w:val="00F75C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53C3"/>
  <w15:chartTrackingRefBased/>
  <w15:docId w15:val="{4DF663AB-8D69-419E-8ECE-FD390E50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2897"/>
    <w:pPr>
      <w:spacing w:line="256" w:lineRule="auto"/>
    </w:pPr>
    <w:rPr>
      <w:rFonts w:ascii="Arial" w:hAnsi="Arial" w:cs="Arial"/>
      <w:kern w:val="0"/>
      <w:sz w:val="20"/>
      <w:szCs w:val="20"/>
      <w14:ligatures w14:val="none"/>
    </w:rPr>
  </w:style>
  <w:style w:type="paragraph" w:styleId="Antrat1">
    <w:name w:val="heading 1"/>
    <w:basedOn w:val="prastasis"/>
    <w:next w:val="prastasis"/>
    <w:link w:val="Antrat1Diagrama"/>
    <w:uiPriority w:val="9"/>
    <w:qFormat/>
    <w:rsid w:val="002A0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0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052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052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052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05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05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05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05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05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05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052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052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052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05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05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05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05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0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05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05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05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05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0525"/>
    <w:rPr>
      <w:i/>
      <w:iCs/>
      <w:color w:val="404040" w:themeColor="text1" w:themeTint="BF"/>
    </w:rPr>
  </w:style>
  <w:style w:type="paragraph" w:styleId="Sraopastraipa">
    <w:name w:val="List Paragraph"/>
    <w:basedOn w:val="prastasis"/>
    <w:uiPriority w:val="34"/>
    <w:qFormat/>
    <w:rsid w:val="002A0525"/>
    <w:pPr>
      <w:ind w:left="720"/>
      <w:contextualSpacing/>
    </w:pPr>
  </w:style>
  <w:style w:type="character" w:styleId="Rykuspabraukimas">
    <w:name w:val="Intense Emphasis"/>
    <w:basedOn w:val="Numatytasispastraiposriftas"/>
    <w:uiPriority w:val="21"/>
    <w:qFormat/>
    <w:rsid w:val="002A0525"/>
    <w:rPr>
      <w:i/>
      <w:iCs/>
      <w:color w:val="0F4761" w:themeColor="accent1" w:themeShade="BF"/>
    </w:rPr>
  </w:style>
  <w:style w:type="paragraph" w:styleId="Iskirtacitata">
    <w:name w:val="Intense Quote"/>
    <w:basedOn w:val="prastasis"/>
    <w:next w:val="prastasis"/>
    <w:link w:val="IskirtacitataDiagrama"/>
    <w:uiPriority w:val="30"/>
    <w:qFormat/>
    <w:rsid w:val="002A0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0525"/>
    <w:rPr>
      <w:i/>
      <w:iCs/>
      <w:color w:val="0F4761" w:themeColor="accent1" w:themeShade="BF"/>
    </w:rPr>
  </w:style>
  <w:style w:type="character" w:styleId="Rykinuoroda">
    <w:name w:val="Intense Reference"/>
    <w:basedOn w:val="Numatytasispastraiposriftas"/>
    <w:uiPriority w:val="32"/>
    <w:qFormat/>
    <w:rsid w:val="002A0525"/>
    <w:rPr>
      <w:b/>
      <w:bCs/>
      <w:smallCaps/>
      <w:color w:val="0F4761" w:themeColor="accent1" w:themeShade="BF"/>
      <w:spacing w:val="5"/>
    </w:rPr>
  </w:style>
  <w:style w:type="character" w:styleId="Hipersaitas">
    <w:name w:val="Hyperlink"/>
    <w:basedOn w:val="Numatytasispastraiposriftas"/>
    <w:uiPriority w:val="99"/>
    <w:semiHidden/>
    <w:unhideWhenUsed/>
    <w:rsid w:val="007A2897"/>
    <w:rPr>
      <w:color w:val="0000FF"/>
      <w:u w:val="single"/>
    </w:rPr>
  </w:style>
  <w:style w:type="paragraph" w:styleId="Pataisymai">
    <w:name w:val="Revision"/>
    <w:hidden/>
    <w:uiPriority w:val="99"/>
    <w:semiHidden/>
    <w:rsid w:val="00500511"/>
    <w:pPr>
      <w:spacing w:after="0" w:line="240" w:lineRule="auto"/>
    </w:pPr>
    <w:rPr>
      <w:rFonts w:ascii="Arial" w:hAnsi="Arial" w:cs="Arial"/>
      <w:kern w:val="0"/>
      <w:sz w:val="20"/>
      <w:szCs w:val="20"/>
      <w14:ligatures w14:val="none"/>
    </w:rPr>
  </w:style>
  <w:style w:type="character" w:styleId="Komentaronuoroda">
    <w:name w:val="annotation reference"/>
    <w:basedOn w:val="Numatytasispastraiposriftas"/>
    <w:uiPriority w:val="99"/>
    <w:semiHidden/>
    <w:unhideWhenUsed/>
    <w:rsid w:val="007F7446"/>
    <w:rPr>
      <w:sz w:val="16"/>
      <w:szCs w:val="16"/>
    </w:rPr>
  </w:style>
  <w:style w:type="paragraph" w:styleId="Komentarotekstas">
    <w:name w:val="annotation text"/>
    <w:basedOn w:val="prastasis"/>
    <w:link w:val="KomentarotekstasDiagrama"/>
    <w:uiPriority w:val="99"/>
    <w:unhideWhenUsed/>
    <w:rsid w:val="007F7446"/>
    <w:pPr>
      <w:spacing w:line="240" w:lineRule="auto"/>
    </w:pPr>
  </w:style>
  <w:style w:type="character" w:customStyle="1" w:styleId="KomentarotekstasDiagrama">
    <w:name w:val="Komentaro tekstas Diagrama"/>
    <w:basedOn w:val="Numatytasispastraiposriftas"/>
    <w:link w:val="Komentarotekstas"/>
    <w:uiPriority w:val="99"/>
    <w:rsid w:val="007F7446"/>
    <w:rPr>
      <w:rFonts w:ascii="Arial" w:hAnsi="Arial"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F7446"/>
    <w:rPr>
      <w:b/>
      <w:bCs/>
    </w:rPr>
  </w:style>
  <w:style w:type="character" w:customStyle="1" w:styleId="KomentarotemaDiagrama">
    <w:name w:val="Komentaro tema Diagrama"/>
    <w:basedOn w:val="KomentarotekstasDiagrama"/>
    <w:link w:val="Komentarotema"/>
    <w:uiPriority w:val="99"/>
    <w:semiHidden/>
    <w:rsid w:val="007F7446"/>
    <w:rPr>
      <w:rFonts w:ascii="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9262">
      <w:bodyDiv w:val="1"/>
      <w:marLeft w:val="0"/>
      <w:marRight w:val="0"/>
      <w:marTop w:val="0"/>
      <w:marBottom w:val="0"/>
      <w:divBdr>
        <w:top w:val="none" w:sz="0" w:space="0" w:color="auto"/>
        <w:left w:val="none" w:sz="0" w:space="0" w:color="auto"/>
        <w:bottom w:val="none" w:sz="0" w:space="0" w:color="auto"/>
        <w:right w:val="none" w:sz="0" w:space="0" w:color="auto"/>
      </w:divBdr>
    </w:div>
    <w:div w:id="577138147">
      <w:bodyDiv w:val="1"/>
      <w:marLeft w:val="0"/>
      <w:marRight w:val="0"/>
      <w:marTop w:val="0"/>
      <w:marBottom w:val="0"/>
      <w:divBdr>
        <w:top w:val="none" w:sz="0" w:space="0" w:color="auto"/>
        <w:left w:val="none" w:sz="0" w:space="0" w:color="auto"/>
        <w:bottom w:val="none" w:sz="0" w:space="0" w:color="auto"/>
        <w:right w:val="none" w:sz="0" w:space="0" w:color="auto"/>
      </w:divBdr>
    </w:div>
    <w:div w:id="190679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e73aad-7250-4760-a3a1-3d42411dbcd0" xsi:nil="true"/>
    <lcf76f155ced4ddcb4097134ff3c332f xmlns="edb03af5-1e53-4f7a-bb07-d96a274bae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5442B11645F7447B996D940191B9524" ma:contentTypeVersion="15" ma:contentTypeDescription="Kurkite naują dokumentą." ma:contentTypeScope="" ma:versionID="66fbd3902dac7a0420c13e642459c24c">
  <xsd:schema xmlns:xsd="http://www.w3.org/2001/XMLSchema" xmlns:xs="http://www.w3.org/2001/XMLSchema" xmlns:p="http://schemas.microsoft.com/office/2006/metadata/properties" xmlns:ns2="dce73aad-7250-4760-a3a1-3d42411dbcd0" xmlns:ns3="edb03af5-1e53-4f7a-bb07-d96a274bae93" targetNamespace="http://schemas.microsoft.com/office/2006/metadata/properties" ma:root="true" ma:fieldsID="560ab5a8d6b947caf7e7ccc74c4d87a9" ns2:_="" ns3:_="">
    <xsd:import namespace="dce73aad-7250-4760-a3a1-3d42411dbcd0"/>
    <xsd:import namespace="edb03af5-1e53-4f7a-bb07-d96a274bae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73aad-7250-4760-a3a1-3d42411dbcd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43a53af7-344f-4402-9be2-4bf42732900f}" ma:internalName="TaxCatchAll" ma:showField="CatchAllData" ma:web="dce73aad-7250-4760-a3a1-3d42411dbc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b03af5-1e53-4f7a-bb07-d96a274bae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aa70fa9f-ba1d-4955-a7be-7957d791086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906C1-7A4F-411A-8A3E-955DE88CD8A9}">
  <ds:schemaRefs>
    <ds:schemaRef ds:uri="http://schemas.microsoft.com/office/2006/metadata/properties"/>
    <ds:schemaRef ds:uri="http://schemas.microsoft.com/office/infopath/2007/PartnerControls"/>
    <ds:schemaRef ds:uri="dce73aad-7250-4760-a3a1-3d42411dbcd0"/>
    <ds:schemaRef ds:uri="edb03af5-1e53-4f7a-bb07-d96a274bae93"/>
  </ds:schemaRefs>
</ds:datastoreItem>
</file>

<file path=customXml/itemProps2.xml><?xml version="1.0" encoding="utf-8"?>
<ds:datastoreItem xmlns:ds="http://schemas.openxmlformats.org/officeDocument/2006/customXml" ds:itemID="{8ADD4E19-EAAC-40B1-BCE5-9858E47CF83F}">
  <ds:schemaRefs>
    <ds:schemaRef ds:uri="http://schemas.microsoft.com/sharepoint/v3/contenttype/forms"/>
  </ds:schemaRefs>
</ds:datastoreItem>
</file>

<file path=customXml/itemProps3.xml><?xml version="1.0" encoding="utf-8"?>
<ds:datastoreItem xmlns:ds="http://schemas.openxmlformats.org/officeDocument/2006/customXml" ds:itemID="{25481E61-EA8B-4AAB-80E8-3AE5A2D39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73aad-7250-4760-a3a1-3d42411dbcd0"/>
    <ds:schemaRef ds:uri="edb03af5-1e53-4f7a-bb07-d96a274ba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6771</Words>
  <Characters>3860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Daškevičienė</dc:creator>
  <cp:keywords/>
  <dc:description/>
  <cp:lastModifiedBy>Karolina Kontrauskaitė</cp:lastModifiedBy>
  <cp:revision>12</cp:revision>
  <dcterms:created xsi:type="dcterms:W3CDTF">2024-05-13T06:42:00Z</dcterms:created>
  <dcterms:modified xsi:type="dcterms:W3CDTF">2025-01-28T11:34:00Z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0x010100E5442B11645F7447B996D940191B9524</vt:lpwstr>
  </property>
</Properties>
</file>