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C3F96" w14:textId="77777777" w:rsidR="00E0774B" w:rsidRPr="00535B17" w:rsidRDefault="00E0774B" w:rsidP="00E0774B">
      <w:pPr>
        <w:pStyle w:val="BTEMEASMCA"/>
      </w:pPr>
    </w:p>
    <w:p w14:paraId="16705528" w14:textId="77777777" w:rsidR="00E0774B" w:rsidRPr="00535B17" w:rsidRDefault="00E0774B" w:rsidP="00E0774B">
      <w:pPr>
        <w:pStyle w:val="TTEMEASMCA"/>
        <w:widowControl w:val="0"/>
        <w:rPr>
          <w:lang w:val="lt-LT"/>
        </w:rPr>
      </w:pPr>
      <w:bookmarkStart w:id="0" w:name="_Toc129243137"/>
      <w:bookmarkStart w:id="1" w:name="_Toc129243262"/>
      <w:r w:rsidRPr="00535B17">
        <w:rPr>
          <w:lang w:val="lt-LT"/>
        </w:rPr>
        <w:t>B. PAKUOTĖS LAPELIS</w:t>
      </w:r>
      <w:bookmarkEnd w:id="0"/>
      <w:bookmarkEnd w:id="1"/>
    </w:p>
    <w:p w14:paraId="6E7F9614" w14:textId="77777777" w:rsidR="00E0774B" w:rsidRPr="00396732" w:rsidRDefault="00E0774B" w:rsidP="00E0774B">
      <w:pPr>
        <w:pStyle w:val="TTEMEASMCA"/>
        <w:widowControl w:val="0"/>
        <w:rPr>
          <w:lang w:val="lt-LT"/>
        </w:rPr>
      </w:pPr>
      <w:r w:rsidRPr="00535B17">
        <w:rPr>
          <w:lang w:val="lt-LT"/>
        </w:rPr>
        <w:br w:type="page"/>
      </w:r>
      <w:bookmarkStart w:id="2" w:name="_Toc129243138"/>
      <w:bookmarkStart w:id="3" w:name="_Toc129243263"/>
      <w:r w:rsidRPr="009F6108">
        <w:rPr>
          <w:caps w:val="0"/>
          <w:lang w:val="lt-LT"/>
        </w:rPr>
        <w:lastRenderedPageBreak/>
        <w:t>Pakuotės lapelis: informacija vartotojui</w:t>
      </w:r>
      <w:bookmarkEnd w:id="2"/>
      <w:bookmarkEnd w:id="3"/>
    </w:p>
    <w:p w14:paraId="2FAD6019" w14:textId="77777777" w:rsidR="00E0774B" w:rsidRPr="00396732" w:rsidRDefault="00E0774B" w:rsidP="00E0774B">
      <w:pPr>
        <w:pStyle w:val="BTEMEASMCA"/>
      </w:pPr>
    </w:p>
    <w:p w14:paraId="294C690A" w14:textId="0D886228" w:rsidR="00E0774B" w:rsidRPr="00396732" w:rsidRDefault="00901723" w:rsidP="00E0774B">
      <w:pPr>
        <w:pStyle w:val="BTbeEMEASMCA"/>
      </w:pPr>
      <w:r>
        <w:t>Furosemidum Polpharma</w:t>
      </w:r>
      <w:r w:rsidR="00E0774B" w:rsidRPr="00396732">
        <w:t xml:space="preserve"> 40 mg tabletės</w:t>
      </w:r>
    </w:p>
    <w:p w14:paraId="736662D2" w14:textId="4937C982" w:rsidR="00E0774B" w:rsidRPr="00396732" w:rsidRDefault="00764A39" w:rsidP="00E0774B">
      <w:pPr>
        <w:pStyle w:val="BTeEMEASMCA"/>
      </w:pPr>
      <w:r>
        <w:t>f</w:t>
      </w:r>
      <w:r w:rsidR="00E0774B" w:rsidRPr="00396732">
        <w:t xml:space="preserve">urozemidas </w:t>
      </w:r>
    </w:p>
    <w:p w14:paraId="39EA095A" w14:textId="77777777" w:rsidR="00E0774B" w:rsidRPr="00396732" w:rsidRDefault="00E0774B" w:rsidP="00E0774B">
      <w:pPr>
        <w:pStyle w:val="BTEMEASMCA"/>
      </w:pPr>
    </w:p>
    <w:p w14:paraId="62758D4C" w14:textId="77777777" w:rsidR="00E0774B" w:rsidRPr="00396732" w:rsidRDefault="00E0774B" w:rsidP="00E0774B">
      <w:pPr>
        <w:pStyle w:val="BTbEMEASMCA"/>
      </w:pPr>
      <w:r w:rsidRPr="00396732">
        <w:t>Atidžiai perskaitykite visą šį lapelį, prieš pradėdami vartoti vaistą</w:t>
      </w:r>
      <w:r w:rsidRPr="009F6108">
        <w:t>, nes jame pateikiama Jums svarbi informacija</w:t>
      </w:r>
      <w:r w:rsidRPr="00396732">
        <w:t>.</w:t>
      </w:r>
    </w:p>
    <w:p w14:paraId="52BA8103" w14:textId="77777777" w:rsidR="00E0774B" w:rsidRPr="00396732" w:rsidRDefault="00E0774B" w:rsidP="00E0774B">
      <w:pPr>
        <w:pStyle w:val="BT-EMEASMCA"/>
      </w:pPr>
      <w:r w:rsidRPr="00396732">
        <w:t>Neišmeskite šio lapelio, nes vėl gali prireikti jį perskaityti.</w:t>
      </w:r>
    </w:p>
    <w:p w14:paraId="57F43937" w14:textId="77777777" w:rsidR="00E0774B" w:rsidRPr="00396732" w:rsidRDefault="00E0774B" w:rsidP="00E0774B">
      <w:pPr>
        <w:pStyle w:val="BT-EMEASMCA"/>
      </w:pPr>
      <w:r w:rsidRPr="00396732">
        <w:t>Jeigu kiltų daugiau klausimų, kreipkitės į gydytoją arba vaistininką.</w:t>
      </w:r>
    </w:p>
    <w:p w14:paraId="4F43C6C0" w14:textId="77777777" w:rsidR="00E0774B" w:rsidRPr="00396732" w:rsidRDefault="00E0774B" w:rsidP="00E0774B">
      <w:pPr>
        <w:pStyle w:val="BT-EMEASMCA"/>
      </w:pPr>
      <w:r w:rsidRPr="00396732">
        <w:t xml:space="preserve">Šis vaistas skirtas </w:t>
      </w:r>
      <w:r>
        <w:t xml:space="preserve">tik </w:t>
      </w:r>
      <w:r w:rsidRPr="00396732">
        <w:t xml:space="preserve">Jums, todėl kitiems žmonėms jo duoti negalima. Vaistas gali jiems pakenkti (net tiems, kurių ligos </w:t>
      </w:r>
      <w:r>
        <w:t>požymiai</w:t>
      </w:r>
      <w:r w:rsidRPr="00396732">
        <w:t xml:space="preserve"> yra tokie patys kaip Jūsų).</w:t>
      </w:r>
    </w:p>
    <w:p w14:paraId="762C906F" w14:textId="77777777" w:rsidR="00E0774B" w:rsidRPr="00396732" w:rsidRDefault="00E0774B" w:rsidP="00E0774B">
      <w:pPr>
        <w:pStyle w:val="BT-EMEASMCA"/>
      </w:pPr>
      <w:r w:rsidRPr="00396732">
        <w:t xml:space="preserve">Jeigu pasireiškė šalutinis poveikis </w:t>
      </w:r>
      <w:r w:rsidRPr="009F6108">
        <w:t>(net jeigu jis šiame lapelyje nenurodytas), kreipkitės į gydytoją</w:t>
      </w:r>
      <w:r>
        <w:t xml:space="preserve"> </w:t>
      </w:r>
      <w:r w:rsidRPr="009F6108">
        <w:t>arba vaistininką. Žr. 4 skyrių</w:t>
      </w:r>
      <w:r>
        <w:t>.</w:t>
      </w:r>
    </w:p>
    <w:p w14:paraId="26ADE69D" w14:textId="77777777" w:rsidR="00E0774B" w:rsidRPr="00396732" w:rsidRDefault="00E0774B" w:rsidP="00E0774B">
      <w:pPr>
        <w:pStyle w:val="BTEMEASMCA"/>
      </w:pPr>
    </w:p>
    <w:p w14:paraId="7874EB46" w14:textId="77777777" w:rsidR="00E0774B" w:rsidRDefault="00E0774B" w:rsidP="00E0774B">
      <w:pPr>
        <w:pStyle w:val="BTbEMEASMCA"/>
      </w:pPr>
      <w:r>
        <w:t>Apie ką rašoma šiame lapelyje?</w:t>
      </w:r>
    </w:p>
    <w:p w14:paraId="3872DF41" w14:textId="77777777" w:rsidR="00E0774B" w:rsidRPr="00396732" w:rsidRDefault="00E0774B" w:rsidP="00E0774B">
      <w:pPr>
        <w:pStyle w:val="BTbEMEASMCA"/>
      </w:pPr>
    </w:p>
    <w:p w14:paraId="29EBA026" w14:textId="2830DDB1" w:rsidR="00E0774B" w:rsidRPr="00396732" w:rsidRDefault="00E0774B" w:rsidP="00E0774B">
      <w:pPr>
        <w:pStyle w:val="BTEMEASMCA"/>
        <w:tabs>
          <w:tab w:val="clear" w:pos="360"/>
          <w:tab w:val="left" w:pos="567"/>
        </w:tabs>
      </w:pPr>
      <w:r w:rsidRPr="00396732">
        <w:t>1.</w:t>
      </w:r>
      <w:r w:rsidRPr="00396732">
        <w:tab/>
        <w:t xml:space="preserve">Kas yra </w:t>
      </w:r>
      <w:r w:rsidR="00901723">
        <w:rPr>
          <w:bCs/>
        </w:rPr>
        <w:t>Furosemidum Polpharma</w:t>
      </w:r>
      <w:r w:rsidRPr="00F760E8">
        <w:t xml:space="preserve"> </w:t>
      </w:r>
      <w:r w:rsidRPr="00396732">
        <w:t>ir kam jis vartojamas</w:t>
      </w:r>
    </w:p>
    <w:p w14:paraId="4F6B9BFC" w14:textId="5035D4A7" w:rsidR="00E0774B" w:rsidRPr="00396732" w:rsidRDefault="00E0774B" w:rsidP="00E0774B">
      <w:pPr>
        <w:pStyle w:val="BTEMEASMCA"/>
        <w:tabs>
          <w:tab w:val="clear" w:pos="360"/>
          <w:tab w:val="left" w:pos="567"/>
        </w:tabs>
        <w:rPr>
          <w:b/>
        </w:rPr>
      </w:pPr>
      <w:r w:rsidRPr="00396732">
        <w:t>2.</w:t>
      </w:r>
      <w:r w:rsidRPr="00396732">
        <w:tab/>
        <w:t xml:space="preserve">Kas žinotina prieš vartojant </w:t>
      </w:r>
      <w:r w:rsidR="00901723">
        <w:rPr>
          <w:bCs/>
        </w:rPr>
        <w:t>Furosemidum Polpharma</w:t>
      </w:r>
      <w:r w:rsidRPr="00396732">
        <w:rPr>
          <w:b/>
        </w:rPr>
        <w:t xml:space="preserve"> </w:t>
      </w:r>
    </w:p>
    <w:p w14:paraId="6E4BE5A4" w14:textId="7C658FD3" w:rsidR="00E0774B" w:rsidRPr="00396732" w:rsidRDefault="00E0774B" w:rsidP="00E0774B">
      <w:pPr>
        <w:pStyle w:val="BTEMEASMCA"/>
        <w:tabs>
          <w:tab w:val="clear" w:pos="360"/>
          <w:tab w:val="left" w:pos="567"/>
        </w:tabs>
        <w:rPr>
          <w:b/>
        </w:rPr>
      </w:pPr>
      <w:r w:rsidRPr="00396732">
        <w:t>3.</w:t>
      </w:r>
      <w:r w:rsidRPr="00396732">
        <w:tab/>
        <w:t xml:space="preserve">Kaip vartoti </w:t>
      </w:r>
      <w:r w:rsidR="00901723">
        <w:t>Furosemidum Polpharma</w:t>
      </w:r>
      <w:r w:rsidRPr="00396732">
        <w:rPr>
          <w:b/>
        </w:rPr>
        <w:t xml:space="preserve"> </w:t>
      </w:r>
    </w:p>
    <w:p w14:paraId="70B5AF46" w14:textId="77777777" w:rsidR="00E0774B" w:rsidRPr="00396732" w:rsidRDefault="00E0774B" w:rsidP="00E0774B">
      <w:pPr>
        <w:pStyle w:val="BTEMEASMCA"/>
        <w:tabs>
          <w:tab w:val="clear" w:pos="360"/>
          <w:tab w:val="left" w:pos="567"/>
        </w:tabs>
      </w:pPr>
      <w:r w:rsidRPr="00396732">
        <w:t>4.</w:t>
      </w:r>
      <w:r w:rsidRPr="00396732">
        <w:tab/>
        <w:t>Galimas šalutinis poveikis</w:t>
      </w:r>
    </w:p>
    <w:p w14:paraId="05120373" w14:textId="700D9CFA" w:rsidR="00E0774B" w:rsidRPr="00396732" w:rsidRDefault="00E0774B" w:rsidP="00E0774B">
      <w:pPr>
        <w:pStyle w:val="BTEMEASMCA"/>
        <w:tabs>
          <w:tab w:val="clear" w:pos="360"/>
          <w:tab w:val="left" w:pos="567"/>
        </w:tabs>
      </w:pPr>
      <w:r w:rsidRPr="00396732">
        <w:t>5.</w:t>
      </w:r>
      <w:r w:rsidRPr="00396732">
        <w:tab/>
        <w:t xml:space="preserve">Kaip laikyti </w:t>
      </w:r>
      <w:r w:rsidR="00901723">
        <w:t>Furosemidum Polpharma</w:t>
      </w:r>
      <w:r w:rsidRPr="00396732">
        <w:rPr>
          <w:b/>
        </w:rPr>
        <w:t xml:space="preserve"> </w:t>
      </w:r>
    </w:p>
    <w:p w14:paraId="1F1AFF5D" w14:textId="77777777" w:rsidR="00E0774B" w:rsidRPr="00396732" w:rsidRDefault="00E0774B" w:rsidP="00E0774B">
      <w:pPr>
        <w:pStyle w:val="BTEMEASMCA"/>
        <w:tabs>
          <w:tab w:val="clear" w:pos="360"/>
          <w:tab w:val="left" w:pos="567"/>
        </w:tabs>
      </w:pPr>
      <w:r w:rsidRPr="00396732">
        <w:t>6.</w:t>
      </w:r>
      <w:r w:rsidRPr="00396732">
        <w:tab/>
      </w:r>
      <w:r>
        <w:t>Pakuotės turinys ir kita</w:t>
      </w:r>
      <w:r w:rsidRPr="00396732">
        <w:t xml:space="preserve"> informacija</w:t>
      </w:r>
    </w:p>
    <w:p w14:paraId="69C3492E" w14:textId="77777777" w:rsidR="00E0774B" w:rsidRPr="00396732" w:rsidRDefault="00E0774B" w:rsidP="00E0774B">
      <w:pPr>
        <w:pStyle w:val="BTEMEASMCA"/>
      </w:pPr>
    </w:p>
    <w:p w14:paraId="03DB64F9" w14:textId="77777777" w:rsidR="00E0774B" w:rsidRPr="00396732" w:rsidRDefault="00E0774B" w:rsidP="00E0774B">
      <w:pPr>
        <w:pStyle w:val="BTEMEASMCA"/>
      </w:pPr>
    </w:p>
    <w:p w14:paraId="12BD5038" w14:textId="632AE2E5" w:rsidR="00E0774B" w:rsidRPr="00396732" w:rsidRDefault="00E0774B" w:rsidP="00E0774B">
      <w:pPr>
        <w:pStyle w:val="PI-1EMEASMCA"/>
      </w:pPr>
      <w:bookmarkStart w:id="4" w:name="_Toc129243139"/>
      <w:bookmarkStart w:id="5" w:name="_Toc129243264"/>
      <w:r w:rsidRPr="00396732">
        <w:t>1.</w:t>
      </w:r>
      <w:r w:rsidRPr="00396732">
        <w:tab/>
      </w:r>
      <w:r w:rsidRPr="009F6108">
        <w:t xml:space="preserve">Kas yra </w:t>
      </w:r>
      <w:r w:rsidR="00901723">
        <w:t>Furosemidum Polpharma</w:t>
      </w:r>
      <w:r w:rsidRPr="009F6108">
        <w:t xml:space="preserve"> ir kam jis vartojamas</w:t>
      </w:r>
      <w:bookmarkEnd w:id="4"/>
      <w:bookmarkEnd w:id="5"/>
    </w:p>
    <w:p w14:paraId="03BB2AD2" w14:textId="77777777" w:rsidR="00E0774B" w:rsidRPr="00396732" w:rsidRDefault="00E0774B" w:rsidP="00E0774B">
      <w:pPr>
        <w:pStyle w:val="BTEMEASMCA"/>
      </w:pPr>
    </w:p>
    <w:p w14:paraId="3E666FCA" w14:textId="3F8B65C8" w:rsidR="00E0774B" w:rsidRPr="00396732" w:rsidRDefault="00901723" w:rsidP="00E0774B">
      <w:pPr>
        <w:pStyle w:val="BTEMEASMCA"/>
      </w:pPr>
      <w:r>
        <w:rPr>
          <w:bCs/>
        </w:rPr>
        <w:t>Furosemidum Polpharma</w:t>
      </w:r>
      <w:r w:rsidR="00E0774B" w:rsidRPr="00396732">
        <w:rPr>
          <w:b/>
        </w:rPr>
        <w:t xml:space="preserve"> </w:t>
      </w:r>
      <w:r w:rsidR="00E0774B" w:rsidRPr="00396732">
        <w:t xml:space="preserve">priklauso „kilpinių“ diuretikų (šlapimą varančių vaistų) grupei, pasižyminčiai labai stipriu poveikiu. Jis slopina natrio reabsorbciją inkstuose kylančiojoje Henlės kilpos dalyje. </w:t>
      </w:r>
    </w:p>
    <w:p w14:paraId="7ADB6661" w14:textId="7DF18FE6" w:rsidR="00E0774B" w:rsidRPr="00396732" w:rsidRDefault="00901723" w:rsidP="00E0774B">
      <w:pPr>
        <w:pStyle w:val="BTEMEASMCA"/>
      </w:pPr>
      <w:r>
        <w:rPr>
          <w:bCs/>
        </w:rPr>
        <w:t>Furosemidum Polpharma</w:t>
      </w:r>
      <w:r w:rsidR="00E0774B" w:rsidRPr="00396732">
        <w:rPr>
          <w:b/>
        </w:rPr>
        <w:t xml:space="preserve"> </w:t>
      </w:r>
      <w:r w:rsidR="00E0774B" w:rsidRPr="00396732">
        <w:t xml:space="preserve">didina natrio, kalio, kalcio ir magnio jonų bei fosfatų išsiskyrimą su šlapimu, mažina šlapimo rūgšties išsiskyrimą. </w:t>
      </w:r>
    </w:p>
    <w:p w14:paraId="4DF39AD0" w14:textId="77777777" w:rsidR="00E0774B" w:rsidRPr="00396732" w:rsidRDefault="00E0774B" w:rsidP="00E0774B">
      <w:pPr>
        <w:pStyle w:val="BTEMEASMCA"/>
      </w:pPr>
      <w:r w:rsidRPr="00396732">
        <w:t xml:space="preserve">Vaistas greitai absorbuojamas iš virškinimo trakto. Išgėrus vienkartinę dozę, šlapimą varantis poveikis pasireiškia per 30 minučių – 1 valandą ir paprastai trunka 4-8 valandas. </w:t>
      </w:r>
    </w:p>
    <w:p w14:paraId="1586F5E8" w14:textId="77777777" w:rsidR="00E0774B" w:rsidRPr="00396732" w:rsidRDefault="00E0774B" w:rsidP="00E0774B">
      <w:pPr>
        <w:pStyle w:val="BTEMEASMCA"/>
      </w:pPr>
      <w:r w:rsidRPr="00396732">
        <w:t xml:space="preserve">Apie 50% išgertos vaisto dozės pašalinama su šlapimu per 24 valandas, o likęs kiekis pašalinamas su išmatomis. </w:t>
      </w:r>
    </w:p>
    <w:p w14:paraId="75947EAC" w14:textId="77777777" w:rsidR="00E0774B" w:rsidRPr="00396732" w:rsidRDefault="00E0774B" w:rsidP="00E0774B">
      <w:pPr>
        <w:pStyle w:val="BTEMEASMCA"/>
      </w:pPr>
    </w:p>
    <w:p w14:paraId="5CCC91EE" w14:textId="72AA367F" w:rsidR="00E0774B" w:rsidRPr="00535B17" w:rsidRDefault="00901723" w:rsidP="00E0774B">
      <w:pPr>
        <w:pStyle w:val="BTEMEASMCA"/>
      </w:pPr>
      <w:r>
        <w:t>Furosemidum Polpharma</w:t>
      </w:r>
      <w:r w:rsidR="00E0774B" w:rsidRPr="00535B17">
        <w:rPr>
          <w:b/>
        </w:rPr>
        <w:t xml:space="preserve"> </w:t>
      </w:r>
      <w:r w:rsidR="00E0774B" w:rsidRPr="00535B17">
        <w:t>vartojamas:</w:t>
      </w:r>
    </w:p>
    <w:p w14:paraId="2F0744A2" w14:textId="77777777" w:rsidR="00E0774B" w:rsidRPr="00535B17" w:rsidRDefault="00E0774B" w:rsidP="00E0774B">
      <w:pPr>
        <w:pStyle w:val="BT-EMEASMCA"/>
        <w:numPr>
          <w:ilvl w:val="0"/>
          <w:numId w:val="2"/>
        </w:numPr>
      </w:pPr>
      <w:r w:rsidRPr="00535B17">
        <w:t>edemai (skysčių sankaupai), susijusiai su kepenų ciroze, staziniu širdies nepakankamumu ar inkstų veik</w:t>
      </w:r>
      <w:r>
        <w:t>l</w:t>
      </w:r>
      <w:r w:rsidRPr="00535B17">
        <w:t>os sutrikimu, šalinti tuo atveju, jeigu būtini greitai ir stipriai veikiantys diuretikai;</w:t>
      </w:r>
    </w:p>
    <w:p w14:paraId="44E0C747" w14:textId="77777777" w:rsidR="00E0774B" w:rsidRPr="00535B17" w:rsidRDefault="00E0774B" w:rsidP="00E0774B">
      <w:pPr>
        <w:pStyle w:val="BT-EMEASMCA"/>
        <w:numPr>
          <w:ilvl w:val="0"/>
          <w:numId w:val="2"/>
        </w:numPr>
      </w:pPr>
      <w:r w:rsidRPr="00535B17">
        <w:t>suaugusių žmonių didelio kraujospūdžio ligai gydyti.</w:t>
      </w:r>
    </w:p>
    <w:p w14:paraId="7E49D31E" w14:textId="77777777" w:rsidR="00E0774B" w:rsidRPr="00535B17" w:rsidRDefault="00E0774B" w:rsidP="00E0774B">
      <w:pPr>
        <w:pStyle w:val="BTEMEASMCA"/>
      </w:pPr>
    </w:p>
    <w:p w14:paraId="71352E6A" w14:textId="77777777" w:rsidR="00E0774B" w:rsidRPr="00535B17" w:rsidRDefault="00E0774B" w:rsidP="00E0774B">
      <w:pPr>
        <w:pStyle w:val="BTEMEASMCA"/>
      </w:pPr>
    </w:p>
    <w:p w14:paraId="204296EA" w14:textId="3260CA13" w:rsidR="00E0774B" w:rsidRPr="00535B17" w:rsidRDefault="00E0774B" w:rsidP="00E0774B">
      <w:pPr>
        <w:pStyle w:val="PI-1EMEASMCA"/>
      </w:pPr>
      <w:bookmarkStart w:id="6" w:name="_Toc129243140"/>
      <w:bookmarkStart w:id="7" w:name="_Toc129243265"/>
      <w:r w:rsidRPr="00535B17">
        <w:t>2.</w:t>
      </w:r>
      <w:r w:rsidRPr="00535B17">
        <w:tab/>
      </w:r>
      <w:r w:rsidRPr="009F6108">
        <w:t xml:space="preserve">Kas žinotina prieš vartojant </w:t>
      </w:r>
      <w:r w:rsidR="00901723">
        <w:t>Furosemidum Polpharma</w:t>
      </w:r>
      <w:bookmarkEnd w:id="6"/>
      <w:bookmarkEnd w:id="7"/>
    </w:p>
    <w:p w14:paraId="35A452F8" w14:textId="77777777" w:rsidR="00E0774B" w:rsidRPr="00535B17" w:rsidRDefault="00E0774B" w:rsidP="00E0774B">
      <w:pPr>
        <w:pStyle w:val="BTEMEASMCA"/>
      </w:pPr>
    </w:p>
    <w:p w14:paraId="7C0FC444" w14:textId="19F2BBC9" w:rsidR="00E0774B" w:rsidRPr="00535B17" w:rsidRDefault="00901723" w:rsidP="00E0774B">
      <w:pPr>
        <w:pStyle w:val="PI-3EMEASMCA"/>
        <w:widowControl w:val="0"/>
      </w:pPr>
      <w:r>
        <w:t>Furosemidum Polpharma</w:t>
      </w:r>
      <w:r w:rsidR="00E0774B" w:rsidRPr="00535B17">
        <w:t xml:space="preserve"> vartoti </w:t>
      </w:r>
      <w:r w:rsidR="00C02DE3">
        <w:t>draudžiama</w:t>
      </w:r>
      <w:r w:rsidR="00E0774B" w:rsidRPr="00535B17">
        <w:t>:</w:t>
      </w:r>
    </w:p>
    <w:p w14:paraId="03E94C2F" w14:textId="77777777" w:rsidR="00E0774B" w:rsidRPr="00535B17" w:rsidRDefault="00E0774B" w:rsidP="00E0774B">
      <w:pPr>
        <w:widowControl w:val="0"/>
        <w:tabs>
          <w:tab w:val="left" w:pos="540"/>
        </w:tabs>
        <w:ind w:left="540" w:hanging="540"/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 xml:space="preserve">jeigu yra alergija furozemidui arba bet kuriai pagalbinei </w:t>
      </w:r>
      <w:r>
        <w:rPr>
          <w:sz w:val="22"/>
          <w:szCs w:val="22"/>
        </w:rPr>
        <w:t>šio vaisto</w:t>
      </w:r>
      <w:r w:rsidRPr="00535B17">
        <w:rPr>
          <w:sz w:val="22"/>
          <w:szCs w:val="22"/>
        </w:rPr>
        <w:t xml:space="preserve"> medžiagai</w:t>
      </w:r>
      <w:r>
        <w:rPr>
          <w:sz w:val="22"/>
          <w:szCs w:val="22"/>
        </w:rPr>
        <w:t xml:space="preserve"> (jos išvardytos 6 skyriuje),</w:t>
      </w:r>
      <w:r w:rsidRPr="00535B17">
        <w:rPr>
          <w:sz w:val="22"/>
          <w:szCs w:val="22"/>
        </w:rPr>
        <w:t xml:space="preserve"> sulfamidams</w:t>
      </w:r>
      <w:r>
        <w:rPr>
          <w:sz w:val="22"/>
          <w:szCs w:val="22"/>
        </w:rPr>
        <w:t>.</w:t>
      </w:r>
    </w:p>
    <w:p w14:paraId="281C54B5" w14:textId="77777777" w:rsidR="00E0774B" w:rsidRPr="00535B17" w:rsidRDefault="00E0774B" w:rsidP="00E0774B">
      <w:pPr>
        <w:widowControl w:val="0"/>
        <w:tabs>
          <w:tab w:val="left" w:pos="540"/>
        </w:tabs>
        <w:ind w:left="540" w:hanging="540"/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 xml:space="preserve">jeigu </w:t>
      </w:r>
      <w:r>
        <w:rPr>
          <w:sz w:val="22"/>
          <w:szCs w:val="22"/>
        </w:rPr>
        <w:t>neišsiskiria šlapimas</w:t>
      </w:r>
      <w:r w:rsidRPr="00535B17">
        <w:rPr>
          <w:sz w:val="22"/>
          <w:szCs w:val="22"/>
        </w:rPr>
        <w:t xml:space="preserve"> (anurija) arba </w:t>
      </w:r>
      <w:r>
        <w:rPr>
          <w:sz w:val="22"/>
          <w:szCs w:val="22"/>
        </w:rPr>
        <w:t xml:space="preserve">yra </w:t>
      </w:r>
      <w:r w:rsidRPr="00535B17">
        <w:rPr>
          <w:sz w:val="22"/>
          <w:szCs w:val="22"/>
        </w:rPr>
        <w:t>su anurija susijus</w:t>
      </w:r>
      <w:r>
        <w:rPr>
          <w:sz w:val="22"/>
          <w:szCs w:val="22"/>
        </w:rPr>
        <w:t>ęs</w:t>
      </w:r>
      <w:r w:rsidRPr="00535B17">
        <w:rPr>
          <w:sz w:val="22"/>
          <w:szCs w:val="22"/>
        </w:rPr>
        <w:t xml:space="preserve"> inkstų funkcijos nepakankamum</w:t>
      </w:r>
      <w:r>
        <w:rPr>
          <w:sz w:val="22"/>
          <w:szCs w:val="22"/>
        </w:rPr>
        <w:t>as</w:t>
      </w:r>
      <w:r w:rsidRPr="00535B17">
        <w:rPr>
          <w:sz w:val="22"/>
          <w:szCs w:val="22"/>
        </w:rPr>
        <w:t>;</w:t>
      </w:r>
    </w:p>
    <w:p w14:paraId="61EA6EFB" w14:textId="77777777" w:rsidR="00E0774B" w:rsidRPr="00535B17" w:rsidRDefault="00E0774B" w:rsidP="00E0774B">
      <w:pPr>
        <w:pStyle w:val="BodyText"/>
        <w:widowControl w:val="0"/>
        <w:tabs>
          <w:tab w:val="left" w:pos="540"/>
        </w:tabs>
        <w:spacing w:line="240" w:lineRule="auto"/>
        <w:ind w:left="540" w:right="0" w:hanging="540"/>
        <w:jc w:val="left"/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 xml:space="preserve">jeigu yra inkstų nepakankamumas, pasireiškęs dėl intoksikacijos </w:t>
      </w:r>
      <w:r>
        <w:rPr>
          <w:sz w:val="22"/>
          <w:szCs w:val="22"/>
        </w:rPr>
        <w:t xml:space="preserve">toksinį poveikį inkstams ar kepenims </w:t>
      </w:r>
      <w:r w:rsidRPr="00535B17">
        <w:rPr>
          <w:sz w:val="22"/>
          <w:szCs w:val="22"/>
        </w:rPr>
        <w:t xml:space="preserve">sukeliančiais </w:t>
      </w:r>
      <w:r>
        <w:rPr>
          <w:sz w:val="22"/>
          <w:szCs w:val="22"/>
        </w:rPr>
        <w:t>vaistais</w:t>
      </w:r>
      <w:r w:rsidRPr="00535B17">
        <w:rPr>
          <w:sz w:val="22"/>
          <w:szCs w:val="22"/>
        </w:rPr>
        <w:t xml:space="preserve"> arba susijęs su hepatine koma;</w:t>
      </w:r>
    </w:p>
    <w:p w14:paraId="79B07B1B" w14:textId="77777777" w:rsidR="00E0774B" w:rsidRPr="00535B17" w:rsidRDefault="00E0774B" w:rsidP="00E0774B">
      <w:pPr>
        <w:pStyle w:val="BodyText"/>
        <w:widowControl w:val="0"/>
        <w:tabs>
          <w:tab w:val="left" w:pos="540"/>
        </w:tabs>
        <w:spacing w:line="240" w:lineRule="auto"/>
        <w:ind w:right="0"/>
        <w:jc w:val="left"/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 xml:space="preserve">jeigu sumažėjęs </w:t>
      </w:r>
      <w:r>
        <w:rPr>
          <w:sz w:val="22"/>
          <w:szCs w:val="22"/>
        </w:rPr>
        <w:t xml:space="preserve">Jūsų </w:t>
      </w:r>
      <w:r w:rsidRPr="00535B17">
        <w:rPr>
          <w:sz w:val="22"/>
          <w:szCs w:val="22"/>
        </w:rPr>
        <w:t xml:space="preserve">kraujo tūris ar netekote </w:t>
      </w:r>
      <w:r>
        <w:rPr>
          <w:sz w:val="22"/>
          <w:szCs w:val="22"/>
        </w:rPr>
        <w:t>vandens</w:t>
      </w:r>
      <w:r w:rsidRPr="00535B17">
        <w:rPr>
          <w:sz w:val="22"/>
          <w:szCs w:val="22"/>
        </w:rPr>
        <w:t>;</w:t>
      </w:r>
    </w:p>
    <w:p w14:paraId="026FB88B" w14:textId="77777777" w:rsidR="00E0774B" w:rsidRPr="00535B17" w:rsidRDefault="00E0774B" w:rsidP="00E0774B">
      <w:pPr>
        <w:widowControl w:val="0"/>
        <w:tabs>
          <w:tab w:val="left" w:pos="540"/>
        </w:tabs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 xml:space="preserve">jeigu </w:t>
      </w:r>
      <w:r>
        <w:rPr>
          <w:sz w:val="22"/>
          <w:szCs w:val="22"/>
        </w:rPr>
        <w:t xml:space="preserve">mažas </w:t>
      </w:r>
      <w:r w:rsidRPr="00535B17">
        <w:rPr>
          <w:sz w:val="22"/>
          <w:szCs w:val="22"/>
        </w:rPr>
        <w:t xml:space="preserve">kalio ar natrio kiekis </w:t>
      </w:r>
      <w:r>
        <w:rPr>
          <w:sz w:val="22"/>
          <w:szCs w:val="22"/>
        </w:rPr>
        <w:t xml:space="preserve">Jūsų </w:t>
      </w:r>
      <w:r w:rsidRPr="00535B17">
        <w:rPr>
          <w:sz w:val="22"/>
          <w:szCs w:val="22"/>
        </w:rPr>
        <w:t>kraujyje;</w:t>
      </w:r>
    </w:p>
    <w:p w14:paraId="1307582F" w14:textId="77777777" w:rsidR="00E0774B" w:rsidRPr="00535B17" w:rsidRDefault="00E0774B" w:rsidP="00E0774B">
      <w:pPr>
        <w:widowControl w:val="0"/>
        <w:tabs>
          <w:tab w:val="left" w:pos="540"/>
        </w:tabs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 xml:space="preserve">jei Jums </w:t>
      </w:r>
      <w:r>
        <w:rPr>
          <w:sz w:val="22"/>
          <w:szCs w:val="22"/>
        </w:rPr>
        <w:t xml:space="preserve">yra </w:t>
      </w:r>
      <w:r w:rsidRPr="00535B17">
        <w:rPr>
          <w:sz w:val="22"/>
          <w:szCs w:val="22"/>
        </w:rPr>
        <w:t>su hepatine encefalopatija</w:t>
      </w:r>
      <w:r>
        <w:rPr>
          <w:sz w:val="22"/>
          <w:szCs w:val="22"/>
        </w:rPr>
        <w:t>,</w:t>
      </w:r>
      <w:r w:rsidRPr="00535B17">
        <w:rPr>
          <w:sz w:val="22"/>
          <w:szCs w:val="22"/>
        </w:rPr>
        <w:t xml:space="preserve"> susijusi prekoma arba koma;</w:t>
      </w:r>
    </w:p>
    <w:p w14:paraId="1BCEB295" w14:textId="77777777" w:rsidR="00E0774B" w:rsidRPr="00535B17" w:rsidRDefault="00E0774B" w:rsidP="00E0774B">
      <w:pPr>
        <w:widowControl w:val="0"/>
        <w:tabs>
          <w:tab w:val="left" w:pos="540"/>
        </w:tabs>
        <w:rPr>
          <w:sz w:val="22"/>
          <w:szCs w:val="22"/>
        </w:rPr>
      </w:pPr>
      <w:r w:rsidRPr="00535B17">
        <w:rPr>
          <w:sz w:val="22"/>
          <w:szCs w:val="22"/>
        </w:rPr>
        <w:t>-</w:t>
      </w:r>
      <w:r w:rsidRPr="00535B17">
        <w:rPr>
          <w:sz w:val="22"/>
          <w:szCs w:val="22"/>
        </w:rPr>
        <w:tab/>
        <w:t>jeigu žindote kūdikį.</w:t>
      </w:r>
    </w:p>
    <w:p w14:paraId="63A5CEC0" w14:textId="77777777" w:rsidR="00E0774B" w:rsidRPr="00535B17" w:rsidRDefault="00E0774B" w:rsidP="00E0774B">
      <w:pPr>
        <w:pStyle w:val="PI-3EMEASMCA"/>
        <w:widowControl w:val="0"/>
      </w:pPr>
    </w:p>
    <w:p w14:paraId="6AF986AC" w14:textId="77777777" w:rsidR="00E0774B" w:rsidRDefault="00E0774B" w:rsidP="00E0774B">
      <w:pPr>
        <w:widowControl w:val="0"/>
        <w:rPr>
          <w:b/>
          <w:noProof/>
          <w:sz w:val="22"/>
          <w:szCs w:val="22"/>
        </w:rPr>
      </w:pPr>
      <w:r>
        <w:rPr>
          <w:b/>
          <w:sz w:val="22"/>
          <w:szCs w:val="22"/>
          <w:lang w:eastAsia="pl-PL"/>
        </w:rPr>
        <w:t>Įspėjimai ir atsargumo priemonės</w:t>
      </w:r>
    </w:p>
    <w:p w14:paraId="01B0560C" w14:textId="6EF965BC" w:rsidR="00E0774B" w:rsidRPr="00F760E8" w:rsidRDefault="00E0774B" w:rsidP="00E0774B">
      <w:pPr>
        <w:widowControl w:val="0"/>
        <w:rPr>
          <w:noProof/>
          <w:sz w:val="22"/>
          <w:szCs w:val="22"/>
        </w:rPr>
      </w:pPr>
      <w:r w:rsidRPr="00F760E8">
        <w:rPr>
          <w:noProof/>
          <w:sz w:val="22"/>
          <w:szCs w:val="22"/>
        </w:rPr>
        <w:lastRenderedPageBreak/>
        <w:t xml:space="preserve">Pasitarkite su gydytoju arba vaistininku, prieš pradėdami vartoti </w:t>
      </w:r>
      <w:r w:rsidR="00901723">
        <w:rPr>
          <w:noProof/>
          <w:sz w:val="22"/>
          <w:szCs w:val="22"/>
        </w:rPr>
        <w:t>Furosemidum Polpharma</w:t>
      </w:r>
      <w:r w:rsidRPr="00F760E8">
        <w:rPr>
          <w:noProof/>
          <w:sz w:val="22"/>
          <w:szCs w:val="22"/>
        </w:rPr>
        <w:t>:</w:t>
      </w:r>
    </w:p>
    <w:p w14:paraId="64E1AAA7" w14:textId="77777777" w:rsidR="00E0774B" w:rsidRPr="008506BA" w:rsidRDefault="00E0774B" w:rsidP="00E0774B">
      <w:pPr>
        <w:pStyle w:val="BT-EMEASMCA"/>
      </w:pPr>
      <w:r>
        <w:t xml:space="preserve">jeigu </w:t>
      </w:r>
      <w:r w:rsidRPr="00535B17">
        <w:t>pasireiškia hipotenzija;</w:t>
      </w:r>
      <w:r w:rsidRPr="008506BA">
        <w:t xml:space="preserve"> </w:t>
      </w:r>
    </w:p>
    <w:p w14:paraId="405CAD86" w14:textId="77777777" w:rsidR="00E0774B" w:rsidRPr="008506BA" w:rsidRDefault="00E0774B" w:rsidP="00E0774B">
      <w:pPr>
        <w:pStyle w:val="BT-EMEASMCA"/>
      </w:pPr>
      <w:r>
        <w:t xml:space="preserve">jeigu dėl stipraus </w:t>
      </w:r>
      <w:r w:rsidRPr="00535B17">
        <w:t xml:space="preserve">kraujospūdžio sumažėjimo </w:t>
      </w:r>
      <w:r>
        <w:t xml:space="preserve">kyla </w:t>
      </w:r>
      <w:r w:rsidRPr="00535B17">
        <w:t>pavojus;</w:t>
      </w:r>
      <w:r w:rsidRPr="008506BA">
        <w:t xml:space="preserve"> </w:t>
      </w:r>
    </w:p>
    <w:p w14:paraId="3E79CAE4" w14:textId="77777777" w:rsidR="00E0774B" w:rsidRPr="008506BA" w:rsidRDefault="00E0774B" w:rsidP="00E0774B">
      <w:pPr>
        <w:pStyle w:val="BT-EMEASMCA"/>
      </w:pPr>
      <w:r>
        <w:t xml:space="preserve">jeigu yra </w:t>
      </w:r>
      <w:r w:rsidRPr="00535B17">
        <w:t xml:space="preserve">latentinis ar </w:t>
      </w:r>
      <w:r>
        <w:t>aiškus</w:t>
      </w:r>
      <w:r w:rsidRPr="00535B17">
        <w:t xml:space="preserve"> diabetas</w:t>
      </w:r>
      <w:r>
        <w:t xml:space="preserve"> (</w:t>
      </w:r>
      <w:r w:rsidRPr="00535B17">
        <w:t xml:space="preserve">sergantiesiems cukriniu diabetu vartojant furozemido gali prireikti koreguoti gydymą gliukozės kiekį kraujyje mažinančiais </w:t>
      </w:r>
      <w:r>
        <w:t>vaistais)</w:t>
      </w:r>
      <w:r w:rsidRPr="00535B17">
        <w:t>;</w:t>
      </w:r>
      <w:r w:rsidRPr="008506BA">
        <w:t xml:space="preserve"> </w:t>
      </w:r>
    </w:p>
    <w:p w14:paraId="6169652B" w14:textId="77777777" w:rsidR="00E0774B" w:rsidRPr="005B77E7" w:rsidRDefault="00E0774B" w:rsidP="00E0774B">
      <w:pPr>
        <w:pStyle w:val="BT-EMEASMCA"/>
      </w:pPr>
      <w:r w:rsidRPr="005B77E7">
        <w:t>jeigu sergate</w:t>
      </w:r>
      <w:r w:rsidRPr="00535B17">
        <w:t xml:space="preserve"> podagra;</w:t>
      </w:r>
    </w:p>
    <w:p w14:paraId="235B0262" w14:textId="77777777" w:rsidR="00E0774B" w:rsidRPr="005B77E7" w:rsidRDefault="00E0774B" w:rsidP="00E0774B">
      <w:pPr>
        <w:pStyle w:val="BT-EMEASMCA"/>
      </w:pPr>
      <w:r w:rsidRPr="005B77E7">
        <w:t xml:space="preserve">jeigu yra </w:t>
      </w:r>
      <w:r w:rsidRPr="00535B17">
        <w:t>hepatorenalinis sindromas;</w:t>
      </w:r>
    </w:p>
    <w:p w14:paraId="75772252" w14:textId="77777777" w:rsidR="00E0774B" w:rsidRPr="005B77E7" w:rsidRDefault="00E0774B" w:rsidP="00E0774B">
      <w:pPr>
        <w:pStyle w:val="BT-EMEASMCA"/>
      </w:pPr>
      <w:r w:rsidRPr="005B77E7">
        <w:t xml:space="preserve">jeigu yra </w:t>
      </w:r>
      <w:r w:rsidRPr="00535B17">
        <w:t xml:space="preserve">hipoproteinemija, pvz., dėl nefritinio sindromo (gali susilpnėti furozemido poveikis ir sustiprėti </w:t>
      </w:r>
      <w:r>
        <w:t>toksinis jo poveikis ausims</w:t>
      </w:r>
      <w:r w:rsidRPr="00535B17">
        <w:t>);</w:t>
      </w:r>
      <w:r w:rsidRPr="005B77E7">
        <w:t xml:space="preserve"> </w:t>
      </w:r>
    </w:p>
    <w:p w14:paraId="766C90E2" w14:textId="77777777" w:rsidR="00E0774B" w:rsidRPr="00535B17" w:rsidRDefault="00E0774B" w:rsidP="00E0774B">
      <w:pPr>
        <w:pStyle w:val="BT-EMEASMCA"/>
      </w:pPr>
      <w:r w:rsidRPr="00535B17">
        <w:t xml:space="preserve">neišnešiotiems naujagimiams (jiems gali </w:t>
      </w:r>
      <w:r>
        <w:t>pasireikšti</w:t>
      </w:r>
      <w:r w:rsidRPr="00535B17">
        <w:t xml:space="preserve"> nefrokalcinozė ar susidaryti inkstų akmenų</w:t>
      </w:r>
      <w:r>
        <w:t xml:space="preserve">, todėl gydytojas </w:t>
      </w:r>
      <w:r w:rsidRPr="00535B17">
        <w:t>s</w:t>
      </w:r>
      <w:r>
        <w:t>eks jų inkstų funkciją, ištirs ją ultragarsu);</w:t>
      </w:r>
      <w:r w:rsidRPr="00535B17">
        <w:t xml:space="preserve"> </w:t>
      </w:r>
    </w:p>
    <w:p w14:paraId="3DFF19ED" w14:textId="77777777" w:rsidR="00E0774B" w:rsidRPr="00535B17" w:rsidRDefault="00E0774B" w:rsidP="00E0774B">
      <w:pPr>
        <w:pStyle w:val="BT-EMEASMCA"/>
      </w:pPr>
      <w:r w:rsidRPr="005B77E7">
        <w:t xml:space="preserve">jeigu sergate </w:t>
      </w:r>
      <w:r w:rsidRPr="00535B17">
        <w:t>ūmine porfirija</w:t>
      </w:r>
      <w:r>
        <w:t>;</w:t>
      </w:r>
    </w:p>
    <w:p w14:paraId="7E925B41" w14:textId="77777777" w:rsidR="00E0774B" w:rsidRDefault="00E0774B" w:rsidP="00E0774B">
      <w:pPr>
        <w:pStyle w:val="BT-EMEASMCA"/>
      </w:pPr>
      <w:r>
        <w:t xml:space="preserve">jeigu yra </w:t>
      </w:r>
      <w:r w:rsidRPr="00535B17">
        <w:t>dalinė šlapimo takų obstrukcija (pvz., prostatos hipertrofija ar sutrikęs šlapinimasis)</w:t>
      </w:r>
      <w:r>
        <w:t>;</w:t>
      </w:r>
    </w:p>
    <w:p w14:paraId="4FC3DBBA" w14:textId="77777777" w:rsidR="00E0774B" w:rsidRPr="0069749E" w:rsidRDefault="00E0774B" w:rsidP="00E0774B">
      <w:pPr>
        <w:pStyle w:val="BT-EMEASMCA"/>
        <w:rPr>
          <w:lang w:eastAsia="pl-PL"/>
        </w:rPr>
      </w:pPr>
      <w:r w:rsidRPr="00074098">
        <w:rPr>
          <w:lang w:eastAsia="pl-PL"/>
        </w:rPr>
        <w:t xml:space="preserve">jei esate senyvas, jei kartu vartojate vaistų, kurie gali sukelti </w:t>
      </w:r>
      <w:r w:rsidRPr="0069749E">
        <w:rPr>
          <w:lang w:eastAsia="pl-PL"/>
        </w:rPr>
        <w:t>kraujospūdžio sumažėjimą ir jei</w:t>
      </w:r>
    </w:p>
    <w:p w14:paraId="27D14603" w14:textId="77777777" w:rsidR="00E0774B" w:rsidRPr="00535B17" w:rsidRDefault="00E0774B" w:rsidP="00E0774B">
      <w:pPr>
        <w:pStyle w:val="BT-EMEASMCA"/>
      </w:pPr>
      <w:r w:rsidRPr="00074098">
        <w:rPr>
          <w:lang w:eastAsia="pl-PL"/>
        </w:rPr>
        <w:t>Jums nustatyta kitų sveikatos sutrikimų, dėl kurių yra kraujospūdžio sumažėjimo rizika.</w:t>
      </w:r>
    </w:p>
    <w:p w14:paraId="2277B9F5" w14:textId="77777777" w:rsidR="00E0774B" w:rsidRDefault="00E0774B" w:rsidP="00E0774B">
      <w:pPr>
        <w:pStyle w:val="PI-3EMEASMCA"/>
        <w:widowControl w:val="0"/>
        <w:rPr>
          <w:lang w:eastAsia="pl-PL"/>
        </w:rPr>
      </w:pPr>
    </w:p>
    <w:p w14:paraId="6625AFD0" w14:textId="30E495EC" w:rsidR="00E0774B" w:rsidRPr="00535B17" w:rsidRDefault="00E0774B" w:rsidP="00E0774B">
      <w:pPr>
        <w:pStyle w:val="PI-3EMEASMCA"/>
        <w:widowControl w:val="0"/>
      </w:pPr>
      <w:r w:rsidRPr="00535B17">
        <w:t>Kit</w:t>
      </w:r>
      <w:r>
        <w:t xml:space="preserve">i vaistai ir </w:t>
      </w:r>
      <w:r w:rsidR="00901723">
        <w:t>Furosemidum Polpharma</w:t>
      </w:r>
      <w:r w:rsidRPr="00535B17">
        <w:t xml:space="preserve"> </w:t>
      </w:r>
    </w:p>
    <w:p w14:paraId="4ED6A729" w14:textId="77777777" w:rsidR="00E0774B" w:rsidRPr="003B5C27" w:rsidRDefault="00E0774B" w:rsidP="00E0774B">
      <w:pPr>
        <w:pStyle w:val="BTEMEASMCA"/>
      </w:pPr>
      <w:r w:rsidRPr="003B5C27">
        <w:t>Jeigu vartojate ar neseniai vartojote kitų vaistų</w:t>
      </w:r>
      <w:r w:rsidRPr="00D656BF">
        <w:t xml:space="preserve"> </w:t>
      </w:r>
      <w:r>
        <w:t>arba</w:t>
      </w:r>
      <w:r w:rsidRPr="00D656BF">
        <w:t xml:space="preserve"> dėl to nesate tikri, apie tai pasakykite gydytojui arba vaistininkui</w:t>
      </w:r>
      <w:r w:rsidRPr="003B5C27">
        <w:t>, ypatingai jei vartojate:</w:t>
      </w:r>
    </w:p>
    <w:p w14:paraId="1BD7BF9D" w14:textId="77777777" w:rsidR="00E0774B" w:rsidRPr="003B5C27" w:rsidRDefault="00E0774B" w:rsidP="00E0774B">
      <w:pPr>
        <w:pStyle w:val="BT-EMEASMCA"/>
      </w:pPr>
      <w:r w:rsidRPr="003B5C27">
        <w:t>vaistų nuo diabeto (pvz., insulino);</w:t>
      </w:r>
    </w:p>
    <w:p w14:paraId="3EDEBD35" w14:textId="77777777" w:rsidR="00E0774B" w:rsidRPr="003B5C27" w:rsidRDefault="00E0774B" w:rsidP="00E0774B">
      <w:pPr>
        <w:pStyle w:val="BT-EMEASMCA"/>
      </w:pPr>
      <w:r w:rsidRPr="003B5C27">
        <w:t>teofilino;</w:t>
      </w:r>
    </w:p>
    <w:p w14:paraId="020D6590" w14:textId="77777777" w:rsidR="00E0774B" w:rsidRPr="003B5C27" w:rsidRDefault="00E0774B" w:rsidP="00E0774B">
      <w:pPr>
        <w:pStyle w:val="BT-EMEASMCA"/>
      </w:pPr>
      <w:r w:rsidRPr="003B5C27">
        <w:t>vaistų nuo širdies ligų (šird</w:t>
      </w:r>
      <w:r>
        <w:t>ies</w:t>
      </w:r>
      <w:r w:rsidRPr="003B5C27">
        <w:t xml:space="preserve"> glikozidų, pvz., digoksino);</w:t>
      </w:r>
    </w:p>
    <w:p w14:paraId="56FDE77B" w14:textId="77777777" w:rsidR="00E0774B" w:rsidRPr="003B5C27" w:rsidRDefault="00E0774B" w:rsidP="00E0774B">
      <w:pPr>
        <w:pStyle w:val="BT-EMEASMCA"/>
      </w:pPr>
      <w:r w:rsidRPr="003B5C27">
        <w:t>antibiotikų (pvz., cefalosporinų);</w:t>
      </w:r>
    </w:p>
    <w:p w14:paraId="65A62CEE" w14:textId="77777777" w:rsidR="00E0774B" w:rsidRPr="003B5C27" w:rsidRDefault="00E0774B" w:rsidP="00E0774B">
      <w:pPr>
        <w:pStyle w:val="BT-EMEASMCA"/>
      </w:pPr>
      <w:r w:rsidRPr="003B5C27">
        <w:t>ličio;</w:t>
      </w:r>
    </w:p>
    <w:p w14:paraId="33168FBC" w14:textId="77777777" w:rsidR="00E0774B" w:rsidRPr="003B5C27" w:rsidRDefault="00E0774B" w:rsidP="00E0774B">
      <w:pPr>
        <w:pStyle w:val="BT-EMEASMCA"/>
      </w:pPr>
      <w:r w:rsidRPr="003B5C27">
        <w:t>gliukokortikoidų (pvz., hidrokortizono ar prednizolono);</w:t>
      </w:r>
    </w:p>
    <w:p w14:paraId="03950102" w14:textId="77777777" w:rsidR="00E0774B" w:rsidRPr="003B5C27" w:rsidRDefault="00E0774B" w:rsidP="00E0774B">
      <w:pPr>
        <w:pStyle w:val="BT-EMEASMCA"/>
      </w:pPr>
      <w:r w:rsidRPr="003B5C27">
        <w:t>AKF inhibitorių (pvz., kaptoprilio ar enalaprilio);</w:t>
      </w:r>
    </w:p>
    <w:p w14:paraId="065457D0" w14:textId="77777777" w:rsidR="00E0774B" w:rsidRPr="003B5C27" w:rsidRDefault="00E0774B" w:rsidP="00E0774B">
      <w:pPr>
        <w:pStyle w:val="BT-EMEASMCA"/>
      </w:pPr>
      <w:r w:rsidRPr="003B5C27">
        <w:t>kurare grupės raumenis atpalaiduojančių vaistų (pvz.</w:t>
      </w:r>
      <w:r>
        <w:t>, tubokurarino</w:t>
      </w:r>
      <w:r w:rsidRPr="003B5C27">
        <w:t>);</w:t>
      </w:r>
    </w:p>
    <w:p w14:paraId="6CB96EDF" w14:textId="77777777" w:rsidR="00E0774B" w:rsidRPr="003B5C27" w:rsidRDefault="00E0774B" w:rsidP="00E0774B">
      <w:pPr>
        <w:pStyle w:val="BT-EMEASMCA"/>
      </w:pPr>
      <w:r w:rsidRPr="003B5C27">
        <w:t>nesteroidinių vaistų nuo uždegimo (NVNU, pvz., ibuprofeno), salicilatų (ta</w:t>
      </w:r>
      <w:r>
        <w:t>rp jų</w:t>
      </w:r>
      <w:r w:rsidRPr="003B5C27">
        <w:t xml:space="preserve"> aspirino);</w:t>
      </w:r>
    </w:p>
    <w:p w14:paraId="20DF5694" w14:textId="77777777" w:rsidR="00E0774B" w:rsidRPr="003B5C27" w:rsidRDefault="00E0774B" w:rsidP="00E0774B">
      <w:pPr>
        <w:pStyle w:val="BT-EMEASMCA"/>
      </w:pPr>
      <w:r w:rsidRPr="003B5C27">
        <w:t>raumenis atpalaiduojančių vaistų</w:t>
      </w:r>
      <w:r>
        <w:t xml:space="preserve"> </w:t>
      </w:r>
      <w:r w:rsidRPr="003B5C27">
        <w:t>baklofen</w:t>
      </w:r>
      <w:r>
        <w:t>o</w:t>
      </w:r>
      <w:r w:rsidRPr="003B5C27">
        <w:t xml:space="preserve"> </w:t>
      </w:r>
      <w:r>
        <w:t>a</w:t>
      </w:r>
      <w:r w:rsidRPr="003B5C27">
        <w:t>r tizanidin</w:t>
      </w:r>
      <w:r>
        <w:t>o</w:t>
      </w:r>
      <w:r w:rsidRPr="003B5C27">
        <w:t xml:space="preserve">. </w:t>
      </w:r>
    </w:p>
    <w:p w14:paraId="33091F18" w14:textId="77777777" w:rsidR="00E0774B" w:rsidRPr="00535B17" w:rsidRDefault="00E0774B" w:rsidP="00E0774B">
      <w:pPr>
        <w:pStyle w:val="BTEMEASMCA"/>
      </w:pPr>
    </w:p>
    <w:p w14:paraId="7FFA9F73" w14:textId="729024FD" w:rsidR="00E0774B" w:rsidRPr="00535B17" w:rsidRDefault="00901723" w:rsidP="00E0774B">
      <w:pPr>
        <w:pStyle w:val="PI-3EMEASMCA"/>
        <w:widowControl w:val="0"/>
      </w:pPr>
      <w:r>
        <w:t>Furosemidum Polpharma</w:t>
      </w:r>
      <w:r w:rsidR="00E0774B" w:rsidRPr="00535B17">
        <w:t xml:space="preserve"> vartojimas su maistu ir gėrimais</w:t>
      </w:r>
    </w:p>
    <w:p w14:paraId="4CC406C6" w14:textId="77777777" w:rsidR="00E0774B" w:rsidRPr="003B5C27" w:rsidRDefault="00E0774B" w:rsidP="00E0774B">
      <w:pPr>
        <w:pStyle w:val="BTEMEASMCA"/>
      </w:pPr>
      <w:r w:rsidRPr="003B5C27">
        <w:t xml:space="preserve">Tabletes reikia nuryti užgeriant pakankamu kiekiu skysčio, geriausiai vieną valandą prieš valgį, kadangi vartojant kartu su maistu gali sumažėti furozemido absorbcija. </w:t>
      </w:r>
    </w:p>
    <w:p w14:paraId="1744A77C" w14:textId="77777777" w:rsidR="00E0774B" w:rsidRPr="00535B17" w:rsidRDefault="00E0774B" w:rsidP="00E0774B">
      <w:pPr>
        <w:pStyle w:val="BTEMEASMCA"/>
      </w:pPr>
    </w:p>
    <w:p w14:paraId="3FD9F373" w14:textId="77777777" w:rsidR="00E0774B" w:rsidRPr="00535B17" w:rsidRDefault="00E0774B" w:rsidP="00E0774B">
      <w:pPr>
        <w:pStyle w:val="PI-3EMEASMCA"/>
        <w:widowControl w:val="0"/>
      </w:pPr>
      <w:r w:rsidRPr="00535B17">
        <w:t>Nėštumas ir žindymo laikotarpis</w:t>
      </w:r>
    </w:p>
    <w:p w14:paraId="275D4D7C" w14:textId="77777777" w:rsidR="00E0774B" w:rsidRPr="00535B17" w:rsidRDefault="00E0774B" w:rsidP="00E0774B">
      <w:pPr>
        <w:pStyle w:val="BTEMEASMCA"/>
      </w:pPr>
      <w:r w:rsidRPr="00D656BF">
        <w:t>Jeigu esate nėščia, žindote kūdikį, manote, kad galbūt esate nėščia, arba planuojate pastoti, tai prieš vartodama šį vaistą, pasitarkite su gydytoju arba vaistininku</w:t>
      </w:r>
      <w:r>
        <w:t>.</w:t>
      </w:r>
      <w:r w:rsidRPr="00535B17">
        <w:t xml:space="preserve"> </w:t>
      </w:r>
    </w:p>
    <w:p w14:paraId="41724532" w14:textId="77777777" w:rsidR="00E0774B" w:rsidRDefault="00E0774B" w:rsidP="00E0774B">
      <w:pPr>
        <w:pStyle w:val="BodyText"/>
        <w:widowControl w:val="0"/>
        <w:spacing w:line="240" w:lineRule="auto"/>
        <w:rPr>
          <w:sz w:val="22"/>
        </w:rPr>
      </w:pPr>
      <w:r w:rsidRPr="00535B17">
        <w:rPr>
          <w:sz w:val="22"/>
          <w:szCs w:val="22"/>
        </w:rPr>
        <w:t>Furozemidas pra</w:t>
      </w:r>
      <w:r>
        <w:rPr>
          <w:sz w:val="22"/>
          <w:szCs w:val="22"/>
        </w:rPr>
        <w:t xml:space="preserve">sikverbia </w:t>
      </w:r>
      <w:r w:rsidRPr="00535B17">
        <w:rPr>
          <w:sz w:val="22"/>
          <w:szCs w:val="22"/>
        </w:rPr>
        <w:t>p</w:t>
      </w:r>
      <w:r>
        <w:rPr>
          <w:sz w:val="22"/>
          <w:szCs w:val="22"/>
        </w:rPr>
        <w:t>er pla</w:t>
      </w:r>
      <w:r w:rsidRPr="00535B17">
        <w:rPr>
          <w:sz w:val="22"/>
          <w:szCs w:val="22"/>
        </w:rPr>
        <w:t>centos barjerą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Nėštumo metu vaisto galima vartoti tik nebejotinai būtinu atveju ir tik gydytojo skyrimu. </w:t>
      </w:r>
    </w:p>
    <w:p w14:paraId="57D55D03" w14:textId="77777777" w:rsidR="00E0774B" w:rsidRPr="00535B17" w:rsidRDefault="00E0774B" w:rsidP="00E0774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Furozemido </w:t>
      </w:r>
      <w:r w:rsidRPr="00535B17">
        <w:rPr>
          <w:sz w:val="22"/>
          <w:szCs w:val="22"/>
        </w:rPr>
        <w:t>išsiskiria į motinos pieną</w:t>
      </w:r>
      <w:r>
        <w:rPr>
          <w:sz w:val="22"/>
          <w:szCs w:val="22"/>
        </w:rPr>
        <w:t xml:space="preserve">. Vaistas </w:t>
      </w:r>
      <w:r w:rsidRPr="00535B17">
        <w:rPr>
          <w:sz w:val="22"/>
          <w:szCs w:val="22"/>
        </w:rPr>
        <w:t xml:space="preserve">gali trikdyti laktaciją. </w:t>
      </w:r>
    </w:p>
    <w:p w14:paraId="2F5E31BB" w14:textId="425A8F52" w:rsidR="00E0774B" w:rsidRPr="00535B17" w:rsidRDefault="00E0774B" w:rsidP="00E0774B">
      <w:pPr>
        <w:widowControl w:val="0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Žindymo laikotarpiu </w:t>
      </w:r>
      <w:r w:rsidR="00901723">
        <w:rPr>
          <w:sz w:val="22"/>
          <w:szCs w:val="22"/>
          <w:lang w:eastAsia="pl-PL"/>
        </w:rPr>
        <w:t>Furosemidum Polpharma</w:t>
      </w:r>
      <w:r w:rsidRPr="008506BA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vartoti draudžiama</w:t>
      </w:r>
      <w:r w:rsidRPr="00535B17">
        <w:rPr>
          <w:sz w:val="22"/>
          <w:szCs w:val="22"/>
        </w:rPr>
        <w:t>.</w:t>
      </w:r>
    </w:p>
    <w:p w14:paraId="4BA68D27" w14:textId="77777777" w:rsidR="00E0774B" w:rsidRPr="00535B17" w:rsidRDefault="00E0774B" w:rsidP="00E0774B">
      <w:pPr>
        <w:pStyle w:val="BTEMEASMCA"/>
      </w:pPr>
    </w:p>
    <w:p w14:paraId="4F81F02D" w14:textId="77777777" w:rsidR="00E0774B" w:rsidRPr="00535B17" w:rsidRDefault="00E0774B" w:rsidP="00E0774B">
      <w:pPr>
        <w:pStyle w:val="PI-3EMEASMCA"/>
        <w:widowControl w:val="0"/>
      </w:pPr>
      <w:r w:rsidRPr="00535B17">
        <w:t>Vairavimas ir mechanizmų valdymas</w:t>
      </w:r>
    </w:p>
    <w:p w14:paraId="46E7D47A" w14:textId="77777777" w:rsidR="00E0774B" w:rsidRPr="00535B17" w:rsidRDefault="00E0774B" w:rsidP="00E0774B">
      <w:pPr>
        <w:pStyle w:val="BTEMEASMCA"/>
      </w:pPr>
      <w:r>
        <w:t>Dėl kai kurio nepageidaujamo f</w:t>
      </w:r>
      <w:r w:rsidRPr="00535B17">
        <w:t>urozemid</w:t>
      </w:r>
      <w:r>
        <w:t>o poveikio (pvz., didelio kraujospūdžio kritimo)</w:t>
      </w:r>
      <w:r w:rsidRPr="00535B17">
        <w:t xml:space="preserve"> gali </w:t>
      </w:r>
      <w:r>
        <w:t>sutrikti geba sukaupti dėmesį ir reaguoti</w:t>
      </w:r>
      <w:r w:rsidRPr="00535B17">
        <w:t xml:space="preserve">. Prieš pradėdami vairuoti ir valdyti mechanizmus įsitikinkite, kad nejaučiate tokio poveikio. </w:t>
      </w:r>
    </w:p>
    <w:p w14:paraId="46CF15E6" w14:textId="77777777" w:rsidR="00E0774B" w:rsidRPr="00535B17" w:rsidRDefault="00E0774B" w:rsidP="00E0774B">
      <w:pPr>
        <w:pStyle w:val="BTEMEASMCA"/>
      </w:pPr>
    </w:p>
    <w:p w14:paraId="118800A2" w14:textId="53DE1364" w:rsidR="00E0774B" w:rsidRPr="00535B17" w:rsidRDefault="00901723" w:rsidP="00E0774B">
      <w:pPr>
        <w:pStyle w:val="PI-3EMEASMCA"/>
        <w:widowControl w:val="0"/>
      </w:pPr>
      <w:r>
        <w:t>Furosemidum Polpharma</w:t>
      </w:r>
      <w:r w:rsidR="00E0774B" w:rsidRPr="00535B17">
        <w:t xml:space="preserve"> </w:t>
      </w:r>
      <w:r w:rsidR="00E0774B">
        <w:t>sudėtyje yra laktozės</w:t>
      </w:r>
    </w:p>
    <w:p w14:paraId="298D05CB" w14:textId="77777777" w:rsidR="00E0774B" w:rsidRPr="00535B17" w:rsidRDefault="00E0774B" w:rsidP="00E0774B">
      <w:pPr>
        <w:pStyle w:val="BTEMEASMCA"/>
      </w:pPr>
      <w:r>
        <w:t>Jeigu gydytojas Jums yra sakęs, kad netoleruojate kokių nors angliavandenių, kreipkitės į jį prieš pradėdami vartoti šį vaistą.</w:t>
      </w:r>
      <w:r w:rsidRPr="00535B17" w:rsidDel="004A33FA">
        <w:t xml:space="preserve"> </w:t>
      </w:r>
    </w:p>
    <w:p w14:paraId="22240667" w14:textId="77777777" w:rsidR="00E0774B" w:rsidRDefault="00E0774B" w:rsidP="00E0774B">
      <w:pPr>
        <w:widowControl w:val="0"/>
      </w:pPr>
    </w:p>
    <w:p w14:paraId="5B166619" w14:textId="77777777" w:rsidR="00E0774B" w:rsidRPr="00535B17" w:rsidRDefault="00E0774B" w:rsidP="00E0774B">
      <w:pPr>
        <w:widowControl w:val="0"/>
      </w:pPr>
    </w:p>
    <w:p w14:paraId="0557AE45" w14:textId="14379FAE" w:rsidR="00E0774B" w:rsidRPr="00535B17" w:rsidRDefault="00E0774B" w:rsidP="00E0774B">
      <w:pPr>
        <w:pStyle w:val="PI-1EMEASMCA"/>
      </w:pPr>
      <w:bookmarkStart w:id="8" w:name="_Toc129243141"/>
      <w:bookmarkStart w:id="9" w:name="_Toc129243266"/>
      <w:r w:rsidRPr="00535B17">
        <w:t>3.</w:t>
      </w:r>
      <w:r w:rsidRPr="00535B17">
        <w:tab/>
      </w:r>
      <w:r w:rsidRPr="009F6108">
        <w:t xml:space="preserve">Kaip vartoti </w:t>
      </w:r>
      <w:r w:rsidR="00901723">
        <w:t>Furosemidum Polpharma</w:t>
      </w:r>
      <w:bookmarkEnd w:id="8"/>
      <w:bookmarkEnd w:id="9"/>
    </w:p>
    <w:p w14:paraId="0FC530BC" w14:textId="77777777" w:rsidR="00E0774B" w:rsidRPr="00535B17" w:rsidRDefault="00E0774B" w:rsidP="00E0774B">
      <w:pPr>
        <w:pStyle w:val="BTEMEASMCA"/>
      </w:pPr>
    </w:p>
    <w:p w14:paraId="1AEB6175" w14:textId="77777777" w:rsidR="00E0774B" w:rsidRPr="00535B17" w:rsidRDefault="00E0774B" w:rsidP="00E0774B">
      <w:pPr>
        <w:pStyle w:val="BTEMEASMCA"/>
      </w:pPr>
      <w:r>
        <w:t>V</w:t>
      </w:r>
      <w:r w:rsidRPr="00535B17">
        <w:t xml:space="preserve">isada vartokite </w:t>
      </w:r>
      <w:r>
        <w:t xml:space="preserve">šį vaistą </w:t>
      </w:r>
      <w:r w:rsidRPr="00535B17">
        <w:t xml:space="preserve">tiksliai kaip nurodė gydytojas. Jeigu abejojate, kreipkitės į gydytoją. </w:t>
      </w:r>
    </w:p>
    <w:p w14:paraId="53069214" w14:textId="77777777" w:rsidR="00E0774B" w:rsidRPr="00535B17" w:rsidRDefault="00E0774B" w:rsidP="00E0774B">
      <w:pPr>
        <w:pStyle w:val="BTEMEASMCA"/>
      </w:pPr>
    </w:p>
    <w:p w14:paraId="3E1EFB88" w14:textId="77777777" w:rsidR="00E0774B" w:rsidRPr="00535B17" w:rsidRDefault="00E0774B" w:rsidP="00E0774B">
      <w:pPr>
        <w:pStyle w:val="BTEMEASMCA"/>
      </w:pPr>
      <w:r w:rsidRPr="00535B17">
        <w:t xml:space="preserve">Vaisto reikia skirti gerti ryte, kad būtų išvengta nakties diurezės. </w:t>
      </w:r>
    </w:p>
    <w:p w14:paraId="45A46A52" w14:textId="77777777" w:rsidR="00E0774B" w:rsidRPr="00535B17" w:rsidRDefault="00E0774B" w:rsidP="00E0774B">
      <w:pPr>
        <w:pStyle w:val="BTEMEASMCA"/>
      </w:pPr>
      <w:r w:rsidRPr="00535B17">
        <w:t xml:space="preserve">Tabletes reikia nuryti užgeriant pakankamu </w:t>
      </w:r>
      <w:r>
        <w:t xml:space="preserve">kiekiu </w:t>
      </w:r>
      <w:r w:rsidRPr="00535B17">
        <w:t xml:space="preserve">skysčio, geriausiai vieną valandą prieš valgį, </w:t>
      </w:r>
      <w:r w:rsidRPr="00535B17">
        <w:lastRenderedPageBreak/>
        <w:t xml:space="preserve">kadangi vartojant kartu su maistu gali 30% sumažėti furozemido absorbcija. </w:t>
      </w:r>
    </w:p>
    <w:p w14:paraId="4F8FA46E" w14:textId="77777777" w:rsidR="00E0774B" w:rsidRPr="00535B17" w:rsidRDefault="00E0774B" w:rsidP="00E0774B">
      <w:pPr>
        <w:pStyle w:val="BTEMEASMCA"/>
      </w:pPr>
    </w:p>
    <w:p w14:paraId="54A3E53A" w14:textId="77777777" w:rsidR="00E0774B" w:rsidRPr="004A33FA" w:rsidRDefault="00E0774B" w:rsidP="00E0774B">
      <w:pPr>
        <w:pStyle w:val="BTEMEASMCA"/>
      </w:pPr>
      <w:r w:rsidRPr="004A33FA">
        <w:t>Edema</w:t>
      </w:r>
    </w:p>
    <w:p w14:paraId="2E9DD709" w14:textId="77777777" w:rsidR="00E0774B" w:rsidRPr="004A33FA" w:rsidRDefault="00E0774B" w:rsidP="00E0774B">
      <w:pPr>
        <w:pStyle w:val="BTEMEASMCA"/>
      </w:pPr>
      <w:r w:rsidRPr="004A33FA">
        <w:t xml:space="preserve">Suaugusiems žmonėms </w:t>
      </w:r>
    </w:p>
    <w:p w14:paraId="784F3C7F" w14:textId="77777777" w:rsidR="00E0774B" w:rsidRPr="00535B17" w:rsidRDefault="00E0774B" w:rsidP="00E0774B">
      <w:pPr>
        <w:widowControl w:val="0"/>
        <w:rPr>
          <w:i/>
          <w:iCs/>
          <w:sz w:val="22"/>
          <w:szCs w:val="22"/>
        </w:rPr>
      </w:pPr>
      <w:r w:rsidRPr="00535B17">
        <w:rPr>
          <w:sz w:val="22"/>
          <w:szCs w:val="22"/>
        </w:rPr>
        <w:t xml:space="preserve">Edemai šalinti įprastinė pradinė furozemido paros dozė yra 40 mg. Ji geriama ryte. Palaikomojo gydymo metu </w:t>
      </w:r>
      <w:r>
        <w:rPr>
          <w:sz w:val="22"/>
          <w:szCs w:val="22"/>
        </w:rPr>
        <w:t xml:space="preserve">gydytojas gali </w:t>
      </w:r>
      <w:r w:rsidRPr="00535B17">
        <w:rPr>
          <w:sz w:val="22"/>
          <w:szCs w:val="22"/>
        </w:rPr>
        <w:t>skirti gerti arba po 20 mg kartą per parą</w:t>
      </w:r>
      <w:r>
        <w:rPr>
          <w:sz w:val="22"/>
          <w:szCs w:val="22"/>
        </w:rPr>
        <w:t>,</w:t>
      </w:r>
      <w:r w:rsidRPr="00535B17">
        <w:rPr>
          <w:sz w:val="22"/>
          <w:szCs w:val="22"/>
        </w:rPr>
        <w:t xml:space="preserve"> arba po 40 mg kas antra para. Jei edema atspari </w:t>
      </w:r>
      <w:r>
        <w:rPr>
          <w:sz w:val="22"/>
          <w:szCs w:val="22"/>
        </w:rPr>
        <w:t>vaisto</w:t>
      </w:r>
      <w:r w:rsidRPr="00535B17">
        <w:rPr>
          <w:sz w:val="22"/>
          <w:szCs w:val="22"/>
        </w:rPr>
        <w:t xml:space="preserve"> poveikiui, paros dozę </w:t>
      </w:r>
      <w:r>
        <w:rPr>
          <w:sz w:val="22"/>
          <w:szCs w:val="22"/>
        </w:rPr>
        <w:t xml:space="preserve">gydytojas gali padidinti </w:t>
      </w:r>
      <w:r w:rsidRPr="00535B17">
        <w:rPr>
          <w:sz w:val="22"/>
          <w:szCs w:val="22"/>
        </w:rPr>
        <w:t>iki 80 mg arba didesnės</w:t>
      </w:r>
      <w:r>
        <w:rPr>
          <w:sz w:val="22"/>
          <w:szCs w:val="22"/>
        </w:rPr>
        <w:t xml:space="preserve"> (ji geriama iš karto, lygiomis dalimis per 2 kartus arba s</w:t>
      </w:r>
      <w:r w:rsidRPr="00535B17">
        <w:rPr>
          <w:sz w:val="22"/>
          <w:szCs w:val="22"/>
        </w:rPr>
        <w:t>u pertrūkiais</w:t>
      </w:r>
      <w:r>
        <w:rPr>
          <w:sz w:val="22"/>
          <w:szCs w:val="22"/>
        </w:rPr>
        <w:t>)</w:t>
      </w:r>
      <w:r w:rsidRPr="00535B17">
        <w:rPr>
          <w:sz w:val="22"/>
          <w:szCs w:val="22"/>
        </w:rPr>
        <w:t xml:space="preserve">. Sunkiais atvejais </w:t>
      </w:r>
      <w:r>
        <w:rPr>
          <w:sz w:val="22"/>
          <w:szCs w:val="22"/>
        </w:rPr>
        <w:t xml:space="preserve">gydytojas paros dozę </w:t>
      </w:r>
      <w:r w:rsidRPr="00535B17">
        <w:rPr>
          <w:sz w:val="22"/>
          <w:szCs w:val="22"/>
        </w:rPr>
        <w:t xml:space="preserve">laipsniškai </w:t>
      </w:r>
      <w:r>
        <w:rPr>
          <w:sz w:val="22"/>
          <w:szCs w:val="22"/>
        </w:rPr>
        <w:t xml:space="preserve">gali padidinti net iki </w:t>
      </w:r>
      <w:r w:rsidRPr="00535B17">
        <w:rPr>
          <w:sz w:val="22"/>
          <w:szCs w:val="22"/>
        </w:rPr>
        <w:t xml:space="preserve">600 mg. Rekomenduojama didžiausia furozemido paros dozė yra 1500 mg. </w:t>
      </w:r>
    </w:p>
    <w:p w14:paraId="12D0D83D" w14:textId="77777777" w:rsidR="00E0774B" w:rsidRPr="00535B17" w:rsidRDefault="00E0774B" w:rsidP="00E0774B">
      <w:pPr>
        <w:pStyle w:val="BTEMEASMCA"/>
      </w:pPr>
    </w:p>
    <w:p w14:paraId="710458A0" w14:textId="77777777" w:rsidR="00E0774B" w:rsidRPr="004A33FA" w:rsidRDefault="00E0774B" w:rsidP="00E0774B">
      <w:pPr>
        <w:pStyle w:val="BTEMEASMCA"/>
      </w:pPr>
      <w:r w:rsidRPr="004A33FA">
        <w:t xml:space="preserve">Senyviems pacientams </w:t>
      </w:r>
    </w:p>
    <w:p w14:paraId="4EC8E25E" w14:textId="77777777" w:rsidR="00E0774B" w:rsidRDefault="00E0774B" w:rsidP="00E0774B">
      <w:pPr>
        <w:pStyle w:val="BTEMEASMCA"/>
      </w:pPr>
      <w:r w:rsidRPr="00B43F25">
        <w:t xml:space="preserve">Iš </w:t>
      </w:r>
      <w:r w:rsidRPr="0058275F">
        <w:t>senyvų pacientų</w:t>
      </w:r>
      <w:r w:rsidRPr="00B43F25">
        <w:t xml:space="preserve"> organizmo furozemidas </w:t>
      </w:r>
      <w:r>
        <w:t>šalinamas</w:t>
      </w:r>
      <w:r w:rsidRPr="00B43F25">
        <w:t xml:space="preserve"> lėčiau. Jiems</w:t>
      </w:r>
      <w:r>
        <w:t xml:space="preserve"> gali reikėti vartoti mažesnę pradinę vaisto dozę</w:t>
      </w:r>
      <w:r w:rsidRPr="00B43F25">
        <w:t xml:space="preserve">. </w:t>
      </w:r>
      <w:r>
        <w:t xml:space="preserve">Tikslią dozę nustatys gydytojas. </w:t>
      </w:r>
    </w:p>
    <w:p w14:paraId="0BA10DE3" w14:textId="77777777" w:rsidR="00E0774B" w:rsidRPr="00535B17" w:rsidRDefault="00E0774B" w:rsidP="00E0774B">
      <w:pPr>
        <w:pStyle w:val="BTEMEASMCA"/>
      </w:pPr>
    </w:p>
    <w:p w14:paraId="3C9E79DC" w14:textId="77777777" w:rsidR="00E0774B" w:rsidRPr="004A33FA" w:rsidRDefault="00E0774B" w:rsidP="00E0774B">
      <w:pPr>
        <w:pStyle w:val="BTEMEASMCA"/>
      </w:pPr>
      <w:r w:rsidRPr="004A33FA">
        <w:t>V</w:t>
      </w:r>
      <w:r>
        <w:t>artojimas v</w:t>
      </w:r>
      <w:r w:rsidRPr="004A33FA">
        <w:t>aikams</w:t>
      </w:r>
    </w:p>
    <w:p w14:paraId="26B5AFD6" w14:textId="77777777" w:rsidR="00E0774B" w:rsidRPr="008506BA" w:rsidRDefault="00E0774B" w:rsidP="00E0774B">
      <w:pPr>
        <w:widowControl w:val="0"/>
        <w:rPr>
          <w:sz w:val="22"/>
          <w:szCs w:val="22"/>
        </w:rPr>
      </w:pPr>
      <w:r>
        <w:rPr>
          <w:sz w:val="22"/>
          <w:szCs w:val="22"/>
          <w:lang w:eastAsia="pl-PL"/>
        </w:rPr>
        <w:t>Jiems p</w:t>
      </w:r>
      <w:r w:rsidRPr="008506BA">
        <w:rPr>
          <w:sz w:val="22"/>
          <w:szCs w:val="22"/>
          <w:lang w:eastAsia="pl-PL"/>
        </w:rPr>
        <w:t xml:space="preserve">aros dozė yra </w:t>
      </w:r>
      <w:r w:rsidRPr="008506BA">
        <w:rPr>
          <w:sz w:val="22"/>
          <w:szCs w:val="22"/>
        </w:rPr>
        <w:t>1-3 mg/kg kūno svorio</w:t>
      </w:r>
      <w:r>
        <w:rPr>
          <w:sz w:val="22"/>
          <w:szCs w:val="22"/>
        </w:rPr>
        <w:t xml:space="preserve">, tačiau ne didesnė kaip </w:t>
      </w:r>
      <w:r w:rsidRPr="008506BA">
        <w:rPr>
          <w:sz w:val="22"/>
          <w:szCs w:val="22"/>
        </w:rPr>
        <w:t>40 mg.</w:t>
      </w:r>
    </w:p>
    <w:p w14:paraId="23276016" w14:textId="3FF066CF" w:rsidR="00E0774B" w:rsidRPr="008506BA" w:rsidRDefault="00E0774B" w:rsidP="00E0774B">
      <w:pPr>
        <w:widowControl w:val="0"/>
        <w:rPr>
          <w:sz w:val="22"/>
          <w:szCs w:val="22"/>
          <w:lang w:eastAsia="pl-PL"/>
        </w:rPr>
      </w:pPr>
      <w:r w:rsidRPr="008506BA">
        <w:rPr>
          <w:sz w:val="22"/>
          <w:szCs w:val="22"/>
        </w:rPr>
        <w:t xml:space="preserve">Dėl farmacinės formos </w:t>
      </w:r>
      <w:r w:rsidR="00901723">
        <w:rPr>
          <w:sz w:val="22"/>
          <w:szCs w:val="22"/>
        </w:rPr>
        <w:t>Furosemidum Polpharma</w:t>
      </w:r>
      <w:r w:rsidRPr="008506BA">
        <w:rPr>
          <w:sz w:val="22"/>
          <w:szCs w:val="22"/>
        </w:rPr>
        <w:t xml:space="preserve"> tablečių nerekomenduojama vartoti naujagimiams.</w:t>
      </w:r>
    </w:p>
    <w:p w14:paraId="389E0070" w14:textId="77777777" w:rsidR="00E0774B" w:rsidRPr="00535B17" w:rsidRDefault="00E0774B" w:rsidP="00E0774B">
      <w:pPr>
        <w:pStyle w:val="BTEMEASMCA"/>
      </w:pPr>
    </w:p>
    <w:p w14:paraId="2083975D" w14:textId="77777777" w:rsidR="00E0774B" w:rsidRPr="00A86A8B" w:rsidRDefault="00E0774B" w:rsidP="00E0774B">
      <w:pPr>
        <w:pStyle w:val="BTEMEASMCA"/>
      </w:pPr>
      <w:r>
        <w:t>Pacientams, kurių k</w:t>
      </w:r>
      <w:r w:rsidRPr="00A86A8B">
        <w:t xml:space="preserve">epenų ar inkstų </w:t>
      </w:r>
      <w:r>
        <w:t>veikla sutrikusi</w:t>
      </w:r>
    </w:p>
    <w:p w14:paraId="735299FB" w14:textId="77777777" w:rsidR="00E0774B" w:rsidRPr="00535B17" w:rsidRDefault="00E0774B" w:rsidP="00E0774B">
      <w:pPr>
        <w:pStyle w:val="BTEMEASMCA"/>
      </w:pPr>
      <w:r w:rsidRPr="00535B17">
        <w:t xml:space="preserve">Kepenų nepakankamumu sergantiems pacientams </w:t>
      </w:r>
      <w:r>
        <w:t xml:space="preserve">natrį išskiriantis </w:t>
      </w:r>
      <w:r w:rsidRPr="00535B17">
        <w:t>furozemido poveikis</w:t>
      </w:r>
      <w:r>
        <w:t xml:space="preserve"> gali būti silpnesnis</w:t>
      </w:r>
      <w:r w:rsidRPr="00535B17">
        <w:t>, tačiau kal</w:t>
      </w:r>
      <w:r>
        <w:t xml:space="preserve">į išskirantis </w:t>
      </w:r>
      <w:r w:rsidRPr="00535B17">
        <w:t>poveikis paprastai išlieka</w:t>
      </w:r>
      <w:r>
        <w:t xml:space="preserve">. Tokius ligonius gydytojas pradės gydyti </w:t>
      </w:r>
      <w:r w:rsidRPr="00535B17">
        <w:t>nedidele doze</w:t>
      </w:r>
      <w:r>
        <w:t xml:space="preserve"> ir </w:t>
      </w:r>
      <w:r w:rsidRPr="00535B17">
        <w:t>atidžiai s</w:t>
      </w:r>
      <w:r>
        <w:t>eks</w:t>
      </w:r>
      <w:r w:rsidRPr="00535B17">
        <w:t xml:space="preserve"> elektrolitų k</w:t>
      </w:r>
      <w:r>
        <w:t>iekį kraujo serume</w:t>
      </w:r>
      <w:r w:rsidRPr="00535B17">
        <w:t>.</w:t>
      </w:r>
    </w:p>
    <w:p w14:paraId="42EA3229" w14:textId="77777777" w:rsidR="00E0774B" w:rsidRDefault="00E0774B" w:rsidP="00E0774B">
      <w:pPr>
        <w:pStyle w:val="BTEMEASMCA"/>
      </w:pPr>
      <w:r>
        <w:t>Ligoniams, kuriems yra ūminis ar lėtinis inkstų veiklos nepakankamumas furozemido dozę nustatys gydytojas, atsižvelgdamas į jų būklę.</w:t>
      </w:r>
    </w:p>
    <w:p w14:paraId="2D933207" w14:textId="77777777" w:rsidR="00E0774B" w:rsidRPr="00535B17" w:rsidRDefault="00E0774B" w:rsidP="00E0774B">
      <w:pPr>
        <w:pStyle w:val="BTEMEASMCA"/>
      </w:pPr>
    </w:p>
    <w:p w14:paraId="02F2F5F0" w14:textId="77777777" w:rsidR="00E0774B" w:rsidRPr="00A86A8B" w:rsidRDefault="00E0774B" w:rsidP="00E0774B">
      <w:pPr>
        <w:pStyle w:val="BTEMEASMCA"/>
      </w:pPr>
      <w:r w:rsidRPr="00A86A8B">
        <w:t>Hipertenzija</w:t>
      </w:r>
    </w:p>
    <w:p w14:paraId="3DD19EED" w14:textId="77777777" w:rsidR="00E0774B" w:rsidRPr="00535B17" w:rsidRDefault="00E0774B" w:rsidP="00E0774B">
      <w:pPr>
        <w:widowControl w:val="0"/>
        <w:rPr>
          <w:noProof/>
          <w:sz w:val="22"/>
          <w:szCs w:val="22"/>
        </w:rPr>
      </w:pPr>
      <w:r w:rsidRPr="00535B17">
        <w:rPr>
          <w:noProof/>
          <w:sz w:val="22"/>
          <w:szCs w:val="22"/>
        </w:rPr>
        <w:t>Suaugusiems žmonėms</w:t>
      </w:r>
    </w:p>
    <w:p w14:paraId="2DCAC06B" w14:textId="77777777" w:rsidR="00E0774B" w:rsidRPr="00535B17" w:rsidRDefault="00E0774B" w:rsidP="00E0774B">
      <w:pPr>
        <w:widowControl w:val="0"/>
        <w:rPr>
          <w:noProof/>
          <w:sz w:val="22"/>
          <w:szCs w:val="22"/>
        </w:rPr>
      </w:pPr>
      <w:r w:rsidRPr="00535B17">
        <w:rPr>
          <w:noProof/>
          <w:sz w:val="22"/>
          <w:szCs w:val="22"/>
        </w:rPr>
        <w:t xml:space="preserve">Pradinė </w:t>
      </w:r>
      <w:r>
        <w:rPr>
          <w:noProof/>
          <w:sz w:val="22"/>
          <w:szCs w:val="22"/>
        </w:rPr>
        <w:t xml:space="preserve">paros </w:t>
      </w:r>
      <w:r w:rsidRPr="00535B17">
        <w:rPr>
          <w:noProof/>
          <w:sz w:val="22"/>
          <w:szCs w:val="22"/>
        </w:rPr>
        <w:t xml:space="preserve">dozė yra </w:t>
      </w:r>
      <w:r w:rsidRPr="00535B17">
        <w:rPr>
          <w:sz w:val="22"/>
          <w:szCs w:val="22"/>
        </w:rPr>
        <w:t>80 mg (2 tabletės)</w:t>
      </w:r>
      <w:r>
        <w:rPr>
          <w:sz w:val="22"/>
          <w:szCs w:val="22"/>
        </w:rPr>
        <w:t xml:space="preserve">. Ji geriama </w:t>
      </w:r>
      <w:r w:rsidRPr="00535B17">
        <w:rPr>
          <w:sz w:val="22"/>
          <w:szCs w:val="22"/>
        </w:rPr>
        <w:t xml:space="preserve">per du kartus po 40 mg. Jei poveikis nepakankamas, </w:t>
      </w:r>
      <w:r>
        <w:rPr>
          <w:sz w:val="22"/>
          <w:szCs w:val="22"/>
        </w:rPr>
        <w:t>gydytojas gali skirti kartu vartoti kitokių vaistų</w:t>
      </w:r>
      <w:r w:rsidRPr="00535B17">
        <w:rPr>
          <w:sz w:val="22"/>
          <w:szCs w:val="22"/>
        </w:rPr>
        <w:t xml:space="preserve"> nuo hipertenzijos</w:t>
      </w:r>
      <w:r w:rsidRPr="00535B17">
        <w:rPr>
          <w:noProof/>
          <w:sz w:val="22"/>
          <w:szCs w:val="22"/>
        </w:rPr>
        <w:t>.</w:t>
      </w:r>
    </w:p>
    <w:p w14:paraId="56449CF1" w14:textId="77777777" w:rsidR="00E0774B" w:rsidRPr="00535B17" w:rsidRDefault="00E0774B" w:rsidP="00E0774B">
      <w:pPr>
        <w:pStyle w:val="BTEMEASMCA"/>
      </w:pPr>
    </w:p>
    <w:p w14:paraId="21459BC0" w14:textId="4465FE7B" w:rsidR="00E0774B" w:rsidRPr="00535B17" w:rsidRDefault="00E0774B" w:rsidP="00E0774B">
      <w:pPr>
        <w:pStyle w:val="PI-3EMEASMCA"/>
        <w:widowControl w:val="0"/>
      </w:pPr>
      <w:r>
        <w:t>Ką daryti p</w:t>
      </w:r>
      <w:r w:rsidRPr="00535B17">
        <w:t xml:space="preserve">avartojus per didelę </w:t>
      </w:r>
      <w:r w:rsidR="00901723">
        <w:t>Furosemidum Polpharma</w:t>
      </w:r>
      <w:r w:rsidRPr="00535B17">
        <w:t xml:space="preserve"> dozę</w:t>
      </w:r>
      <w:r>
        <w:t>?</w:t>
      </w:r>
    </w:p>
    <w:p w14:paraId="0674D232" w14:textId="77777777" w:rsidR="00E0774B" w:rsidRPr="00535B17" w:rsidRDefault="00E0774B" w:rsidP="00E0774B">
      <w:pPr>
        <w:pStyle w:val="BTEMEASMCA"/>
      </w:pPr>
      <w:r w:rsidRPr="00535B17">
        <w:t>Jeigu atsitiktinai išgėrėte per didelę vaisto dozę, nedels</w:t>
      </w:r>
      <w:r>
        <w:t>dami</w:t>
      </w:r>
      <w:r w:rsidRPr="00535B17">
        <w:t xml:space="preserve"> kreipkitės į artimiausios ligoninės skubios medicinos pagalbos skyrių arba į gydantį gydytoją. Pasiimkite su savimi likusias tabletes ir vaisto pakuotę. </w:t>
      </w:r>
    </w:p>
    <w:p w14:paraId="4AB0798B" w14:textId="77777777" w:rsidR="00E0774B" w:rsidRPr="00535B17" w:rsidRDefault="00E0774B" w:rsidP="00E0774B">
      <w:pPr>
        <w:pStyle w:val="BTEMEASMCA"/>
      </w:pPr>
    </w:p>
    <w:p w14:paraId="6F3397DE" w14:textId="1B52CD2B" w:rsidR="00E0774B" w:rsidRPr="00535B17" w:rsidRDefault="00E0774B" w:rsidP="00E0774B">
      <w:pPr>
        <w:pStyle w:val="PI-3EMEASMCA"/>
        <w:widowControl w:val="0"/>
      </w:pPr>
      <w:r w:rsidRPr="00535B17">
        <w:t xml:space="preserve">Pamiršus pavartoti </w:t>
      </w:r>
      <w:r w:rsidR="00901723">
        <w:t>Furosemidum Polpharma</w:t>
      </w:r>
      <w:r w:rsidRPr="00535B17">
        <w:t xml:space="preserve"> </w:t>
      </w:r>
    </w:p>
    <w:p w14:paraId="29561FB4" w14:textId="77777777" w:rsidR="00E0774B" w:rsidRPr="00535B17" w:rsidRDefault="00E0774B" w:rsidP="00E0774B">
      <w:pPr>
        <w:pStyle w:val="BTEMEASMCA"/>
      </w:pPr>
      <w:r w:rsidRPr="00535B17">
        <w:t xml:space="preserve">Pamirštą vaisto dozę išgerkite tuoj pat, kai tik prisiminsite, o kitą vartokite įprastu laiku. Negalima vartoti dvigubos dozės norint kompensuoti praleistą dozę. </w:t>
      </w:r>
    </w:p>
    <w:p w14:paraId="680B0033" w14:textId="77777777" w:rsidR="00E0774B" w:rsidRPr="00535B17" w:rsidRDefault="00E0774B" w:rsidP="00E0774B">
      <w:pPr>
        <w:pStyle w:val="BTEMEASMCA"/>
      </w:pPr>
    </w:p>
    <w:p w14:paraId="09138D22" w14:textId="77777777" w:rsidR="00E0774B" w:rsidRPr="00535B17" w:rsidRDefault="00E0774B" w:rsidP="00E0774B">
      <w:pPr>
        <w:pStyle w:val="BTEMEASMCA"/>
      </w:pPr>
    </w:p>
    <w:p w14:paraId="4E19F458" w14:textId="77777777" w:rsidR="00E0774B" w:rsidRPr="00535B17" w:rsidRDefault="00E0774B" w:rsidP="00E0774B">
      <w:pPr>
        <w:pStyle w:val="PI-1EMEASMCA"/>
      </w:pPr>
      <w:bookmarkStart w:id="10" w:name="_Toc129243142"/>
      <w:bookmarkStart w:id="11" w:name="_Toc129243267"/>
      <w:r w:rsidRPr="00535B17">
        <w:t>4.</w:t>
      </w:r>
      <w:r w:rsidRPr="00535B17">
        <w:tab/>
      </w:r>
      <w:r w:rsidRPr="009F6108">
        <w:t>Galimas šalutinis poveikis</w:t>
      </w:r>
      <w:bookmarkEnd w:id="10"/>
      <w:bookmarkEnd w:id="11"/>
    </w:p>
    <w:p w14:paraId="54BFA723" w14:textId="77777777" w:rsidR="00E0774B" w:rsidRPr="00535B17" w:rsidRDefault="00E0774B" w:rsidP="00E0774B">
      <w:pPr>
        <w:pStyle w:val="BTEMEASMCA"/>
      </w:pPr>
    </w:p>
    <w:p w14:paraId="577BDB61" w14:textId="77777777" w:rsidR="00E0774B" w:rsidRPr="00535B17" w:rsidRDefault="00E0774B" w:rsidP="00E0774B">
      <w:pPr>
        <w:pStyle w:val="BTEMEASMCA"/>
      </w:pPr>
      <w:r>
        <w:rPr>
          <w:bCs/>
        </w:rPr>
        <w:t>Šis vaistas</w:t>
      </w:r>
      <w:r w:rsidRPr="00535B17">
        <w:t>, kaip ir visi kiti, gali sukelti šalutinį poveikį, nors jis pasireiškia ne visiems žmonėms.</w:t>
      </w:r>
    </w:p>
    <w:p w14:paraId="459C0722" w14:textId="77777777" w:rsidR="00E0774B" w:rsidRPr="00535B17" w:rsidRDefault="00E0774B" w:rsidP="00E0774B">
      <w:pPr>
        <w:widowControl w:val="0"/>
        <w:tabs>
          <w:tab w:val="left" w:pos="2413"/>
        </w:tabs>
        <w:rPr>
          <w:b/>
          <w:sz w:val="22"/>
          <w:szCs w:val="22"/>
          <w:lang w:eastAsia="pl-PL"/>
        </w:rPr>
      </w:pPr>
    </w:p>
    <w:p w14:paraId="0DCA769A" w14:textId="3C9C6EB3" w:rsidR="00E0774B" w:rsidRPr="00C02DE3" w:rsidRDefault="00CB745F" w:rsidP="00C02DE3">
      <w:pPr>
        <w:pStyle w:val="PI-3EMEASMCA"/>
        <w:widowControl w:val="0"/>
      </w:pPr>
      <w:r w:rsidRPr="00CB745F">
        <w:t>Labai dažni šalutinio poveikio reiškiniai (gali pasireikšti ne rečiau kaip 1 iš 10 asmenų):</w:t>
      </w:r>
    </w:p>
    <w:p w14:paraId="0C58B9B3" w14:textId="77777777" w:rsidR="00305BFE" w:rsidRDefault="00E0774B" w:rsidP="00CB745F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CB745F">
        <w:rPr>
          <w:sz w:val="22"/>
          <w:szCs w:val="22"/>
        </w:rPr>
        <w:t xml:space="preserve">Dehidracija (vandens netekimas), </w:t>
      </w:r>
    </w:p>
    <w:p w14:paraId="2B349DDB" w14:textId="2CE5F0EF" w:rsidR="00E0774B" w:rsidRPr="00CB745F" w:rsidRDefault="00E0774B" w:rsidP="00CB745F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CB745F">
        <w:rPr>
          <w:sz w:val="22"/>
          <w:szCs w:val="22"/>
          <w:lang w:eastAsia="pl-PL"/>
        </w:rPr>
        <w:t>sumažėjęs kraujospūdis.</w:t>
      </w:r>
    </w:p>
    <w:p w14:paraId="1C989EF8" w14:textId="77777777" w:rsidR="00E0774B" w:rsidRDefault="00E0774B" w:rsidP="00E0774B">
      <w:pPr>
        <w:widowControl w:val="0"/>
        <w:tabs>
          <w:tab w:val="left" w:pos="2413"/>
        </w:tabs>
        <w:rPr>
          <w:sz w:val="22"/>
          <w:szCs w:val="22"/>
          <w:lang w:eastAsia="pl-PL"/>
        </w:rPr>
      </w:pPr>
    </w:p>
    <w:p w14:paraId="38450CDA" w14:textId="171238DC" w:rsidR="00305BFE" w:rsidRDefault="00305BFE" w:rsidP="00E0774B">
      <w:pPr>
        <w:widowControl w:val="0"/>
        <w:tabs>
          <w:tab w:val="left" w:pos="2413"/>
        </w:tabs>
        <w:rPr>
          <w:b/>
          <w:bCs/>
          <w:noProof/>
          <w:snapToGrid w:val="0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="00E61704">
        <w:rPr>
          <w:b/>
          <w:bCs/>
          <w:noProof/>
          <w:snapToGrid w:val="0"/>
          <w:sz w:val="22"/>
          <w:szCs w:val="22"/>
        </w:rPr>
        <w:t>:</w:t>
      </w:r>
    </w:p>
    <w:p w14:paraId="21B8E8DE" w14:textId="77777777" w:rsid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t xml:space="preserve">Hiponatremija (mažas natrio kiekis kraujyje), </w:t>
      </w:r>
    </w:p>
    <w:p w14:paraId="6615DA3F" w14:textId="77777777" w:rsid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t xml:space="preserve">hipochloreminė metabolinė alkalozė (kraujo pašarmėjimas), </w:t>
      </w:r>
    </w:p>
    <w:p w14:paraId="3562632D" w14:textId="77777777" w:rsid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t xml:space="preserve">hipokalemija, </w:t>
      </w:r>
    </w:p>
    <w:p w14:paraId="42B48625" w14:textId="77777777" w:rsid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t xml:space="preserve">hipokalcemija, </w:t>
      </w:r>
    </w:p>
    <w:p w14:paraId="4E35AE65" w14:textId="77777777" w:rsidR="00305BFE" w:rsidRP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t>hipomagnezemija (t. y. mažas kalio, kalcio ar magnio kiekis kraujyje)</w:t>
      </w:r>
      <w:r w:rsidRPr="00305BFE">
        <w:rPr>
          <w:sz w:val="22"/>
          <w:szCs w:val="22"/>
          <w:lang w:eastAsia="pl-PL"/>
        </w:rPr>
        <w:t>,</w:t>
      </w:r>
      <w:r w:rsidRPr="00305BFE">
        <w:rPr>
          <w:iCs/>
          <w:sz w:val="22"/>
          <w:szCs w:val="22"/>
        </w:rPr>
        <w:t xml:space="preserve"> </w:t>
      </w:r>
    </w:p>
    <w:p w14:paraId="77665C0A" w14:textId="77777777" w:rsid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iCs/>
          <w:sz w:val="22"/>
          <w:szCs w:val="22"/>
        </w:rPr>
        <w:t>tulžies sąstovis</w:t>
      </w:r>
      <w:r w:rsidRPr="00305BFE">
        <w:rPr>
          <w:sz w:val="22"/>
          <w:szCs w:val="22"/>
        </w:rPr>
        <w:t xml:space="preserve">, </w:t>
      </w:r>
    </w:p>
    <w:p w14:paraId="0ED7BE76" w14:textId="77777777" w:rsid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t xml:space="preserve">gelta, </w:t>
      </w:r>
    </w:p>
    <w:p w14:paraId="6A59323A" w14:textId="05B277B5" w:rsidR="00E0774B" w:rsidRPr="00305BFE" w:rsidRDefault="00E0774B" w:rsidP="00305BFE">
      <w:pPr>
        <w:pStyle w:val="ListParagraph"/>
        <w:widowControl w:val="0"/>
        <w:numPr>
          <w:ilvl w:val="0"/>
          <w:numId w:val="3"/>
        </w:numPr>
        <w:tabs>
          <w:tab w:val="left" w:pos="2413"/>
        </w:tabs>
        <w:rPr>
          <w:sz w:val="22"/>
          <w:szCs w:val="22"/>
          <w:lang w:eastAsia="pl-PL"/>
        </w:rPr>
      </w:pPr>
      <w:r w:rsidRPr="00305BFE">
        <w:rPr>
          <w:sz w:val="22"/>
          <w:szCs w:val="22"/>
        </w:rPr>
        <w:lastRenderedPageBreak/>
        <w:t>padidėjusi kepenų fermentų koncentracija.</w:t>
      </w:r>
    </w:p>
    <w:p w14:paraId="7AE8D799" w14:textId="77777777" w:rsidR="00E0774B" w:rsidRPr="00535B17" w:rsidRDefault="00E0774B" w:rsidP="00E0774B">
      <w:pPr>
        <w:widowControl w:val="0"/>
        <w:tabs>
          <w:tab w:val="left" w:pos="2413"/>
        </w:tabs>
        <w:rPr>
          <w:sz w:val="22"/>
          <w:szCs w:val="22"/>
          <w:lang w:eastAsia="pl-PL"/>
        </w:rPr>
      </w:pPr>
    </w:p>
    <w:p w14:paraId="034E0CCC" w14:textId="77777777" w:rsidR="00960742" w:rsidRDefault="00960742" w:rsidP="00E0774B">
      <w:pPr>
        <w:widowControl w:val="0"/>
        <w:tabs>
          <w:tab w:val="left" w:pos="2413"/>
        </w:tabs>
        <w:rPr>
          <w:b/>
          <w:bCs/>
          <w:noProof/>
          <w:snapToGrid w:val="0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 xml:space="preserve">Nedažni šalutinio poveikio reiškiniai (gali pasireikšti rečiau kaip 1 iš 100 asmenų): </w:t>
      </w:r>
    </w:p>
    <w:p w14:paraId="075B0474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Sutrikęs gliukozės toleravimas (dėl hipokalemijos), </w:t>
      </w:r>
    </w:p>
    <w:p w14:paraId="607D855D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hiperurikemija (šlapimo rūgšties kiekio padidėjimas kraujyje), </w:t>
      </w:r>
    </w:p>
    <w:p w14:paraId="16D039A9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podagra, </w:t>
      </w:r>
    </w:p>
    <w:p w14:paraId="4A9EC737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sumažėjusi DTL cholesterolio koncentracija serume, </w:t>
      </w:r>
    </w:p>
    <w:p w14:paraId="5A147822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padidėjusi </w:t>
      </w:r>
      <w:smartTag w:uri="schemas-tilde-lv/tildestengine" w:element="currency2">
        <w:smartTagPr>
          <w:attr w:name="currency_text" w:val="MTL"/>
          <w:attr w:name="currency_value" w:val="1"/>
          <w:attr w:name="currency_key" w:val="MTL"/>
          <w:attr w:name="currency_id" w:val="33"/>
        </w:smartTagPr>
        <w:r w:rsidRPr="00960742">
          <w:rPr>
            <w:sz w:val="22"/>
            <w:szCs w:val="22"/>
          </w:rPr>
          <w:t>MTL</w:t>
        </w:r>
      </w:smartTag>
      <w:r w:rsidRPr="00960742">
        <w:rPr>
          <w:sz w:val="22"/>
          <w:szCs w:val="22"/>
        </w:rPr>
        <w:t xml:space="preserve"> cholesterolio ir trigliceridų koncentracija serume, </w:t>
      </w:r>
    </w:p>
    <w:p w14:paraId="7D795A11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trombocitopenija (kraujo plokštelių kiekio sumažėjimas kraujyje), </w:t>
      </w:r>
    </w:p>
    <w:p w14:paraId="7FFDE416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nuovargis, </w:t>
      </w:r>
    </w:p>
    <w:p w14:paraId="658120AB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galvos svaigimas ir skausmas, </w:t>
      </w:r>
    </w:p>
    <w:p w14:paraId="16575634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parestezija, </w:t>
      </w:r>
    </w:p>
    <w:p w14:paraId="2E28731A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neramumas, </w:t>
      </w:r>
    </w:p>
    <w:p w14:paraId="53199CBC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sutrikęs regėjimas, </w:t>
      </w:r>
    </w:p>
    <w:p w14:paraId="1D7D7F5C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sutrikęs širdies ritmas, </w:t>
      </w:r>
    </w:p>
    <w:p w14:paraId="749888A9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>hipotenzija,</w:t>
      </w:r>
    </w:p>
    <w:p w14:paraId="5E7807B4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hipovolemija, </w:t>
      </w:r>
    </w:p>
    <w:p w14:paraId="691617C0" w14:textId="77777777" w:rsidR="00960742" w:rsidRP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iCs/>
          <w:sz w:val="22"/>
          <w:szCs w:val="22"/>
        </w:rPr>
        <w:t xml:space="preserve">burnos džiūvimas, </w:t>
      </w:r>
    </w:p>
    <w:p w14:paraId="2700418A" w14:textId="77777777" w:rsidR="00960742" w:rsidRP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iCs/>
          <w:sz w:val="22"/>
          <w:szCs w:val="22"/>
        </w:rPr>
        <w:t xml:space="preserve">troškulys, </w:t>
      </w:r>
    </w:p>
    <w:p w14:paraId="3AD46195" w14:textId="77777777" w:rsidR="00960742" w:rsidRP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iCs/>
          <w:sz w:val="22"/>
          <w:szCs w:val="22"/>
        </w:rPr>
        <w:t xml:space="preserve">pykinimas, </w:t>
      </w:r>
    </w:p>
    <w:p w14:paraId="0B7D3856" w14:textId="77777777" w:rsidR="00960742" w:rsidRP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iCs/>
          <w:sz w:val="22"/>
          <w:szCs w:val="22"/>
        </w:rPr>
        <w:t xml:space="preserve">sutrikusi žarnyno veikla, </w:t>
      </w:r>
    </w:p>
    <w:p w14:paraId="021E4677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raumenų mėšlungis, </w:t>
      </w:r>
    </w:p>
    <w:p w14:paraId="3BCB24F4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sumažėjusi diurezė, </w:t>
      </w:r>
    </w:p>
    <w:p w14:paraId="193B4DDC" w14:textId="77777777" w:rsid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šlapimo nelaikymas, </w:t>
      </w:r>
    </w:p>
    <w:p w14:paraId="1FD3384E" w14:textId="5E7B7D4C" w:rsidR="00960742" w:rsidRPr="004750FB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4750FB">
        <w:rPr>
          <w:sz w:val="22"/>
          <w:szCs w:val="22"/>
        </w:rPr>
        <w:t xml:space="preserve">šlapimo neišskyrimas (prostatos hiperplazija sergantiems pacientams), nuovargis. </w:t>
      </w:r>
    </w:p>
    <w:p w14:paraId="2CE1714A" w14:textId="77777777" w:rsidR="004750FB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dilgėlinė, </w:t>
      </w:r>
    </w:p>
    <w:p w14:paraId="7CBB75F2" w14:textId="77777777" w:rsidR="004750FB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purpura (taškinės, retai </w:t>
      </w:r>
      <w:r>
        <w:sym w:font="Symbol" w:char="F02D"/>
      </w:r>
      <w:r w:rsidRPr="00960742">
        <w:rPr>
          <w:sz w:val="22"/>
          <w:szCs w:val="22"/>
        </w:rPr>
        <w:t xml:space="preserve"> didesnės kraujosruvos odoje ar gleivinėje), </w:t>
      </w:r>
    </w:p>
    <w:p w14:paraId="69EFB50B" w14:textId="77777777" w:rsidR="004750FB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daugiaformė eritema, </w:t>
      </w:r>
    </w:p>
    <w:p w14:paraId="48C1F0A9" w14:textId="77777777" w:rsidR="004750FB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 xml:space="preserve">eksfoliacinis dermatitas, </w:t>
      </w:r>
    </w:p>
    <w:p w14:paraId="1C4B2045" w14:textId="2C014BB4" w:rsidR="00E0774B" w:rsidRPr="00960742" w:rsidRDefault="00E0774B" w:rsidP="00960742">
      <w:pPr>
        <w:pStyle w:val="ListParagraph"/>
        <w:widowControl w:val="0"/>
        <w:numPr>
          <w:ilvl w:val="0"/>
          <w:numId w:val="4"/>
        </w:numPr>
        <w:tabs>
          <w:tab w:val="left" w:pos="2413"/>
        </w:tabs>
        <w:rPr>
          <w:sz w:val="22"/>
          <w:szCs w:val="22"/>
        </w:rPr>
      </w:pPr>
      <w:r w:rsidRPr="00960742">
        <w:rPr>
          <w:sz w:val="22"/>
          <w:szCs w:val="22"/>
        </w:rPr>
        <w:t>padidėjusio jautrumo šviesai reakcijos.</w:t>
      </w:r>
    </w:p>
    <w:p w14:paraId="0921B9E8" w14:textId="77777777" w:rsidR="00E0774B" w:rsidRPr="00535B17" w:rsidRDefault="00E0774B" w:rsidP="00E0774B">
      <w:pPr>
        <w:widowControl w:val="0"/>
        <w:tabs>
          <w:tab w:val="left" w:pos="2413"/>
        </w:tabs>
        <w:rPr>
          <w:sz w:val="22"/>
          <w:szCs w:val="22"/>
          <w:lang w:eastAsia="pl-PL"/>
        </w:rPr>
      </w:pPr>
    </w:p>
    <w:p w14:paraId="19591453" w14:textId="77777777" w:rsidR="00810AF5" w:rsidRDefault="00810AF5" w:rsidP="00E0774B">
      <w:pPr>
        <w:widowControl w:val="0"/>
        <w:numPr>
          <w:ilvl w:val="12"/>
          <w:numId w:val="0"/>
        </w:numPr>
        <w:ind w:right="-2"/>
        <w:rPr>
          <w:b/>
          <w:bCs/>
          <w:noProof/>
          <w:snapToGrid w:val="0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14:paraId="6FE42C96" w14:textId="77777777" w:rsid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 xml:space="preserve">Ūžimas ausyse, </w:t>
      </w:r>
    </w:p>
    <w:p w14:paraId="5E95734D" w14:textId="77777777" w:rsid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>praeinantis ar nepraeinantis klausos sutrikimas (pavartojus didelę furozemido dozę ar vaisto vartojant ilgai),</w:t>
      </w:r>
    </w:p>
    <w:p w14:paraId="59AA2F9F" w14:textId="77777777" w:rsid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 xml:space="preserve">kurtumas (kartais nepraeinantis), </w:t>
      </w:r>
    </w:p>
    <w:p w14:paraId="074E1069" w14:textId="77777777" w:rsidR="00810AF5" w:rsidRP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>kraujagyslių uždegimas</w:t>
      </w:r>
      <w:r w:rsidRPr="00810AF5">
        <w:rPr>
          <w:iCs/>
          <w:sz w:val="22"/>
          <w:szCs w:val="22"/>
        </w:rPr>
        <w:t xml:space="preserve">, </w:t>
      </w:r>
    </w:p>
    <w:p w14:paraId="7D356F99" w14:textId="77777777" w:rsid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 xml:space="preserve">nefrokalcinozė (furozemidu gydomiems neišnešiotiems kūdikiams), </w:t>
      </w:r>
    </w:p>
    <w:p w14:paraId="6163D8B6" w14:textId="77777777" w:rsid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 xml:space="preserve">intersticinis nefritas (inkstų liga), </w:t>
      </w:r>
    </w:p>
    <w:p w14:paraId="44523722" w14:textId="77777777" w:rsid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 xml:space="preserve">ūminis inkstų nepakankamumas, </w:t>
      </w:r>
    </w:p>
    <w:p w14:paraId="1F43DE99" w14:textId="4E7D9F39" w:rsidR="00E0774B" w:rsidRPr="00810AF5" w:rsidRDefault="00E0774B" w:rsidP="00810AF5">
      <w:pPr>
        <w:pStyle w:val="ListParagraph"/>
        <w:widowControl w:val="0"/>
        <w:numPr>
          <w:ilvl w:val="0"/>
          <w:numId w:val="5"/>
        </w:numPr>
        <w:ind w:right="-2"/>
        <w:rPr>
          <w:sz w:val="22"/>
          <w:szCs w:val="22"/>
        </w:rPr>
      </w:pPr>
      <w:r w:rsidRPr="00810AF5">
        <w:rPr>
          <w:sz w:val="22"/>
          <w:szCs w:val="22"/>
        </w:rPr>
        <w:t>karščiavimas.</w:t>
      </w:r>
    </w:p>
    <w:p w14:paraId="09BF6209" w14:textId="77777777" w:rsidR="00E0774B" w:rsidRDefault="00E0774B" w:rsidP="00E0774B">
      <w:pPr>
        <w:pStyle w:val="BTEMEASMCA"/>
        <w:rPr>
          <w:i/>
          <w:lang w:eastAsia="pl-PL"/>
        </w:rPr>
      </w:pPr>
    </w:p>
    <w:p w14:paraId="78793B63" w14:textId="318070F1" w:rsidR="0005489B" w:rsidRDefault="0005489B" w:rsidP="00E0774B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Labai reti šalutinio poveikio reiškiniai (gali pasireikšti rečiau kaip 1 iš 10 000 asmenų</w:t>
      </w:r>
      <w:r w:rsidR="00E61704">
        <w:rPr>
          <w:sz w:val="22"/>
          <w:szCs w:val="22"/>
        </w:rPr>
        <w:t>):</w:t>
      </w:r>
    </w:p>
    <w:p w14:paraId="517DEBF5" w14:textId="77777777" w:rsidR="0005489B" w:rsidRDefault="00E0774B" w:rsidP="0005489B">
      <w:pPr>
        <w:pStyle w:val="ListParagraph"/>
        <w:widowControl w:val="0"/>
        <w:numPr>
          <w:ilvl w:val="0"/>
          <w:numId w:val="6"/>
        </w:numPr>
        <w:ind w:right="-2"/>
        <w:rPr>
          <w:sz w:val="22"/>
          <w:szCs w:val="22"/>
        </w:rPr>
      </w:pPr>
      <w:r w:rsidRPr="0005489B">
        <w:rPr>
          <w:sz w:val="22"/>
          <w:szCs w:val="22"/>
        </w:rPr>
        <w:t xml:space="preserve">Kaulų čiulpų slopinimas, </w:t>
      </w:r>
    </w:p>
    <w:p w14:paraId="21A2A3D9" w14:textId="77777777" w:rsidR="0005489B" w:rsidRDefault="00E0774B" w:rsidP="0005489B">
      <w:pPr>
        <w:pStyle w:val="ListParagraph"/>
        <w:widowControl w:val="0"/>
        <w:numPr>
          <w:ilvl w:val="0"/>
          <w:numId w:val="6"/>
        </w:numPr>
        <w:ind w:right="-2"/>
        <w:rPr>
          <w:sz w:val="22"/>
          <w:szCs w:val="22"/>
        </w:rPr>
      </w:pPr>
      <w:r w:rsidRPr="0005489B">
        <w:rPr>
          <w:sz w:val="22"/>
          <w:szCs w:val="22"/>
        </w:rPr>
        <w:t xml:space="preserve">aplazinė anemija (mažakraujystė), </w:t>
      </w:r>
    </w:p>
    <w:p w14:paraId="48D37BE3" w14:textId="77777777" w:rsidR="0005489B" w:rsidRDefault="00E0774B" w:rsidP="0005489B">
      <w:pPr>
        <w:pStyle w:val="ListParagraph"/>
        <w:widowControl w:val="0"/>
        <w:numPr>
          <w:ilvl w:val="0"/>
          <w:numId w:val="6"/>
        </w:numPr>
        <w:ind w:right="-2"/>
        <w:rPr>
          <w:sz w:val="22"/>
          <w:szCs w:val="22"/>
        </w:rPr>
      </w:pPr>
      <w:r w:rsidRPr="0005489B">
        <w:rPr>
          <w:sz w:val="22"/>
          <w:szCs w:val="22"/>
        </w:rPr>
        <w:t xml:space="preserve">agranulocitozė (grūdėtųjų baltųjų kraujo kūnelių kiekio sumažėjimas kraujyje), </w:t>
      </w:r>
    </w:p>
    <w:p w14:paraId="075A9F14" w14:textId="77777777" w:rsidR="0005489B" w:rsidRDefault="00E0774B" w:rsidP="0005489B">
      <w:pPr>
        <w:pStyle w:val="ListParagraph"/>
        <w:widowControl w:val="0"/>
        <w:numPr>
          <w:ilvl w:val="0"/>
          <w:numId w:val="6"/>
        </w:numPr>
        <w:ind w:right="-2"/>
        <w:rPr>
          <w:sz w:val="22"/>
          <w:szCs w:val="22"/>
        </w:rPr>
      </w:pPr>
      <w:r w:rsidRPr="0005489B">
        <w:rPr>
          <w:sz w:val="22"/>
          <w:szCs w:val="22"/>
        </w:rPr>
        <w:t xml:space="preserve">hemolizinė anemija (mažakraujystė dėl raudonųjų kraujo kūnelių irimo), </w:t>
      </w:r>
    </w:p>
    <w:p w14:paraId="16AF534B" w14:textId="74449D7C" w:rsidR="00E0774B" w:rsidRPr="0005489B" w:rsidRDefault="00E0774B" w:rsidP="0005489B">
      <w:pPr>
        <w:pStyle w:val="ListParagraph"/>
        <w:widowControl w:val="0"/>
        <w:numPr>
          <w:ilvl w:val="0"/>
          <w:numId w:val="6"/>
        </w:numPr>
        <w:ind w:right="-2"/>
        <w:rPr>
          <w:sz w:val="22"/>
          <w:szCs w:val="22"/>
        </w:rPr>
      </w:pPr>
      <w:r w:rsidRPr="0005489B">
        <w:rPr>
          <w:iCs/>
          <w:sz w:val="22"/>
          <w:szCs w:val="22"/>
        </w:rPr>
        <w:t xml:space="preserve">pankreatitas (kasos uždegimas). </w:t>
      </w:r>
    </w:p>
    <w:p w14:paraId="5F1B1FE3" w14:textId="77777777" w:rsidR="00E0774B" w:rsidRDefault="00E0774B" w:rsidP="00E0774B">
      <w:pPr>
        <w:pStyle w:val="Default"/>
        <w:rPr>
          <w:i/>
          <w:sz w:val="22"/>
          <w:szCs w:val="22"/>
          <w:lang w:val="lt-LT"/>
        </w:rPr>
      </w:pPr>
    </w:p>
    <w:p w14:paraId="31EED753" w14:textId="77777777" w:rsidR="003510CF" w:rsidRDefault="003510CF" w:rsidP="00E0774B">
      <w:pPr>
        <w:pStyle w:val="Default"/>
        <w:rPr>
          <w:b/>
          <w:bCs/>
          <w:noProof/>
          <w:snapToGrid w:val="0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</w:t>
      </w:r>
      <w:r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 xml:space="preserve">dažnis nežinomas (negali būti apskaičiuotas pagal turimus duomenis): </w:t>
      </w:r>
    </w:p>
    <w:p w14:paraId="64A77CA2" w14:textId="77777777" w:rsidR="003510CF" w:rsidRPr="003510CF" w:rsidRDefault="00E0774B" w:rsidP="00E0774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510CF">
        <w:rPr>
          <w:bCs/>
          <w:sz w:val="22"/>
          <w:szCs w:val="22"/>
          <w:lang w:val="lt-LT"/>
        </w:rPr>
        <w:t xml:space="preserve">Ūminė išplitusi egzanteminė pustuliozė (ŪIEP) (ūminis uždegiminis vaistų sukeltas odos išbėrimas); </w:t>
      </w:r>
    </w:p>
    <w:p w14:paraId="66E14E82" w14:textId="77777777" w:rsidR="003510CF" w:rsidRDefault="00E0774B" w:rsidP="00E0774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510CF">
        <w:rPr>
          <w:sz w:val="22"/>
          <w:szCs w:val="22"/>
        </w:rPr>
        <w:t xml:space="preserve">galvos svaigimas, </w:t>
      </w:r>
    </w:p>
    <w:p w14:paraId="16E1E38F" w14:textId="77777777" w:rsidR="003510CF" w:rsidRDefault="00E0774B" w:rsidP="00E0774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510CF">
        <w:rPr>
          <w:sz w:val="22"/>
          <w:szCs w:val="22"/>
        </w:rPr>
        <w:t xml:space="preserve">alpulys ir sąmonės praradimas (sukeltas simptominės hipotenzijos), </w:t>
      </w:r>
    </w:p>
    <w:p w14:paraId="7D366050" w14:textId="6C8DCC42" w:rsidR="00E0774B" w:rsidRPr="003510CF" w:rsidRDefault="00E0774B" w:rsidP="00E0774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510CF">
        <w:rPr>
          <w:sz w:val="22"/>
          <w:szCs w:val="22"/>
        </w:rPr>
        <w:t>kaulų čiulpų slopinimas.</w:t>
      </w:r>
    </w:p>
    <w:p w14:paraId="2A19CEF5" w14:textId="77777777" w:rsidR="00E0774B" w:rsidRPr="00535B17" w:rsidRDefault="00E0774B" w:rsidP="00E0774B">
      <w:pPr>
        <w:pStyle w:val="BTEMEASMCA"/>
      </w:pPr>
    </w:p>
    <w:p w14:paraId="22AB84A1" w14:textId="77777777" w:rsidR="003510CF" w:rsidRDefault="003510CF" w:rsidP="00C02DE3">
      <w:pPr>
        <w:pStyle w:val="PI-3EMEASMCA"/>
        <w:widowControl w:val="0"/>
      </w:pPr>
    </w:p>
    <w:p w14:paraId="3B254414" w14:textId="72E3A7DB" w:rsidR="00E0774B" w:rsidRPr="00D656BF" w:rsidRDefault="00E0774B" w:rsidP="00C02DE3">
      <w:pPr>
        <w:pStyle w:val="PI-3EMEASMCA"/>
        <w:widowControl w:val="0"/>
      </w:pPr>
      <w:r w:rsidRPr="00D656BF">
        <w:t>Pranešimas apie šalutinį poveikį</w:t>
      </w:r>
    </w:p>
    <w:p w14:paraId="79B185B4" w14:textId="0879523A" w:rsidR="00C02DE3" w:rsidRPr="00C02DE3" w:rsidRDefault="00C02DE3" w:rsidP="00C02DE3">
      <w:pPr>
        <w:rPr>
          <w:sz w:val="22"/>
          <w:szCs w:val="20"/>
          <w:lang w:eastAsia="lt-LT" w:bidi="lt-LT"/>
        </w:rPr>
      </w:pPr>
      <w:r w:rsidRPr="00C02DE3">
        <w:rPr>
          <w:sz w:val="22"/>
          <w:szCs w:val="20"/>
          <w:lang w:eastAsia="lt-LT" w:bidi="lt-LT"/>
        </w:rPr>
        <w:t xml:space="preserve">Jeigu pasireiškė šalutinis poveikis, įskaitant šiame lapelyje nenurodytą, pasakykite gydytojui, vaistininkui arba slaugytojui. </w:t>
      </w:r>
      <w:r w:rsidR="007A1DA1" w:rsidRPr="007A1DA1">
        <w:rPr>
          <w:sz w:val="22"/>
          <w:szCs w:val="20"/>
          <w:lang w:eastAsia="lt-LT" w:bidi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</w:t>
      </w:r>
      <w:r w:rsidRPr="00C02DE3">
        <w:rPr>
          <w:sz w:val="22"/>
          <w:szCs w:val="20"/>
          <w:lang w:eastAsia="lt-LT" w:bidi="lt-LT"/>
        </w:rPr>
        <w:t>.</w:t>
      </w:r>
    </w:p>
    <w:p w14:paraId="76A7D732" w14:textId="77777777" w:rsidR="00E0774B" w:rsidRPr="00535B17" w:rsidRDefault="00E0774B" w:rsidP="00E0774B">
      <w:pPr>
        <w:pStyle w:val="BTEMEASMCA"/>
      </w:pPr>
    </w:p>
    <w:p w14:paraId="1FF79FBD" w14:textId="77777777" w:rsidR="00E0774B" w:rsidRPr="00535B17" w:rsidRDefault="00E0774B" w:rsidP="00E0774B">
      <w:pPr>
        <w:pStyle w:val="BTEMEASMCA"/>
      </w:pPr>
    </w:p>
    <w:p w14:paraId="79B7D1D3" w14:textId="5099F9DB" w:rsidR="00E0774B" w:rsidRPr="00535B17" w:rsidRDefault="00E0774B" w:rsidP="00E0774B">
      <w:pPr>
        <w:pStyle w:val="PI-1EMEASMCA"/>
      </w:pPr>
      <w:bookmarkStart w:id="12" w:name="_Toc129243143"/>
      <w:bookmarkStart w:id="13" w:name="_Toc129243268"/>
      <w:r w:rsidRPr="00535B17">
        <w:t>5.</w:t>
      </w:r>
      <w:r w:rsidRPr="00535B17">
        <w:tab/>
      </w:r>
      <w:r w:rsidRPr="009F6108">
        <w:t xml:space="preserve">Kaip laikyti </w:t>
      </w:r>
      <w:r w:rsidR="00901723">
        <w:t>Furosemidum Polpharma</w:t>
      </w:r>
      <w:bookmarkEnd w:id="12"/>
      <w:bookmarkEnd w:id="13"/>
    </w:p>
    <w:p w14:paraId="1BF98663" w14:textId="77777777" w:rsidR="00E0774B" w:rsidRPr="00535B17" w:rsidRDefault="00E0774B" w:rsidP="00E0774B">
      <w:pPr>
        <w:pStyle w:val="BTEMEASMCA"/>
      </w:pPr>
    </w:p>
    <w:p w14:paraId="7FE414AC" w14:textId="77777777" w:rsidR="00901723" w:rsidRDefault="00901723" w:rsidP="00E0774B">
      <w:pPr>
        <w:widowControl w:val="0"/>
        <w:rPr>
          <w:sz w:val="22"/>
          <w:szCs w:val="22"/>
        </w:rPr>
      </w:pPr>
    </w:p>
    <w:p w14:paraId="4EA54BD2" w14:textId="1356B17F" w:rsidR="00E0774B" w:rsidRPr="00535B17" w:rsidRDefault="00E0774B" w:rsidP="00E0774B">
      <w:pPr>
        <w:widowControl w:val="0"/>
        <w:rPr>
          <w:sz w:val="22"/>
          <w:szCs w:val="22"/>
        </w:rPr>
      </w:pPr>
      <w:r w:rsidRPr="00D656BF">
        <w:rPr>
          <w:sz w:val="22"/>
          <w:szCs w:val="22"/>
        </w:rPr>
        <w:t>Šį vaistą laikykite vaikams nepastebimoje ir nepasiekiamoje vietoje.</w:t>
      </w:r>
    </w:p>
    <w:p w14:paraId="365A988C" w14:textId="77777777" w:rsidR="00E0774B" w:rsidRPr="00535B17" w:rsidRDefault="00E0774B" w:rsidP="00E0774B">
      <w:pPr>
        <w:widowControl w:val="0"/>
        <w:rPr>
          <w:sz w:val="22"/>
          <w:szCs w:val="22"/>
        </w:rPr>
      </w:pPr>
    </w:p>
    <w:p w14:paraId="4C9B03DB" w14:textId="5104B025" w:rsidR="00E0774B" w:rsidRPr="00535B17" w:rsidRDefault="00E0774B" w:rsidP="00E0774B">
      <w:pPr>
        <w:widowControl w:val="0"/>
        <w:rPr>
          <w:sz w:val="22"/>
          <w:szCs w:val="22"/>
        </w:rPr>
      </w:pPr>
      <w:r w:rsidRPr="00535B17">
        <w:rPr>
          <w:sz w:val="22"/>
          <w:szCs w:val="22"/>
        </w:rPr>
        <w:t xml:space="preserve">Laikyti ne aukštesnėje kaip 25 </w:t>
      </w:r>
      <w:r w:rsidRPr="00535B17">
        <w:rPr>
          <w:sz w:val="22"/>
          <w:szCs w:val="22"/>
        </w:rPr>
        <w:sym w:font="Symbol" w:char="F0B0"/>
      </w:r>
      <w:r w:rsidRPr="00535B17">
        <w:rPr>
          <w:sz w:val="22"/>
          <w:szCs w:val="22"/>
        </w:rPr>
        <w:t xml:space="preserve">C temperatūroje. </w:t>
      </w:r>
    </w:p>
    <w:p w14:paraId="71EFCFF5" w14:textId="77777777" w:rsidR="00E0774B" w:rsidRPr="00535B17" w:rsidRDefault="00E0774B" w:rsidP="00E0774B">
      <w:pPr>
        <w:widowControl w:val="0"/>
        <w:rPr>
          <w:sz w:val="22"/>
          <w:szCs w:val="22"/>
        </w:rPr>
      </w:pPr>
    </w:p>
    <w:p w14:paraId="1809DD52" w14:textId="77777777" w:rsidR="00E0774B" w:rsidRPr="00535B17" w:rsidRDefault="00E0774B" w:rsidP="00E0774B">
      <w:pPr>
        <w:widowControl w:val="0"/>
        <w:rPr>
          <w:sz w:val="22"/>
          <w:szCs w:val="22"/>
        </w:rPr>
      </w:pPr>
      <w:r w:rsidRPr="00535B17">
        <w:rPr>
          <w:sz w:val="22"/>
          <w:szCs w:val="22"/>
        </w:rPr>
        <w:t xml:space="preserve">Ant lizdinės plokštelės ir kartono dėžutės </w:t>
      </w:r>
      <w:r>
        <w:rPr>
          <w:sz w:val="22"/>
          <w:szCs w:val="22"/>
        </w:rPr>
        <w:t xml:space="preserve">po „EXP“ </w:t>
      </w:r>
      <w:r w:rsidRPr="00535B17">
        <w:rPr>
          <w:sz w:val="22"/>
          <w:szCs w:val="22"/>
        </w:rPr>
        <w:t xml:space="preserve">nurodytam tinkamumo laikui pasibaigus, </w:t>
      </w:r>
      <w:r>
        <w:rPr>
          <w:sz w:val="22"/>
          <w:szCs w:val="22"/>
        </w:rPr>
        <w:t>šio vaisto</w:t>
      </w:r>
      <w:r w:rsidRPr="00535B17">
        <w:rPr>
          <w:sz w:val="22"/>
          <w:szCs w:val="22"/>
        </w:rPr>
        <w:t xml:space="preserve"> vartoti negalima. </w:t>
      </w:r>
      <w:r w:rsidRPr="00D656BF">
        <w:rPr>
          <w:sz w:val="22"/>
          <w:szCs w:val="22"/>
        </w:rPr>
        <w:t>Vaistas tinkamas vartoti iki paskutinės nurodyto mėnesio dienos</w:t>
      </w:r>
      <w:r>
        <w:rPr>
          <w:sz w:val="22"/>
          <w:szCs w:val="22"/>
        </w:rPr>
        <w:t>.</w:t>
      </w:r>
    </w:p>
    <w:p w14:paraId="4D7C5B3F" w14:textId="77777777" w:rsidR="00E0774B" w:rsidRDefault="00E0774B" w:rsidP="00E0774B">
      <w:pPr>
        <w:pStyle w:val="BTEMEASMCA"/>
      </w:pPr>
    </w:p>
    <w:p w14:paraId="36C54C2A" w14:textId="77777777" w:rsidR="00E0774B" w:rsidRDefault="00E0774B" w:rsidP="00E0774B">
      <w:pPr>
        <w:pStyle w:val="BTEMEASMCA"/>
      </w:pPr>
      <w:r w:rsidRPr="00D656BF">
        <w:t>Vaistų negalima išmesti į kanalizaciją arba su buitinėmis atliekomis. Kaip išmesti nereikalingus vaistus, klauskite vaistininko. Šios priemonės padės apsaugoti aplinką</w:t>
      </w:r>
      <w:r>
        <w:t>.</w:t>
      </w:r>
    </w:p>
    <w:p w14:paraId="4A07BDA6" w14:textId="77777777" w:rsidR="00E0774B" w:rsidRPr="00535B17" w:rsidRDefault="00E0774B" w:rsidP="00E0774B">
      <w:pPr>
        <w:pStyle w:val="BTEMEASMCA"/>
      </w:pPr>
    </w:p>
    <w:p w14:paraId="260373B4" w14:textId="77777777" w:rsidR="00E0774B" w:rsidRPr="00535B17" w:rsidRDefault="00E0774B" w:rsidP="00E0774B">
      <w:pPr>
        <w:pStyle w:val="BTEMEASMCA"/>
      </w:pPr>
    </w:p>
    <w:p w14:paraId="6D7A9788" w14:textId="77777777" w:rsidR="00E0774B" w:rsidRPr="00535B17" w:rsidRDefault="00E0774B" w:rsidP="00E0774B">
      <w:pPr>
        <w:pStyle w:val="PI-1EMEASMCA"/>
      </w:pPr>
      <w:bookmarkStart w:id="14" w:name="_Toc129243144"/>
      <w:bookmarkStart w:id="15" w:name="_Toc129243269"/>
      <w:r w:rsidRPr="00535B17">
        <w:t>6.</w:t>
      </w:r>
      <w:r w:rsidRPr="00535B17">
        <w:tab/>
      </w:r>
      <w:r w:rsidRPr="009F6108">
        <w:t>Pakuotės turinys ir kita informacija</w:t>
      </w:r>
      <w:bookmarkEnd w:id="14"/>
      <w:bookmarkEnd w:id="15"/>
    </w:p>
    <w:p w14:paraId="13141FC4" w14:textId="77777777" w:rsidR="00E0774B" w:rsidRPr="00535B17" w:rsidRDefault="00E0774B" w:rsidP="00E0774B">
      <w:pPr>
        <w:pStyle w:val="BTEMEASMCA"/>
      </w:pPr>
    </w:p>
    <w:p w14:paraId="22D9A9E0" w14:textId="77777777" w:rsidR="00901723" w:rsidRDefault="00901723" w:rsidP="00E0774B">
      <w:pPr>
        <w:pStyle w:val="PI-3EMEASMCA"/>
        <w:widowControl w:val="0"/>
      </w:pPr>
    </w:p>
    <w:p w14:paraId="0613504A" w14:textId="313394A1" w:rsidR="00E0774B" w:rsidRPr="00535B17" w:rsidRDefault="00901723" w:rsidP="00E0774B">
      <w:pPr>
        <w:pStyle w:val="PI-3EMEASMCA"/>
        <w:widowControl w:val="0"/>
      </w:pPr>
      <w:r>
        <w:t>Furosemidum Polpharma</w:t>
      </w:r>
      <w:r w:rsidR="00E0774B" w:rsidRPr="00535B17">
        <w:t xml:space="preserve"> sudėtis</w:t>
      </w:r>
    </w:p>
    <w:p w14:paraId="2DFBCF32" w14:textId="77777777" w:rsidR="00E0774B" w:rsidRPr="00535B17" w:rsidRDefault="00E0774B" w:rsidP="00E0774B">
      <w:pPr>
        <w:pStyle w:val="BT-EMEASMCA"/>
      </w:pPr>
      <w:r w:rsidRPr="00535B17">
        <w:t xml:space="preserve">Veiklioji medžiaga yra furozemidas. Vienoje tabletėje yra 40 mg furozemido. </w:t>
      </w:r>
    </w:p>
    <w:p w14:paraId="3048805D" w14:textId="77777777" w:rsidR="00E0774B" w:rsidRPr="00535B17" w:rsidRDefault="00E0774B" w:rsidP="00E0774B">
      <w:pPr>
        <w:pStyle w:val="BT-EMEASMCA"/>
      </w:pPr>
      <w:r w:rsidRPr="00535B17">
        <w:t xml:space="preserve">Pagalbinės medžiagos yra laktozė monohidratas, bulvių krakmolas, želatina, talkas, magnio stearatas. </w:t>
      </w:r>
    </w:p>
    <w:p w14:paraId="68714966" w14:textId="77777777" w:rsidR="00E0774B" w:rsidRPr="00535B17" w:rsidRDefault="00E0774B" w:rsidP="00E0774B">
      <w:pPr>
        <w:pStyle w:val="BTEMEASMCA"/>
      </w:pPr>
    </w:p>
    <w:p w14:paraId="5D19B12F" w14:textId="0EF4BB70" w:rsidR="00E0774B" w:rsidRPr="00535B17" w:rsidRDefault="00901723" w:rsidP="00E0774B">
      <w:pPr>
        <w:pStyle w:val="PI-3EMEASMCA"/>
        <w:widowControl w:val="0"/>
      </w:pPr>
      <w:r>
        <w:t>Furosemidum Polpharma</w:t>
      </w:r>
      <w:r w:rsidR="00E0774B" w:rsidRPr="00535B17">
        <w:t xml:space="preserve"> išvaizda ir kiekis pakuotėje</w:t>
      </w:r>
    </w:p>
    <w:p w14:paraId="3DAF3DD4" w14:textId="44FCCC3A" w:rsidR="00E0774B" w:rsidRPr="00535B17" w:rsidRDefault="00901723" w:rsidP="00E0774B">
      <w:pPr>
        <w:widowControl w:val="0"/>
        <w:rPr>
          <w:sz w:val="22"/>
          <w:szCs w:val="22"/>
        </w:rPr>
      </w:pPr>
      <w:r>
        <w:rPr>
          <w:bCs/>
          <w:sz w:val="22"/>
          <w:szCs w:val="22"/>
        </w:rPr>
        <w:t>Furosemidum Polpharma</w:t>
      </w:r>
      <w:r w:rsidR="00E0774B" w:rsidRPr="00535B17">
        <w:rPr>
          <w:b/>
          <w:sz w:val="22"/>
          <w:szCs w:val="22"/>
        </w:rPr>
        <w:t xml:space="preserve"> </w:t>
      </w:r>
      <w:r w:rsidR="00E0774B" w:rsidRPr="00535B17">
        <w:rPr>
          <w:sz w:val="22"/>
          <w:szCs w:val="22"/>
        </w:rPr>
        <w:t>tabletės yra baltos su gelsvu atspalviu arba baltos, apskritos, abipus išgaubtos.</w:t>
      </w:r>
    </w:p>
    <w:p w14:paraId="06E3BB1F" w14:textId="5B05A33E" w:rsidR="00E0774B" w:rsidRPr="00535B17" w:rsidRDefault="00E0774B" w:rsidP="00E0774B">
      <w:pPr>
        <w:widowControl w:val="0"/>
        <w:rPr>
          <w:sz w:val="22"/>
          <w:szCs w:val="22"/>
        </w:rPr>
      </w:pPr>
      <w:r w:rsidRPr="00535B17">
        <w:rPr>
          <w:sz w:val="22"/>
          <w:szCs w:val="22"/>
        </w:rPr>
        <w:t xml:space="preserve">Kartono dėžutėje yra </w:t>
      </w:r>
      <w:r w:rsidR="009E17DD">
        <w:rPr>
          <w:sz w:val="22"/>
          <w:szCs w:val="22"/>
        </w:rPr>
        <w:t>3</w:t>
      </w:r>
      <w:r w:rsidRPr="00535B17">
        <w:rPr>
          <w:sz w:val="22"/>
          <w:szCs w:val="22"/>
        </w:rPr>
        <w:t xml:space="preserve">0 tablečių. </w:t>
      </w:r>
    </w:p>
    <w:p w14:paraId="698E4437" w14:textId="77777777" w:rsidR="00E0774B" w:rsidRPr="00535B17" w:rsidRDefault="00E0774B" w:rsidP="00E0774B">
      <w:pPr>
        <w:pStyle w:val="BTEMEASMCA"/>
      </w:pPr>
    </w:p>
    <w:p w14:paraId="53712B60" w14:textId="5B073770" w:rsidR="000A5CC4" w:rsidRPr="000A5CC4" w:rsidRDefault="000A5CC4" w:rsidP="000A5CC4">
      <w:pPr>
        <w:keepNext/>
        <w:keepLines/>
        <w:numPr>
          <w:ilvl w:val="12"/>
          <w:numId w:val="0"/>
        </w:numPr>
        <w:snapToGrid w:val="0"/>
        <w:ind w:right="-2"/>
        <w:rPr>
          <w:rFonts w:eastAsiaTheme="minorHAnsi"/>
          <w:b/>
          <w:color w:val="000000"/>
          <w:sz w:val="22"/>
          <w:szCs w:val="22"/>
        </w:rPr>
      </w:pPr>
      <w:r w:rsidRPr="000A5CC4">
        <w:rPr>
          <w:b/>
          <w:noProof/>
          <w:sz w:val="22"/>
          <w:szCs w:val="22"/>
        </w:rPr>
        <w:t>Registruotojas eksportuojančioje valstybėje</w:t>
      </w:r>
      <w:r>
        <w:rPr>
          <w:b/>
          <w:noProof/>
          <w:sz w:val="22"/>
          <w:szCs w:val="22"/>
        </w:rPr>
        <w:t xml:space="preserve"> ir g</w:t>
      </w:r>
      <w:r w:rsidRPr="000A5CC4">
        <w:rPr>
          <w:rFonts w:eastAsiaTheme="minorHAnsi"/>
          <w:b/>
          <w:color w:val="000000"/>
          <w:sz w:val="22"/>
          <w:szCs w:val="22"/>
        </w:rPr>
        <w:t>amintojas</w:t>
      </w:r>
    </w:p>
    <w:p w14:paraId="61780737" w14:textId="77777777" w:rsidR="000A5CC4" w:rsidRPr="000A5CC4" w:rsidRDefault="000A5CC4" w:rsidP="000A5CC4">
      <w:pPr>
        <w:autoSpaceDE w:val="0"/>
        <w:autoSpaceDN w:val="0"/>
        <w:adjustRightInd w:val="0"/>
        <w:rPr>
          <w:rFonts w:eastAsiaTheme="minorHAnsi"/>
          <w:bCs/>
          <w:color w:val="000000"/>
          <w:sz w:val="22"/>
          <w:szCs w:val="22"/>
        </w:rPr>
      </w:pPr>
      <w:r w:rsidRPr="000A5CC4">
        <w:rPr>
          <w:rFonts w:eastAsiaTheme="minorHAnsi"/>
          <w:bCs/>
          <w:color w:val="000000"/>
          <w:sz w:val="22"/>
          <w:szCs w:val="22"/>
        </w:rPr>
        <w:t>Zakłady Farmaceutyczne POLPHARMA S.A.</w:t>
      </w:r>
    </w:p>
    <w:p w14:paraId="0168038A" w14:textId="77777777" w:rsidR="000A5CC4" w:rsidRDefault="000A5CC4" w:rsidP="000A5CC4">
      <w:pPr>
        <w:autoSpaceDE w:val="0"/>
        <w:autoSpaceDN w:val="0"/>
        <w:adjustRightInd w:val="0"/>
        <w:rPr>
          <w:rFonts w:eastAsiaTheme="minorHAnsi"/>
          <w:bCs/>
          <w:color w:val="000000"/>
          <w:sz w:val="22"/>
          <w:szCs w:val="22"/>
        </w:rPr>
      </w:pPr>
      <w:r w:rsidRPr="000A5CC4">
        <w:rPr>
          <w:rFonts w:eastAsiaTheme="minorHAnsi"/>
          <w:bCs/>
          <w:color w:val="000000"/>
          <w:sz w:val="22"/>
          <w:szCs w:val="22"/>
        </w:rPr>
        <w:t xml:space="preserve">ul. Pelplińska 19, </w:t>
      </w:r>
    </w:p>
    <w:p w14:paraId="54B9C4C3" w14:textId="07A93522" w:rsidR="000A5CC4" w:rsidRPr="000A5CC4" w:rsidRDefault="000A5CC4" w:rsidP="000A5CC4">
      <w:pPr>
        <w:autoSpaceDE w:val="0"/>
        <w:autoSpaceDN w:val="0"/>
        <w:adjustRightInd w:val="0"/>
        <w:rPr>
          <w:rFonts w:eastAsiaTheme="minorHAnsi"/>
          <w:bCs/>
          <w:color w:val="000000"/>
          <w:sz w:val="22"/>
          <w:szCs w:val="22"/>
        </w:rPr>
      </w:pPr>
      <w:r w:rsidRPr="000A5CC4">
        <w:rPr>
          <w:rFonts w:eastAsiaTheme="minorHAnsi"/>
          <w:bCs/>
          <w:color w:val="000000"/>
          <w:sz w:val="22"/>
          <w:szCs w:val="22"/>
        </w:rPr>
        <w:t>83-200 Starogard Gdański</w:t>
      </w:r>
    </w:p>
    <w:p w14:paraId="3799F3B1" w14:textId="75BE4960" w:rsidR="000A5CC4" w:rsidRPr="000A5CC4" w:rsidRDefault="000A5CC4" w:rsidP="000A5CC4">
      <w:pPr>
        <w:autoSpaceDE w:val="0"/>
        <w:autoSpaceDN w:val="0"/>
        <w:adjustRightInd w:val="0"/>
        <w:rPr>
          <w:rFonts w:eastAsiaTheme="minorHAnsi"/>
          <w:bCs/>
          <w:color w:val="000000"/>
          <w:sz w:val="22"/>
          <w:szCs w:val="22"/>
        </w:rPr>
      </w:pPr>
      <w:r w:rsidRPr="000A5CC4">
        <w:rPr>
          <w:rFonts w:eastAsiaTheme="minorHAnsi"/>
          <w:bCs/>
          <w:color w:val="000000"/>
          <w:sz w:val="22"/>
          <w:szCs w:val="22"/>
        </w:rPr>
        <w:t>Lenkija</w:t>
      </w:r>
    </w:p>
    <w:p w14:paraId="2826A3C5" w14:textId="77777777" w:rsidR="000A5CC4" w:rsidRPr="000A5CC4" w:rsidRDefault="000A5CC4" w:rsidP="000A5CC4">
      <w:pPr>
        <w:autoSpaceDE w:val="0"/>
        <w:autoSpaceDN w:val="0"/>
        <w:adjustRightInd w:val="0"/>
        <w:rPr>
          <w:rFonts w:eastAsiaTheme="minorHAnsi"/>
          <w:bCs/>
          <w:color w:val="000000"/>
          <w:sz w:val="22"/>
          <w:szCs w:val="22"/>
        </w:rPr>
      </w:pPr>
    </w:p>
    <w:p w14:paraId="6D658791" w14:textId="77777777" w:rsidR="000A5CC4" w:rsidRPr="000A5CC4" w:rsidRDefault="000A5CC4" w:rsidP="000A5CC4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0A5CC4">
        <w:rPr>
          <w:rFonts w:eastAsiaTheme="minorHAnsi"/>
          <w:b/>
          <w:color w:val="000000"/>
          <w:sz w:val="22"/>
          <w:szCs w:val="22"/>
        </w:rPr>
        <w:t xml:space="preserve">Lygiagretus importuotojas </w:t>
      </w:r>
      <w:r w:rsidRPr="000A5CC4">
        <w:rPr>
          <w:rFonts w:eastAsiaTheme="minorHAnsi"/>
          <w:b/>
          <w:color w:val="000000"/>
          <w:sz w:val="22"/>
          <w:szCs w:val="22"/>
        </w:rPr>
        <w:br/>
      </w:r>
      <w:r w:rsidRPr="000A5CC4">
        <w:rPr>
          <w:rFonts w:eastAsia="TimesNewRoman"/>
          <w:color w:val="000000"/>
          <w:sz w:val="22"/>
          <w:szCs w:val="22"/>
        </w:rPr>
        <w:t>UAB „Niromed“</w:t>
      </w:r>
      <w:r w:rsidRPr="000A5CC4">
        <w:rPr>
          <w:rFonts w:eastAsiaTheme="minorHAnsi"/>
          <w:b/>
          <w:color w:val="000000"/>
          <w:sz w:val="22"/>
          <w:szCs w:val="22"/>
        </w:rPr>
        <w:br/>
      </w:r>
      <w:r w:rsidRPr="000A5CC4">
        <w:rPr>
          <w:rFonts w:eastAsia="TimesNewRoman"/>
          <w:color w:val="000000"/>
          <w:sz w:val="22"/>
          <w:szCs w:val="22"/>
        </w:rPr>
        <w:t>Žirmūnų g. 139A</w:t>
      </w:r>
      <w:r w:rsidRPr="000A5CC4">
        <w:rPr>
          <w:rFonts w:eastAsiaTheme="minorHAnsi"/>
          <w:b/>
          <w:color w:val="000000"/>
          <w:sz w:val="22"/>
          <w:szCs w:val="22"/>
        </w:rPr>
        <w:br/>
      </w:r>
      <w:r w:rsidRPr="000A5CC4">
        <w:rPr>
          <w:rFonts w:eastAsia="TimesNewRoman"/>
          <w:color w:val="000000"/>
          <w:sz w:val="22"/>
          <w:szCs w:val="22"/>
        </w:rPr>
        <w:t>LT-09120 Vilnius</w:t>
      </w:r>
      <w:r w:rsidRPr="000A5CC4">
        <w:rPr>
          <w:rFonts w:eastAsia="TimesNewRoman"/>
          <w:color w:val="000000"/>
          <w:sz w:val="22"/>
          <w:szCs w:val="22"/>
        </w:rPr>
        <w:br/>
        <w:t>Lietuva</w:t>
      </w:r>
    </w:p>
    <w:p w14:paraId="6B0EBF0F" w14:textId="77777777" w:rsidR="000A5CC4" w:rsidRPr="000A5CC4" w:rsidRDefault="000A5CC4" w:rsidP="000A5CC4">
      <w:pPr>
        <w:widowControl w:val="0"/>
        <w:tabs>
          <w:tab w:val="left" w:pos="567"/>
        </w:tabs>
        <w:autoSpaceDN w:val="0"/>
        <w:snapToGrid w:val="0"/>
        <w:spacing w:line="260" w:lineRule="exact"/>
        <w:rPr>
          <w:b/>
          <w:color w:val="000000"/>
          <w:sz w:val="22"/>
          <w:szCs w:val="22"/>
        </w:rPr>
      </w:pPr>
    </w:p>
    <w:p w14:paraId="2FC4862E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b/>
          <w:bCs/>
          <w:sz w:val="22"/>
          <w:szCs w:val="22"/>
        </w:rPr>
      </w:pPr>
      <w:r w:rsidRPr="000A5CC4">
        <w:rPr>
          <w:b/>
          <w:bCs/>
          <w:sz w:val="22"/>
          <w:szCs w:val="22"/>
        </w:rPr>
        <w:t>Perpakavo</w:t>
      </w:r>
    </w:p>
    <w:p w14:paraId="215C6390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LABOR Przedsiębiorstwo Farmaceutyczno-Chemiczne sp. z o.o.</w:t>
      </w:r>
    </w:p>
    <w:p w14:paraId="70643E69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Ul. Długosza 49,</w:t>
      </w:r>
    </w:p>
    <w:p w14:paraId="50BB3DB3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51-162 Wrocław,</w:t>
      </w:r>
    </w:p>
    <w:p w14:paraId="3A3AEA19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Lenkija</w:t>
      </w:r>
    </w:p>
    <w:p w14:paraId="01339468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</w:p>
    <w:p w14:paraId="32D10CA9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arba</w:t>
      </w:r>
    </w:p>
    <w:p w14:paraId="18DF6FB0" w14:textId="77777777" w:rsidR="000A5CC4" w:rsidRPr="000A5CC4" w:rsidRDefault="000A5CC4" w:rsidP="000A5CC4">
      <w:pPr>
        <w:tabs>
          <w:tab w:val="left" w:pos="1296"/>
        </w:tabs>
        <w:snapToGrid w:val="0"/>
        <w:ind w:left="567" w:hanging="567"/>
        <w:rPr>
          <w:rFonts w:eastAsia="TimesNewRoman"/>
          <w:color w:val="000000"/>
          <w:sz w:val="22"/>
          <w:szCs w:val="22"/>
        </w:rPr>
      </w:pPr>
    </w:p>
    <w:p w14:paraId="4ECC6C12" w14:textId="77777777" w:rsidR="000A5CC4" w:rsidRPr="000A5CC4" w:rsidRDefault="000A5CC4" w:rsidP="000A5CC4">
      <w:pPr>
        <w:tabs>
          <w:tab w:val="left" w:pos="1296"/>
        </w:tabs>
        <w:snapToGrid w:val="0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UAB „Entafarma“</w:t>
      </w:r>
    </w:p>
    <w:p w14:paraId="135AC86B" w14:textId="77777777" w:rsidR="000A5CC4" w:rsidRPr="000A5CC4" w:rsidRDefault="000A5CC4" w:rsidP="000A5CC4">
      <w:pPr>
        <w:tabs>
          <w:tab w:val="left" w:pos="1296"/>
        </w:tabs>
        <w:snapToGrid w:val="0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Klonėnų vs. 1,</w:t>
      </w:r>
    </w:p>
    <w:p w14:paraId="1CC772CF" w14:textId="77777777" w:rsidR="000A5CC4" w:rsidRPr="000A5CC4" w:rsidRDefault="000A5CC4" w:rsidP="000A5CC4">
      <w:pPr>
        <w:tabs>
          <w:tab w:val="left" w:pos="1296"/>
        </w:tabs>
        <w:snapToGrid w:val="0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lastRenderedPageBreak/>
        <w:t>LT-19156 Širvintų r. sav.</w:t>
      </w:r>
    </w:p>
    <w:p w14:paraId="2A8C430C" w14:textId="77777777" w:rsidR="000A5CC4" w:rsidRPr="000A5CC4" w:rsidRDefault="000A5CC4" w:rsidP="000A5CC4">
      <w:pPr>
        <w:tabs>
          <w:tab w:val="left" w:pos="1296"/>
        </w:tabs>
        <w:snapToGrid w:val="0"/>
        <w:rPr>
          <w:rFonts w:eastAsia="TimesNewRoman"/>
          <w:color w:val="000000"/>
          <w:sz w:val="22"/>
          <w:szCs w:val="22"/>
        </w:rPr>
      </w:pPr>
      <w:r w:rsidRPr="000A5CC4">
        <w:rPr>
          <w:rFonts w:eastAsia="TimesNewRoman"/>
          <w:color w:val="000000"/>
          <w:sz w:val="22"/>
          <w:szCs w:val="22"/>
        </w:rPr>
        <w:t>Lietuva</w:t>
      </w:r>
    </w:p>
    <w:p w14:paraId="7A6F674F" w14:textId="77777777" w:rsidR="00E0774B" w:rsidRPr="00535B17" w:rsidRDefault="00E0774B" w:rsidP="00E0774B">
      <w:pPr>
        <w:pStyle w:val="BTEMEASMCA"/>
      </w:pPr>
    </w:p>
    <w:p w14:paraId="1EDB42CE" w14:textId="7ACDE20E" w:rsidR="00E0774B" w:rsidRPr="00535B17" w:rsidRDefault="00E0774B" w:rsidP="00E0774B">
      <w:pPr>
        <w:pStyle w:val="BTbEMEASMCA"/>
      </w:pPr>
      <w:r w:rsidRPr="00535B17">
        <w:rPr>
          <w:bCs/>
        </w:rPr>
        <w:t>Šis pakuotės lapelis</w:t>
      </w:r>
      <w:r w:rsidRPr="00535B17">
        <w:t xml:space="preserve"> paskutinį kartą </w:t>
      </w:r>
      <w:r w:rsidRPr="00D656BF">
        <w:t xml:space="preserve">peržiūrėtas </w:t>
      </w:r>
      <w:r w:rsidR="004A4E61">
        <w:t>2024-12-</w:t>
      </w:r>
      <w:r w:rsidR="003562F2">
        <w:t>30</w:t>
      </w:r>
      <w:bookmarkStart w:id="16" w:name="_GoBack"/>
      <w:bookmarkEnd w:id="16"/>
      <w:r w:rsidR="007E0987">
        <w:t>.</w:t>
      </w:r>
    </w:p>
    <w:p w14:paraId="5C9E8B1D" w14:textId="77777777" w:rsidR="00E0774B" w:rsidRPr="00535B17" w:rsidRDefault="00E0774B" w:rsidP="00E0774B">
      <w:pPr>
        <w:widowControl w:val="0"/>
        <w:rPr>
          <w:sz w:val="22"/>
          <w:szCs w:val="22"/>
        </w:rPr>
      </w:pPr>
    </w:p>
    <w:p w14:paraId="494BACCE" w14:textId="6054F3B6" w:rsidR="00E0774B" w:rsidRPr="00D656BF" w:rsidRDefault="00E0774B" w:rsidP="00E0774B">
      <w:pPr>
        <w:pStyle w:val="BTEMEASMCA"/>
      </w:pPr>
      <w:r w:rsidRPr="00D656BF">
        <w:t>Išsami informacija apie šį vaistą pateikiama Valstybinės vaistų kontrolės tarnybos prie Lietuvos Respublikos sveikatos apsaugos ministerijos tinklalapyje</w:t>
      </w:r>
      <w:r w:rsidRPr="00D656BF">
        <w:rPr>
          <w:i/>
        </w:rPr>
        <w:t xml:space="preserve"> </w:t>
      </w:r>
      <w:hyperlink r:id="rId5" w:history="1">
        <w:r w:rsidR="00AE2B88" w:rsidRPr="00A53755">
          <w:rPr>
            <w:rStyle w:val="Hyperlink"/>
          </w:rPr>
          <w:t>https://vvkt.lrv.lt/lt/</w:t>
        </w:r>
      </w:hyperlink>
      <w:r w:rsidR="00AE2B88" w:rsidRPr="008A23F5">
        <w:t>.</w:t>
      </w:r>
    </w:p>
    <w:p w14:paraId="7731296F" w14:textId="77777777" w:rsidR="00E0774B" w:rsidRPr="00535B17" w:rsidRDefault="00E0774B" w:rsidP="00E0774B">
      <w:pPr>
        <w:widowControl w:val="0"/>
        <w:rPr>
          <w:sz w:val="22"/>
          <w:szCs w:val="22"/>
          <w:highlight w:val="yellow"/>
        </w:rPr>
      </w:pPr>
    </w:p>
    <w:p w14:paraId="2CA4A00B" w14:textId="4512BB10" w:rsidR="00E7340C" w:rsidRDefault="00764A39" w:rsidP="00764A39">
      <w:pPr>
        <w:tabs>
          <w:tab w:val="left" w:pos="567"/>
        </w:tabs>
        <w:snapToGrid w:val="0"/>
        <w:spacing w:line="260" w:lineRule="exact"/>
      </w:pPr>
      <w:r w:rsidRPr="00C43F61">
        <w:rPr>
          <w:i/>
          <w:iCs/>
          <w:sz w:val="22"/>
          <w:szCs w:val="20"/>
        </w:rPr>
        <w:t>Lygiagrečiai importuojamas vaistas nuo referencinio vaisto skiriasi pakuotės dydžiu: referencinio vaisto – N50, lygiagrečiai importuojamo – N30</w:t>
      </w:r>
      <w:r w:rsidRPr="00C8566D">
        <w:rPr>
          <w:i/>
          <w:iCs/>
          <w:sz w:val="22"/>
          <w:szCs w:val="20"/>
        </w:rPr>
        <w:t>; laikymo sąlygomis: referencin</w:t>
      </w:r>
      <w:r>
        <w:rPr>
          <w:i/>
          <w:iCs/>
          <w:sz w:val="22"/>
          <w:szCs w:val="20"/>
        </w:rPr>
        <w:t>io</w:t>
      </w:r>
      <w:r w:rsidRPr="00C8566D">
        <w:rPr>
          <w:i/>
          <w:iCs/>
          <w:sz w:val="22"/>
          <w:szCs w:val="20"/>
        </w:rPr>
        <w:t xml:space="preserve"> vaist</w:t>
      </w:r>
      <w:r>
        <w:rPr>
          <w:i/>
          <w:iCs/>
          <w:sz w:val="22"/>
          <w:szCs w:val="20"/>
        </w:rPr>
        <w:t>o</w:t>
      </w:r>
      <w:r w:rsidRPr="00C8566D">
        <w:rPr>
          <w:i/>
          <w:iCs/>
          <w:sz w:val="22"/>
          <w:szCs w:val="20"/>
        </w:rPr>
        <w:t xml:space="preserve"> lizdinę plokštelę papildomai laikyti išorinėje dėžutėje, kad vaistas būtų apsaugotas nuo drėgmės ir šviesos.</w:t>
      </w:r>
    </w:p>
    <w:sectPr w:rsidR="00E7340C" w:rsidSect="00E0774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Yu Gothic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B6C"/>
    <w:multiLevelType w:val="hybridMultilevel"/>
    <w:tmpl w:val="5FAA7942"/>
    <w:lvl w:ilvl="0" w:tplc="F86835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576B"/>
    <w:multiLevelType w:val="hybridMultilevel"/>
    <w:tmpl w:val="FE9AE390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8C44AC74"/>
    <w:lvl w:ilvl="0" w:tplc="5B400CB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344FD"/>
    <w:multiLevelType w:val="hybridMultilevel"/>
    <w:tmpl w:val="D1007B96"/>
    <w:lvl w:ilvl="0" w:tplc="F86835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3611"/>
    <w:multiLevelType w:val="hybridMultilevel"/>
    <w:tmpl w:val="B7B8A956"/>
    <w:lvl w:ilvl="0" w:tplc="F86835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A76E0"/>
    <w:multiLevelType w:val="hybridMultilevel"/>
    <w:tmpl w:val="986262F0"/>
    <w:lvl w:ilvl="0" w:tplc="F86835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3FC"/>
    <w:multiLevelType w:val="hybridMultilevel"/>
    <w:tmpl w:val="1730E700"/>
    <w:lvl w:ilvl="0" w:tplc="F86835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7C"/>
    <w:rsid w:val="0005489B"/>
    <w:rsid w:val="00093FB5"/>
    <w:rsid w:val="000A5CC4"/>
    <w:rsid w:val="001739C9"/>
    <w:rsid w:val="002F2D2A"/>
    <w:rsid w:val="00305BFE"/>
    <w:rsid w:val="003510CF"/>
    <w:rsid w:val="003562F2"/>
    <w:rsid w:val="00375F79"/>
    <w:rsid w:val="004750FB"/>
    <w:rsid w:val="004A4E61"/>
    <w:rsid w:val="00764A39"/>
    <w:rsid w:val="007A1DA1"/>
    <w:rsid w:val="007E0987"/>
    <w:rsid w:val="00810AF5"/>
    <w:rsid w:val="00901723"/>
    <w:rsid w:val="00960742"/>
    <w:rsid w:val="009B097C"/>
    <w:rsid w:val="009E17DD"/>
    <w:rsid w:val="00AE2B88"/>
    <w:rsid w:val="00BA1455"/>
    <w:rsid w:val="00BF5BDF"/>
    <w:rsid w:val="00C02DE3"/>
    <w:rsid w:val="00CB745F"/>
    <w:rsid w:val="00E0774B"/>
    <w:rsid w:val="00E61704"/>
    <w:rsid w:val="00E7340C"/>
    <w:rsid w:val="00E93512"/>
    <w:rsid w:val="00F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53E819C6"/>
  <w15:chartTrackingRefBased/>
  <w15:docId w15:val="{0AD066D9-AF46-4AEC-94C0-97BA60E5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9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0774B"/>
    <w:rPr>
      <w:color w:val="0000FF"/>
      <w:u w:val="single"/>
    </w:rPr>
  </w:style>
  <w:style w:type="paragraph" w:customStyle="1" w:styleId="PI-1EMEASMCA">
    <w:name w:val="PI-1 EMEA_SMCA"/>
    <w:basedOn w:val="Heading2"/>
    <w:autoRedefine/>
    <w:rsid w:val="00E0774B"/>
    <w:pPr>
      <w:keepNext w:val="0"/>
      <w:keepLines w:val="0"/>
      <w:widowControl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Normal"/>
    <w:link w:val="BTEMEASMCAChar"/>
    <w:autoRedefine/>
    <w:rsid w:val="00E0774B"/>
    <w:pPr>
      <w:widowControl w:val="0"/>
      <w:tabs>
        <w:tab w:val="left" w:pos="360"/>
      </w:tabs>
    </w:pPr>
    <w:rPr>
      <w:noProof/>
      <w:sz w:val="22"/>
      <w:szCs w:val="22"/>
    </w:rPr>
  </w:style>
  <w:style w:type="paragraph" w:customStyle="1" w:styleId="TTEMEASMCA">
    <w:name w:val="TT EMEA_SMCA"/>
    <w:basedOn w:val="Heading1"/>
    <w:link w:val="TTEMEASMCAChar"/>
    <w:autoRedefine/>
    <w:rsid w:val="00E0774B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E0774B"/>
    <w:rPr>
      <w:rFonts w:ascii="Times New Roman" w:eastAsia="Times New Roman" w:hAnsi="Times New Roman" w:cs="Times New Roman"/>
      <w:b/>
      <w:caps/>
      <w:kern w:val="0"/>
      <w:lang w:val="en-US"/>
      <w14:ligatures w14:val="none"/>
    </w:rPr>
  </w:style>
  <w:style w:type="paragraph" w:customStyle="1" w:styleId="BT-EMEASMCA">
    <w:name w:val="BT- EMEA_SMCA"/>
    <w:basedOn w:val="BTEMEASMCA"/>
    <w:autoRedefine/>
    <w:rsid w:val="00E0774B"/>
    <w:pPr>
      <w:numPr>
        <w:numId w:val="1"/>
      </w:numPr>
      <w:tabs>
        <w:tab w:val="clear" w:pos="360"/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Normal"/>
    <w:autoRedefine/>
    <w:rsid w:val="00E0774B"/>
    <w:pPr>
      <w:tabs>
        <w:tab w:val="left" w:pos="540"/>
      </w:tabs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E0774B"/>
    <w:rPr>
      <w:b/>
    </w:rPr>
  </w:style>
  <w:style w:type="paragraph" w:customStyle="1" w:styleId="BTbeEMEASMCA">
    <w:name w:val="BT(be) EMEA_SMCA"/>
    <w:basedOn w:val="BTEMEASMCA"/>
    <w:autoRedefine/>
    <w:rsid w:val="00E0774B"/>
    <w:pPr>
      <w:jc w:val="center"/>
    </w:pPr>
    <w:rPr>
      <w:b/>
      <w:bCs/>
    </w:rPr>
  </w:style>
  <w:style w:type="paragraph" w:customStyle="1" w:styleId="BTeEMEASMCA">
    <w:name w:val="BT(e) EMEA_SMCA"/>
    <w:basedOn w:val="BTEMEASMCA"/>
    <w:autoRedefine/>
    <w:rsid w:val="00E0774B"/>
    <w:pPr>
      <w:jc w:val="center"/>
    </w:pPr>
  </w:style>
  <w:style w:type="character" w:customStyle="1" w:styleId="BTEMEASMCAChar">
    <w:name w:val="BT EMEA_SMCA Char"/>
    <w:link w:val="BTEMEASMCA"/>
    <w:rsid w:val="00E0774B"/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BodyText">
    <w:name w:val="Body Text"/>
    <w:basedOn w:val="Normal"/>
    <w:link w:val="BodyTextChar"/>
    <w:rsid w:val="00E0774B"/>
    <w:pPr>
      <w:spacing w:line="360" w:lineRule="auto"/>
      <w:ind w:right="-57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774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E07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8311</Words>
  <Characters>4738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5</cp:revision>
  <dcterms:created xsi:type="dcterms:W3CDTF">2024-12-25T15:31:00Z</dcterms:created>
  <dcterms:modified xsi:type="dcterms:W3CDTF">2024-12-30T14:22:00Z</dcterms:modified>
</cp:coreProperties>
</file>